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B3AA6" w14:textId="77777777" w:rsidR="00BE1D3B" w:rsidRDefault="00BE1D3B" w:rsidP="00BE1D3B">
      <w:pPr>
        <w:ind w:firstLine="0"/>
        <w:rPr>
          <w:rFonts w:eastAsia="Batang" w:cs="Vrinda"/>
        </w:rPr>
      </w:pPr>
    </w:p>
    <w:p w14:paraId="7675D4AF" w14:textId="77777777" w:rsidR="00BE1D3B" w:rsidRPr="006A20AD" w:rsidRDefault="00BE1D3B" w:rsidP="00BE1D3B">
      <w:pPr>
        <w:ind w:firstLine="0"/>
        <w:rPr>
          <w:rFonts w:ascii="Times New Roman" w:eastAsia="Batang" w:hAnsi="Times New Roman"/>
          <w:b/>
          <w:sz w:val="24"/>
          <w:szCs w:val="24"/>
        </w:rPr>
      </w:pPr>
      <w:r w:rsidRPr="006A20AD">
        <w:rPr>
          <w:rFonts w:ascii="Times New Roman" w:eastAsia="Batang" w:hAnsi="Times New Roman"/>
          <w:b/>
          <w:sz w:val="24"/>
          <w:szCs w:val="24"/>
        </w:rPr>
        <w:t>Lucie Veselá, UČO 113379</w:t>
      </w:r>
    </w:p>
    <w:p w14:paraId="216D2A5F" w14:textId="77777777" w:rsidR="00BE1D3B" w:rsidRPr="006A20AD" w:rsidRDefault="00BE1D3B" w:rsidP="00BE1D3B">
      <w:pPr>
        <w:ind w:firstLine="0"/>
        <w:rPr>
          <w:rFonts w:ascii="Times New Roman" w:eastAsia="Batang" w:hAnsi="Times New Roman"/>
          <w:b/>
          <w:sz w:val="24"/>
          <w:szCs w:val="24"/>
        </w:rPr>
      </w:pPr>
      <w:r w:rsidRPr="006A20AD">
        <w:rPr>
          <w:rFonts w:ascii="Times New Roman" w:eastAsia="Batang" w:hAnsi="Times New Roman"/>
          <w:b/>
          <w:sz w:val="24"/>
          <w:szCs w:val="24"/>
        </w:rPr>
        <w:t xml:space="preserve">PSY 717, </w:t>
      </w:r>
      <w:r w:rsidR="006F75B5" w:rsidRPr="006A20AD">
        <w:rPr>
          <w:rFonts w:ascii="Times New Roman" w:eastAsia="Batang" w:hAnsi="Times New Roman"/>
          <w:b/>
          <w:sz w:val="24"/>
          <w:szCs w:val="24"/>
        </w:rPr>
        <w:t>jaro 2015</w:t>
      </w:r>
    </w:p>
    <w:p w14:paraId="73FF4E75" w14:textId="77777777" w:rsidR="00BE1D3B" w:rsidRPr="004F66F2" w:rsidRDefault="00BE1D3B" w:rsidP="00BE1D3B">
      <w:pPr>
        <w:ind w:firstLine="0"/>
        <w:rPr>
          <w:rFonts w:ascii="Times New Roman" w:eastAsia="Batang" w:hAnsi="Times New Roman"/>
          <w:b/>
        </w:rPr>
      </w:pPr>
    </w:p>
    <w:p w14:paraId="2471D771" w14:textId="77777777" w:rsidR="00BE1D3B" w:rsidRPr="006A20AD" w:rsidRDefault="00BE1D3B" w:rsidP="00BE1D3B">
      <w:pPr>
        <w:ind w:firstLine="0"/>
        <w:rPr>
          <w:rFonts w:ascii="Times New Roman" w:eastAsia="Batang" w:hAnsi="Times New Roman"/>
          <w:b/>
          <w:sz w:val="26"/>
          <w:szCs w:val="26"/>
        </w:rPr>
      </w:pPr>
      <w:r w:rsidRPr="006A20AD">
        <w:rPr>
          <w:rFonts w:ascii="Times New Roman" w:eastAsia="Batang" w:hAnsi="Times New Roman"/>
          <w:b/>
          <w:sz w:val="26"/>
          <w:szCs w:val="26"/>
        </w:rPr>
        <w:t xml:space="preserve">Zamyšlení se nad komunikováním statistiky v médiích </w:t>
      </w:r>
    </w:p>
    <w:p w14:paraId="3E62C41F" w14:textId="77777777" w:rsidR="00A5388D" w:rsidRDefault="00A5388D" w:rsidP="0065408A">
      <w:pPr>
        <w:pStyle w:val="Nadpis1"/>
        <w:ind w:firstLine="0"/>
      </w:pPr>
      <w:proofErr w:type="spellStart"/>
      <w:r>
        <w:t>Sexting</w:t>
      </w:r>
      <w:proofErr w:type="spellEnd"/>
      <w:r>
        <w:t>: teenageři ukazují své nahé fotky většinou z nudy</w:t>
      </w:r>
      <w:r>
        <w:br/>
      </w:r>
    </w:p>
    <w:p w14:paraId="6E0AAA55" w14:textId="77777777" w:rsidR="00C05547" w:rsidRPr="00C05547" w:rsidRDefault="00C05547" w:rsidP="00C05547">
      <w:pPr>
        <w:ind w:firstLine="0"/>
        <w:rPr>
          <w:rFonts w:ascii="Times New Roman" w:eastAsia="Batang" w:hAnsi="Times New Roman"/>
          <w:b/>
          <w:sz w:val="22"/>
          <w:szCs w:val="22"/>
        </w:rPr>
      </w:pPr>
      <w:r w:rsidRPr="00C05547">
        <w:rPr>
          <w:rFonts w:ascii="Times New Roman" w:eastAsia="Batang" w:hAnsi="Times New Roman"/>
          <w:b/>
          <w:sz w:val="22"/>
          <w:szCs w:val="22"/>
        </w:rPr>
        <w:t>Článek</w:t>
      </w:r>
    </w:p>
    <w:p w14:paraId="2A356D40" w14:textId="77777777" w:rsidR="00C05547" w:rsidRDefault="00534B88" w:rsidP="00BE1D3B">
      <w:pPr>
        <w:ind w:firstLine="0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>Dne 8. 3. 2012 byl</w:t>
      </w:r>
      <w:r w:rsidR="00C05547">
        <w:rPr>
          <w:rFonts w:ascii="Times New Roman" w:eastAsia="Batang" w:hAnsi="Times New Roman"/>
          <w:sz w:val="22"/>
          <w:szCs w:val="22"/>
        </w:rPr>
        <w:t>y zveřejněny</w:t>
      </w:r>
      <w:r>
        <w:rPr>
          <w:rFonts w:ascii="Times New Roman" w:eastAsia="Batang" w:hAnsi="Times New Roman"/>
          <w:sz w:val="22"/>
          <w:szCs w:val="22"/>
        </w:rPr>
        <w:t xml:space="preserve"> na webových stránkách </w:t>
      </w:r>
      <w:hyperlink r:id="rId5" w:history="1">
        <w:r w:rsidRPr="00C22778">
          <w:rPr>
            <w:rStyle w:val="Hypertextovodkaz"/>
            <w:rFonts w:ascii="Times New Roman" w:eastAsia="Batang" w:hAnsi="Times New Roman"/>
            <w:sz w:val="22"/>
            <w:szCs w:val="22"/>
          </w:rPr>
          <w:t>www.denik.cz</w:t>
        </w:r>
      </w:hyperlink>
      <w:r>
        <w:rPr>
          <w:rFonts w:ascii="Times New Roman" w:eastAsia="Batang" w:hAnsi="Times New Roman"/>
          <w:sz w:val="22"/>
          <w:szCs w:val="22"/>
        </w:rPr>
        <w:t xml:space="preserve"> informace plynoucí z výzkumu provedeného Centrem prevence rizikové virtuální komunikace Pedagogické fakulty Univerzity Palackého v Olomouci. </w:t>
      </w:r>
    </w:p>
    <w:p w14:paraId="5EACF927" w14:textId="77777777" w:rsidR="00C05547" w:rsidRDefault="00C05547" w:rsidP="00BE1D3B">
      <w:pPr>
        <w:ind w:firstLine="0"/>
        <w:rPr>
          <w:rFonts w:ascii="Times New Roman" w:eastAsia="Batang" w:hAnsi="Times New Roman"/>
          <w:sz w:val="22"/>
          <w:szCs w:val="22"/>
        </w:rPr>
      </w:pPr>
    </w:p>
    <w:p w14:paraId="2CDF4342" w14:textId="77777777" w:rsidR="00C05547" w:rsidRPr="00C05547" w:rsidRDefault="00C05547" w:rsidP="00BE1D3B">
      <w:pPr>
        <w:ind w:firstLine="0"/>
        <w:rPr>
          <w:rFonts w:ascii="Times New Roman" w:eastAsia="Batang" w:hAnsi="Times New Roman"/>
          <w:b/>
          <w:sz w:val="22"/>
          <w:szCs w:val="22"/>
        </w:rPr>
      </w:pPr>
      <w:r w:rsidRPr="00C05547">
        <w:rPr>
          <w:rFonts w:ascii="Times New Roman" w:eastAsia="Batang" w:hAnsi="Times New Roman"/>
          <w:b/>
          <w:sz w:val="22"/>
          <w:szCs w:val="22"/>
        </w:rPr>
        <w:t>Studie</w:t>
      </w:r>
    </w:p>
    <w:p w14:paraId="0C23F8A5" w14:textId="77777777" w:rsidR="00534B88" w:rsidRDefault="00C05547" w:rsidP="00BE1D3B">
      <w:pPr>
        <w:ind w:firstLine="0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 xml:space="preserve">Výzkum </w:t>
      </w:r>
      <w:r w:rsidR="00534B88">
        <w:rPr>
          <w:rFonts w:ascii="Times New Roman" w:eastAsia="Batang" w:hAnsi="Times New Roman"/>
          <w:sz w:val="22"/>
          <w:szCs w:val="22"/>
        </w:rPr>
        <w:t xml:space="preserve">byl zaměřen na výskyt rizikového chování u českých dětí v oblasti informačních a komunikačních technologií. Studie byla zaměřena na zkoumání více oblastí – </w:t>
      </w:r>
      <w:proofErr w:type="spellStart"/>
      <w:r w:rsidR="00534B88">
        <w:rPr>
          <w:rFonts w:ascii="Times New Roman" w:eastAsia="Batang" w:hAnsi="Times New Roman"/>
          <w:sz w:val="22"/>
          <w:szCs w:val="22"/>
        </w:rPr>
        <w:t>kyberšikana</w:t>
      </w:r>
      <w:proofErr w:type="spellEnd"/>
      <w:r w:rsidR="00534B88">
        <w:rPr>
          <w:rFonts w:ascii="Times New Roman" w:eastAsia="Batang" w:hAnsi="Times New Roman"/>
          <w:sz w:val="22"/>
          <w:szCs w:val="22"/>
        </w:rPr>
        <w:t xml:space="preserve">, </w:t>
      </w:r>
      <w:proofErr w:type="spellStart"/>
      <w:r w:rsidR="00534B88">
        <w:rPr>
          <w:rFonts w:ascii="Times New Roman" w:eastAsia="Batang" w:hAnsi="Times New Roman"/>
          <w:sz w:val="22"/>
          <w:szCs w:val="22"/>
        </w:rPr>
        <w:t>sexting</w:t>
      </w:r>
      <w:proofErr w:type="spellEnd"/>
      <w:r w:rsidR="00534B88">
        <w:rPr>
          <w:rFonts w:ascii="Times New Roman" w:eastAsia="Batang" w:hAnsi="Times New Roman"/>
          <w:sz w:val="22"/>
          <w:szCs w:val="22"/>
        </w:rPr>
        <w:t xml:space="preserve">, sdílení a zasílání osobních údajů, znalost prostředí sociálních sítí a rizikovosti chování na internetu. Z těchto témat článek prezentoval pouze jednu část, a to výzkum </w:t>
      </w:r>
      <w:proofErr w:type="spellStart"/>
      <w:r w:rsidR="00534B88">
        <w:rPr>
          <w:rFonts w:ascii="Times New Roman" w:eastAsia="Batang" w:hAnsi="Times New Roman"/>
          <w:sz w:val="22"/>
          <w:szCs w:val="22"/>
        </w:rPr>
        <w:t>sextingu</w:t>
      </w:r>
      <w:proofErr w:type="spellEnd"/>
      <w:r w:rsidR="00534B88">
        <w:rPr>
          <w:rFonts w:ascii="Times New Roman" w:eastAsia="Batang" w:hAnsi="Times New Roman"/>
          <w:sz w:val="22"/>
          <w:szCs w:val="22"/>
        </w:rPr>
        <w:t xml:space="preserve">. </w:t>
      </w:r>
      <w:r w:rsidR="00B06788">
        <w:rPr>
          <w:rFonts w:ascii="Times New Roman" w:eastAsia="Batang" w:hAnsi="Times New Roman"/>
          <w:sz w:val="22"/>
          <w:szCs w:val="22"/>
        </w:rPr>
        <w:t>Budu tedy srovnávat pouze tuto oblast výzkumu.</w:t>
      </w:r>
    </w:p>
    <w:p w14:paraId="5B069839" w14:textId="77777777" w:rsidR="007E19EC" w:rsidRDefault="007E19EC" w:rsidP="00BE1D3B">
      <w:pPr>
        <w:ind w:firstLine="0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>Celý výzkumný s</w:t>
      </w:r>
      <w:r w:rsidR="00B06788">
        <w:rPr>
          <w:rFonts w:ascii="Times New Roman" w:eastAsia="Batang" w:hAnsi="Times New Roman"/>
          <w:sz w:val="22"/>
          <w:szCs w:val="22"/>
        </w:rPr>
        <w:t xml:space="preserve">oubor byl tvořen uživateli Internetu a mobilních telefonů z řad žáků základních a středních škol v celé České republice. Věk respondentů byl omezen 11 – 17 lety, přičemž toto období bylo rozděleno do dvou kategorií: 11 – 14 let, 15 – 17 let. Celkem bylo do výzkumu zapojeno </w:t>
      </w:r>
      <w:commentRangeStart w:id="0"/>
      <w:r w:rsidR="00B06788">
        <w:rPr>
          <w:rFonts w:ascii="Times New Roman" w:eastAsia="Batang" w:hAnsi="Times New Roman"/>
          <w:sz w:val="22"/>
          <w:szCs w:val="22"/>
        </w:rPr>
        <w:t xml:space="preserve">10 830 </w:t>
      </w:r>
      <w:commentRangeEnd w:id="0"/>
      <w:r w:rsidR="00BB49A0">
        <w:rPr>
          <w:rStyle w:val="Odkaznakoment"/>
        </w:rPr>
        <w:commentReference w:id="0"/>
      </w:r>
      <w:r w:rsidR="00B06788">
        <w:rPr>
          <w:rFonts w:ascii="Times New Roman" w:eastAsia="Batang" w:hAnsi="Times New Roman"/>
          <w:sz w:val="22"/>
          <w:szCs w:val="22"/>
        </w:rPr>
        <w:t>školáků. Zastoupeny byl</w:t>
      </w:r>
      <w:r>
        <w:rPr>
          <w:rFonts w:ascii="Times New Roman" w:eastAsia="Batang" w:hAnsi="Times New Roman"/>
          <w:sz w:val="22"/>
          <w:szCs w:val="22"/>
        </w:rPr>
        <w:t>y všechny kraje České republiky.</w:t>
      </w:r>
    </w:p>
    <w:p w14:paraId="270AAB16" w14:textId="77777777" w:rsidR="007E19EC" w:rsidRDefault="007E19EC" w:rsidP="00BE1D3B">
      <w:pPr>
        <w:ind w:firstLine="0"/>
        <w:rPr>
          <w:rFonts w:ascii="Times New Roman" w:eastAsia="Batang" w:hAnsi="Times New Roman"/>
          <w:sz w:val="22"/>
          <w:szCs w:val="22"/>
        </w:rPr>
      </w:pPr>
    </w:p>
    <w:p w14:paraId="5F521F71" w14:textId="77777777" w:rsidR="00C05547" w:rsidRPr="00C05547" w:rsidRDefault="00C05547" w:rsidP="00BE1D3B">
      <w:pPr>
        <w:ind w:firstLine="0"/>
        <w:rPr>
          <w:rFonts w:ascii="Times New Roman" w:eastAsia="Batang" w:hAnsi="Times New Roman"/>
          <w:b/>
          <w:sz w:val="22"/>
          <w:szCs w:val="22"/>
        </w:rPr>
      </w:pPr>
      <w:r w:rsidRPr="00C05547">
        <w:rPr>
          <w:rFonts w:ascii="Times New Roman" w:eastAsia="Batang" w:hAnsi="Times New Roman"/>
          <w:b/>
          <w:sz w:val="22"/>
          <w:szCs w:val="22"/>
        </w:rPr>
        <w:t>Prezentace zjištěných údajů v článku</w:t>
      </w:r>
    </w:p>
    <w:p w14:paraId="6C8D1195" w14:textId="77777777" w:rsidR="005247C8" w:rsidRDefault="005247C8" w:rsidP="00BE1D3B">
      <w:pPr>
        <w:ind w:firstLine="0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 xml:space="preserve">V rámci výzkumu byly </w:t>
      </w:r>
      <w:r w:rsidR="0081116C">
        <w:rPr>
          <w:rFonts w:ascii="Times New Roman" w:eastAsia="Batang" w:hAnsi="Times New Roman"/>
          <w:sz w:val="22"/>
          <w:szCs w:val="22"/>
        </w:rPr>
        <w:t xml:space="preserve">v oblasti </w:t>
      </w:r>
      <w:proofErr w:type="spellStart"/>
      <w:r w:rsidR="0081116C">
        <w:rPr>
          <w:rFonts w:ascii="Times New Roman" w:eastAsia="Batang" w:hAnsi="Times New Roman"/>
          <w:sz w:val="22"/>
          <w:szCs w:val="22"/>
        </w:rPr>
        <w:t>sextingu</w:t>
      </w:r>
      <w:proofErr w:type="spellEnd"/>
      <w:r w:rsidR="0081116C">
        <w:rPr>
          <w:rFonts w:ascii="Times New Roman" w:eastAsia="Batang" w:hAnsi="Times New Roman"/>
          <w:sz w:val="22"/>
          <w:szCs w:val="22"/>
        </w:rPr>
        <w:t xml:space="preserve"> zkoumány tyto výzkumné otázky:</w:t>
      </w:r>
    </w:p>
    <w:p w14:paraId="7AE871AB" w14:textId="77777777" w:rsidR="0081116C" w:rsidRDefault="0081116C" w:rsidP="0081116C">
      <w:pPr>
        <w:pStyle w:val="Odstavecseseznamem"/>
        <w:numPr>
          <w:ilvl w:val="0"/>
          <w:numId w:val="1"/>
        </w:numPr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>Jaké množství dětí umístilo své sexuálně laděné materiály na internet?</w:t>
      </w:r>
    </w:p>
    <w:p w14:paraId="425DA6BB" w14:textId="77777777" w:rsidR="0081116C" w:rsidRDefault="0081116C" w:rsidP="0081116C">
      <w:pPr>
        <w:pStyle w:val="Odstavecseseznamem"/>
        <w:numPr>
          <w:ilvl w:val="0"/>
          <w:numId w:val="1"/>
        </w:numPr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>Kolik dětí odeslalo jiným osobám své vlastní sexuálně laděné materiály?</w:t>
      </w:r>
    </w:p>
    <w:p w14:paraId="1DD22648" w14:textId="77777777" w:rsidR="0081116C" w:rsidRPr="0081116C" w:rsidRDefault="0081116C" w:rsidP="0081116C">
      <w:pPr>
        <w:pStyle w:val="Odstavecseseznamem"/>
        <w:numPr>
          <w:ilvl w:val="0"/>
          <w:numId w:val="1"/>
        </w:numPr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 xml:space="preserve">Kolik dětí vnímá </w:t>
      </w:r>
      <w:proofErr w:type="spellStart"/>
      <w:r>
        <w:rPr>
          <w:rFonts w:ascii="Times New Roman" w:eastAsia="Batang" w:hAnsi="Times New Roman"/>
          <w:sz w:val="22"/>
          <w:szCs w:val="22"/>
        </w:rPr>
        <w:t>sexting</w:t>
      </w:r>
      <w:proofErr w:type="spellEnd"/>
      <w:r>
        <w:rPr>
          <w:rFonts w:ascii="Times New Roman" w:eastAsia="Batang" w:hAnsi="Times New Roman"/>
          <w:sz w:val="22"/>
          <w:szCs w:val="22"/>
        </w:rPr>
        <w:t xml:space="preserve"> jako rizikový a riskantní?</w:t>
      </w:r>
    </w:p>
    <w:p w14:paraId="22136389" w14:textId="77777777" w:rsidR="005247C8" w:rsidRDefault="001A77DE" w:rsidP="00BE1D3B">
      <w:pPr>
        <w:ind w:firstLine="0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 xml:space="preserve">Článek se zaměřil pouze na jednu oblast, a to umísťování sexuálně laděného materiálu na internet. Vzhledem k rozsahu celého průzkumu, z kterého si autorka článku vybrala pouze tuto podoblast, mi to přijde škoda. Pokud už se v titulku </w:t>
      </w:r>
      <w:r w:rsidR="0081116C">
        <w:rPr>
          <w:rFonts w:ascii="Times New Roman" w:eastAsia="Batang" w:hAnsi="Times New Roman"/>
          <w:sz w:val="22"/>
          <w:szCs w:val="22"/>
        </w:rPr>
        <w:t xml:space="preserve">hovoří o </w:t>
      </w:r>
      <w:proofErr w:type="spellStart"/>
      <w:r w:rsidR="0081116C">
        <w:rPr>
          <w:rFonts w:ascii="Times New Roman" w:eastAsia="Batang" w:hAnsi="Times New Roman"/>
          <w:sz w:val="22"/>
          <w:szCs w:val="22"/>
        </w:rPr>
        <w:t>sextingu</w:t>
      </w:r>
      <w:proofErr w:type="spellEnd"/>
      <w:r>
        <w:rPr>
          <w:rFonts w:ascii="Times New Roman" w:eastAsia="Batang" w:hAnsi="Times New Roman"/>
          <w:sz w:val="22"/>
          <w:szCs w:val="22"/>
        </w:rPr>
        <w:t xml:space="preserve">, měl by být dle mého názoru prezentován </w:t>
      </w:r>
      <w:commentRangeStart w:id="1"/>
      <w:r>
        <w:rPr>
          <w:rFonts w:ascii="Times New Roman" w:eastAsia="Batang" w:hAnsi="Times New Roman"/>
          <w:sz w:val="22"/>
          <w:szCs w:val="22"/>
        </w:rPr>
        <w:t>komplexně</w:t>
      </w:r>
      <w:commentRangeEnd w:id="1"/>
      <w:r w:rsidR="00BB49A0">
        <w:rPr>
          <w:rStyle w:val="Odkaznakoment"/>
        </w:rPr>
        <w:commentReference w:id="1"/>
      </w:r>
      <w:r>
        <w:rPr>
          <w:rFonts w:ascii="Times New Roman" w:eastAsia="Batang" w:hAnsi="Times New Roman"/>
          <w:sz w:val="22"/>
          <w:szCs w:val="22"/>
        </w:rPr>
        <w:t>.</w:t>
      </w:r>
    </w:p>
    <w:p w14:paraId="5CDE4E44" w14:textId="77777777" w:rsidR="00B06788" w:rsidRDefault="004C4E74" w:rsidP="00BE1D3B">
      <w:pPr>
        <w:ind w:firstLine="0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>Hned v úvodu článku je uveden dotaz „</w:t>
      </w:r>
      <w:r w:rsidRPr="004C4E74">
        <w:rPr>
          <w:rFonts w:ascii="Times New Roman" w:eastAsia="Batang" w:hAnsi="Times New Roman"/>
          <w:sz w:val="22"/>
          <w:szCs w:val="22"/>
        </w:rPr>
        <w:t>Kolik českých dětí sdílí své vlastní sexuální fotky nebo videa prostřednictvím mobilních telefonů či internetu a co je k tomu vede?</w:t>
      </w:r>
      <w:r>
        <w:rPr>
          <w:rFonts w:ascii="Times New Roman" w:eastAsia="Batang" w:hAnsi="Times New Roman"/>
          <w:sz w:val="22"/>
          <w:szCs w:val="22"/>
        </w:rPr>
        <w:t>“</w:t>
      </w:r>
      <w:r w:rsidRPr="004C4E74">
        <w:rPr>
          <w:rFonts w:ascii="Times New Roman" w:eastAsia="Batang" w:hAnsi="Times New Roman"/>
          <w:sz w:val="22"/>
          <w:szCs w:val="22"/>
        </w:rPr>
        <w:t>, na který článek dále dává odpovědi.</w:t>
      </w:r>
      <w:r w:rsidRPr="004C4E74">
        <w:rPr>
          <w:rFonts w:ascii="Times New Roman" w:eastAsia="Batang" w:hAnsi="Times New Roman"/>
          <w:sz w:val="22"/>
          <w:szCs w:val="22"/>
        </w:rPr>
        <w:br/>
      </w:r>
      <w:r w:rsidR="007E19EC">
        <w:rPr>
          <w:rFonts w:ascii="Times New Roman" w:eastAsia="Batang" w:hAnsi="Times New Roman"/>
          <w:sz w:val="22"/>
          <w:szCs w:val="22"/>
        </w:rPr>
        <w:t xml:space="preserve">Jednotlivé kraje </w:t>
      </w:r>
      <w:r w:rsidR="007E19EC" w:rsidRPr="00BB49A0">
        <w:rPr>
          <w:rFonts w:ascii="Times New Roman" w:eastAsia="Batang" w:hAnsi="Times New Roman"/>
          <w:sz w:val="22"/>
          <w:szCs w:val="22"/>
          <w:highlight w:val="yellow"/>
        </w:rPr>
        <w:t>však byly</w:t>
      </w:r>
      <w:r w:rsidR="00B06788" w:rsidRPr="00BB49A0">
        <w:rPr>
          <w:rFonts w:ascii="Times New Roman" w:eastAsia="Batang" w:hAnsi="Times New Roman"/>
          <w:sz w:val="22"/>
          <w:szCs w:val="22"/>
          <w:highlight w:val="yellow"/>
        </w:rPr>
        <w:t xml:space="preserve"> avšak</w:t>
      </w:r>
      <w:r w:rsidR="00B06788">
        <w:rPr>
          <w:rFonts w:ascii="Times New Roman" w:eastAsia="Batang" w:hAnsi="Times New Roman"/>
          <w:sz w:val="22"/>
          <w:szCs w:val="22"/>
        </w:rPr>
        <w:t xml:space="preserve"> velmi nerovnoměrně</w:t>
      </w:r>
      <w:r>
        <w:rPr>
          <w:rFonts w:ascii="Times New Roman" w:eastAsia="Batang" w:hAnsi="Times New Roman"/>
          <w:sz w:val="22"/>
          <w:szCs w:val="22"/>
        </w:rPr>
        <w:t xml:space="preserve"> a dle mého názoru tedy není správné usuzovat z výsledků výzkumu na celou ČR.</w:t>
      </w:r>
      <w:r w:rsidR="00B06788">
        <w:rPr>
          <w:rFonts w:ascii="Times New Roman" w:eastAsia="Batang" w:hAnsi="Times New Roman"/>
          <w:sz w:val="22"/>
          <w:szCs w:val="22"/>
        </w:rPr>
        <w:t xml:space="preserve"> Například žáci z Libereckého kraje tvořili pouze 0,57 % vzorku, na druhé straně pak stál Moravskoslezský kraj s 29,6 %. Sami výzkumníci uvádí, že si byli jisti, že získají dostatečné a hlavně reprezentativní množství. </w:t>
      </w:r>
      <w:r w:rsidR="0081116C">
        <w:rPr>
          <w:rFonts w:ascii="Times New Roman" w:eastAsia="Batang" w:hAnsi="Times New Roman"/>
          <w:sz w:val="22"/>
          <w:szCs w:val="22"/>
        </w:rPr>
        <w:t>Respondenti byli také zejména obyvatelé měst, n</w:t>
      </w:r>
      <w:r w:rsidR="00B06788">
        <w:rPr>
          <w:rFonts w:ascii="Times New Roman" w:eastAsia="Batang" w:hAnsi="Times New Roman"/>
          <w:sz w:val="22"/>
          <w:szCs w:val="22"/>
        </w:rPr>
        <w:t xml:space="preserve">ejvíce </w:t>
      </w:r>
      <w:r w:rsidR="0081116C">
        <w:rPr>
          <w:rFonts w:ascii="Times New Roman" w:eastAsia="Batang" w:hAnsi="Times New Roman"/>
          <w:sz w:val="22"/>
          <w:szCs w:val="22"/>
        </w:rPr>
        <w:t>jich</w:t>
      </w:r>
      <w:r w:rsidR="00B06788">
        <w:rPr>
          <w:rFonts w:ascii="Times New Roman" w:eastAsia="Batang" w:hAnsi="Times New Roman"/>
          <w:sz w:val="22"/>
          <w:szCs w:val="22"/>
        </w:rPr>
        <w:t xml:space="preserve"> bylo z Prahy, na dalších městech se umístila Ostrava, Jihlava, Brno, Opava a další města ČR. </w:t>
      </w:r>
      <w:r w:rsidR="007E19EC">
        <w:rPr>
          <w:rFonts w:ascii="Times New Roman" w:eastAsia="Batang" w:hAnsi="Times New Roman"/>
          <w:sz w:val="22"/>
          <w:szCs w:val="22"/>
        </w:rPr>
        <w:t xml:space="preserve">Níže uvedená tabulka ukazuje srovnání poměru počtu obyvatel v jednotlivých krajích a počtu respondentů. I když počet obyvatel krajů zobrazuje všechny obyvatele kraje (data počtu školáků ve věku 11 – 17 let nejsou k dispozici) a počet respondentů pouze školáky ve věku 11 – 17 let tato tabulka názorně </w:t>
      </w:r>
      <w:r w:rsidR="007E19EC">
        <w:rPr>
          <w:rFonts w:ascii="Times New Roman" w:eastAsia="Batang" w:hAnsi="Times New Roman"/>
          <w:sz w:val="22"/>
          <w:szCs w:val="22"/>
        </w:rPr>
        <w:lastRenderedPageBreak/>
        <w:t>ilustruje nesoulad mezi poměrem obyvatel v jednotlivých krajích a poměrem zkoumaných osob. Předpokládám, že je to srovnatelný ukazatel a poměry počtů školáků v kraji na počet obyvatel v kra</w:t>
      </w:r>
      <w:r w:rsidR="001A77DE">
        <w:rPr>
          <w:rFonts w:ascii="Times New Roman" w:eastAsia="Batang" w:hAnsi="Times New Roman"/>
          <w:sz w:val="22"/>
          <w:szCs w:val="22"/>
        </w:rPr>
        <w:t>ji se dle krajů významně neliší.</w:t>
      </w:r>
      <w:r w:rsidR="0081116C">
        <w:rPr>
          <w:rFonts w:ascii="Times New Roman" w:eastAsia="Batang" w:hAnsi="Times New Roman"/>
          <w:sz w:val="22"/>
          <w:szCs w:val="22"/>
        </w:rPr>
        <w:t xml:space="preserve"> Nejvýraznější odchylky jsou zvýrazněny šedě.</w:t>
      </w:r>
    </w:p>
    <w:p w14:paraId="576D7C31" w14:textId="77777777" w:rsidR="004310DD" w:rsidRDefault="004310DD" w:rsidP="00BE1D3B">
      <w:pPr>
        <w:ind w:firstLine="0"/>
        <w:rPr>
          <w:rFonts w:ascii="Times New Roman" w:eastAsia="Batang" w:hAnsi="Times New Roman"/>
          <w:sz w:val="22"/>
          <w:szCs w:val="22"/>
        </w:rPr>
      </w:pPr>
    </w:p>
    <w:tbl>
      <w:tblPr>
        <w:tblW w:w="929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1222"/>
        <w:gridCol w:w="1156"/>
        <w:gridCol w:w="1695"/>
        <w:gridCol w:w="1404"/>
        <w:gridCol w:w="1784"/>
      </w:tblGrid>
      <w:tr w:rsidR="007E19EC" w:rsidRPr="007E19EC" w14:paraId="04188EA4" w14:textId="77777777" w:rsidTr="006A20AD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3673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9AAA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Počet obyvatel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5122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Počet obyvatel v %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7C69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Počet respondentů v 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BA09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Pořadí kraje v počtu obyvatel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8C8B4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Pořadí kraje v počtu respondentů</w:t>
            </w:r>
          </w:p>
        </w:tc>
      </w:tr>
      <w:tr w:rsidR="007E19EC" w:rsidRPr="007E19EC" w14:paraId="3F557154" w14:textId="77777777" w:rsidTr="006A20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D69C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Karlovarský kraj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FEE1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303 165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E045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2,89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8B70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0F65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C6904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</w:tr>
      <w:tr w:rsidR="007E19EC" w:rsidRPr="007E19EC" w14:paraId="269D908C" w14:textId="77777777" w:rsidTr="006A20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8A2B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Liberecký kraj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679D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438 600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A1E3A0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4,17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A6590E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1F16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C8740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7E19EC" w:rsidRPr="007E19EC" w14:paraId="645DDC4C" w14:textId="77777777" w:rsidTr="006A20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0CBA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Kraj Vysočina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E216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511 937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2767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4,87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8A36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F813C2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31AC0A8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</w:t>
            </w:r>
          </w:p>
        </w:tc>
      </w:tr>
      <w:tr w:rsidR="007E19EC" w:rsidRPr="007E19EC" w14:paraId="03183EDD" w14:textId="77777777" w:rsidTr="006A20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45C5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Pardubický kraj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8190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516 411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59D7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4,92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4F7D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6C10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0931A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</w:t>
            </w:r>
          </w:p>
        </w:tc>
      </w:tr>
      <w:tr w:rsidR="007E19EC" w:rsidRPr="007E19EC" w14:paraId="3BA1C739" w14:textId="77777777" w:rsidTr="006A20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65D9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Královéhradecký kraj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D33" w14:textId="77777777" w:rsidR="007E19EC" w:rsidRPr="007E19EC" w:rsidRDefault="007E19EC" w:rsidP="007E19EC">
            <w:pPr>
              <w:pBdr>
                <w:bottom w:val="single" w:sz="6" w:space="1" w:color="auto"/>
              </w:pBdr>
              <w:suppressAutoHyphens w:val="0"/>
              <w:spacing w:before="0" w:line="240" w:lineRule="auto"/>
              <w:ind w:firstLine="0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7E19EC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14:paraId="65C7466D" w14:textId="77777777" w:rsidR="007E19EC" w:rsidRPr="007E19EC" w:rsidRDefault="00E12D1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hyperlink r:id="rId8" w:anchor="_blank" w:tooltip="Informace k prvku [nové okno]" w:history="1">
              <w:r w:rsidR="007E19EC" w:rsidRPr="007E19EC">
                <w:rPr>
                  <w:rFonts w:ascii="Calibri" w:hAnsi="Calibri" w:cs="Calibri"/>
                  <w:color w:val="000000"/>
                  <w:sz w:val="22"/>
                  <w:szCs w:val="22"/>
                  <w:lang w:eastAsia="cs-CZ"/>
                </w:rPr>
                <w:t>553 856</w:t>
              </w:r>
            </w:hyperlink>
            <w:r w:rsidR="007E19EC"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7E19EC" w:rsidRPr="007E19EC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A8D4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5,27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8FB5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B932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86D9B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</w:tr>
      <w:tr w:rsidR="007E19EC" w:rsidRPr="007E19EC" w14:paraId="5005ECEB" w14:textId="77777777" w:rsidTr="006A20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AF8C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Plzeňský kraj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5F88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571 709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BDCC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5,44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0956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F3FF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5499E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</w:tr>
      <w:tr w:rsidR="007E19EC" w:rsidRPr="007E19EC" w14:paraId="1C1DA7A1" w14:textId="77777777" w:rsidTr="006A20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C7E5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Zlínský kraj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4B78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589 030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2C09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5,61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2F41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ED695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62B09A3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7E19EC" w:rsidRPr="007E19EC" w14:paraId="308E8CB1" w14:textId="77777777" w:rsidTr="006A20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972B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Jihočeský kraj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11A2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636 138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327E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6,06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DFEB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2A89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DC6C0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</w:t>
            </w:r>
          </w:p>
        </w:tc>
      </w:tr>
      <w:tr w:rsidR="007E19EC" w:rsidRPr="007E19EC" w14:paraId="491D0875" w14:textId="77777777" w:rsidTr="006A20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2D14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Olomoucký kraj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3CBF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638 638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351E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6,08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8F8B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CAEC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38A49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</w:tr>
      <w:tr w:rsidR="007E19EC" w:rsidRPr="007E19EC" w14:paraId="24365A1F" w14:textId="77777777" w:rsidTr="006A20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4698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Ústecký kraj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2A1B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828 026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56F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7,88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C52F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5817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25728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7E19EC" w:rsidRPr="007E19EC" w14:paraId="305DF94E" w14:textId="77777777" w:rsidTr="006A20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20C4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Jihomoravský kraj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E050" w14:textId="77777777" w:rsidR="007E19EC" w:rsidRPr="007E19EC" w:rsidRDefault="007E19EC" w:rsidP="007E19EC">
            <w:pPr>
              <w:pBdr>
                <w:bottom w:val="single" w:sz="6" w:space="1" w:color="auto"/>
              </w:pBdr>
              <w:suppressAutoHyphens w:val="0"/>
              <w:spacing w:before="0" w:line="240" w:lineRule="auto"/>
              <w:ind w:firstLine="0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7E19EC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14:paraId="49372020" w14:textId="77777777" w:rsidR="007E19EC" w:rsidRPr="007E19EC" w:rsidRDefault="00E12D1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hyperlink r:id="rId9" w:anchor="_blank" w:tooltip="Informace k prvku [nové okno]" w:history="1">
              <w:r w:rsidR="007E19EC" w:rsidRPr="007E19EC">
                <w:rPr>
                  <w:rFonts w:ascii="Calibri" w:hAnsi="Calibri" w:cs="Calibri"/>
                  <w:color w:val="000000"/>
                  <w:sz w:val="22"/>
                  <w:szCs w:val="22"/>
                  <w:lang w:eastAsia="cs-CZ"/>
                </w:rPr>
                <w:t>1 166 313</w:t>
              </w:r>
            </w:hyperlink>
            <w:r w:rsidR="007E19EC"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7E19EC" w:rsidRPr="007E19EC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34E7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11,10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747C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8879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F521D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</w:tr>
      <w:tr w:rsidR="007E19EC" w:rsidRPr="007E19EC" w14:paraId="5D04CF6F" w14:textId="77777777" w:rsidTr="006A20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E5DA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Moravskoslezský kraj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9EBC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1 230 613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5512A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11,71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77AF2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62B6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BE74A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</w:t>
            </w:r>
          </w:p>
        </w:tc>
      </w:tr>
      <w:tr w:rsidR="007E19EC" w:rsidRPr="007E19EC" w14:paraId="629F4302" w14:textId="77777777" w:rsidTr="006A20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AF17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D00F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1 241 664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ACF6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11,82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2737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5E9D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4B421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</w:tr>
      <w:tr w:rsidR="007E19EC" w:rsidRPr="007E19EC" w14:paraId="79833243" w14:textId="77777777" w:rsidTr="006A20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88A8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Středočeský kraj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6235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1 279 345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88A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12,18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5572" w14:textId="77777777" w:rsidR="007E19EC" w:rsidRPr="007E19EC" w:rsidRDefault="006A20AD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ABB0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55E65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</w:t>
            </w:r>
          </w:p>
        </w:tc>
      </w:tr>
      <w:tr w:rsidR="007E19EC" w:rsidRPr="007E19EC" w14:paraId="6ECE74D1" w14:textId="77777777" w:rsidTr="006A20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31EC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EEB1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10 505 445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F2D7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E35E" w14:textId="77777777" w:rsidR="007E19EC" w:rsidRPr="007E19EC" w:rsidRDefault="006A20AD" w:rsidP="007E19EC">
            <w:pPr>
              <w:suppressAutoHyphens w:val="0"/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6F02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A5BBF" w14:textId="77777777" w:rsidR="007E19EC" w:rsidRPr="007E19EC" w:rsidRDefault="007E19EC" w:rsidP="007E19EC">
            <w:pPr>
              <w:suppressAutoHyphens w:val="0"/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E19E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01646C3E" w14:textId="77777777" w:rsidR="00534B88" w:rsidRDefault="00534B88" w:rsidP="00BE1D3B">
      <w:pPr>
        <w:ind w:firstLine="0"/>
        <w:rPr>
          <w:rFonts w:ascii="Times New Roman" w:eastAsia="Batang" w:hAnsi="Times New Roman"/>
          <w:sz w:val="22"/>
          <w:szCs w:val="22"/>
        </w:rPr>
      </w:pPr>
    </w:p>
    <w:p w14:paraId="049932CF" w14:textId="77777777" w:rsidR="00534B88" w:rsidRDefault="00B314CA" w:rsidP="00BE1D3B">
      <w:pPr>
        <w:ind w:firstLine="0"/>
        <w:rPr>
          <w:rFonts w:ascii="Times New Roman" w:eastAsia="Batang" w:hAnsi="Times New Roman"/>
          <w:sz w:val="22"/>
          <w:szCs w:val="22"/>
        </w:rPr>
      </w:pPr>
      <w:r w:rsidRPr="00C05547">
        <w:rPr>
          <w:rFonts w:ascii="Times New Roman" w:eastAsia="Batang" w:hAnsi="Times New Roman"/>
          <w:sz w:val="22"/>
          <w:szCs w:val="22"/>
        </w:rPr>
        <w:t xml:space="preserve">V článku </w:t>
      </w:r>
      <w:r w:rsidR="00280CA8">
        <w:rPr>
          <w:rFonts w:ascii="Times New Roman" w:eastAsia="Batang" w:hAnsi="Times New Roman"/>
          <w:sz w:val="22"/>
          <w:szCs w:val="22"/>
        </w:rPr>
        <w:t>je uvedeno</w:t>
      </w:r>
      <w:r w:rsidRPr="00C05547">
        <w:rPr>
          <w:rFonts w:ascii="Times New Roman" w:eastAsia="Batang" w:hAnsi="Times New Roman"/>
          <w:sz w:val="22"/>
          <w:szCs w:val="22"/>
        </w:rPr>
        <w:t xml:space="preserve">, že vlastní sexuální materiály, na kterých jsou teenageři částečně svlečení nebo úplně nazí, umístilo loni na </w:t>
      </w:r>
      <w:hyperlink r:id="rId10" w:tgtFrame="_blank" w:history="1">
        <w:r w:rsidRPr="00C05547">
          <w:rPr>
            <w:rFonts w:ascii="Times New Roman" w:eastAsia="Batang" w:hAnsi="Times New Roman"/>
            <w:sz w:val="22"/>
            <w:szCs w:val="22"/>
          </w:rPr>
          <w:t>internet</w:t>
        </w:r>
      </w:hyperlink>
      <w:r w:rsidR="0081116C">
        <w:rPr>
          <w:rFonts w:ascii="Times New Roman" w:eastAsia="Batang" w:hAnsi="Times New Roman"/>
          <w:sz w:val="22"/>
          <w:szCs w:val="22"/>
        </w:rPr>
        <w:t xml:space="preserve"> 8,25 procent mladých</w:t>
      </w:r>
      <w:r w:rsidRPr="00C05547">
        <w:rPr>
          <w:rFonts w:ascii="Times New Roman" w:eastAsia="Batang" w:hAnsi="Times New Roman"/>
          <w:sz w:val="22"/>
          <w:szCs w:val="22"/>
        </w:rPr>
        <w:t xml:space="preserve">. </w:t>
      </w:r>
      <w:r w:rsidR="00C05547" w:rsidRPr="00C05547">
        <w:rPr>
          <w:rFonts w:ascii="Times New Roman" w:eastAsia="Batang" w:hAnsi="Times New Roman"/>
          <w:sz w:val="22"/>
          <w:szCs w:val="22"/>
        </w:rPr>
        <w:t>Ml</w:t>
      </w:r>
      <w:r w:rsidRPr="00C05547">
        <w:rPr>
          <w:rFonts w:ascii="Times New Roman" w:eastAsia="Batang" w:hAnsi="Times New Roman"/>
          <w:sz w:val="22"/>
          <w:szCs w:val="22"/>
        </w:rPr>
        <w:t xml:space="preserve">adými jsou v tomto kontextu myšleni účastníci studie, tedy osoby ve věku od 11 – 17 let. </w:t>
      </w:r>
      <w:commentRangeStart w:id="2"/>
      <w:r w:rsidRPr="00C05547">
        <w:rPr>
          <w:rFonts w:ascii="Times New Roman" w:eastAsia="Batang" w:hAnsi="Times New Roman"/>
          <w:sz w:val="22"/>
          <w:szCs w:val="22"/>
        </w:rPr>
        <w:t>Procentní údaj je správný</w:t>
      </w:r>
      <w:commentRangeEnd w:id="2"/>
      <w:r w:rsidR="00BB49A0">
        <w:rPr>
          <w:rStyle w:val="Odkaznakoment"/>
        </w:rPr>
        <w:commentReference w:id="2"/>
      </w:r>
      <w:r w:rsidRPr="00C05547">
        <w:rPr>
          <w:rFonts w:ascii="Times New Roman" w:eastAsia="Batang" w:hAnsi="Times New Roman"/>
          <w:sz w:val="22"/>
          <w:szCs w:val="22"/>
        </w:rPr>
        <w:t xml:space="preserve">. </w:t>
      </w:r>
      <w:r w:rsidR="00237359">
        <w:rPr>
          <w:rFonts w:ascii="Times New Roman" w:eastAsia="Batang" w:hAnsi="Times New Roman"/>
          <w:sz w:val="22"/>
          <w:szCs w:val="22"/>
        </w:rPr>
        <w:t xml:space="preserve">Žáci ve věku nad 15 let </w:t>
      </w:r>
      <w:r w:rsidR="00280CA8">
        <w:rPr>
          <w:rFonts w:ascii="Times New Roman" w:eastAsia="Batang" w:hAnsi="Times New Roman"/>
          <w:sz w:val="22"/>
          <w:szCs w:val="22"/>
        </w:rPr>
        <w:t>sd</w:t>
      </w:r>
      <w:r w:rsidR="00237359">
        <w:rPr>
          <w:rFonts w:ascii="Times New Roman" w:eastAsia="Batang" w:hAnsi="Times New Roman"/>
          <w:sz w:val="22"/>
          <w:szCs w:val="22"/>
        </w:rPr>
        <w:t>ílí své choulostivé fotografie častěji než ti mladší. Osoby ve věku nad 15 let</w:t>
      </w:r>
      <w:r w:rsidR="00C05547" w:rsidRPr="00C05547">
        <w:rPr>
          <w:rFonts w:ascii="Times New Roman" w:eastAsia="Batang" w:hAnsi="Times New Roman"/>
          <w:sz w:val="22"/>
          <w:szCs w:val="22"/>
        </w:rPr>
        <w:t xml:space="preserve"> tvoří 67% podíl vůči </w:t>
      </w:r>
      <w:proofErr w:type="gramStart"/>
      <w:r w:rsidR="00C05547" w:rsidRPr="00C05547">
        <w:rPr>
          <w:rFonts w:ascii="Times New Roman" w:eastAsia="Batang" w:hAnsi="Times New Roman"/>
          <w:sz w:val="22"/>
          <w:szCs w:val="22"/>
        </w:rPr>
        <w:t>33%</w:t>
      </w:r>
      <w:proofErr w:type="gramEnd"/>
      <w:r w:rsidR="00C05547" w:rsidRPr="00C05547">
        <w:rPr>
          <w:rFonts w:ascii="Times New Roman" w:eastAsia="Batang" w:hAnsi="Times New Roman"/>
          <w:sz w:val="22"/>
          <w:szCs w:val="22"/>
        </w:rPr>
        <w:t xml:space="preserve"> pod</w:t>
      </w:r>
      <w:r w:rsidR="00237359">
        <w:rPr>
          <w:rFonts w:ascii="Times New Roman" w:eastAsia="Batang" w:hAnsi="Times New Roman"/>
          <w:sz w:val="22"/>
          <w:szCs w:val="22"/>
        </w:rPr>
        <w:t xml:space="preserve">ílu osob mladších než 15 let. </w:t>
      </w:r>
      <w:r w:rsidR="001A77DE">
        <w:rPr>
          <w:rFonts w:ascii="Times New Roman" w:eastAsia="Batang" w:hAnsi="Times New Roman"/>
          <w:sz w:val="22"/>
          <w:szCs w:val="22"/>
        </w:rPr>
        <w:t xml:space="preserve">Vzhledem k tomuto kontextu mi slovo „mladí“ </w:t>
      </w:r>
      <w:r w:rsidR="0081116C">
        <w:rPr>
          <w:rFonts w:ascii="Times New Roman" w:eastAsia="Batang" w:hAnsi="Times New Roman"/>
          <w:sz w:val="22"/>
          <w:szCs w:val="22"/>
        </w:rPr>
        <w:t xml:space="preserve">jako shrnutí osob ve věku 11 - 17 let </w:t>
      </w:r>
      <w:r w:rsidR="001A77DE">
        <w:rPr>
          <w:rFonts w:ascii="Times New Roman" w:eastAsia="Batang" w:hAnsi="Times New Roman"/>
          <w:sz w:val="22"/>
          <w:szCs w:val="22"/>
        </w:rPr>
        <w:t>nepřijde přiměřené.</w:t>
      </w:r>
    </w:p>
    <w:p w14:paraId="043EF018" w14:textId="77777777" w:rsidR="00C05547" w:rsidRDefault="00C05547" w:rsidP="00BE1D3B">
      <w:pPr>
        <w:ind w:firstLine="0"/>
      </w:pPr>
    </w:p>
    <w:p w14:paraId="7D8D6CDD" w14:textId="77777777" w:rsidR="00C05547" w:rsidRPr="006A20AD" w:rsidRDefault="001A77DE" w:rsidP="00BE1D3B">
      <w:pPr>
        <w:ind w:firstLine="0"/>
        <w:rPr>
          <w:rFonts w:ascii="Times New Roman" w:hAnsi="Times New Roman"/>
          <w:b/>
          <w:sz w:val="22"/>
          <w:szCs w:val="22"/>
        </w:rPr>
      </w:pPr>
      <w:r w:rsidRPr="006A20AD">
        <w:rPr>
          <w:rFonts w:ascii="Times New Roman" w:hAnsi="Times New Roman"/>
          <w:b/>
          <w:sz w:val="22"/>
          <w:szCs w:val="22"/>
        </w:rPr>
        <w:t>Shrnutí</w:t>
      </w:r>
    </w:p>
    <w:p w14:paraId="3596584B" w14:textId="77777777" w:rsidR="00C05547" w:rsidRDefault="00C05547" w:rsidP="00C05547">
      <w:pPr>
        <w:ind w:firstLine="0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>Autorka článku hojně využívá citace, případně uvádí pouze relativní četnosti výskytu zkoumaných jevů. I tak jsou v článku uv</w:t>
      </w:r>
      <w:r w:rsidR="005247C8">
        <w:rPr>
          <w:rFonts w:ascii="Times New Roman" w:eastAsia="Batang" w:hAnsi="Times New Roman"/>
          <w:sz w:val="22"/>
          <w:szCs w:val="22"/>
        </w:rPr>
        <w:t>edeny shrnující informace, kdy jsou výsledky průzkumu</w:t>
      </w:r>
      <w:r>
        <w:rPr>
          <w:rFonts w:ascii="Times New Roman" w:eastAsia="Batang" w:hAnsi="Times New Roman"/>
          <w:sz w:val="22"/>
          <w:szCs w:val="22"/>
        </w:rPr>
        <w:t xml:space="preserve"> indukovány na celou ČR, respektive české tee</w:t>
      </w:r>
      <w:r w:rsidR="0081116C">
        <w:rPr>
          <w:rFonts w:ascii="Times New Roman" w:eastAsia="Batang" w:hAnsi="Times New Roman"/>
          <w:sz w:val="22"/>
          <w:szCs w:val="22"/>
        </w:rPr>
        <w:t xml:space="preserve">nagery, příp. nevhodně zvolená slova vzhledem ke kontextu – např. mladí. Předpokládám však, že je to výsledkem snahy nepoužívat stále stejná slova. Dále vidím nevýhodu článku v jeho velmi úzkém zaměření. Kdy si z celého průzkumu vybral z oblasti </w:t>
      </w:r>
      <w:proofErr w:type="spellStart"/>
      <w:r w:rsidR="0081116C">
        <w:rPr>
          <w:rFonts w:ascii="Times New Roman" w:eastAsia="Batang" w:hAnsi="Times New Roman"/>
          <w:sz w:val="22"/>
          <w:szCs w:val="22"/>
        </w:rPr>
        <w:t>sextingu</w:t>
      </w:r>
      <w:proofErr w:type="spellEnd"/>
      <w:r w:rsidR="0081116C">
        <w:rPr>
          <w:rFonts w:ascii="Times New Roman" w:eastAsia="Batang" w:hAnsi="Times New Roman"/>
          <w:sz w:val="22"/>
          <w:szCs w:val="22"/>
        </w:rPr>
        <w:t xml:space="preserve"> pouze jednu zkoumanou oblast. </w:t>
      </w:r>
    </w:p>
    <w:p w14:paraId="63C5FCF3" w14:textId="77777777" w:rsidR="00757F88" w:rsidRDefault="00DB6D72" w:rsidP="00BE1D3B">
      <w:pPr>
        <w:ind w:firstLine="0"/>
        <w:rPr>
          <w:rFonts w:ascii="Times New Roman" w:eastAsia="Batang" w:hAnsi="Times New Roman"/>
          <w:b/>
        </w:rPr>
      </w:pPr>
      <w:r>
        <w:br/>
      </w:r>
    </w:p>
    <w:p w14:paraId="3D85EFF6" w14:textId="77777777" w:rsidR="00757F88" w:rsidRPr="006A20AD" w:rsidRDefault="00757F88" w:rsidP="006A20AD">
      <w:pPr>
        <w:tabs>
          <w:tab w:val="center" w:pos="4536"/>
          <w:tab w:val="left" w:pos="7515"/>
          <w:tab w:val="right" w:pos="8931"/>
        </w:tabs>
        <w:autoSpaceDE w:val="0"/>
        <w:spacing w:line="36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6A20AD">
        <w:rPr>
          <w:rFonts w:ascii="Times New Roman" w:hAnsi="Times New Roman"/>
          <w:b/>
          <w:bCs/>
          <w:color w:val="000000"/>
          <w:sz w:val="22"/>
          <w:szCs w:val="22"/>
        </w:rPr>
        <w:t>Zdroje:</w:t>
      </w:r>
      <w:r w:rsidRPr="006A20A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653899B" w14:textId="77777777" w:rsidR="006A20AD" w:rsidRPr="006A20AD" w:rsidRDefault="006A20AD" w:rsidP="006A20AD">
      <w:pPr>
        <w:ind w:firstLine="0"/>
        <w:rPr>
          <w:rStyle w:val="Hypertextovodkaz"/>
          <w:rFonts w:ascii="Times New Roman" w:hAnsi="Times New Roman"/>
          <w:sz w:val="22"/>
          <w:szCs w:val="22"/>
        </w:rPr>
      </w:pPr>
      <w:r w:rsidRPr="006A20AD">
        <w:rPr>
          <w:rStyle w:val="Hypertextovodkaz"/>
          <w:rFonts w:ascii="Times New Roman" w:hAnsi="Times New Roman"/>
          <w:color w:val="auto"/>
          <w:sz w:val="22"/>
          <w:szCs w:val="22"/>
          <w:u w:val="none"/>
        </w:rPr>
        <w:t xml:space="preserve">Český statistický úřad. Stav obyvatel ve vybraném území. </w:t>
      </w:r>
      <w:r w:rsidRPr="006A20AD">
        <w:rPr>
          <w:rFonts w:ascii="Times New Roman" w:hAnsi="Times New Roman"/>
          <w:iCs/>
          <w:color w:val="000000"/>
          <w:sz w:val="22"/>
          <w:szCs w:val="22"/>
        </w:rPr>
        <w:t>[online</w:t>
      </w:r>
      <w:r w:rsidRPr="006A20AD">
        <w:rPr>
          <w:rFonts w:ascii="Times New Roman" w:hAnsi="Times New Roman"/>
          <w:color w:val="000000"/>
          <w:sz w:val="22"/>
          <w:szCs w:val="22"/>
        </w:rPr>
        <w:t xml:space="preserve">] Citováno dne 30. 4. 2015. </w:t>
      </w:r>
      <w:r w:rsidRPr="006A20AD">
        <w:rPr>
          <w:rStyle w:val="Hypertextovodkaz"/>
          <w:rFonts w:ascii="Times New Roman" w:hAnsi="Times New Roman"/>
          <w:sz w:val="22"/>
          <w:szCs w:val="22"/>
        </w:rPr>
        <w:t>http://vdb.czso.cz/vdbvo/tabparam.jsp?childsel0=2&amp;cislotab=DEM1030CU&amp;kapitola_id=368&amp;voa=tabulka&amp;go_zobraz=1&amp;childsel0=2&amp;pro_7_35=CZ080&amp;aktualizuj=Aktualizovat</w:t>
      </w:r>
    </w:p>
    <w:p w14:paraId="5DD2E5F5" w14:textId="77777777" w:rsidR="006A20AD" w:rsidRDefault="006A20AD" w:rsidP="006A20AD">
      <w:pPr>
        <w:ind w:firstLine="0"/>
        <w:rPr>
          <w:rStyle w:val="Hypertextovodkaz"/>
          <w:rFonts w:ascii="Times New Roman" w:hAnsi="Times New Roman"/>
          <w:sz w:val="22"/>
          <w:szCs w:val="22"/>
        </w:rPr>
      </w:pPr>
      <w:r w:rsidRPr="006A20AD">
        <w:rPr>
          <w:rFonts w:ascii="Times New Roman" w:hAnsi="Times New Roman"/>
          <w:sz w:val="22"/>
          <w:szCs w:val="22"/>
        </w:rPr>
        <w:t xml:space="preserve">Kopecký, K. Výzkum E-Bezpečí 2012 – fakta o </w:t>
      </w:r>
      <w:proofErr w:type="spellStart"/>
      <w:r w:rsidRPr="006A20AD">
        <w:rPr>
          <w:rFonts w:ascii="Times New Roman" w:hAnsi="Times New Roman"/>
          <w:sz w:val="22"/>
          <w:szCs w:val="22"/>
        </w:rPr>
        <w:t>sextingu</w:t>
      </w:r>
      <w:proofErr w:type="spellEnd"/>
      <w:r w:rsidRPr="006A20AD">
        <w:rPr>
          <w:rFonts w:ascii="Times New Roman" w:hAnsi="Times New Roman"/>
          <w:sz w:val="22"/>
          <w:szCs w:val="22"/>
        </w:rPr>
        <w:t xml:space="preserve"> u českých dětí. Portál E-Bezpečí: Olomouc, 2011. Dostupné z: </w:t>
      </w:r>
      <w:hyperlink r:id="rId11" w:history="1">
        <w:r w:rsidRPr="006A20AD">
          <w:rPr>
            <w:rStyle w:val="Hypertextovodkaz"/>
            <w:rFonts w:ascii="Times New Roman" w:hAnsi="Times New Roman"/>
            <w:sz w:val="22"/>
            <w:szCs w:val="22"/>
          </w:rPr>
          <w:t>http://www.e-bezpeci.cz/index.php/veda-a-vyzkum/418-sexting2012</w:t>
        </w:r>
      </w:hyperlink>
    </w:p>
    <w:p w14:paraId="7ECCE25C" w14:textId="77777777" w:rsidR="006A20AD" w:rsidRPr="006A20AD" w:rsidRDefault="006A20AD" w:rsidP="006A20AD">
      <w:pPr>
        <w:tabs>
          <w:tab w:val="center" w:pos="4536"/>
          <w:tab w:val="left" w:pos="7515"/>
          <w:tab w:val="right" w:pos="8931"/>
        </w:tabs>
        <w:autoSpaceDE w:val="0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6A20AD">
        <w:rPr>
          <w:rFonts w:ascii="Times New Roman" w:hAnsi="Times New Roman"/>
          <w:color w:val="000000"/>
          <w:sz w:val="22"/>
          <w:szCs w:val="22"/>
        </w:rPr>
        <w:lastRenderedPageBreak/>
        <w:t xml:space="preserve">Nebezpečí internetové komunikace. </w:t>
      </w:r>
      <w:r w:rsidRPr="006A20AD">
        <w:rPr>
          <w:rFonts w:ascii="Times New Roman" w:hAnsi="Times New Roman"/>
          <w:iCs/>
          <w:color w:val="000000"/>
          <w:sz w:val="22"/>
          <w:szCs w:val="22"/>
        </w:rPr>
        <w:t>[online</w:t>
      </w:r>
      <w:r w:rsidRPr="006A20AD">
        <w:rPr>
          <w:rFonts w:ascii="Times New Roman" w:hAnsi="Times New Roman"/>
          <w:color w:val="000000"/>
          <w:sz w:val="22"/>
          <w:szCs w:val="22"/>
        </w:rPr>
        <w:t xml:space="preserve">] Centrum prevence rizikové virtuální komunikace Univerzity Palackého v Olomouci. Citováno 30. 4. 2015. Dostupné z </w:t>
      </w:r>
      <w:hyperlink r:id="rId12" w:history="1">
        <w:r w:rsidRPr="006A20AD">
          <w:rPr>
            <w:rStyle w:val="Hypertextovodkaz"/>
            <w:rFonts w:ascii="Times New Roman" w:hAnsi="Times New Roman"/>
            <w:sz w:val="22"/>
            <w:szCs w:val="22"/>
          </w:rPr>
          <w:t>"http://www.e-bezpeci.cz/index.php/ke-stazeni/doc_download/39-nebezpei-internetove-komunikace-3-2011-2012"-3-2011-2012</w:t>
        </w:r>
      </w:hyperlink>
      <w:r w:rsidRPr="006A20A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1514D504" w14:textId="77777777" w:rsidR="00757F88" w:rsidRPr="006A20AD" w:rsidRDefault="006A20AD" w:rsidP="006A20AD">
      <w:pPr>
        <w:tabs>
          <w:tab w:val="center" w:pos="4536"/>
          <w:tab w:val="left" w:pos="7515"/>
          <w:tab w:val="right" w:pos="8931"/>
        </w:tabs>
        <w:autoSpaceDE w:val="0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Sexting</w:t>
      </w:r>
      <w:proofErr w:type="spellEnd"/>
      <w:r>
        <w:rPr>
          <w:rFonts w:ascii="Times New Roman" w:hAnsi="Times New Roman"/>
          <w:sz w:val="22"/>
          <w:szCs w:val="22"/>
        </w:rPr>
        <w:t>: teenageř</w:t>
      </w:r>
      <w:r w:rsidRPr="006A20AD">
        <w:rPr>
          <w:rFonts w:ascii="Times New Roman" w:hAnsi="Times New Roman"/>
          <w:sz w:val="22"/>
          <w:szCs w:val="22"/>
        </w:rPr>
        <w:t xml:space="preserve">i ukazují své nahé fotky většinou z nudy. </w:t>
      </w:r>
      <w:r w:rsidRPr="006A20AD">
        <w:rPr>
          <w:rFonts w:ascii="Times New Roman" w:hAnsi="Times New Roman"/>
          <w:iCs/>
          <w:color w:val="000000"/>
          <w:sz w:val="22"/>
          <w:szCs w:val="22"/>
        </w:rPr>
        <w:t>[online</w:t>
      </w:r>
      <w:r w:rsidRPr="006A20AD">
        <w:rPr>
          <w:rFonts w:ascii="Times New Roman" w:hAnsi="Times New Roman"/>
          <w:color w:val="000000"/>
          <w:sz w:val="22"/>
          <w:szCs w:val="22"/>
        </w:rPr>
        <w:t xml:space="preserve">]. Olomoucký deník. Citováno dne 30. 4. 2015. Dostupné z </w:t>
      </w:r>
      <w:hyperlink r:id="rId13" w:history="1">
        <w:r w:rsidR="00A5388D" w:rsidRPr="006A20AD">
          <w:rPr>
            <w:rStyle w:val="Hypertextovodkaz"/>
            <w:rFonts w:ascii="Times New Roman" w:hAnsi="Times New Roman"/>
            <w:sz w:val="22"/>
            <w:szCs w:val="22"/>
          </w:rPr>
          <w:t>http://olomoucky.denik.cz/zpravy_region/sexting-teenageri-ukazuji-sve-nahe-fotky-vetsinou-z-nudy-20120307.html</w:t>
        </w:r>
      </w:hyperlink>
    </w:p>
    <w:p w14:paraId="5B3CBC04" w14:textId="77777777" w:rsidR="00A5388D" w:rsidRPr="006A20AD" w:rsidRDefault="00A5388D" w:rsidP="006A20AD">
      <w:pPr>
        <w:tabs>
          <w:tab w:val="center" w:pos="4536"/>
          <w:tab w:val="left" w:pos="7515"/>
          <w:tab w:val="right" w:pos="8931"/>
        </w:tabs>
        <w:autoSpaceDE w:val="0"/>
        <w:spacing w:line="240" w:lineRule="auto"/>
        <w:rPr>
          <w:rFonts w:ascii="Times New Roman" w:hAnsi="Times New Roman"/>
          <w:color w:val="000000"/>
          <w:sz w:val="22"/>
          <w:szCs w:val="22"/>
        </w:rPr>
      </w:pPr>
    </w:p>
    <w:p w14:paraId="4405BCD2" w14:textId="77777777" w:rsidR="00902ED7" w:rsidRPr="006A20AD" w:rsidRDefault="00902ED7" w:rsidP="00BE1D3B">
      <w:pPr>
        <w:ind w:firstLine="0"/>
        <w:rPr>
          <w:rStyle w:val="Hypertextovodkaz"/>
          <w:rFonts w:ascii="Times New Roman" w:hAnsi="Times New Roman"/>
          <w:sz w:val="22"/>
          <w:szCs w:val="22"/>
        </w:rPr>
      </w:pPr>
    </w:p>
    <w:p w14:paraId="2B299630" w14:textId="77777777" w:rsidR="00E12D1C" w:rsidRDefault="00BB49A0" w:rsidP="00BE1D3B">
      <w:pPr>
        <w:ind w:firstLine="0"/>
        <w:rPr>
          <w:rFonts w:ascii="Courier New" w:hAnsi="Courier New" w:cs="Courier New"/>
          <w:i/>
          <w:sz w:val="22"/>
          <w:szCs w:val="22"/>
        </w:rPr>
      </w:pPr>
      <w:r>
        <w:rPr>
          <w:rFonts w:ascii="Courier New" w:hAnsi="Courier New" w:cs="Courier New"/>
          <w:i/>
          <w:sz w:val="22"/>
          <w:szCs w:val="22"/>
        </w:rPr>
        <w:t xml:space="preserve">Většinu vaší práce zabírá popis vzorku a jeho kritika. Souhlasím, že vzorek nebyl vybrán vhodně. Většina z těch skoro 11 tisíc dětí asi vyplňovala dotazník zbytečně. To je však věc metodologie, nikoli této </w:t>
      </w:r>
      <w:r w:rsidR="00E12D1C">
        <w:rPr>
          <w:rFonts w:ascii="Courier New" w:hAnsi="Courier New" w:cs="Courier New"/>
          <w:i/>
          <w:sz w:val="22"/>
          <w:szCs w:val="22"/>
        </w:rPr>
        <w:t xml:space="preserve">seminární </w:t>
      </w:r>
      <w:r>
        <w:rPr>
          <w:rFonts w:ascii="Courier New" w:hAnsi="Courier New" w:cs="Courier New"/>
          <w:i/>
          <w:sz w:val="22"/>
          <w:szCs w:val="22"/>
        </w:rPr>
        <w:t>práce. Také je to kritika původní studie, ne popularizace. Očekávané zamyšlení nad prezentací statistik zcela chybí. Přitom článek z původní studie hodně vybíral</w:t>
      </w:r>
      <w:r w:rsidR="00E12D1C">
        <w:rPr>
          <w:rFonts w:ascii="Courier New" w:hAnsi="Courier New" w:cs="Courier New"/>
          <w:i/>
          <w:sz w:val="22"/>
          <w:szCs w:val="22"/>
        </w:rPr>
        <w:t>, takže bylo možné hodnotit volbu statistik. Také bylo možné se zamyslet, zda opravdu nebylo možné sdělit čtenáři nějak jednoduše přesnost prezentovaných statistik.</w:t>
      </w:r>
    </w:p>
    <w:p w14:paraId="7573775E" w14:textId="77777777" w:rsidR="00E12D1C" w:rsidRDefault="00E12D1C" w:rsidP="00BE1D3B">
      <w:pPr>
        <w:ind w:firstLine="0"/>
        <w:rPr>
          <w:rFonts w:ascii="Courier New" w:hAnsi="Courier New" w:cs="Courier New"/>
          <w:i/>
          <w:sz w:val="22"/>
          <w:szCs w:val="22"/>
        </w:rPr>
      </w:pPr>
      <w:r>
        <w:rPr>
          <w:rFonts w:ascii="Courier New" w:hAnsi="Courier New" w:cs="Courier New"/>
          <w:i/>
          <w:sz w:val="22"/>
          <w:szCs w:val="22"/>
        </w:rPr>
        <w:t>Práci nepřijímám.</w:t>
      </w:r>
    </w:p>
    <w:p w14:paraId="69B7395F" w14:textId="77777777" w:rsidR="00E12D1C" w:rsidRDefault="00E12D1C" w:rsidP="00BE1D3B">
      <w:pPr>
        <w:ind w:firstLine="0"/>
        <w:rPr>
          <w:rFonts w:ascii="Courier New" w:hAnsi="Courier New" w:cs="Courier New"/>
          <w:i/>
          <w:sz w:val="22"/>
          <w:szCs w:val="22"/>
        </w:rPr>
      </w:pPr>
      <w:r>
        <w:rPr>
          <w:rFonts w:ascii="Courier New" w:hAnsi="Courier New" w:cs="Courier New"/>
          <w:i/>
          <w:sz w:val="22"/>
          <w:szCs w:val="22"/>
        </w:rPr>
        <w:t>SJ</w:t>
      </w:r>
    </w:p>
    <w:p w14:paraId="3520E4D4" w14:textId="77777777" w:rsidR="00306586" w:rsidRPr="00BB49A0" w:rsidRDefault="00E12D1C" w:rsidP="00BE1D3B">
      <w:pPr>
        <w:ind w:firstLine="0"/>
        <w:rPr>
          <w:rFonts w:ascii="Courier New" w:hAnsi="Courier New" w:cs="Courier New"/>
          <w:i/>
          <w:sz w:val="22"/>
          <w:szCs w:val="22"/>
        </w:rPr>
      </w:pPr>
      <w:bookmarkStart w:id="3" w:name="_GoBack"/>
      <w:bookmarkEnd w:id="3"/>
      <w:r>
        <w:rPr>
          <w:rFonts w:ascii="Courier New" w:hAnsi="Courier New" w:cs="Courier New"/>
          <w:i/>
          <w:sz w:val="22"/>
          <w:szCs w:val="22"/>
        </w:rPr>
        <w:t xml:space="preserve"> </w:t>
      </w:r>
      <w:r w:rsidR="00BB49A0">
        <w:rPr>
          <w:rFonts w:ascii="Courier New" w:hAnsi="Courier New" w:cs="Courier New"/>
          <w:i/>
          <w:sz w:val="22"/>
          <w:szCs w:val="22"/>
        </w:rPr>
        <w:t xml:space="preserve"> </w:t>
      </w:r>
    </w:p>
    <w:sectPr w:rsidR="00306586" w:rsidRPr="00BB4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5-05-11T20:40:00Z" w:initials="SJ">
    <w:p w14:paraId="3338094D" w14:textId="77777777" w:rsidR="00BB49A0" w:rsidRDefault="00BB49A0">
      <w:pPr>
        <w:pStyle w:val="Textkomente"/>
      </w:pPr>
      <w:r>
        <w:rPr>
          <w:rStyle w:val="Odkaznakoment"/>
        </w:rPr>
        <w:annotationRef/>
      </w:r>
      <w:proofErr w:type="spellStart"/>
      <w:r>
        <w:t>Hmm</w:t>
      </w:r>
      <w:proofErr w:type="spellEnd"/>
      <w:r>
        <w:t xml:space="preserve">, na volební průzkum stačí 1500 a na </w:t>
      </w:r>
      <w:proofErr w:type="spellStart"/>
      <w:r>
        <w:t>sexting</w:t>
      </w:r>
      <w:proofErr w:type="spellEnd"/>
      <w:r>
        <w:t xml:space="preserve"> je potřeba 10000. Někdo něco dělá špatně.</w:t>
      </w:r>
    </w:p>
  </w:comment>
  <w:comment w:id="1" w:author="Standa Ježek" w:date="2015-05-11T20:41:00Z" w:initials="SJ">
    <w:p w14:paraId="07C992A3" w14:textId="77777777" w:rsidR="00BB49A0" w:rsidRDefault="00BB49A0">
      <w:pPr>
        <w:pStyle w:val="Textkomente"/>
      </w:pPr>
      <w:r>
        <w:rPr>
          <w:rStyle w:val="Odkaznakoment"/>
        </w:rPr>
        <w:annotationRef/>
      </w:r>
      <w:r>
        <w:t>To byste musela podpořit nějakými argumenty. Komplexita není vždy lepší.</w:t>
      </w:r>
    </w:p>
  </w:comment>
  <w:comment w:id="2" w:author="Standa Ježek" w:date="2015-05-11T20:43:00Z" w:initials="SJ">
    <w:p w14:paraId="5B0B2B83" w14:textId="77777777" w:rsidR="00BB49A0" w:rsidRDefault="00BB49A0">
      <w:pPr>
        <w:pStyle w:val="Textkomente"/>
      </w:pPr>
      <w:r>
        <w:rPr>
          <w:rStyle w:val="Odkaznakoment"/>
        </w:rPr>
        <w:annotationRef/>
      </w:r>
      <w:r>
        <w:t>Myslíte tím správně opsaný ze studie, nebo správný ve smyslu pravdivý?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38094D" w15:done="0"/>
  <w15:commentEx w15:paraId="07C992A3" w15:done="0"/>
  <w15:commentEx w15:paraId="5B0B2B8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248FE"/>
    <w:multiLevelType w:val="hybridMultilevel"/>
    <w:tmpl w:val="35DC8D84"/>
    <w:lvl w:ilvl="0" w:tplc="AED235B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3B"/>
    <w:rsid w:val="001A77DE"/>
    <w:rsid w:val="00237359"/>
    <w:rsid w:val="00280CA8"/>
    <w:rsid w:val="002D5C4A"/>
    <w:rsid w:val="00306586"/>
    <w:rsid w:val="004207B0"/>
    <w:rsid w:val="004310DD"/>
    <w:rsid w:val="004C4E74"/>
    <w:rsid w:val="004F66F2"/>
    <w:rsid w:val="005247C8"/>
    <w:rsid w:val="00534B88"/>
    <w:rsid w:val="0065408A"/>
    <w:rsid w:val="00670274"/>
    <w:rsid w:val="006A20AD"/>
    <w:rsid w:val="006F75B5"/>
    <w:rsid w:val="00705B12"/>
    <w:rsid w:val="00757F88"/>
    <w:rsid w:val="007E19EC"/>
    <w:rsid w:val="0081116C"/>
    <w:rsid w:val="00902ED7"/>
    <w:rsid w:val="00A5388D"/>
    <w:rsid w:val="00AB0141"/>
    <w:rsid w:val="00AB5310"/>
    <w:rsid w:val="00AD3ACF"/>
    <w:rsid w:val="00B06788"/>
    <w:rsid w:val="00B314CA"/>
    <w:rsid w:val="00BB49A0"/>
    <w:rsid w:val="00BE1D3B"/>
    <w:rsid w:val="00C05547"/>
    <w:rsid w:val="00D06A17"/>
    <w:rsid w:val="00D13A29"/>
    <w:rsid w:val="00D553B4"/>
    <w:rsid w:val="00D66623"/>
    <w:rsid w:val="00DB6D72"/>
    <w:rsid w:val="00E1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CB49"/>
  <w15:docId w15:val="{7B7CB7FA-8D5A-4EBF-8E09-BC302B83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D3B"/>
    <w:pPr>
      <w:suppressAutoHyphens/>
      <w:spacing w:before="80" w:after="0" w:line="264" w:lineRule="auto"/>
      <w:ind w:firstLine="510"/>
      <w:jc w:val="both"/>
    </w:pPr>
    <w:rPr>
      <w:rFonts w:ascii="Century Schoolbook" w:eastAsia="Times New Roman" w:hAnsi="Century Schoolbook" w:cs="Times New Roman"/>
      <w:sz w:val="18"/>
      <w:szCs w:val="18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F75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E1D3B"/>
    <w:pPr>
      <w:keepNext/>
      <w:tabs>
        <w:tab w:val="left" w:pos="0"/>
      </w:tabs>
      <w:spacing w:before="16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E1D3B"/>
    <w:rPr>
      <w:rFonts w:ascii="Century Schoolbook" w:eastAsia="Times New Roman" w:hAnsi="Century Schoolbook" w:cs="Times New Roman"/>
      <w:b/>
      <w:sz w:val="18"/>
      <w:szCs w:val="18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6F7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F66F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408A"/>
    <w:rPr>
      <w:color w:val="800080" w:themeColor="followed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E19EC"/>
    <w:pPr>
      <w:pBdr>
        <w:bottom w:val="single" w:sz="6" w:space="1" w:color="auto"/>
      </w:pBdr>
      <w:suppressAutoHyphens w:val="0"/>
      <w:spacing w:before="0" w:line="240" w:lineRule="auto"/>
      <w:ind w:firstLine="0"/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E19E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E19EC"/>
    <w:pPr>
      <w:pBdr>
        <w:top w:val="single" w:sz="6" w:space="1" w:color="auto"/>
      </w:pBdr>
      <w:suppressAutoHyphens w:val="0"/>
      <w:spacing w:before="0" w:line="240" w:lineRule="auto"/>
      <w:ind w:firstLine="0"/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E19E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1116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B49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49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49A0"/>
    <w:rPr>
      <w:rFonts w:ascii="Century Schoolbook" w:eastAsia="Times New Roman" w:hAnsi="Century Schoolbook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49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49A0"/>
    <w:rPr>
      <w:rFonts w:ascii="Century Schoolbook" w:eastAsia="Times New Roman" w:hAnsi="Century Schoolbook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9A0"/>
    <w:pPr>
      <w:spacing w:before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9A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db.czso.cz/vdbvo/mi/mi_hodnota.jsp?idhod=56172898&amp;kodjaz=203" TargetMode="External"/><Relationship Id="rId13" Type="http://schemas.openxmlformats.org/officeDocument/2006/relationships/hyperlink" Target="http://olomoucky.denik.cz/zpravy_region/sexting-teenageri-ukazuji-sve-nahe-fotky-vetsinou-z-nudy-20120307.html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hyperlink" Target="%22http://www.e-bezpeci.cz/index.php/ke-stazeni/doc_download/39-nebezpei-internetove-komunikace-3-2011-2012%22-3-2011-20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://www.e-bezpeci.cz/index.php/veda-a-vyzkum/418-sexting2012" TargetMode="External"/><Relationship Id="rId5" Type="http://schemas.openxmlformats.org/officeDocument/2006/relationships/hyperlink" Target="http://www.denik.cz" TargetMode="External"/><Relationship Id="rId15" Type="http://schemas.microsoft.com/office/2011/relationships/people" Target="people.xml"/><Relationship Id="rId10" Type="http://schemas.openxmlformats.org/officeDocument/2006/relationships/hyperlink" Target="http://d.vvbox.cz/vv_show_url.php?idk=90381&amp;idc=126566&amp;ids=761&amp;idp=86835&amp;url=http%3A%2F%2Fassetmedia.cz%2Fkontak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db.czso.cz/vdbvo/mi/mi_hodnota.jsp?idhod=56172901&amp;kodjaz=2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1041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Veselá</dc:creator>
  <cp:keywords/>
  <dc:description/>
  <cp:lastModifiedBy>Standa Ježek</cp:lastModifiedBy>
  <cp:revision>11</cp:revision>
  <dcterms:created xsi:type="dcterms:W3CDTF">2015-04-30T05:57:00Z</dcterms:created>
  <dcterms:modified xsi:type="dcterms:W3CDTF">2015-05-11T18:51:00Z</dcterms:modified>
</cp:coreProperties>
</file>