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4F" w:rsidRPr="00A7034E" w:rsidRDefault="005F144F" w:rsidP="00346E1E">
      <w:pPr>
        <w:widowControl w:val="0"/>
        <w:ind w:firstLine="0"/>
        <w:jc w:val="center"/>
        <w:rPr>
          <w:sz w:val="40"/>
          <w:szCs w:val="40"/>
          <w:lang w:val="en-US"/>
        </w:rPr>
      </w:pPr>
    </w:p>
    <w:p w:rsidR="005F144F" w:rsidRPr="00A7034E" w:rsidRDefault="005F144F" w:rsidP="00346E1E">
      <w:pPr>
        <w:widowControl w:val="0"/>
        <w:ind w:firstLine="0"/>
        <w:jc w:val="center"/>
        <w:rPr>
          <w:sz w:val="72"/>
          <w:szCs w:val="72"/>
          <w:lang w:val="en-US"/>
        </w:rPr>
      </w:pPr>
      <w:r w:rsidRPr="00A7034E">
        <w:rPr>
          <w:sz w:val="72"/>
          <w:szCs w:val="72"/>
          <w:lang w:val="en-US"/>
        </w:rPr>
        <w:t>MASARYK UNIVERSITY</w:t>
      </w:r>
    </w:p>
    <w:p w:rsidR="005F144F" w:rsidRPr="00A7034E" w:rsidRDefault="005F144F" w:rsidP="00346E1E">
      <w:pPr>
        <w:widowControl w:val="0"/>
        <w:ind w:firstLine="0"/>
        <w:jc w:val="center"/>
        <w:rPr>
          <w:sz w:val="48"/>
          <w:szCs w:val="48"/>
          <w:lang w:val="en-US"/>
        </w:rPr>
      </w:pPr>
      <w:r w:rsidRPr="00A7034E">
        <w:rPr>
          <w:sz w:val="48"/>
          <w:szCs w:val="48"/>
          <w:lang w:val="en-US"/>
        </w:rPr>
        <w:t>Faculty of Social Studies</w:t>
      </w:r>
    </w:p>
    <w:p w:rsidR="005F144F" w:rsidRPr="00A7034E" w:rsidRDefault="005F144F" w:rsidP="00346E1E">
      <w:pPr>
        <w:widowControl w:val="0"/>
        <w:ind w:firstLine="0"/>
        <w:jc w:val="center"/>
        <w:rPr>
          <w:sz w:val="28"/>
          <w:szCs w:val="28"/>
          <w:lang w:val="en-US"/>
        </w:rPr>
      </w:pPr>
      <w:r w:rsidRPr="00A7034E">
        <w:rPr>
          <w:sz w:val="28"/>
          <w:szCs w:val="28"/>
          <w:lang w:val="en-US"/>
        </w:rPr>
        <w:t>Department of International Relations and European Studies</w:t>
      </w:r>
    </w:p>
    <w:p w:rsidR="005F144F" w:rsidRPr="00A7034E" w:rsidRDefault="005F144F" w:rsidP="00346E1E">
      <w:pPr>
        <w:widowControl w:val="0"/>
        <w:ind w:firstLine="0"/>
        <w:jc w:val="center"/>
        <w:rPr>
          <w:sz w:val="28"/>
          <w:szCs w:val="28"/>
          <w:lang w:val="en-US"/>
        </w:rPr>
      </w:pPr>
      <w:r>
        <w:rPr>
          <w:noProof/>
          <w:sz w:val="28"/>
          <w:szCs w:val="28"/>
          <w:lang w:eastAsia="cs-CZ"/>
        </w:rPr>
        <w:drawing>
          <wp:anchor distT="0" distB="0" distL="114300" distR="114300" simplePos="0" relativeHeight="251660288" behindDoc="0" locked="0" layoutInCell="1" allowOverlap="1">
            <wp:simplePos x="0" y="0"/>
            <wp:positionH relativeFrom="column">
              <wp:posOffset>1443355</wp:posOffset>
            </wp:positionH>
            <wp:positionV relativeFrom="paragraph">
              <wp:posOffset>288290</wp:posOffset>
            </wp:positionV>
            <wp:extent cx="2876550" cy="2533650"/>
            <wp:effectExtent l="19050" t="0" r="0" b="0"/>
            <wp:wrapThrough wrapText="bothSides">
              <wp:wrapPolygon edited="0">
                <wp:start x="-143" y="0"/>
                <wp:lineTo x="-143" y="21438"/>
                <wp:lineTo x="21600" y="21438"/>
                <wp:lineTo x="21600" y="0"/>
                <wp:lineTo x="-143" y="0"/>
              </wp:wrapPolygon>
            </wp:wrapThrough>
            <wp:docPr id="2" name="Obrázek 0" descr="1000x1000-1352572103-logo-fakulta-socialnich-studii-masarykova-univerz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1000x1000-1352572103-logo-fakulta-socialnich-studii-masarykova-univerzita.jpg"/>
                    <pic:cNvPicPr>
                      <a:picLocks noChangeAspect="1" noChangeArrowheads="1"/>
                    </pic:cNvPicPr>
                  </pic:nvPicPr>
                  <pic:blipFill>
                    <a:blip r:embed="rId8" cstate="print"/>
                    <a:srcRect/>
                    <a:stretch>
                      <a:fillRect/>
                    </a:stretch>
                  </pic:blipFill>
                  <pic:spPr bwMode="auto">
                    <a:xfrm>
                      <a:off x="0" y="0"/>
                      <a:ext cx="2876550" cy="2533650"/>
                    </a:xfrm>
                    <a:prstGeom prst="rect">
                      <a:avLst/>
                    </a:prstGeom>
                    <a:noFill/>
                    <a:ln w="9525">
                      <a:noFill/>
                      <a:miter lim="800000"/>
                      <a:headEnd/>
                      <a:tailEnd/>
                    </a:ln>
                  </pic:spPr>
                </pic:pic>
              </a:graphicData>
            </a:graphic>
          </wp:anchor>
        </w:drawing>
      </w: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Pr="00A7034E" w:rsidRDefault="005F144F" w:rsidP="00346E1E">
      <w:pPr>
        <w:widowControl w:val="0"/>
        <w:ind w:firstLine="0"/>
        <w:jc w:val="center"/>
        <w:rPr>
          <w:sz w:val="28"/>
          <w:szCs w:val="28"/>
          <w:lang w:val="en-US"/>
        </w:rPr>
      </w:pPr>
    </w:p>
    <w:p w:rsidR="005F144F" w:rsidRDefault="005F144F" w:rsidP="00346E1E">
      <w:pPr>
        <w:widowControl w:val="0"/>
        <w:ind w:firstLine="0"/>
        <w:jc w:val="center"/>
        <w:rPr>
          <w:sz w:val="28"/>
          <w:szCs w:val="28"/>
          <w:lang w:val="en-US"/>
        </w:rPr>
      </w:pPr>
    </w:p>
    <w:p w:rsidR="002353EA" w:rsidRPr="00A7034E" w:rsidRDefault="002353EA" w:rsidP="00346E1E">
      <w:pPr>
        <w:widowControl w:val="0"/>
        <w:ind w:firstLine="0"/>
        <w:jc w:val="center"/>
        <w:rPr>
          <w:sz w:val="28"/>
          <w:szCs w:val="28"/>
          <w:lang w:val="en-US"/>
        </w:rPr>
      </w:pPr>
    </w:p>
    <w:p w:rsidR="002353EA" w:rsidRDefault="002353EA" w:rsidP="00346E1E">
      <w:pPr>
        <w:widowControl w:val="0"/>
        <w:ind w:firstLine="0"/>
        <w:jc w:val="center"/>
        <w:rPr>
          <w:b/>
          <w:sz w:val="28"/>
          <w:szCs w:val="28"/>
          <w:lang w:val="en-US"/>
        </w:rPr>
      </w:pPr>
    </w:p>
    <w:p w:rsidR="002353EA" w:rsidRDefault="005F144F" w:rsidP="00346E1E">
      <w:pPr>
        <w:widowControl w:val="0"/>
        <w:ind w:firstLine="0"/>
        <w:jc w:val="center"/>
        <w:rPr>
          <w:b/>
          <w:sz w:val="28"/>
          <w:szCs w:val="28"/>
          <w:lang w:val="en-US"/>
        </w:rPr>
      </w:pPr>
      <w:r>
        <w:rPr>
          <w:b/>
          <w:sz w:val="28"/>
          <w:szCs w:val="28"/>
          <w:lang w:val="en-US"/>
        </w:rPr>
        <w:t>FINAL ESSAY</w:t>
      </w:r>
    </w:p>
    <w:p w:rsidR="002353EA" w:rsidRDefault="002353EA" w:rsidP="00346E1E">
      <w:pPr>
        <w:widowControl w:val="0"/>
        <w:ind w:firstLine="0"/>
        <w:jc w:val="center"/>
        <w:rPr>
          <w:b/>
          <w:sz w:val="28"/>
          <w:szCs w:val="28"/>
          <w:lang w:val="en-US"/>
        </w:rPr>
      </w:pPr>
    </w:p>
    <w:p w:rsidR="005F144F" w:rsidRDefault="005F144F" w:rsidP="00346E1E">
      <w:pPr>
        <w:widowControl w:val="0"/>
        <w:ind w:firstLine="0"/>
        <w:jc w:val="center"/>
        <w:rPr>
          <w:sz w:val="28"/>
          <w:szCs w:val="28"/>
          <w:lang w:val="en-US"/>
        </w:rPr>
      </w:pPr>
      <w:r w:rsidRPr="00A7034E">
        <w:rPr>
          <w:sz w:val="28"/>
          <w:szCs w:val="28"/>
          <w:lang w:val="en-US"/>
        </w:rPr>
        <w:t>“</w:t>
      </w:r>
      <w:r w:rsidR="002353EA">
        <w:rPr>
          <w:sz w:val="28"/>
          <w:szCs w:val="28"/>
          <w:lang w:val="en-US"/>
        </w:rPr>
        <w:t xml:space="preserve">The Role of Ethnicity as a Cause in the First Palestinian </w:t>
      </w:r>
      <w:r>
        <w:rPr>
          <w:sz w:val="28"/>
          <w:szCs w:val="28"/>
          <w:lang w:val="en-US"/>
        </w:rPr>
        <w:t>Intifada</w:t>
      </w:r>
      <w:r w:rsidRPr="00A7034E">
        <w:rPr>
          <w:sz w:val="28"/>
          <w:szCs w:val="28"/>
          <w:lang w:val="en-US"/>
        </w:rPr>
        <w:t>”</w:t>
      </w:r>
    </w:p>
    <w:p w:rsidR="002353EA" w:rsidRPr="00A7034E" w:rsidRDefault="002353EA" w:rsidP="00346E1E">
      <w:pPr>
        <w:widowControl w:val="0"/>
        <w:ind w:firstLine="0"/>
        <w:jc w:val="center"/>
        <w:rPr>
          <w:sz w:val="28"/>
          <w:szCs w:val="28"/>
          <w:lang w:val="en-US"/>
        </w:rPr>
      </w:pPr>
    </w:p>
    <w:p w:rsidR="005F144F" w:rsidRPr="00A7034E" w:rsidRDefault="005F144F" w:rsidP="00346E1E">
      <w:pPr>
        <w:widowControl w:val="0"/>
        <w:ind w:firstLine="0"/>
        <w:jc w:val="center"/>
        <w:rPr>
          <w:szCs w:val="24"/>
          <w:lang w:val="en-US"/>
        </w:rPr>
      </w:pPr>
      <w:r>
        <w:rPr>
          <w:szCs w:val="24"/>
          <w:lang w:val="en-US"/>
        </w:rPr>
        <w:t>June</w:t>
      </w:r>
      <w:r w:rsidRPr="00A7034E">
        <w:rPr>
          <w:szCs w:val="24"/>
          <w:lang w:val="en-US"/>
        </w:rPr>
        <w:t xml:space="preserve"> </w:t>
      </w:r>
      <w:r w:rsidR="00A25266">
        <w:rPr>
          <w:szCs w:val="24"/>
          <w:lang w:val="en-US"/>
        </w:rPr>
        <w:t>18</w:t>
      </w:r>
      <w:r w:rsidRPr="00A7034E">
        <w:rPr>
          <w:szCs w:val="24"/>
          <w:lang w:val="en-US"/>
        </w:rPr>
        <w:t xml:space="preserve">, 2016 in </w:t>
      </w:r>
      <w:r>
        <w:rPr>
          <w:szCs w:val="24"/>
          <w:lang w:val="en-US"/>
        </w:rPr>
        <w:t>Pištín</w:t>
      </w:r>
    </w:p>
    <w:p w:rsidR="005F144F" w:rsidRDefault="005F144F" w:rsidP="00346E1E">
      <w:pPr>
        <w:widowControl w:val="0"/>
        <w:ind w:firstLine="0"/>
        <w:rPr>
          <w:sz w:val="28"/>
          <w:szCs w:val="28"/>
          <w:lang w:val="en-US"/>
        </w:rPr>
      </w:pPr>
    </w:p>
    <w:p w:rsidR="002353EA" w:rsidRPr="00A7034E" w:rsidRDefault="002353EA" w:rsidP="00346E1E">
      <w:pPr>
        <w:widowControl w:val="0"/>
        <w:ind w:firstLine="0"/>
        <w:rPr>
          <w:sz w:val="28"/>
          <w:szCs w:val="28"/>
          <w:lang w:val="en-US"/>
        </w:rPr>
      </w:pPr>
    </w:p>
    <w:p w:rsidR="005F144F" w:rsidRDefault="005F144F" w:rsidP="00346E1E">
      <w:pPr>
        <w:widowControl w:val="0"/>
        <w:ind w:firstLine="0"/>
        <w:rPr>
          <w:sz w:val="28"/>
          <w:szCs w:val="28"/>
          <w:lang w:val="en-US"/>
        </w:rPr>
      </w:pPr>
      <w:r w:rsidRPr="005F144F">
        <w:rPr>
          <w:sz w:val="28"/>
          <w:szCs w:val="28"/>
          <w:lang w:val="en-US"/>
        </w:rPr>
        <w:t>MVZ489 Causes of Political Violence</w:t>
      </w:r>
    </w:p>
    <w:p w:rsidR="005F144F" w:rsidRDefault="005F144F" w:rsidP="00346E1E">
      <w:pPr>
        <w:widowControl w:val="0"/>
        <w:ind w:firstLine="0"/>
        <w:rPr>
          <w:sz w:val="28"/>
          <w:szCs w:val="28"/>
          <w:lang w:val="en-US"/>
        </w:rPr>
      </w:pPr>
    </w:p>
    <w:p w:rsidR="005F144F" w:rsidRPr="00A7034E" w:rsidRDefault="005F144F" w:rsidP="00346E1E">
      <w:pPr>
        <w:widowControl w:val="0"/>
        <w:ind w:firstLine="0"/>
        <w:rPr>
          <w:b/>
          <w:szCs w:val="24"/>
          <w:lang w:val="en-US"/>
        </w:rPr>
      </w:pPr>
      <w:r w:rsidRPr="00A7034E">
        <w:rPr>
          <w:b/>
          <w:szCs w:val="24"/>
          <w:lang w:val="en-US"/>
        </w:rPr>
        <w:t>Bc. Markéta Šonková (383345)</w:t>
      </w:r>
    </w:p>
    <w:p w:rsidR="005F144F" w:rsidRPr="00A7034E" w:rsidRDefault="005F144F" w:rsidP="00346E1E">
      <w:pPr>
        <w:widowControl w:val="0"/>
        <w:ind w:firstLine="0"/>
        <w:rPr>
          <w:i/>
          <w:szCs w:val="24"/>
          <w:lang w:val="en-US"/>
        </w:rPr>
      </w:pPr>
      <w:r w:rsidRPr="00A7034E">
        <w:rPr>
          <w:i/>
          <w:szCs w:val="24"/>
          <w:lang w:val="en-US"/>
        </w:rPr>
        <w:t>MA student of International Relations (matriculation 2016)</w:t>
      </w:r>
    </w:p>
    <w:p w:rsidR="002353EA" w:rsidRDefault="005F144F" w:rsidP="00346E1E">
      <w:pPr>
        <w:widowControl w:val="0"/>
        <w:ind w:firstLine="0"/>
        <w:rPr>
          <w:i/>
          <w:szCs w:val="24"/>
          <w:lang w:val="en-US"/>
        </w:rPr>
      </w:pPr>
      <w:r w:rsidRPr="00A7034E">
        <w:rPr>
          <w:i/>
          <w:szCs w:val="24"/>
          <w:lang w:val="en-US"/>
        </w:rPr>
        <w:t>MA student of English Language and Literature (matriculation 2014)</w:t>
      </w:r>
    </w:p>
    <w:sdt>
      <w:sdtPr>
        <w:rPr>
          <w:rFonts w:ascii="Calibri" w:eastAsia="Calibri" w:hAnsi="Calibri" w:cs="Times New Roman"/>
          <w:b w:val="0"/>
          <w:bCs w:val="0"/>
          <w:color w:val="auto"/>
          <w:sz w:val="22"/>
          <w:szCs w:val="22"/>
        </w:rPr>
        <w:id w:val="250241692"/>
        <w:docPartObj>
          <w:docPartGallery w:val="Table of Contents"/>
          <w:docPartUnique/>
        </w:docPartObj>
      </w:sdtPr>
      <w:sdtEndPr>
        <w:rPr>
          <w:rFonts w:ascii="Times New Roman" w:hAnsi="Times New Roman"/>
          <w:sz w:val="24"/>
        </w:rPr>
      </w:sdtEndPr>
      <w:sdtContent>
        <w:p w:rsidR="00922B08" w:rsidRPr="00922B08" w:rsidRDefault="00922B08" w:rsidP="00346E1E">
          <w:pPr>
            <w:pStyle w:val="Nadpisobsahu"/>
            <w:keepNext w:val="0"/>
            <w:keepLines w:val="0"/>
            <w:widowControl w:val="0"/>
            <w:spacing w:line="480" w:lineRule="auto"/>
            <w:ind w:firstLine="0"/>
            <w:rPr>
              <w:rFonts w:ascii="Times New Roman" w:hAnsi="Times New Roman" w:cs="Times New Roman"/>
              <w:color w:val="auto"/>
              <w:lang w:val="en-US"/>
            </w:rPr>
          </w:pPr>
          <w:r w:rsidRPr="00922B08">
            <w:rPr>
              <w:rFonts w:ascii="Times New Roman" w:hAnsi="Times New Roman" w:cs="Times New Roman"/>
              <w:color w:val="auto"/>
              <w:lang w:val="en-US"/>
            </w:rPr>
            <w:t>Table of Contents</w:t>
          </w:r>
        </w:p>
        <w:p w:rsidR="00253FCF" w:rsidRDefault="005E5758">
          <w:pPr>
            <w:pStyle w:val="Obsah1"/>
            <w:rPr>
              <w:rFonts w:asciiTheme="minorHAnsi" w:eastAsiaTheme="minorEastAsia" w:hAnsiTheme="minorHAnsi" w:cstheme="minorBidi"/>
              <w:noProof/>
              <w:sz w:val="22"/>
              <w:lang w:eastAsia="cs-CZ"/>
            </w:rPr>
          </w:pPr>
          <w:r w:rsidRPr="00922B08">
            <w:rPr>
              <w:lang w:val="en-US"/>
            </w:rPr>
            <w:fldChar w:fldCharType="begin"/>
          </w:r>
          <w:r w:rsidR="00922B08" w:rsidRPr="00922B08">
            <w:rPr>
              <w:lang w:val="en-US"/>
            </w:rPr>
            <w:instrText xml:space="preserve"> TOC \o "1-3" \h \z \u </w:instrText>
          </w:r>
          <w:r w:rsidRPr="00922B08">
            <w:rPr>
              <w:lang w:val="en-US"/>
            </w:rPr>
            <w:fldChar w:fldCharType="separate"/>
          </w:r>
          <w:hyperlink w:anchor="_Toc454021433" w:history="1">
            <w:r w:rsidR="00253FCF" w:rsidRPr="00EB3782">
              <w:rPr>
                <w:rStyle w:val="Hypertextovodkaz"/>
                <w:noProof/>
                <w:lang w:val="en-US"/>
              </w:rPr>
              <w:t>Introduction</w:t>
            </w:r>
            <w:r w:rsidR="00253FCF">
              <w:rPr>
                <w:noProof/>
                <w:webHidden/>
              </w:rPr>
              <w:tab/>
            </w:r>
            <w:r w:rsidR="00253FCF">
              <w:rPr>
                <w:noProof/>
                <w:webHidden/>
              </w:rPr>
              <w:fldChar w:fldCharType="begin"/>
            </w:r>
            <w:r w:rsidR="00253FCF">
              <w:rPr>
                <w:noProof/>
                <w:webHidden/>
              </w:rPr>
              <w:instrText xml:space="preserve"> PAGEREF _Toc454021433 \h </w:instrText>
            </w:r>
            <w:r w:rsidR="00253FCF">
              <w:rPr>
                <w:noProof/>
                <w:webHidden/>
              </w:rPr>
            </w:r>
            <w:r w:rsidR="00253FCF">
              <w:rPr>
                <w:noProof/>
                <w:webHidden/>
              </w:rPr>
              <w:fldChar w:fldCharType="separate"/>
            </w:r>
            <w:r w:rsidR="00253FCF">
              <w:rPr>
                <w:noProof/>
                <w:webHidden/>
              </w:rPr>
              <w:t>2</w:t>
            </w:r>
            <w:r w:rsidR="00253FCF">
              <w:rPr>
                <w:noProof/>
                <w:webHidden/>
              </w:rPr>
              <w:fldChar w:fldCharType="end"/>
            </w:r>
          </w:hyperlink>
        </w:p>
        <w:p w:rsidR="00253FCF" w:rsidRDefault="00253FCF">
          <w:pPr>
            <w:pStyle w:val="Obsah1"/>
            <w:rPr>
              <w:rFonts w:asciiTheme="minorHAnsi" w:eastAsiaTheme="minorEastAsia" w:hAnsiTheme="minorHAnsi" w:cstheme="minorBidi"/>
              <w:noProof/>
              <w:sz w:val="22"/>
              <w:lang w:eastAsia="cs-CZ"/>
            </w:rPr>
          </w:pPr>
          <w:hyperlink w:anchor="_Toc454021434" w:history="1">
            <w:r w:rsidRPr="00EB3782">
              <w:rPr>
                <w:rStyle w:val="Hypertextovodkaz"/>
                <w:noProof/>
                <w:lang w:val="en-US"/>
              </w:rPr>
              <w:t>Methodology</w:t>
            </w:r>
            <w:r>
              <w:rPr>
                <w:noProof/>
                <w:webHidden/>
              </w:rPr>
              <w:tab/>
            </w:r>
            <w:r>
              <w:rPr>
                <w:noProof/>
                <w:webHidden/>
              </w:rPr>
              <w:fldChar w:fldCharType="begin"/>
            </w:r>
            <w:r>
              <w:rPr>
                <w:noProof/>
                <w:webHidden/>
              </w:rPr>
              <w:instrText xml:space="preserve"> PAGEREF _Toc454021434 \h </w:instrText>
            </w:r>
            <w:r>
              <w:rPr>
                <w:noProof/>
                <w:webHidden/>
              </w:rPr>
            </w:r>
            <w:r>
              <w:rPr>
                <w:noProof/>
                <w:webHidden/>
              </w:rPr>
              <w:fldChar w:fldCharType="separate"/>
            </w:r>
            <w:r>
              <w:rPr>
                <w:noProof/>
                <w:webHidden/>
              </w:rPr>
              <w:t>3</w:t>
            </w:r>
            <w:r>
              <w:rPr>
                <w:noProof/>
                <w:webHidden/>
              </w:rPr>
              <w:fldChar w:fldCharType="end"/>
            </w:r>
          </w:hyperlink>
        </w:p>
        <w:p w:rsidR="00253FCF" w:rsidRDefault="00253FCF">
          <w:pPr>
            <w:pStyle w:val="Obsah1"/>
            <w:tabs>
              <w:tab w:val="left" w:pos="440"/>
            </w:tabs>
            <w:rPr>
              <w:rFonts w:asciiTheme="minorHAnsi" w:eastAsiaTheme="minorEastAsia" w:hAnsiTheme="minorHAnsi" w:cstheme="minorBidi"/>
              <w:noProof/>
              <w:sz w:val="22"/>
              <w:lang w:eastAsia="cs-CZ"/>
            </w:rPr>
          </w:pPr>
          <w:hyperlink w:anchor="_Toc454021435" w:history="1">
            <w:r w:rsidRPr="00EB3782">
              <w:rPr>
                <w:rStyle w:val="Hypertextovodkaz"/>
                <w:noProof/>
                <w:lang w:val="en-US"/>
              </w:rPr>
              <w:t>1.</w:t>
            </w:r>
            <w:r>
              <w:rPr>
                <w:rFonts w:asciiTheme="minorHAnsi" w:eastAsiaTheme="minorEastAsia" w:hAnsiTheme="minorHAnsi" w:cstheme="minorBidi"/>
                <w:noProof/>
                <w:sz w:val="22"/>
                <w:lang w:eastAsia="cs-CZ"/>
              </w:rPr>
              <w:tab/>
            </w:r>
            <w:r w:rsidRPr="00EB3782">
              <w:rPr>
                <w:rStyle w:val="Hypertextovodkaz"/>
                <w:noProof/>
                <w:lang w:val="en-US"/>
              </w:rPr>
              <w:t>Palestinians in Israel</w:t>
            </w:r>
            <w:r>
              <w:rPr>
                <w:noProof/>
                <w:webHidden/>
              </w:rPr>
              <w:tab/>
            </w:r>
            <w:r>
              <w:rPr>
                <w:noProof/>
                <w:webHidden/>
              </w:rPr>
              <w:fldChar w:fldCharType="begin"/>
            </w:r>
            <w:r>
              <w:rPr>
                <w:noProof/>
                <w:webHidden/>
              </w:rPr>
              <w:instrText xml:space="preserve"> PAGEREF _Toc454021435 \h </w:instrText>
            </w:r>
            <w:r>
              <w:rPr>
                <w:noProof/>
                <w:webHidden/>
              </w:rPr>
            </w:r>
            <w:r>
              <w:rPr>
                <w:noProof/>
                <w:webHidden/>
              </w:rPr>
              <w:fldChar w:fldCharType="separate"/>
            </w:r>
            <w:r>
              <w:rPr>
                <w:noProof/>
                <w:webHidden/>
              </w:rPr>
              <w:t>5</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36" w:history="1">
            <w:r w:rsidRPr="00EB3782">
              <w:rPr>
                <w:rStyle w:val="Hypertextovodkaz"/>
                <w:noProof/>
                <w:lang w:val="en-US"/>
              </w:rPr>
              <w:t>1.1.</w:t>
            </w:r>
            <w:r>
              <w:rPr>
                <w:rFonts w:asciiTheme="minorHAnsi" w:eastAsiaTheme="minorEastAsia" w:hAnsiTheme="minorHAnsi" w:cstheme="minorBidi"/>
                <w:noProof/>
                <w:sz w:val="22"/>
                <w:lang w:eastAsia="cs-CZ"/>
              </w:rPr>
              <w:tab/>
            </w:r>
            <w:r w:rsidRPr="00EB3782">
              <w:rPr>
                <w:rStyle w:val="Hypertextovodkaz"/>
                <w:noProof/>
                <w:lang w:val="en-US"/>
              </w:rPr>
              <w:t>Overview of the Pre-Intifada History</w:t>
            </w:r>
            <w:r>
              <w:rPr>
                <w:noProof/>
                <w:webHidden/>
              </w:rPr>
              <w:tab/>
            </w:r>
            <w:r>
              <w:rPr>
                <w:noProof/>
                <w:webHidden/>
              </w:rPr>
              <w:fldChar w:fldCharType="begin"/>
            </w:r>
            <w:r>
              <w:rPr>
                <w:noProof/>
                <w:webHidden/>
              </w:rPr>
              <w:instrText xml:space="preserve"> PAGEREF _Toc454021436 \h </w:instrText>
            </w:r>
            <w:r>
              <w:rPr>
                <w:noProof/>
                <w:webHidden/>
              </w:rPr>
            </w:r>
            <w:r>
              <w:rPr>
                <w:noProof/>
                <w:webHidden/>
              </w:rPr>
              <w:fldChar w:fldCharType="separate"/>
            </w:r>
            <w:r>
              <w:rPr>
                <w:noProof/>
                <w:webHidden/>
              </w:rPr>
              <w:t>5</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37" w:history="1">
            <w:r w:rsidRPr="00EB3782">
              <w:rPr>
                <w:rStyle w:val="Hypertextovodkaz"/>
                <w:noProof/>
                <w:lang w:val="en-US"/>
              </w:rPr>
              <w:t>1.2.</w:t>
            </w:r>
            <w:r>
              <w:rPr>
                <w:rFonts w:asciiTheme="minorHAnsi" w:eastAsiaTheme="minorEastAsia" w:hAnsiTheme="minorHAnsi" w:cstheme="minorBidi"/>
                <w:noProof/>
                <w:sz w:val="22"/>
                <w:lang w:eastAsia="cs-CZ"/>
              </w:rPr>
              <w:tab/>
            </w:r>
            <w:r w:rsidRPr="00EB3782">
              <w:rPr>
                <w:rStyle w:val="Hypertextovodkaz"/>
                <w:noProof/>
                <w:lang w:val="en-US"/>
              </w:rPr>
              <w:t>Overview of the Ethnic Group Internal Dynamics</w:t>
            </w:r>
            <w:r>
              <w:rPr>
                <w:noProof/>
                <w:webHidden/>
              </w:rPr>
              <w:tab/>
            </w:r>
            <w:r>
              <w:rPr>
                <w:noProof/>
                <w:webHidden/>
              </w:rPr>
              <w:fldChar w:fldCharType="begin"/>
            </w:r>
            <w:r>
              <w:rPr>
                <w:noProof/>
                <w:webHidden/>
              </w:rPr>
              <w:instrText xml:space="preserve"> PAGEREF _Toc454021437 \h </w:instrText>
            </w:r>
            <w:r>
              <w:rPr>
                <w:noProof/>
                <w:webHidden/>
              </w:rPr>
            </w:r>
            <w:r>
              <w:rPr>
                <w:noProof/>
                <w:webHidden/>
              </w:rPr>
              <w:fldChar w:fldCharType="separate"/>
            </w:r>
            <w:r>
              <w:rPr>
                <w:noProof/>
                <w:webHidden/>
              </w:rPr>
              <w:t>6</w:t>
            </w:r>
            <w:r>
              <w:rPr>
                <w:noProof/>
                <w:webHidden/>
              </w:rPr>
              <w:fldChar w:fldCharType="end"/>
            </w:r>
          </w:hyperlink>
        </w:p>
        <w:p w:rsidR="00253FCF" w:rsidRDefault="00253FCF">
          <w:pPr>
            <w:pStyle w:val="Obsah1"/>
            <w:tabs>
              <w:tab w:val="left" w:pos="440"/>
            </w:tabs>
            <w:rPr>
              <w:rFonts w:asciiTheme="minorHAnsi" w:eastAsiaTheme="minorEastAsia" w:hAnsiTheme="minorHAnsi" w:cstheme="minorBidi"/>
              <w:noProof/>
              <w:sz w:val="22"/>
              <w:lang w:eastAsia="cs-CZ"/>
            </w:rPr>
          </w:pPr>
          <w:hyperlink w:anchor="_Toc454021438" w:history="1">
            <w:r w:rsidRPr="00EB3782">
              <w:rPr>
                <w:rStyle w:val="Hypertextovodkaz"/>
                <w:noProof/>
                <w:lang w:val="en-US"/>
              </w:rPr>
              <w:t>2.</w:t>
            </w:r>
            <w:r>
              <w:rPr>
                <w:rFonts w:asciiTheme="minorHAnsi" w:eastAsiaTheme="minorEastAsia" w:hAnsiTheme="minorHAnsi" w:cstheme="minorBidi"/>
                <w:noProof/>
                <w:sz w:val="22"/>
                <w:lang w:eastAsia="cs-CZ"/>
              </w:rPr>
              <w:tab/>
            </w:r>
            <w:r w:rsidRPr="00EB3782">
              <w:rPr>
                <w:rStyle w:val="Hypertextovodkaz"/>
                <w:noProof/>
                <w:lang w:val="en-US"/>
              </w:rPr>
              <w:t>The First Intifada</w:t>
            </w:r>
            <w:r>
              <w:rPr>
                <w:noProof/>
                <w:webHidden/>
              </w:rPr>
              <w:tab/>
            </w:r>
            <w:r>
              <w:rPr>
                <w:noProof/>
                <w:webHidden/>
              </w:rPr>
              <w:fldChar w:fldCharType="begin"/>
            </w:r>
            <w:r>
              <w:rPr>
                <w:noProof/>
                <w:webHidden/>
              </w:rPr>
              <w:instrText xml:space="preserve"> PAGEREF _Toc454021438 \h </w:instrText>
            </w:r>
            <w:r>
              <w:rPr>
                <w:noProof/>
                <w:webHidden/>
              </w:rPr>
            </w:r>
            <w:r>
              <w:rPr>
                <w:noProof/>
                <w:webHidden/>
              </w:rPr>
              <w:fldChar w:fldCharType="separate"/>
            </w:r>
            <w:r>
              <w:rPr>
                <w:noProof/>
                <w:webHidden/>
              </w:rPr>
              <w:t>7</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39" w:history="1">
            <w:r w:rsidRPr="00EB3782">
              <w:rPr>
                <w:rStyle w:val="Hypertextovodkaz"/>
                <w:noProof/>
                <w:lang w:val="en-US"/>
              </w:rPr>
              <w:t>2.1.</w:t>
            </w:r>
            <w:r>
              <w:rPr>
                <w:rFonts w:asciiTheme="minorHAnsi" w:eastAsiaTheme="minorEastAsia" w:hAnsiTheme="minorHAnsi" w:cstheme="minorBidi"/>
                <w:noProof/>
                <w:sz w:val="22"/>
                <w:lang w:eastAsia="cs-CZ"/>
              </w:rPr>
              <w:tab/>
            </w:r>
            <w:r w:rsidRPr="00EB3782">
              <w:rPr>
                <w:rStyle w:val="Hypertextovodkaz"/>
                <w:noProof/>
                <w:shd w:val="clear" w:color="auto" w:fill="FFFFFF"/>
                <w:lang w:val="en-US"/>
              </w:rPr>
              <w:t>Ethnic Dimension</w:t>
            </w:r>
            <w:r>
              <w:rPr>
                <w:noProof/>
                <w:webHidden/>
              </w:rPr>
              <w:tab/>
            </w:r>
            <w:r>
              <w:rPr>
                <w:noProof/>
                <w:webHidden/>
              </w:rPr>
              <w:fldChar w:fldCharType="begin"/>
            </w:r>
            <w:r>
              <w:rPr>
                <w:noProof/>
                <w:webHidden/>
              </w:rPr>
              <w:instrText xml:space="preserve"> PAGEREF _Toc454021439 \h </w:instrText>
            </w:r>
            <w:r>
              <w:rPr>
                <w:noProof/>
                <w:webHidden/>
              </w:rPr>
            </w:r>
            <w:r>
              <w:rPr>
                <w:noProof/>
                <w:webHidden/>
              </w:rPr>
              <w:fldChar w:fldCharType="separate"/>
            </w:r>
            <w:r>
              <w:rPr>
                <w:noProof/>
                <w:webHidden/>
              </w:rPr>
              <w:t>8</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40" w:history="1">
            <w:r w:rsidRPr="00EB3782">
              <w:rPr>
                <w:rStyle w:val="Hypertextovodkaz"/>
                <w:noProof/>
                <w:lang w:val="en-US"/>
              </w:rPr>
              <w:t>2.2.</w:t>
            </w:r>
            <w:r>
              <w:rPr>
                <w:rFonts w:asciiTheme="minorHAnsi" w:eastAsiaTheme="minorEastAsia" w:hAnsiTheme="minorHAnsi" w:cstheme="minorBidi"/>
                <w:noProof/>
                <w:sz w:val="22"/>
                <w:lang w:eastAsia="cs-CZ"/>
              </w:rPr>
              <w:tab/>
            </w:r>
            <w:r w:rsidRPr="00EB3782">
              <w:rPr>
                <w:rStyle w:val="Hypertextovodkaz"/>
                <w:noProof/>
                <w:shd w:val="clear" w:color="auto" w:fill="FFFFFF"/>
                <w:lang w:val="en-US"/>
              </w:rPr>
              <w:t>Political Dimension</w:t>
            </w:r>
            <w:r>
              <w:rPr>
                <w:noProof/>
                <w:webHidden/>
              </w:rPr>
              <w:tab/>
            </w:r>
            <w:r>
              <w:rPr>
                <w:noProof/>
                <w:webHidden/>
              </w:rPr>
              <w:fldChar w:fldCharType="begin"/>
            </w:r>
            <w:r>
              <w:rPr>
                <w:noProof/>
                <w:webHidden/>
              </w:rPr>
              <w:instrText xml:space="preserve"> PAGEREF _Toc454021440 \h </w:instrText>
            </w:r>
            <w:r>
              <w:rPr>
                <w:noProof/>
                <w:webHidden/>
              </w:rPr>
            </w:r>
            <w:r>
              <w:rPr>
                <w:noProof/>
                <w:webHidden/>
              </w:rPr>
              <w:fldChar w:fldCharType="separate"/>
            </w:r>
            <w:r>
              <w:rPr>
                <w:noProof/>
                <w:webHidden/>
              </w:rPr>
              <w:t>9</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41" w:history="1">
            <w:r w:rsidRPr="00EB3782">
              <w:rPr>
                <w:rStyle w:val="Hypertextovodkaz"/>
                <w:noProof/>
                <w:lang w:val="en-US"/>
              </w:rPr>
              <w:t>2.3.</w:t>
            </w:r>
            <w:r>
              <w:rPr>
                <w:rFonts w:asciiTheme="minorHAnsi" w:eastAsiaTheme="minorEastAsia" w:hAnsiTheme="minorHAnsi" w:cstheme="minorBidi"/>
                <w:noProof/>
                <w:sz w:val="22"/>
                <w:lang w:eastAsia="cs-CZ"/>
              </w:rPr>
              <w:tab/>
            </w:r>
            <w:r w:rsidRPr="00EB3782">
              <w:rPr>
                <w:rStyle w:val="Hypertextovodkaz"/>
                <w:noProof/>
                <w:lang w:val="en-US"/>
              </w:rPr>
              <w:t>Economic Dimension</w:t>
            </w:r>
            <w:r>
              <w:rPr>
                <w:noProof/>
                <w:webHidden/>
              </w:rPr>
              <w:tab/>
            </w:r>
            <w:r>
              <w:rPr>
                <w:noProof/>
                <w:webHidden/>
              </w:rPr>
              <w:fldChar w:fldCharType="begin"/>
            </w:r>
            <w:r>
              <w:rPr>
                <w:noProof/>
                <w:webHidden/>
              </w:rPr>
              <w:instrText xml:space="preserve"> PAGEREF _Toc454021441 \h </w:instrText>
            </w:r>
            <w:r>
              <w:rPr>
                <w:noProof/>
                <w:webHidden/>
              </w:rPr>
            </w:r>
            <w:r>
              <w:rPr>
                <w:noProof/>
                <w:webHidden/>
              </w:rPr>
              <w:fldChar w:fldCharType="separate"/>
            </w:r>
            <w:r>
              <w:rPr>
                <w:noProof/>
                <w:webHidden/>
              </w:rPr>
              <w:t>10</w:t>
            </w:r>
            <w:r>
              <w:rPr>
                <w:noProof/>
                <w:webHidden/>
              </w:rPr>
              <w:fldChar w:fldCharType="end"/>
            </w:r>
          </w:hyperlink>
        </w:p>
        <w:p w:rsidR="00253FCF" w:rsidRDefault="00253FCF">
          <w:pPr>
            <w:pStyle w:val="Obsah2"/>
            <w:rPr>
              <w:rFonts w:asciiTheme="minorHAnsi" w:eastAsiaTheme="minorEastAsia" w:hAnsiTheme="minorHAnsi" w:cstheme="minorBidi"/>
              <w:noProof/>
              <w:sz w:val="22"/>
              <w:lang w:eastAsia="cs-CZ"/>
            </w:rPr>
          </w:pPr>
          <w:hyperlink w:anchor="_Toc454021442" w:history="1">
            <w:r w:rsidRPr="00EB3782">
              <w:rPr>
                <w:rStyle w:val="Hypertextovodkaz"/>
                <w:noProof/>
                <w:lang w:val="en-US"/>
              </w:rPr>
              <w:t>2.4.</w:t>
            </w:r>
            <w:r>
              <w:rPr>
                <w:rFonts w:asciiTheme="minorHAnsi" w:eastAsiaTheme="minorEastAsia" w:hAnsiTheme="minorHAnsi" w:cstheme="minorBidi"/>
                <w:noProof/>
                <w:sz w:val="22"/>
                <w:lang w:eastAsia="cs-CZ"/>
              </w:rPr>
              <w:tab/>
            </w:r>
            <w:r w:rsidRPr="00EB3782">
              <w:rPr>
                <w:rStyle w:val="Hypertextovodkaz"/>
                <w:noProof/>
                <w:lang w:val="en-US"/>
              </w:rPr>
              <w:t>Nationalist Dimension</w:t>
            </w:r>
            <w:r>
              <w:rPr>
                <w:noProof/>
                <w:webHidden/>
              </w:rPr>
              <w:tab/>
            </w:r>
            <w:r>
              <w:rPr>
                <w:noProof/>
                <w:webHidden/>
              </w:rPr>
              <w:fldChar w:fldCharType="begin"/>
            </w:r>
            <w:r>
              <w:rPr>
                <w:noProof/>
                <w:webHidden/>
              </w:rPr>
              <w:instrText xml:space="preserve"> PAGEREF _Toc454021442 \h </w:instrText>
            </w:r>
            <w:r>
              <w:rPr>
                <w:noProof/>
                <w:webHidden/>
              </w:rPr>
            </w:r>
            <w:r>
              <w:rPr>
                <w:noProof/>
                <w:webHidden/>
              </w:rPr>
              <w:fldChar w:fldCharType="separate"/>
            </w:r>
            <w:r>
              <w:rPr>
                <w:noProof/>
                <w:webHidden/>
              </w:rPr>
              <w:t>10</w:t>
            </w:r>
            <w:r>
              <w:rPr>
                <w:noProof/>
                <w:webHidden/>
              </w:rPr>
              <w:fldChar w:fldCharType="end"/>
            </w:r>
          </w:hyperlink>
        </w:p>
        <w:p w:rsidR="00253FCF" w:rsidRDefault="00253FCF">
          <w:pPr>
            <w:pStyle w:val="Obsah1"/>
            <w:tabs>
              <w:tab w:val="left" w:pos="440"/>
            </w:tabs>
            <w:rPr>
              <w:rFonts w:asciiTheme="minorHAnsi" w:eastAsiaTheme="minorEastAsia" w:hAnsiTheme="minorHAnsi" w:cstheme="minorBidi"/>
              <w:noProof/>
              <w:sz w:val="22"/>
              <w:lang w:eastAsia="cs-CZ"/>
            </w:rPr>
          </w:pPr>
          <w:hyperlink w:anchor="_Toc454021443" w:history="1">
            <w:r w:rsidRPr="00EB3782">
              <w:rPr>
                <w:rStyle w:val="Hypertextovodkaz"/>
                <w:noProof/>
                <w:lang w:val="en-US"/>
              </w:rPr>
              <w:t>3.</w:t>
            </w:r>
            <w:r>
              <w:rPr>
                <w:rFonts w:asciiTheme="minorHAnsi" w:eastAsiaTheme="minorEastAsia" w:hAnsiTheme="minorHAnsi" w:cstheme="minorBidi"/>
                <w:noProof/>
                <w:sz w:val="22"/>
                <w:lang w:eastAsia="cs-CZ"/>
              </w:rPr>
              <w:tab/>
            </w:r>
            <w:r w:rsidRPr="00EB3782">
              <w:rPr>
                <w:rStyle w:val="Hypertextovodkaz"/>
                <w:noProof/>
                <w:lang w:val="en-US"/>
              </w:rPr>
              <w:t>Interpretation</w:t>
            </w:r>
            <w:r>
              <w:rPr>
                <w:noProof/>
                <w:webHidden/>
              </w:rPr>
              <w:tab/>
            </w:r>
            <w:r>
              <w:rPr>
                <w:noProof/>
                <w:webHidden/>
              </w:rPr>
              <w:fldChar w:fldCharType="begin"/>
            </w:r>
            <w:r>
              <w:rPr>
                <w:noProof/>
                <w:webHidden/>
              </w:rPr>
              <w:instrText xml:space="preserve"> PAGEREF _Toc454021443 \h </w:instrText>
            </w:r>
            <w:r>
              <w:rPr>
                <w:noProof/>
                <w:webHidden/>
              </w:rPr>
            </w:r>
            <w:r>
              <w:rPr>
                <w:noProof/>
                <w:webHidden/>
              </w:rPr>
              <w:fldChar w:fldCharType="separate"/>
            </w:r>
            <w:r>
              <w:rPr>
                <w:noProof/>
                <w:webHidden/>
              </w:rPr>
              <w:t>11</w:t>
            </w:r>
            <w:r>
              <w:rPr>
                <w:noProof/>
                <w:webHidden/>
              </w:rPr>
              <w:fldChar w:fldCharType="end"/>
            </w:r>
          </w:hyperlink>
        </w:p>
        <w:p w:rsidR="00253FCF" w:rsidRDefault="00253FCF">
          <w:pPr>
            <w:pStyle w:val="Obsah1"/>
            <w:rPr>
              <w:rFonts w:asciiTheme="minorHAnsi" w:eastAsiaTheme="minorEastAsia" w:hAnsiTheme="minorHAnsi" w:cstheme="minorBidi"/>
              <w:noProof/>
              <w:sz w:val="22"/>
              <w:lang w:eastAsia="cs-CZ"/>
            </w:rPr>
          </w:pPr>
          <w:hyperlink w:anchor="_Toc454021444" w:history="1">
            <w:r w:rsidRPr="00EB3782">
              <w:rPr>
                <w:rStyle w:val="Hypertextovodkaz"/>
                <w:noProof/>
                <w:lang w:val="en-US"/>
              </w:rPr>
              <w:t>Conclusion</w:t>
            </w:r>
            <w:r>
              <w:rPr>
                <w:noProof/>
                <w:webHidden/>
              </w:rPr>
              <w:tab/>
            </w:r>
            <w:r>
              <w:rPr>
                <w:noProof/>
                <w:webHidden/>
              </w:rPr>
              <w:fldChar w:fldCharType="begin"/>
            </w:r>
            <w:r>
              <w:rPr>
                <w:noProof/>
                <w:webHidden/>
              </w:rPr>
              <w:instrText xml:space="preserve"> PAGEREF _Toc454021444 \h </w:instrText>
            </w:r>
            <w:r>
              <w:rPr>
                <w:noProof/>
                <w:webHidden/>
              </w:rPr>
            </w:r>
            <w:r>
              <w:rPr>
                <w:noProof/>
                <w:webHidden/>
              </w:rPr>
              <w:fldChar w:fldCharType="separate"/>
            </w:r>
            <w:r>
              <w:rPr>
                <w:noProof/>
                <w:webHidden/>
              </w:rPr>
              <w:t>12</w:t>
            </w:r>
            <w:r>
              <w:rPr>
                <w:noProof/>
                <w:webHidden/>
              </w:rPr>
              <w:fldChar w:fldCharType="end"/>
            </w:r>
          </w:hyperlink>
        </w:p>
        <w:p w:rsidR="00253FCF" w:rsidRDefault="00253FCF">
          <w:pPr>
            <w:pStyle w:val="Obsah1"/>
            <w:rPr>
              <w:rFonts w:asciiTheme="minorHAnsi" w:eastAsiaTheme="minorEastAsia" w:hAnsiTheme="minorHAnsi" w:cstheme="minorBidi"/>
              <w:noProof/>
              <w:sz w:val="22"/>
              <w:lang w:eastAsia="cs-CZ"/>
            </w:rPr>
          </w:pPr>
          <w:hyperlink w:anchor="_Toc454021445" w:history="1">
            <w:r w:rsidRPr="00EB3782">
              <w:rPr>
                <w:rStyle w:val="Hypertextovodkaz"/>
                <w:noProof/>
                <w:lang w:val="en-US"/>
              </w:rPr>
              <w:t>Bibliography</w:t>
            </w:r>
            <w:r>
              <w:rPr>
                <w:noProof/>
                <w:webHidden/>
              </w:rPr>
              <w:tab/>
            </w:r>
            <w:r>
              <w:rPr>
                <w:noProof/>
                <w:webHidden/>
              </w:rPr>
              <w:fldChar w:fldCharType="begin"/>
            </w:r>
            <w:r>
              <w:rPr>
                <w:noProof/>
                <w:webHidden/>
              </w:rPr>
              <w:instrText xml:space="preserve"> PAGEREF _Toc454021445 \h </w:instrText>
            </w:r>
            <w:r>
              <w:rPr>
                <w:noProof/>
                <w:webHidden/>
              </w:rPr>
            </w:r>
            <w:r>
              <w:rPr>
                <w:noProof/>
                <w:webHidden/>
              </w:rPr>
              <w:fldChar w:fldCharType="separate"/>
            </w:r>
            <w:r>
              <w:rPr>
                <w:noProof/>
                <w:webHidden/>
              </w:rPr>
              <w:t>13</w:t>
            </w:r>
            <w:r>
              <w:rPr>
                <w:noProof/>
                <w:webHidden/>
              </w:rPr>
              <w:fldChar w:fldCharType="end"/>
            </w:r>
          </w:hyperlink>
        </w:p>
        <w:p w:rsidR="00922B08" w:rsidRDefault="005E5758" w:rsidP="00346E1E">
          <w:pPr>
            <w:widowControl w:val="0"/>
            <w:spacing w:line="480" w:lineRule="auto"/>
            <w:ind w:firstLine="0"/>
          </w:pPr>
          <w:r w:rsidRPr="00922B08">
            <w:rPr>
              <w:lang w:val="en-US"/>
            </w:rPr>
            <w:fldChar w:fldCharType="end"/>
          </w:r>
        </w:p>
      </w:sdtContent>
    </w:sdt>
    <w:p w:rsidR="00C91045" w:rsidRDefault="00631F9E" w:rsidP="00631F9E">
      <w:pPr>
        <w:widowControl w:val="0"/>
        <w:ind w:firstLine="0"/>
        <w:rPr>
          <w:lang w:val="en-US"/>
        </w:rPr>
      </w:pPr>
      <w:r>
        <w:rPr>
          <w:lang w:val="en-US"/>
        </w:rPr>
        <w:t>Word count (without bibliography</w:t>
      </w:r>
      <w:r w:rsidR="00C91045">
        <w:rPr>
          <w:lang w:val="en-US"/>
        </w:rPr>
        <w:t xml:space="preserve"> and </w:t>
      </w:r>
      <w:r w:rsidR="00322F73">
        <w:rPr>
          <w:lang w:val="en-US"/>
        </w:rPr>
        <w:t xml:space="preserve">bibliographic </w:t>
      </w:r>
      <w:r w:rsidR="00C91045">
        <w:rPr>
          <w:lang w:val="en-US"/>
        </w:rPr>
        <w:t>footnotes):</w:t>
      </w:r>
      <w:r w:rsidR="00525928">
        <w:rPr>
          <w:lang w:val="en-US"/>
        </w:rPr>
        <w:t xml:space="preserve"> 3,198</w:t>
      </w:r>
    </w:p>
    <w:p w:rsidR="00922B08" w:rsidRPr="00631F9E" w:rsidRDefault="00922B08" w:rsidP="00631F9E">
      <w:pPr>
        <w:widowControl w:val="0"/>
        <w:rPr>
          <w:rFonts w:eastAsiaTheme="majorEastAsia" w:cstheme="majorBidi"/>
          <w:sz w:val="28"/>
          <w:szCs w:val="28"/>
          <w:lang w:val="en-US"/>
        </w:rPr>
      </w:pPr>
      <w:r w:rsidRPr="00631F9E">
        <w:rPr>
          <w:lang w:val="en-US"/>
        </w:rPr>
        <w:br w:type="page"/>
      </w:r>
    </w:p>
    <w:p w:rsidR="00922B08" w:rsidRDefault="00922B08" w:rsidP="00346E1E">
      <w:pPr>
        <w:pStyle w:val="Nadpis1"/>
        <w:keepNext w:val="0"/>
        <w:keepLines w:val="0"/>
        <w:widowControl w:val="0"/>
        <w:ind w:firstLine="0"/>
        <w:rPr>
          <w:lang w:val="en-US"/>
        </w:rPr>
      </w:pPr>
      <w:bookmarkStart w:id="0" w:name="_Toc454021433"/>
      <w:r>
        <w:rPr>
          <w:lang w:val="en-US"/>
        </w:rPr>
        <w:lastRenderedPageBreak/>
        <w:t>Introduction</w:t>
      </w:r>
      <w:bookmarkEnd w:id="0"/>
    </w:p>
    <w:p w:rsidR="00A50FD5" w:rsidRDefault="009172C6" w:rsidP="00346E1E">
      <w:pPr>
        <w:widowControl w:val="0"/>
        <w:spacing w:before="240"/>
        <w:ind w:firstLine="0"/>
        <w:contextualSpacing w:val="0"/>
        <w:rPr>
          <w:lang w:val="en-US"/>
        </w:rPr>
      </w:pPr>
      <w:r>
        <w:rPr>
          <w:lang w:val="en-US"/>
        </w:rPr>
        <w:t xml:space="preserve">The </w:t>
      </w:r>
      <w:r w:rsidRPr="002353EA">
        <w:rPr>
          <w:i/>
          <w:lang w:val="en-US"/>
        </w:rPr>
        <w:t>First</w:t>
      </w:r>
      <w:r>
        <w:rPr>
          <w:lang w:val="en-US"/>
        </w:rPr>
        <w:t xml:space="preserve"> </w:t>
      </w:r>
      <w:r w:rsidR="004A2F3B" w:rsidRPr="00EE367E">
        <w:rPr>
          <w:i/>
          <w:lang w:val="en-US"/>
        </w:rPr>
        <w:t>Intifada</w:t>
      </w:r>
      <w:r>
        <w:rPr>
          <w:lang w:val="en-US"/>
        </w:rPr>
        <w:t xml:space="preserve"> </w:t>
      </w:r>
      <w:r w:rsidR="00EE367E">
        <w:rPr>
          <w:lang w:val="en-US"/>
        </w:rPr>
        <w:t xml:space="preserve">– lasting from </w:t>
      </w:r>
      <w:r w:rsidR="00EE367E" w:rsidRPr="00260520">
        <w:rPr>
          <w:lang w:val="en-US"/>
        </w:rPr>
        <w:t xml:space="preserve">December 1987 </w:t>
      </w:r>
      <w:r w:rsidR="00EE367E">
        <w:rPr>
          <w:lang w:val="en-US"/>
        </w:rPr>
        <w:t>through</w:t>
      </w:r>
      <w:r w:rsidR="00EE367E" w:rsidRPr="00260520">
        <w:rPr>
          <w:lang w:val="en-US"/>
        </w:rPr>
        <w:t xml:space="preserve"> Madrid Conference in 1991, alternati</w:t>
      </w:r>
      <w:r w:rsidR="00EE367E">
        <w:rPr>
          <w:lang w:val="en-US"/>
        </w:rPr>
        <w:t>vely until Oslo Accords in 1993 – was a</w:t>
      </w:r>
      <w:r>
        <w:rPr>
          <w:lang w:val="en-US"/>
        </w:rPr>
        <w:t xml:space="preserve"> </w:t>
      </w:r>
      <w:r w:rsidR="00260520">
        <w:rPr>
          <w:lang w:val="en-US"/>
        </w:rPr>
        <w:t xml:space="preserve">Palestinian </w:t>
      </w:r>
      <w:r w:rsidR="00EE367E">
        <w:rPr>
          <w:lang w:val="en-US"/>
        </w:rPr>
        <w:t>uprising</w:t>
      </w:r>
      <w:r w:rsidR="0027595E">
        <w:rPr>
          <w:lang w:val="en-US"/>
        </w:rPr>
        <w:t xml:space="preserve"> against Israel</w:t>
      </w:r>
      <w:r w:rsidR="00260520">
        <w:rPr>
          <w:lang w:val="en-US"/>
        </w:rPr>
        <w:t xml:space="preserve">. </w:t>
      </w:r>
      <w:r w:rsidR="00EE367E">
        <w:rPr>
          <w:lang w:val="en-US"/>
        </w:rPr>
        <w:t>It</w:t>
      </w:r>
      <w:r w:rsidR="00260520">
        <w:rPr>
          <w:lang w:val="en-US"/>
        </w:rPr>
        <w:t xml:space="preserve"> </w:t>
      </w:r>
      <w:r w:rsidR="00EE367E">
        <w:rPr>
          <w:lang w:val="en-US"/>
        </w:rPr>
        <w:t>is</w:t>
      </w:r>
      <w:r w:rsidR="0027595E">
        <w:rPr>
          <w:lang w:val="en-US"/>
        </w:rPr>
        <w:t xml:space="preserve"> also </w:t>
      </w:r>
      <w:r>
        <w:rPr>
          <w:lang w:val="en-US"/>
        </w:rPr>
        <w:t>known as</w:t>
      </w:r>
      <w:r w:rsidR="00260520">
        <w:rPr>
          <w:lang w:val="en-US"/>
        </w:rPr>
        <w:t xml:space="preserve"> </w:t>
      </w:r>
      <w:r>
        <w:rPr>
          <w:lang w:val="en-US"/>
        </w:rPr>
        <w:t>part of the Palestinian struggle for national self-determination</w:t>
      </w:r>
      <w:r w:rsidR="0027595E">
        <w:rPr>
          <w:lang w:val="en-US"/>
        </w:rPr>
        <w:t>. With Palestinians being</w:t>
      </w:r>
      <w:r w:rsidR="00D46778">
        <w:rPr>
          <w:lang w:val="en-US"/>
        </w:rPr>
        <w:t xml:space="preserve"> part of</w:t>
      </w:r>
      <w:r w:rsidR="0027595E">
        <w:rPr>
          <w:lang w:val="en-US"/>
        </w:rPr>
        <w:t xml:space="preserve"> the Arab minority</w:t>
      </w:r>
      <w:r w:rsidR="00D46778">
        <w:rPr>
          <w:rStyle w:val="Znakapoznpodarou"/>
          <w:lang w:val="en-US"/>
        </w:rPr>
        <w:footnoteReference w:id="1"/>
      </w:r>
      <w:r w:rsidR="0027595E">
        <w:rPr>
          <w:lang w:val="en-US"/>
        </w:rPr>
        <w:t xml:space="preserve"> in </w:t>
      </w:r>
      <w:r w:rsidR="006A4D45">
        <w:rPr>
          <w:lang w:val="en-US"/>
        </w:rPr>
        <w:t xml:space="preserve">Israel, living namely in the </w:t>
      </w:r>
      <w:r w:rsidR="0027595E">
        <w:rPr>
          <w:lang w:val="en-US"/>
        </w:rPr>
        <w:t>occupied territories seized after the Six-Day War of 1967, the</w:t>
      </w:r>
      <w:r w:rsidR="00260520">
        <w:rPr>
          <w:lang w:val="en-US"/>
        </w:rPr>
        <w:t xml:space="preserve"> Palestinian dissatisfaction and </w:t>
      </w:r>
      <w:r w:rsidR="0027595E">
        <w:rPr>
          <w:lang w:val="en-US"/>
        </w:rPr>
        <w:t xml:space="preserve">struggle for national self-determination </w:t>
      </w:r>
      <w:r w:rsidR="00260520">
        <w:rPr>
          <w:lang w:val="en-US"/>
        </w:rPr>
        <w:t>was</w:t>
      </w:r>
      <w:r w:rsidR="0027595E">
        <w:rPr>
          <w:lang w:val="en-US"/>
        </w:rPr>
        <w:t xml:space="preserve"> </w:t>
      </w:r>
      <w:r w:rsidR="00260520">
        <w:rPr>
          <w:lang w:val="en-US"/>
        </w:rPr>
        <w:t>growing</w:t>
      </w:r>
      <w:r w:rsidR="006A4D45">
        <w:rPr>
          <w:lang w:val="en-US"/>
        </w:rPr>
        <w:t xml:space="preserve"> ever since the 1967 conflict,</w:t>
      </w:r>
      <w:r w:rsidR="00260520">
        <w:rPr>
          <w:lang w:val="en-US"/>
        </w:rPr>
        <w:t xml:space="preserve"> </w:t>
      </w:r>
      <w:r w:rsidR="00330484">
        <w:rPr>
          <w:lang w:val="en-US"/>
        </w:rPr>
        <w:t>and it became even more apparent</w:t>
      </w:r>
      <w:r w:rsidR="0027595E">
        <w:rPr>
          <w:lang w:val="en-US"/>
        </w:rPr>
        <w:t xml:space="preserve"> after the Jordanian king renounced his shielding</w:t>
      </w:r>
      <w:r w:rsidR="00330484">
        <w:rPr>
          <w:lang w:val="en-US"/>
        </w:rPr>
        <w:t xml:space="preserve"> of the Arabs living in the West Bank</w:t>
      </w:r>
      <w:r w:rsidR="00260520">
        <w:rPr>
          <w:lang w:val="en-US"/>
        </w:rPr>
        <w:t>. The First Intifada then</w:t>
      </w:r>
      <w:r w:rsidR="00A50FD5">
        <w:rPr>
          <w:lang w:val="en-US"/>
        </w:rPr>
        <w:t xml:space="preserve"> showed to the whole world </w:t>
      </w:r>
      <w:r w:rsidR="006A4D45">
        <w:rPr>
          <w:lang w:val="en-US"/>
        </w:rPr>
        <w:t>how</w:t>
      </w:r>
      <w:r w:rsidR="00A50FD5">
        <w:rPr>
          <w:lang w:val="en-US"/>
        </w:rPr>
        <w:t xml:space="preserve"> the dissatisfaction </w:t>
      </w:r>
      <w:r w:rsidR="006A4D45">
        <w:rPr>
          <w:lang w:val="en-US"/>
        </w:rPr>
        <w:t>can exceed into an armed struggle</w:t>
      </w:r>
      <w:r w:rsidR="00330484">
        <w:rPr>
          <w:lang w:val="en-US"/>
        </w:rPr>
        <w:t xml:space="preserve">, with the </w:t>
      </w:r>
      <w:r w:rsidR="00330484" w:rsidRPr="00113207">
        <w:rPr>
          <w:i/>
          <w:lang w:val="en-US"/>
        </w:rPr>
        <w:t>Second Intifada</w:t>
      </w:r>
      <w:r w:rsidR="00330484">
        <w:rPr>
          <w:lang w:val="en-US"/>
        </w:rPr>
        <w:t xml:space="preserve"> to follow not too long afterwards</w:t>
      </w:r>
      <w:r w:rsidR="00A50FD5">
        <w:rPr>
          <w:lang w:val="en-US"/>
        </w:rPr>
        <w:t>.</w:t>
      </w:r>
    </w:p>
    <w:p w:rsidR="00922B08" w:rsidRDefault="00A50FD5" w:rsidP="00346E1E">
      <w:pPr>
        <w:widowControl w:val="0"/>
        <w:spacing w:before="240"/>
        <w:ind w:firstLine="0"/>
        <w:contextualSpacing w:val="0"/>
        <w:rPr>
          <w:lang w:val="en-US"/>
        </w:rPr>
      </w:pPr>
      <w:r>
        <w:rPr>
          <w:lang w:val="en-US"/>
        </w:rPr>
        <w:t>It is, however, question</w:t>
      </w:r>
      <w:r w:rsidR="00330484">
        <w:rPr>
          <w:lang w:val="en-US"/>
        </w:rPr>
        <w:t>able</w:t>
      </w:r>
      <w:r>
        <w:rPr>
          <w:lang w:val="en-US"/>
        </w:rPr>
        <w:t xml:space="preserve"> whether it is possible to </w:t>
      </w:r>
      <w:r w:rsidR="00113207">
        <w:rPr>
          <w:lang w:val="en-US"/>
        </w:rPr>
        <w:t>understand</w:t>
      </w:r>
      <w:r>
        <w:rPr>
          <w:lang w:val="en-US"/>
        </w:rPr>
        <w:t xml:space="preserve"> </w:t>
      </w:r>
      <w:r w:rsidR="00EE367E">
        <w:rPr>
          <w:lang w:val="en-US"/>
        </w:rPr>
        <w:t xml:space="preserve">the </w:t>
      </w:r>
      <w:r w:rsidR="00EE367E" w:rsidRPr="00113207">
        <w:rPr>
          <w:i/>
          <w:lang w:val="en-US"/>
        </w:rPr>
        <w:t>Intifada</w:t>
      </w:r>
      <w:r w:rsidR="00EE367E">
        <w:rPr>
          <w:lang w:val="en-US"/>
        </w:rPr>
        <w:t xml:space="preserve"> – in fact either of the two –</w:t>
      </w:r>
      <w:r>
        <w:rPr>
          <w:lang w:val="en-US"/>
        </w:rPr>
        <w:t xml:space="preserve"> as </w:t>
      </w:r>
      <w:r w:rsidR="00330484">
        <w:rPr>
          <w:lang w:val="en-US"/>
        </w:rPr>
        <w:t xml:space="preserve">a </w:t>
      </w:r>
      <w:r>
        <w:rPr>
          <w:lang w:val="en-US"/>
        </w:rPr>
        <w:t>purely ethnic matter or whether there are other factors that contributed or played part in the struggles.</w:t>
      </w:r>
      <w:r w:rsidR="00330484">
        <w:rPr>
          <w:lang w:val="en-US"/>
        </w:rPr>
        <w:t xml:space="preserve"> This essay shall argue that the ethnic factor only is not sufficient to explain the causes </w:t>
      </w:r>
      <w:r w:rsidR="00113207">
        <w:rPr>
          <w:lang w:val="en-US"/>
        </w:rPr>
        <w:t xml:space="preserve">of the </w:t>
      </w:r>
      <w:r w:rsidR="00113207" w:rsidRPr="00113207">
        <w:rPr>
          <w:i/>
          <w:lang w:val="en-US"/>
        </w:rPr>
        <w:t>I</w:t>
      </w:r>
      <w:r w:rsidR="00EE367E" w:rsidRPr="00113207">
        <w:rPr>
          <w:i/>
          <w:lang w:val="en-US"/>
        </w:rPr>
        <w:t>ntifada</w:t>
      </w:r>
      <w:r w:rsidR="00330484">
        <w:rPr>
          <w:lang w:val="en-US"/>
        </w:rPr>
        <w:t xml:space="preserve">. Although it might have been </w:t>
      </w:r>
      <w:r w:rsidR="00F86ACA">
        <w:rPr>
          <w:lang w:val="en-US"/>
        </w:rPr>
        <w:t>one of the</w:t>
      </w:r>
      <w:r w:rsidR="00330484">
        <w:rPr>
          <w:lang w:val="en-US"/>
        </w:rPr>
        <w:t xml:space="preserve"> trigger</w:t>
      </w:r>
      <w:r w:rsidR="00F86ACA">
        <w:rPr>
          <w:lang w:val="en-US"/>
        </w:rPr>
        <w:t>s</w:t>
      </w:r>
      <w:r w:rsidR="006A4D45">
        <w:rPr>
          <w:lang w:val="en-US"/>
        </w:rPr>
        <w:t xml:space="preserve"> – or rather a shared denominator for the minority in question –</w:t>
      </w:r>
      <w:r w:rsidR="00330484">
        <w:rPr>
          <w:lang w:val="en-US"/>
        </w:rPr>
        <w:t xml:space="preserve"> as the </w:t>
      </w:r>
      <w:r w:rsidR="00A25266">
        <w:rPr>
          <w:lang w:val="en-US"/>
        </w:rPr>
        <w:t>people</w:t>
      </w:r>
      <w:r w:rsidR="00330484">
        <w:rPr>
          <w:lang w:val="en-US"/>
        </w:rPr>
        <w:t xml:space="preserve"> in the</w:t>
      </w:r>
      <w:r w:rsidR="00A25266">
        <w:rPr>
          <w:lang w:val="en-US"/>
        </w:rPr>
        <w:t xml:space="preserve"> occupied</w:t>
      </w:r>
      <w:r w:rsidR="00330484">
        <w:rPr>
          <w:lang w:val="en-US"/>
        </w:rPr>
        <w:t xml:space="preserve"> </w:t>
      </w:r>
      <w:r w:rsidR="00A25266">
        <w:rPr>
          <w:lang w:val="en-US"/>
        </w:rPr>
        <w:t>territories</w:t>
      </w:r>
      <w:r w:rsidR="00330484">
        <w:rPr>
          <w:lang w:val="en-US"/>
        </w:rPr>
        <w:t xml:space="preserve"> were to a smaller or bigger </w:t>
      </w:r>
      <w:r w:rsidR="006A4D45">
        <w:rPr>
          <w:lang w:val="en-US"/>
        </w:rPr>
        <w:t xml:space="preserve">extent </w:t>
      </w:r>
      <w:r w:rsidR="00330484">
        <w:rPr>
          <w:lang w:val="en-US"/>
        </w:rPr>
        <w:t xml:space="preserve">being treated differently from the general </w:t>
      </w:r>
      <w:r w:rsidR="00F86ACA">
        <w:rPr>
          <w:lang w:val="en-US"/>
        </w:rPr>
        <w:t xml:space="preserve">Israeli </w:t>
      </w:r>
      <w:r w:rsidR="00330484">
        <w:rPr>
          <w:lang w:val="en-US"/>
        </w:rPr>
        <w:t>population, the matter is far more comple</w:t>
      </w:r>
      <w:r w:rsidR="00F86ACA">
        <w:rPr>
          <w:lang w:val="en-US"/>
        </w:rPr>
        <w:t>x than just an ethnic struggle.</w:t>
      </w:r>
    </w:p>
    <w:p w:rsidR="00330484" w:rsidRDefault="00EE367E" w:rsidP="00346E1E">
      <w:pPr>
        <w:widowControl w:val="0"/>
        <w:spacing w:before="240"/>
        <w:ind w:firstLine="0"/>
        <w:contextualSpacing w:val="0"/>
        <w:rPr>
          <w:lang w:val="en-US"/>
        </w:rPr>
      </w:pPr>
      <w:r>
        <w:rPr>
          <w:lang w:val="en-US"/>
        </w:rPr>
        <w:t xml:space="preserve">Thus, </w:t>
      </w:r>
      <w:r w:rsidR="00330484">
        <w:rPr>
          <w:lang w:val="en-US"/>
        </w:rPr>
        <w:t>this essay sh</w:t>
      </w:r>
      <w:r>
        <w:rPr>
          <w:lang w:val="en-US"/>
        </w:rPr>
        <w:t xml:space="preserve">all look into </w:t>
      </w:r>
      <w:r w:rsidR="00A25266">
        <w:rPr>
          <w:lang w:val="en-US"/>
        </w:rPr>
        <w:t xml:space="preserve">the </w:t>
      </w:r>
      <w:r>
        <w:rPr>
          <w:lang w:val="en-US"/>
        </w:rPr>
        <w:t>ethnic element of</w:t>
      </w:r>
      <w:r w:rsidR="00330484">
        <w:rPr>
          <w:lang w:val="en-US"/>
        </w:rPr>
        <w:t xml:space="preserve"> the </w:t>
      </w:r>
      <w:r w:rsidRPr="00113207">
        <w:rPr>
          <w:i/>
          <w:lang w:val="en-US"/>
        </w:rPr>
        <w:t>First Intifada</w:t>
      </w:r>
      <w:r w:rsidR="00330484">
        <w:rPr>
          <w:lang w:val="en-US"/>
        </w:rPr>
        <w:t>: how big of a role it played and whether the re</w:t>
      </w:r>
      <w:r w:rsidR="006A4D45">
        <w:rPr>
          <w:lang w:val="en-US"/>
        </w:rPr>
        <w:t>search theory will prove or dis</w:t>
      </w:r>
      <w:r w:rsidR="00A25266">
        <w:rPr>
          <w:lang w:val="en-US"/>
        </w:rPr>
        <w:t>prove the above-mentioned</w:t>
      </w:r>
      <w:r w:rsidR="000D3D04">
        <w:rPr>
          <w:lang w:val="en-US"/>
        </w:rPr>
        <w:t xml:space="preserve"> statement</w:t>
      </w:r>
      <w:r w:rsidR="00330484">
        <w:rPr>
          <w:lang w:val="en-US"/>
        </w:rPr>
        <w:t xml:space="preserve"> that ethnicity alone </w:t>
      </w:r>
      <w:r w:rsidR="00330484" w:rsidRPr="00113207">
        <w:rPr>
          <w:i/>
          <w:lang w:val="en-US"/>
        </w:rPr>
        <w:t>cannot</w:t>
      </w:r>
      <w:r w:rsidR="00330484">
        <w:rPr>
          <w:lang w:val="en-US"/>
        </w:rPr>
        <w:t xml:space="preserve"> be seen as the </w:t>
      </w:r>
      <w:r w:rsidR="006A4D45">
        <w:rPr>
          <w:lang w:val="en-US"/>
        </w:rPr>
        <w:t>only</w:t>
      </w:r>
      <w:r w:rsidR="00330484">
        <w:rPr>
          <w:lang w:val="en-US"/>
        </w:rPr>
        <w:t xml:space="preserve"> reason for th</w:t>
      </w:r>
      <w:r w:rsidR="006A4D45">
        <w:rPr>
          <w:lang w:val="en-US"/>
        </w:rPr>
        <w:t>e uprising</w:t>
      </w:r>
      <w:r w:rsidR="00330484">
        <w:rPr>
          <w:lang w:val="en-US"/>
        </w:rPr>
        <w:t>.</w:t>
      </w:r>
      <w:r>
        <w:rPr>
          <w:lang w:val="en-US"/>
        </w:rPr>
        <w:t xml:space="preserve"> The author’s initial </w:t>
      </w:r>
      <w:r w:rsidR="00A25266">
        <w:rPr>
          <w:lang w:val="en-US"/>
        </w:rPr>
        <w:t>hypothesis</w:t>
      </w:r>
      <w:r>
        <w:rPr>
          <w:lang w:val="en-US"/>
        </w:rPr>
        <w:t xml:space="preserve"> is that ethnicity alone cannot be seen as a sole source of the </w:t>
      </w:r>
      <w:r w:rsidR="006A4D45">
        <w:rPr>
          <w:lang w:val="en-US"/>
        </w:rPr>
        <w:t>conflict</w:t>
      </w:r>
      <w:r>
        <w:rPr>
          <w:lang w:val="en-US"/>
        </w:rPr>
        <w:t xml:space="preserve">. Due to the scope of the paper, only the </w:t>
      </w:r>
      <w:r w:rsidRPr="00113207">
        <w:rPr>
          <w:i/>
          <w:lang w:val="en-US"/>
        </w:rPr>
        <w:t>First Intifada</w:t>
      </w:r>
      <w:r>
        <w:rPr>
          <w:lang w:val="en-US"/>
        </w:rPr>
        <w:t xml:space="preserve"> shall be examined, although it would surely be interesting to compare both of the </w:t>
      </w:r>
      <w:r w:rsidRPr="00113207">
        <w:rPr>
          <w:i/>
          <w:lang w:val="en-US"/>
        </w:rPr>
        <w:t>Intifadas</w:t>
      </w:r>
      <w:r>
        <w:rPr>
          <w:lang w:val="en-US"/>
        </w:rPr>
        <w:t>, namely in terms whether ethnicity played bigger role in either of them separately as well as in comparison to each other.</w:t>
      </w:r>
    </w:p>
    <w:p w:rsidR="00A50FD5" w:rsidRDefault="00A50FD5" w:rsidP="00346E1E">
      <w:pPr>
        <w:widowControl w:val="0"/>
        <w:spacing w:before="240" w:after="200" w:line="276" w:lineRule="auto"/>
        <w:ind w:firstLine="0"/>
        <w:contextualSpacing w:val="0"/>
        <w:jc w:val="left"/>
        <w:rPr>
          <w:lang w:val="en-US"/>
        </w:rPr>
      </w:pPr>
      <w:r>
        <w:rPr>
          <w:lang w:val="en-US"/>
        </w:rPr>
        <w:br w:type="page"/>
      </w:r>
    </w:p>
    <w:p w:rsidR="002353EA" w:rsidRDefault="00922B08" w:rsidP="00346E1E">
      <w:pPr>
        <w:pStyle w:val="Nadpis1"/>
        <w:keepNext w:val="0"/>
        <w:keepLines w:val="0"/>
        <w:widowControl w:val="0"/>
        <w:ind w:firstLine="0"/>
        <w:rPr>
          <w:lang w:val="en-US"/>
        </w:rPr>
      </w:pPr>
      <w:bookmarkStart w:id="1" w:name="_Toc454021434"/>
      <w:r>
        <w:rPr>
          <w:lang w:val="en-US"/>
        </w:rPr>
        <w:lastRenderedPageBreak/>
        <w:t>Methodology</w:t>
      </w:r>
      <w:bookmarkEnd w:id="1"/>
    </w:p>
    <w:p w:rsidR="00A078D2" w:rsidRDefault="00A60D55" w:rsidP="00A078D2">
      <w:pPr>
        <w:widowControl w:val="0"/>
        <w:spacing w:before="240"/>
        <w:ind w:firstLine="0"/>
        <w:contextualSpacing w:val="0"/>
        <w:rPr>
          <w:lang w:val="en-US"/>
        </w:rPr>
      </w:pPr>
      <w:r>
        <w:rPr>
          <w:lang w:val="en-US"/>
        </w:rPr>
        <w:t>This</w:t>
      </w:r>
      <w:r w:rsidR="00A078D2">
        <w:rPr>
          <w:lang w:val="en-US"/>
        </w:rPr>
        <w:t xml:space="preserve"> paper builds on a small-N method as only </w:t>
      </w:r>
      <w:r w:rsidR="009A1F3D">
        <w:rPr>
          <w:lang w:val="en-US"/>
        </w:rPr>
        <w:t>one case</w:t>
      </w:r>
      <w:r w:rsidR="00A078D2">
        <w:rPr>
          <w:lang w:val="en-US"/>
        </w:rPr>
        <w:t xml:space="preserve"> </w:t>
      </w:r>
      <w:r w:rsidR="009A1F3D">
        <w:rPr>
          <w:lang w:val="en-US"/>
        </w:rPr>
        <w:t>is</w:t>
      </w:r>
      <w:r w:rsidR="00A078D2">
        <w:rPr>
          <w:lang w:val="en-US"/>
        </w:rPr>
        <w:t xml:space="preserve"> </w:t>
      </w:r>
      <w:r>
        <w:rPr>
          <w:lang w:val="en-US"/>
        </w:rPr>
        <w:t>being analyzed</w:t>
      </w:r>
      <w:r w:rsidR="006A4D45">
        <w:rPr>
          <w:lang w:val="en-US"/>
        </w:rPr>
        <w:t xml:space="preserve"> – it is </w:t>
      </w:r>
      <w:r w:rsidR="006A4D45" w:rsidRPr="005916C7">
        <w:rPr>
          <w:i/>
          <w:lang w:val="en-US"/>
        </w:rPr>
        <w:t>a single case study</w:t>
      </w:r>
      <w:r w:rsidR="00A078D2">
        <w:rPr>
          <w:lang w:val="en-US"/>
        </w:rPr>
        <w:t xml:space="preserve">. The applied theory is the theory of </w:t>
      </w:r>
      <w:r w:rsidR="00A078D2" w:rsidRPr="00A60D55">
        <w:rPr>
          <w:i/>
          <w:lang w:val="en-US"/>
        </w:rPr>
        <w:t>primordialism</w:t>
      </w:r>
      <w:r w:rsidR="00A078D2">
        <w:rPr>
          <w:lang w:val="en-US"/>
        </w:rPr>
        <w:t xml:space="preserve"> and especially Kaplan’s</w:t>
      </w:r>
      <w:r>
        <w:rPr>
          <w:lang w:val="en-US"/>
        </w:rPr>
        <w:t xml:space="preserve"> interpretation of</w:t>
      </w:r>
      <w:r w:rsidR="00A078D2">
        <w:rPr>
          <w:lang w:val="en-US"/>
        </w:rPr>
        <w:t xml:space="preserve"> </w:t>
      </w:r>
      <w:r w:rsidR="00A078D2" w:rsidRPr="003C69B4">
        <w:rPr>
          <w:i/>
          <w:lang w:val="en-US"/>
        </w:rPr>
        <w:t>ancient hatreds</w:t>
      </w:r>
      <w:r w:rsidR="00A078D2">
        <w:rPr>
          <w:lang w:val="en-US"/>
        </w:rPr>
        <w:t>. Based on this theory, differences between ethnicities – in this case between the Palestinians (Arabs) and Jews</w:t>
      </w:r>
      <w:r w:rsidR="00C87786">
        <w:rPr>
          <w:rStyle w:val="Znakapoznpodarou"/>
          <w:lang w:val="en-US"/>
        </w:rPr>
        <w:footnoteReference w:id="2"/>
      </w:r>
      <w:r w:rsidR="00A078D2">
        <w:rPr>
          <w:lang w:val="en-US"/>
        </w:rPr>
        <w:t xml:space="preserve"> in the area </w:t>
      </w:r>
      <w:r w:rsidR="00534707">
        <w:rPr>
          <w:lang w:val="en-US"/>
        </w:rPr>
        <w:t xml:space="preserve">– </w:t>
      </w:r>
      <w:r w:rsidR="005916C7">
        <w:rPr>
          <w:lang w:val="en-US"/>
        </w:rPr>
        <w:t>should be</w:t>
      </w:r>
      <w:r w:rsidR="00A078D2">
        <w:rPr>
          <w:lang w:val="en-US"/>
        </w:rPr>
        <w:t xml:space="preserve"> perceived as: </w:t>
      </w:r>
    </w:p>
    <w:p w:rsidR="00EA6706" w:rsidRDefault="00EA6706" w:rsidP="00A078D2">
      <w:pPr>
        <w:widowControl w:val="0"/>
        <w:spacing w:before="240"/>
        <w:ind w:left="708" w:firstLine="1"/>
        <w:contextualSpacing w:val="0"/>
        <w:rPr>
          <w:lang w:val="en-US"/>
        </w:rPr>
      </w:pPr>
      <w:r>
        <w:rPr>
          <w:lang w:val="en-US"/>
        </w:rPr>
        <w:t>“</w:t>
      </w:r>
      <w:r w:rsidR="00A078D2">
        <w:rPr>
          <w:lang w:val="en-US"/>
        </w:rPr>
        <w:t xml:space="preserve">… </w:t>
      </w:r>
      <w:r w:rsidR="00A078D2" w:rsidRPr="004A2F3B">
        <w:rPr>
          <w:lang w:val="en-US"/>
        </w:rPr>
        <w:t>ancestral, deep and irreconcilable (Esteban et al., 2012) and as such ethnic conflict stems naturally and inevitably from ‘ancient hatreds’ between ethnic groups (Weir, 2012).</w:t>
      </w:r>
      <w:r>
        <w:rPr>
          <w:rStyle w:val="Znakapoznpodarou"/>
          <w:lang w:val="en-US"/>
        </w:rPr>
        <w:t xml:space="preserve">” </w:t>
      </w:r>
      <w:r>
        <w:rPr>
          <w:rStyle w:val="Znakapoznpodarou"/>
          <w:lang w:val="en-US"/>
        </w:rPr>
        <w:footnoteReference w:id="3"/>
      </w:r>
      <w:r w:rsidR="00A078D2" w:rsidRPr="004A2F3B">
        <w:rPr>
          <w:lang w:val="en-US"/>
        </w:rPr>
        <w:t xml:space="preserve"> </w:t>
      </w:r>
    </w:p>
    <w:p w:rsidR="00A078D2" w:rsidRDefault="00EA6706" w:rsidP="00EA6706">
      <w:pPr>
        <w:widowControl w:val="0"/>
        <w:spacing w:before="240"/>
        <w:ind w:firstLine="0"/>
        <w:contextualSpacing w:val="0"/>
        <w:rPr>
          <w:lang w:val="en-US"/>
        </w:rPr>
      </w:pPr>
      <w:r>
        <w:rPr>
          <w:lang w:val="en-US"/>
        </w:rPr>
        <w:t xml:space="preserve">Further, </w:t>
      </w:r>
      <w:r w:rsidRPr="00EA6706">
        <w:rPr>
          <w:i/>
          <w:lang w:val="en-US"/>
        </w:rPr>
        <w:t>p</w:t>
      </w:r>
      <w:r w:rsidR="00A078D2" w:rsidRPr="00EA6706">
        <w:rPr>
          <w:i/>
          <w:lang w:val="en-US"/>
        </w:rPr>
        <w:t>rimordialism</w:t>
      </w:r>
      <w:r w:rsidR="00A078D2" w:rsidRPr="004A2F3B">
        <w:rPr>
          <w:lang w:val="en-US"/>
        </w:rPr>
        <w:t xml:space="preserve"> </w:t>
      </w:r>
      <w:r w:rsidR="00534707">
        <w:rPr>
          <w:lang w:val="en-US"/>
        </w:rPr>
        <w:t>“</w:t>
      </w:r>
      <w:r w:rsidR="00A078D2" w:rsidRPr="004A2F3B">
        <w:rPr>
          <w:lang w:val="en-US"/>
        </w:rPr>
        <w:t>explains the fear of domination, expulsion or even extinction that lies at the base of most ethnic conflicts (Glazer, 1986:429) and reveals the attachment to beliefs that provoke a depth of emotion and sheer intensity that drive the violent atrocities committed in these conflicts</w:t>
      </w:r>
      <w:r w:rsidR="00534707">
        <w:rPr>
          <w:lang w:val="en-US"/>
        </w:rPr>
        <w:t>.</w:t>
      </w:r>
      <w:r>
        <w:rPr>
          <w:lang w:val="en-US"/>
        </w:rPr>
        <w:t>”</w:t>
      </w:r>
      <w:r w:rsidR="00534707">
        <w:rPr>
          <w:rStyle w:val="Znakapoznpodarou"/>
          <w:lang w:val="en-US"/>
        </w:rPr>
        <w:footnoteReference w:id="4"/>
      </w:r>
    </w:p>
    <w:p w:rsidR="00A078D2" w:rsidRDefault="00A078D2" w:rsidP="00A078D2">
      <w:pPr>
        <w:widowControl w:val="0"/>
        <w:autoSpaceDE w:val="0"/>
        <w:autoSpaceDN w:val="0"/>
        <w:adjustRightInd w:val="0"/>
        <w:spacing w:before="240"/>
        <w:ind w:firstLine="0"/>
        <w:contextualSpacing w:val="0"/>
        <w:rPr>
          <w:lang w:val="en-US"/>
        </w:rPr>
      </w:pPr>
      <w:r>
        <w:rPr>
          <w:lang w:val="en-US"/>
        </w:rPr>
        <w:t>Although the theory of</w:t>
      </w:r>
      <w:r w:rsidR="00A60D55">
        <w:rPr>
          <w:lang w:val="en-US"/>
        </w:rPr>
        <w:t xml:space="preserve"> “pure”</w:t>
      </w:r>
      <w:r>
        <w:rPr>
          <w:lang w:val="en-US"/>
        </w:rPr>
        <w:t xml:space="preserve"> </w:t>
      </w:r>
      <w:r w:rsidRPr="00A078D2">
        <w:rPr>
          <w:i/>
          <w:lang w:val="en-US"/>
        </w:rPr>
        <w:t>primordialism</w:t>
      </w:r>
      <w:r>
        <w:rPr>
          <w:lang w:val="en-US"/>
        </w:rPr>
        <w:t xml:space="preserve"> </w:t>
      </w:r>
      <w:r w:rsidR="00A60D55">
        <w:rPr>
          <w:lang w:val="en-US"/>
        </w:rPr>
        <w:t>i</w:t>
      </w:r>
      <w:r>
        <w:rPr>
          <w:lang w:val="en-US"/>
        </w:rPr>
        <w:t xml:space="preserve">s </w:t>
      </w:r>
      <w:r w:rsidR="00A60D55">
        <w:rPr>
          <w:lang w:val="en-US"/>
        </w:rPr>
        <w:t xml:space="preserve">now being </w:t>
      </w:r>
      <w:r>
        <w:rPr>
          <w:lang w:val="en-US"/>
        </w:rPr>
        <w:t>widely overthrown</w:t>
      </w:r>
      <w:r w:rsidR="00A60D55">
        <w:rPr>
          <w:rStyle w:val="Znakapoznpodarou"/>
          <w:lang w:val="en-US"/>
        </w:rPr>
        <w:footnoteReference w:id="5"/>
      </w:r>
      <w:r>
        <w:rPr>
          <w:lang w:val="en-US"/>
        </w:rPr>
        <w:t>, there still are tendencies to oversimplify the Arab-Israeli conflict</w:t>
      </w:r>
      <w:r w:rsidR="00A60D55">
        <w:rPr>
          <w:lang w:val="en-US"/>
        </w:rPr>
        <w:t xml:space="preserve"> and its causes</w:t>
      </w:r>
      <w:r>
        <w:rPr>
          <w:lang w:val="en-US"/>
        </w:rPr>
        <w:t xml:space="preserve"> in terms of </w:t>
      </w:r>
      <w:r w:rsidR="006A4D45">
        <w:rPr>
          <w:lang w:val="en-US"/>
        </w:rPr>
        <w:t>interpreting it</w:t>
      </w:r>
      <w:r w:rsidR="00A60D55">
        <w:rPr>
          <w:lang w:val="en-US"/>
        </w:rPr>
        <w:t xml:space="preserve"> a</w:t>
      </w:r>
      <w:r w:rsidR="006A4D45">
        <w:rPr>
          <w:lang w:val="en-US"/>
        </w:rPr>
        <w:t>s a</w:t>
      </w:r>
      <w:r w:rsidR="00A60D55">
        <w:rPr>
          <w:lang w:val="en-US"/>
        </w:rPr>
        <w:t xml:space="preserve"> result of mere </w:t>
      </w:r>
      <w:r>
        <w:rPr>
          <w:lang w:val="en-US"/>
        </w:rPr>
        <w:t xml:space="preserve">ethnic differences – </w:t>
      </w:r>
      <w:r w:rsidRPr="005916C7">
        <w:rPr>
          <w:i/>
          <w:lang w:val="en-US"/>
        </w:rPr>
        <w:t>ancient hatreds</w:t>
      </w:r>
      <w:r>
        <w:rPr>
          <w:lang w:val="en-US"/>
        </w:rPr>
        <w:t>. Aim of this paper is to</w:t>
      </w:r>
      <w:r w:rsidR="00A60D55">
        <w:rPr>
          <w:lang w:val="en-US"/>
        </w:rPr>
        <w:t xml:space="preserve"> show that the matter cannot be oversimplified </w:t>
      </w:r>
      <w:r w:rsidR="005916C7">
        <w:rPr>
          <w:lang w:val="en-US"/>
        </w:rPr>
        <w:t xml:space="preserve">in such </w:t>
      </w:r>
      <w:r w:rsidR="001F73D5">
        <w:rPr>
          <w:lang w:val="en-US"/>
        </w:rPr>
        <w:t xml:space="preserve">a </w:t>
      </w:r>
      <w:r w:rsidR="005916C7">
        <w:rPr>
          <w:lang w:val="en-US"/>
        </w:rPr>
        <w:t xml:space="preserve">manner </w:t>
      </w:r>
      <w:r w:rsidR="00A60D55">
        <w:rPr>
          <w:lang w:val="en-US"/>
        </w:rPr>
        <w:t xml:space="preserve">and interpreted only in terms of </w:t>
      </w:r>
      <w:r w:rsidR="00A60D55" w:rsidRPr="005916C7">
        <w:rPr>
          <w:i/>
          <w:lang w:val="en-US"/>
        </w:rPr>
        <w:t>ancient hatreds</w:t>
      </w:r>
      <w:r w:rsidR="009A1F3D">
        <w:rPr>
          <w:lang w:val="en-US"/>
        </w:rPr>
        <w:t xml:space="preserve"> and inter-group antagonism</w:t>
      </w:r>
      <w:r w:rsidR="00A60D55">
        <w:rPr>
          <w:lang w:val="en-US"/>
        </w:rPr>
        <w:t xml:space="preserve"> and that the causes also include national self-determination, </w:t>
      </w:r>
      <w:r w:rsidR="005916C7">
        <w:rPr>
          <w:lang w:val="en-US"/>
        </w:rPr>
        <w:t>political</w:t>
      </w:r>
      <w:r w:rsidR="00A60D55">
        <w:rPr>
          <w:lang w:val="en-US"/>
        </w:rPr>
        <w:t xml:space="preserve"> causes, and economic issues, to name a few</w:t>
      </w:r>
      <w:r w:rsidR="008F3229">
        <w:rPr>
          <w:lang w:val="en-US"/>
        </w:rPr>
        <w:t xml:space="preserve">, which are the areas that </w:t>
      </w:r>
      <w:r w:rsidR="008F3229" w:rsidRPr="008F3229">
        <w:rPr>
          <w:i/>
          <w:lang w:val="en-US"/>
        </w:rPr>
        <w:t>primordialism</w:t>
      </w:r>
      <w:r w:rsidR="008F3229">
        <w:rPr>
          <w:lang w:val="en-US"/>
        </w:rPr>
        <w:t xml:space="preserve"> largely ignores as it sees the violent tendencies as genetically encoded</w:t>
      </w:r>
      <w:r w:rsidR="008F3229">
        <w:rPr>
          <w:rStyle w:val="Znakapoznpodarou"/>
          <w:lang w:val="en-US"/>
        </w:rPr>
        <w:footnoteReference w:id="6"/>
      </w:r>
      <w:r w:rsidR="00A60D55">
        <w:rPr>
          <w:lang w:val="en-US"/>
        </w:rPr>
        <w:t>.</w:t>
      </w:r>
    </w:p>
    <w:p w:rsidR="00565C6C" w:rsidRPr="00A078D2" w:rsidRDefault="00A078D2" w:rsidP="00A078D2">
      <w:pPr>
        <w:widowControl w:val="0"/>
        <w:autoSpaceDE w:val="0"/>
        <w:autoSpaceDN w:val="0"/>
        <w:adjustRightInd w:val="0"/>
        <w:spacing w:before="240"/>
        <w:ind w:firstLine="0"/>
        <w:contextualSpacing w:val="0"/>
        <w:rPr>
          <w:bCs/>
          <w:color w:val="000000"/>
          <w:szCs w:val="24"/>
          <w:lang w:val="en-US"/>
        </w:rPr>
      </w:pPr>
      <w:r>
        <w:rPr>
          <w:rFonts w:eastAsiaTheme="minorHAnsi"/>
          <w:szCs w:val="24"/>
          <w:lang w:val="en-US"/>
        </w:rPr>
        <w:t xml:space="preserve">The two ethnicities that are being analyzed in this paper are Palestinians and </w:t>
      </w:r>
      <w:r w:rsidR="006A4D45">
        <w:rPr>
          <w:rFonts w:eastAsiaTheme="minorHAnsi"/>
          <w:szCs w:val="24"/>
          <w:lang w:val="en-US"/>
        </w:rPr>
        <w:t xml:space="preserve">the </w:t>
      </w:r>
      <w:r>
        <w:rPr>
          <w:rFonts w:eastAsiaTheme="minorHAnsi"/>
          <w:szCs w:val="24"/>
          <w:lang w:val="en-US"/>
        </w:rPr>
        <w:t xml:space="preserve">Israeli Jews.  Since </w:t>
      </w:r>
      <w:r w:rsidRPr="00A078D2">
        <w:rPr>
          <w:rFonts w:eastAsiaTheme="minorHAnsi"/>
          <w:i/>
          <w:szCs w:val="24"/>
          <w:lang w:val="en-US"/>
        </w:rPr>
        <w:t>Palestinians</w:t>
      </w:r>
      <w:r>
        <w:rPr>
          <w:rFonts w:eastAsiaTheme="minorHAnsi"/>
          <w:szCs w:val="24"/>
          <w:lang w:val="en-US"/>
        </w:rPr>
        <w:t xml:space="preserve"> were the minority that rebelled, it is necessary to explain how they are perceived from the ethnic point of view in the area of Israel. MAR project labels them as an </w:t>
      </w:r>
      <w:r w:rsidR="00565C6C">
        <w:rPr>
          <w:bCs/>
          <w:i/>
          <w:color w:val="000000"/>
          <w:lang w:val="en-US"/>
        </w:rPr>
        <w:lastRenderedPageBreak/>
        <w:t>e</w:t>
      </w:r>
      <w:r w:rsidR="00565C6C" w:rsidRPr="00565C6C">
        <w:rPr>
          <w:bCs/>
          <w:i/>
          <w:color w:val="000000"/>
          <w:lang w:val="en-US"/>
        </w:rPr>
        <w:t>thnonationalist</w:t>
      </w:r>
      <w:r w:rsidR="00565C6C" w:rsidRPr="00565C6C">
        <w:rPr>
          <w:rStyle w:val="Znakapoznpodarou"/>
          <w:bCs/>
          <w:color w:val="000000"/>
          <w:lang w:val="en-US"/>
        </w:rPr>
        <w:footnoteReference w:id="7"/>
      </w:r>
      <w:r w:rsidR="00565C6C">
        <w:rPr>
          <w:bCs/>
          <w:i/>
          <w:color w:val="000000"/>
          <w:lang w:val="en-US"/>
        </w:rPr>
        <w:t>:</w:t>
      </w:r>
    </w:p>
    <w:p w:rsidR="00565C6C" w:rsidRDefault="00565C6C" w:rsidP="00565C6C">
      <w:pPr>
        <w:pStyle w:val="Normlnweb"/>
        <w:spacing w:line="360" w:lineRule="auto"/>
        <w:ind w:left="708"/>
        <w:jc w:val="both"/>
        <w:rPr>
          <w:bCs/>
          <w:color w:val="000000"/>
          <w:lang w:val="en-US"/>
        </w:rPr>
      </w:pPr>
      <w:r>
        <w:rPr>
          <w:bCs/>
          <w:color w:val="000000"/>
          <w:lang w:val="en-US"/>
        </w:rPr>
        <w:t>“</w:t>
      </w:r>
      <w:r w:rsidRPr="00565C6C">
        <w:rPr>
          <w:bCs/>
          <w:color w:val="000000"/>
          <w:lang w:val="en-US"/>
        </w:rPr>
        <w:t>These are regionally concentrated peoples with a history of organized political autonomy with their own state, traditional ruler, or regional government, who have supported political movements for autonomy at some time since 1945.</w:t>
      </w:r>
      <w:r>
        <w:rPr>
          <w:bCs/>
          <w:color w:val="000000"/>
          <w:lang w:val="en-US"/>
        </w:rPr>
        <w:t>”</w:t>
      </w:r>
    </w:p>
    <w:p w:rsidR="00A078D2" w:rsidRPr="001F73D5" w:rsidRDefault="00A078D2" w:rsidP="00A078D2">
      <w:pPr>
        <w:widowControl w:val="0"/>
        <w:autoSpaceDE w:val="0"/>
        <w:autoSpaceDN w:val="0"/>
        <w:adjustRightInd w:val="0"/>
        <w:spacing w:before="240"/>
        <w:ind w:firstLine="0"/>
        <w:contextualSpacing w:val="0"/>
        <w:rPr>
          <w:rFonts w:eastAsiaTheme="minorHAnsi"/>
          <w:i/>
          <w:szCs w:val="24"/>
          <w:lang w:val="en-US"/>
        </w:rPr>
      </w:pPr>
      <w:r>
        <w:rPr>
          <w:bCs/>
          <w:color w:val="000000"/>
          <w:lang w:val="en-US"/>
        </w:rPr>
        <w:t>Further, there are also other Arab minorities that live in the area of Israel, who, however, do not identify as Palestinians</w:t>
      </w:r>
      <w:r w:rsidR="001F73D5">
        <w:rPr>
          <w:bCs/>
          <w:color w:val="000000"/>
          <w:lang w:val="en-US"/>
        </w:rPr>
        <w:t xml:space="preserve"> and therefore</w:t>
      </w:r>
      <w:r w:rsidR="001F73D5">
        <w:rPr>
          <w:bCs/>
          <w:color w:val="000000"/>
          <w:szCs w:val="24"/>
          <w:lang w:val="en-US"/>
        </w:rPr>
        <w:t xml:space="preserve"> are </w:t>
      </w:r>
      <w:r>
        <w:rPr>
          <w:bCs/>
          <w:color w:val="000000"/>
          <w:szCs w:val="24"/>
          <w:lang w:val="en-US"/>
        </w:rPr>
        <w:t>not being part of the analyzed sample.</w:t>
      </w:r>
    </w:p>
    <w:p w:rsidR="00A078D2" w:rsidRDefault="00A078D2" w:rsidP="00A078D2">
      <w:pPr>
        <w:widowControl w:val="0"/>
        <w:autoSpaceDE w:val="0"/>
        <w:autoSpaceDN w:val="0"/>
        <w:adjustRightInd w:val="0"/>
        <w:spacing w:before="240"/>
        <w:ind w:firstLine="0"/>
        <w:contextualSpacing w:val="0"/>
        <w:rPr>
          <w:lang w:val="en-US"/>
        </w:rPr>
      </w:pPr>
      <w:r>
        <w:rPr>
          <w:lang w:val="en-US"/>
        </w:rPr>
        <w:t xml:space="preserve">Last but not least, it is important to define how </w:t>
      </w:r>
      <w:r w:rsidRPr="00777B47">
        <w:rPr>
          <w:i/>
          <w:lang w:val="en-US"/>
        </w:rPr>
        <w:t>ethnic conflict</w:t>
      </w:r>
      <w:r>
        <w:rPr>
          <w:lang w:val="en-US"/>
        </w:rPr>
        <w:t xml:space="preserve"> is understood in this paper. It is interpreted based on the MAR definition as: </w:t>
      </w:r>
    </w:p>
    <w:p w:rsidR="006A4D45" w:rsidRDefault="00A078D2" w:rsidP="006A4D45">
      <w:pPr>
        <w:widowControl w:val="0"/>
        <w:autoSpaceDE w:val="0"/>
        <w:autoSpaceDN w:val="0"/>
        <w:adjustRightInd w:val="0"/>
        <w:spacing w:before="240"/>
        <w:ind w:left="708" w:firstLine="0"/>
        <w:contextualSpacing w:val="0"/>
        <w:rPr>
          <w:rFonts w:eastAsiaTheme="minorHAnsi"/>
          <w:szCs w:val="24"/>
          <w:lang w:val="en-US"/>
        </w:rPr>
      </w:pPr>
      <w:proofErr w:type="gramStart"/>
      <w:r>
        <w:rPr>
          <w:rFonts w:eastAsiaTheme="minorHAnsi"/>
          <w:szCs w:val="24"/>
          <w:lang w:val="en-US"/>
        </w:rPr>
        <w:t>“E</w:t>
      </w:r>
      <w:r w:rsidRPr="00CE280E">
        <w:rPr>
          <w:rFonts w:eastAsiaTheme="minorHAnsi"/>
          <w:szCs w:val="24"/>
          <w:lang w:val="en-US"/>
        </w:rPr>
        <w:t>pisodes of violent con</w:t>
      </w:r>
      <w:r>
        <w:rPr>
          <w:rFonts w:eastAsiaTheme="minorHAnsi"/>
          <w:szCs w:val="24"/>
          <w:lang w:val="en-US"/>
        </w:rPr>
        <w:t>fl</w:t>
      </w:r>
      <w:r w:rsidRPr="00CE280E">
        <w:rPr>
          <w:rFonts w:eastAsiaTheme="minorHAnsi"/>
          <w:szCs w:val="24"/>
          <w:lang w:val="en-US"/>
        </w:rPr>
        <w:t>ict between governments and national, ethnic, religious, or other communal minorities (</w:t>
      </w:r>
      <w:r>
        <w:rPr>
          <w:rFonts w:eastAsiaTheme="minorHAnsi"/>
          <w:szCs w:val="24"/>
          <w:lang w:val="en-US"/>
        </w:rPr>
        <w:t>et</w:t>
      </w:r>
      <w:r w:rsidRPr="00CE280E">
        <w:rPr>
          <w:rFonts w:eastAsiaTheme="minorHAnsi"/>
          <w:szCs w:val="24"/>
          <w:lang w:val="en-US"/>
        </w:rPr>
        <w:t xml:space="preserve">hnic challengers) in which the challengers seek major changes in </w:t>
      </w:r>
      <w:r>
        <w:rPr>
          <w:rFonts w:eastAsiaTheme="minorHAnsi"/>
          <w:szCs w:val="24"/>
          <w:lang w:val="en-US"/>
        </w:rPr>
        <w:t>their status.”</w:t>
      </w:r>
      <w:proofErr w:type="gramEnd"/>
      <w:r w:rsidR="006A4D45">
        <w:rPr>
          <w:rFonts w:eastAsiaTheme="minorHAnsi"/>
          <w:szCs w:val="24"/>
          <w:lang w:val="en-US"/>
        </w:rPr>
        <w:t xml:space="preserve"> </w:t>
      </w:r>
    </w:p>
    <w:p w:rsidR="00A078D2" w:rsidRDefault="00A078D2" w:rsidP="00A078D2">
      <w:pPr>
        <w:widowControl w:val="0"/>
        <w:autoSpaceDE w:val="0"/>
        <w:autoSpaceDN w:val="0"/>
        <w:adjustRightInd w:val="0"/>
        <w:spacing w:before="240"/>
        <w:ind w:firstLine="0"/>
        <w:contextualSpacing w:val="0"/>
        <w:rPr>
          <w:bCs/>
          <w:color w:val="000000"/>
          <w:szCs w:val="24"/>
          <w:lang w:val="en-US"/>
        </w:rPr>
      </w:pPr>
      <w:r>
        <w:rPr>
          <w:rFonts w:eastAsiaTheme="minorHAnsi"/>
          <w:szCs w:val="24"/>
          <w:lang w:val="en-US"/>
        </w:rPr>
        <w:t xml:space="preserve">Moreover, it is expected that members of an </w:t>
      </w:r>
      <w:r w:rsidRPr="00F86ACA">
        <w:rPr>
          <w:rFonts w:eastAsiaTheme="minorHAnsi"/>
          <w:i/>
          <w:szCs w:val="24"/>
          <w:lang w:val="en-US"/>
        </w:rPr>
        <w:t>ethnic community</w:t>
      </w:r>
      <w:r>
        <w:rPr>
          <w:rFonts w:eastAsiaTheme="minorHAnsi"/>
          <w:szCs w:val="24"/>
          <w:lang w:val="en-US"/>
        </w:rPr>
        <w:t xml:space="preserve"> share common markers, such as religion, language, history, common origin or nationality, language, which creates a </w:t>
      </w:r>
      <w:r w:rsidRPr="00F86ACA">
        <w:rPr>
          <w:rFonts w:eastAsiaTheme="minorHAnsi"/>
          <w:i/>
          <w:szCs w:val="24"/>
          <w:lang w:val="en-US"/>
        </w:rPr>
        <w:t>common identity</w:t>
      </w:r>
      <w:r>
        <w:rPr>
          <w:rFonts w:eastAsiaTheme="minorHAnsi"/>
          <w:i/>
          <w:szCs w:val="24"/>
          <w:lang w:val="en-US"/>
        </w:rPr>
        <w:t xml:space="preserve">, </w:t>
      </w:r>
      <w:r>
        <w:rPr>
          <w:rFonts w:eastAsiaTheme="minorHAnsi"/>
          <w:szCs w:val="24"/>
          <w:lang w:val="en-US"/>
        </w:rPr>
        <w:t>they, however, have to actively identify with and</w:t>
      </w:r>
      <w:r w:rsidR="006A4D45">
        <w:rPr>
          <w:rFonts w:eastAsiaTheme="minorHAnsi"/>
          <w:szCs w:val="24"/>
          <w:lang w:val="en-US"/>
        </w:rPr>
        <w:t xml:space="preserve"> which</w:t>
      </w:r>
      <w:r>
        <w:rPr>
          <w:rFonts w:eastAsiaTheme="minorHAnsi"/>
          <w:szCs w:val="24"/>
          <w:lang w:val="en-US"/>
        </w:rPr>
        <w:t xml:space="preserve"> should</w:t>
      </w:r>
      <w:r w:rsidR="006A4D45">
        <w:rPr>
          <w:rFonts w:eastAsiaTheme="minorHAnsi"/>
          <w:szCs w:val="24"/>
          <w:lang w:val="en-US"/>
        </w:rPr>
        <w:t xml:space="preserve"> also</w:t>
      </w:r>
      <w:r>
        <w:rPr>
          <w:rFonts w:eastAsiaTheme="minorHAnsi"/>
          <w:szCs w:val="24"/>
          <w:lang w:val="en-US"/>
        </w:rPr>
        <w:t xml:space="preserve"> be recognized externally</w:t>
      </w:r>
      <w:r>
        <w:rPr>
          <w:rStyle w:val="Znakapoznpodarou"/>
          <w:rFonts w:eastAsiaTheme="minorHAnsi"/>
          <w:szCs w:val="24"/>
          <w:lang w:val="en-US"/>
        </w:rPr>
        <w:footnoteReference w:id="8"/>
      </w:r>
      <w:r>
        <w:rPr>
          <w:rFonts w:eastAsiaTheme="minorHAnsi"/>
          <w:szCs w:val="24"/>
          <w:lang w:val="en-US"/>
        </w:rPr>
        <w:t>.</w:t>
      </w:r>
    </w:p>
    <w:p w:rsidR="004A2F3B" w:rsidRPr="004A2F3B" w:rsidRDefault="00A078D2" w:rsidP="004A2F3B">
      <w:pPr>
        <w:widowControl w:val="0"/>
        <w:spacing w:before="240"/>
        <w:ind w:firstLine="0"/>
        <w:contextualSpacing w:val="0"/>
        <w:rPr>
          <w:lang w:val="en-US"/>
        </w:rPr>
      </w:pPr>
      <w:r>
        <w:rPr>
          <w:lang w:val="en-US"/>
        </w:rPr>
        <w:t xml:space="preserve"> </w:t>
      </w:r>
    </w:p>
    <w:p w:rsidR="002353EA" w:rsidRDefault="002353EA" w:rsidP="00346E1E">
      <w:pPr>
        <w:widowControl w:val="0"/>
        <w:spacing w:before="240"/>
        <w:ind w:firstLine="0"/>
        <w:rPr>
          <w:rFonts w:eastAsiaTheme="majorEastAsia" w:cstheme="majorBidi"/>
          <w:sz w:val="28"/>
          <w:szCs w:val="28"/>
          <w:lang w:val="en-US"/>
        </w:rPr>
      </w:pPr>
      <w:r>
        <w:rPr>
          <w:lang w:val="en-US"/>
        </w:rPr>
        <w:br w:type="page"/>
      </w:r>
    </w:p>
    <w:p w:rsidR="00C21C29" w:rsidRDefault="007A711E" w:rsidP="00346E1E">
      <w:pPr>
        <w:pStyle w:val="Nadpis1"/>
        <w:keepNext w:val="0"/>
        <w:keepLines w:val="0"/>
        <w:widowControl w:val="0"/>
        <w:numPr>
          <w:ilvl w:val="0"/>
          <w:numId w:val="5"/>
        </w:numPr>
        <w:ind w:left="0" w:firstLine="0"/>
        <w:rPr>
          <w:lang w:val="en-US"/>
        </w:rPr>
      </w:pPr>
      <w:bookmarkStart w:id="2" w:name="_Toc454021435"/>
      <w:r>
        <w:rPr>
          <w:lang w:val="en-US"/>
        </w:rPr>
        <w:lastRenderedPageBreak/>
        <w:t>Palestinians</w:t>
      </w:r>
      <w:r w:rsidR="00F86ACA">
        <w:rPr>
          <w:lang w:val="en-US"/>
        </w:rPr>
        <w:t xml:space="preserve"> in Israel</w:t>
      </w:r>
      <w:bookmarkEnd w:id="2"/>
      <w:r w:rsidR="002018C1">
        <w:rPr>
          <w:lang w:val="en-US"/>
        </w:rPr>
        <w:t xml:space="preserve"> </w:t>
      </w:r>
    </w:p>
    <w:p w:rsidR="00F86ACA" w:rsidRDefault="002018C1" w:rsidP="00C21C29">
      <w:pPr>
        <w:pStyle w:val="Nadpis2"/>
        <w:numPr>
          <w:ilvl w:val="1"/>
          <w:numId w:val="6"/>
        </w:numPr>
        <w:ind w:left="284" w:firstLine="0"/>
        <w:rPr>
          <w:lang w:val="en-US"/>
        </w:rPr>
      </w:pPr>
      <w:bookmarkStart w:id="3" w:name="_Toc454021436"/>
      <w:r>
        <w:rPr>
          <w:lang w:val="en-US"/>
        </w:rPr>
        <w:t>Overview of the Pre-Intifada History</w:t>
      </w:r>
      <w:bookmarkEnd w:id="3"/>
    </w:p>
    <w:p w:rsidR="007A711E" w:rsidRDefault="007A711E" w:rsidP="00BC1636">
      <w:pPr>
        <w:spacing w:before="240"/>
        <w:ind w:firstLine="0"/>
        <w:contextualSpacing w:val="0"/>
        <w:rPr>
          <w:lang w:val="en-US"/>
        </w:rPr>
      </w:pPr>
      <w:r>
        <w:rPr>
          <w:lang w:val="en-US"/>
        </w:rPr>
        <w:t xml:space="preserve">First Zionists to settle in the area of Palestine </w:t>
      </w:r>
      <w:r w:rsidR="00BC1636">
        <w:rPr>
          <w:lang w:val="en-US"/>
        </w:rPr>
        <w:t>came</w:t>
      </w:r>
      <w:r>
        <w:rPr>
          <w:lang w:val="en-US"/>
        </w:rPr>
        <w:t xml:space="preserve"> in the period of 1800 – 1900 AD</w:t>
      </w:r>
      <w:r>
        <w:rPr>
          <w:rStyle w:val="Znakapoznpodarou"/>
          <w:lang w:val="en-US"/>
        </w:rPr>
        <w:footnoteReference w:id="9"/>
      </w:r>
      <w:r>
        <w:rPr>
          <w:lang w:val="en-US"/>
        </w:rPr>
        <w:t xml:space="preserve">. Important move was the capture of Palestine from the Ottoman Empire during the WWI and approving </w:t>
      </w:r>
      <w:r w:rsidR="00BC1636">
        <w:rPr>
          <w:lang w:val="en-US"/>
        </w:rPr>
        <w:t xml:space="preserve">of </w:t>
      </w:r>
      <w:r>
        <w:rPr>
          <w:lang w:val="en-US"/>
        </w:rPr>
        <w:t>the British mandate – result of the 1916 Sykes-Picot Agreement</w:t>
      </w:r>
      <w:r>
        <w:rPr>
          <w:rStyle w:val="Znakapoznpodarou"/>
          <w:lang w:val="en-US"/>
        </w:rPr>
        <w:footnoteReference w:id="10"/>
      </w:r>
      <w:r>
        <w:rPr>
          <w:lang w:val="en-US"/>
        </w:rPr>
        <w:t xml:space="preserve"> </w:t>
      </w:r>
      <w:r w:rsidR="008D6F04">
        <w:rPr>
          <w:lang w:val="en-US"/>
        </w:rPr>
        <w:t>and the 1917 Balfour Declaration</w:t>
      </w:r>
      <w:r w:rsidR="008D6F04">
        <w:rPr>
          <w:rStyle w:val="Znakapoznpodarou"/>
          <w:lang w:val="en-US"/>
        </w:rPr>
        <w:footnoteReference w:id="11"/>
      </w:r>
      <w:r w:rsidR="008D6F04">
        <w:rPr>
          <w:lang w:val="en-US"/>
        </w:rPr>
        <w:t xml:space="preserve"> </w:t>
      </w:r>
      <w:r>
        <w:rPr>
          <w:lang w:val="en-US"/>
        </w:rPr>
        <w:t>– over the territory by the League of Nations in 1920.</w:t>
      </w:r>
    </w:p>
    <w:p w:rsidR="00BC1636" w:rsidRDefault="00BC1636" w:rsidP="00BC1636">
      <w:pPr>
        <w:spacing w:before="240"/>
        <w:ind w:firstLine="0"/>
        <w:contextualSpacing w:val="0"/>
        <w:rPr>
          <w:color w:val="000000"/>
          <w:szCs w:val="24"/>
          <w:lang w:val="en-US"/>
        </w:rPr>
      </w:pPr>
      <w:r>
        <w:rPr>
          <w:lang w:val="en-US"/>
        </w:rPr>
        <w:t>Key pe</w:t>
      </w:r>
      <w:r w:rsidR="00627C9B">
        <w:rPr>
          <w:lang w:val="en-US"/>
        </w:rPr>
        <w:t xml:space="preserve">riod in terms of modern Israeli-Palestinian </w:t>
      </w:r>
      <w:r>
        <w:rPr>
          <w:lang w:val="en-US"/>
        </w:rPr>
        <w:t>history</w:t>
      </w:r>
      <w:r w:rsidR="00627C9B">
        <w:rPr>
          <w:lang w:val="en-US"/>
        </w:rPr>
        <w:t xml:space="preserve"> is 1947-1948 when the UN called for t</w:t>
      </w:r>
      <w:r w:rsidR="003C69B4">
        <w:rPr>
          <w:lang w:val="en-US"/>
        </w:rPr>
        <w:t>he partition of Palestine, 54% o</w:t>
      </w:r>
      <w:r w:rsidR="00627C9B">
        <w:rPr>
          <w:lang w:val="en-US"/>
        </w:rPr>
        <w:t xml:space="preserve">f which would become </w:t>
      </w:r>
      <w:r w:rsidR="003C69B4">
        <w:rPr>
          <w:lang w:val="en-US"/>
        </w:rPr>
        <w:t>the</w:t>
      </w:r>
      <w:r w:rsidR="00627C9B">
        <w:rPr>
          <w:lang w:val="en-US"/>
        </w:rPr>
        <w:t xml:space="preserve"> Palestinian state and the remaining 46% would become a Jewish state. The IDF’s “Plan D”, however, forced some 300,000 Palestinians out of their homes, turning them into refugees, and </w:t>
      </w:r>
      <w:r w:rsidR="006A4D45">
        <w:rPr>
          <w:lang w:val="en-US"/>
        </w:rPr>
        <w:t xml:space="preserve">helped to seize </w:t>
      </w:r>
      <w:r w:rsidR="00627C9B">
        <w:rPr>
          <w:lang w:val="en-US"/>
        </w:rPr>
        <w:t xml:space="preserve">the areas of strategic value. Even after </w:t>
      </w:r>
      <w:r w:rsidR="00D44F56">
        <w:rPr>
          <w:lang w:val="en-US"/>
        </w:rPr>
        <w:t xml:space="preserve">the </w:t>
      </w:r>
      <w:r w:rsidR="00627C9B">
        <w:rPr>
          <w:lang w:val="en-US"/>
        </w:rPr>
        <w:t xml:space="preserve">1948 Arab attack and war, Israel managed to acquire vast territories that were originally meant to be Arab lands. In result, some 725,000 more </w:t>
      </w:r>
      <w:r w:rsidR="00627C9B" w:rsidRPr="00627C9B">
        <w:rPr>
          <w:szCs w:val="24"/>
          <w:lang w:val="en-US"/>
        </w:rPr>
        <w:t>Palestinians “</w:t>
      </w:r>
      <w:r w:rsidR="00627C9B" w:rsidRPr="00627C9B">
        <w:rPr>
          <w:color w:val="000000"/>
          <w:szCs w:val="24"/>
          <w:lang w:val="en-US"/>
        </w:rPr>
        <w:t>fled to Jordan and Lebanon where they constituted 50% and 10% of the population respectively.</w:t>
      </w:r>
      <w:r w:rsidR="00843734">
        <w:rPr>
          <w:rStyle w:val="Znakapoznpodarou"/>
          <w:color w:val="000000"/>
          <w:szCs w:val="24"/>
          <w:lang w:val="en-US"/>
        </w:rPr>
        <w:footnoteReference w:id="12"/>
      </w:r>
      <w:r w:rsidR="00627C9B">
        <w:rPr>
          <w:color w:val="000000"/>
          <w:szCs w:val="24"/>
          <w:lang w:val="en-US"/>
        </w:rPr>
        <w:t>”</w:t>
      </w:r>
    </w:p>
    <w:p w:rsidR="00534707" w:rsidRDefault="00627C9B" w:rsidP="00C6046B">
      <w:pPr>
        <w:spacing w:before="240"/>
        <w:ind w:firstLine="0"/>
        <w:contextualSpacing w:val="0"/>
        <w:rPr>
          <w:rFonts w:eastAsiaTheme="majorEastAsia" w:cstheme="majorBidi"/>
          <w:b/>
          <w:bCs/>
          <w:szCs w:val="26"/>
          <w:lang w:val="en-US"/>
        </w:rPr>
      </w:pPr>
      <w:r>
        <w:rPr>
          <w:color w:val="000000"/>
          <w:szCs w:val="24"/>
          <w:lang w:val="en-US"/>
        </w:rPr>
        <w:t>The PLO</w:t>
      </w:r>
      <w:r w:rsidR="001F73D5">
        <w:rPr>
          <w:rStyle w:val="Znakapoznpodarou"/>
          <w:color w:val="000000"/>
          <w:szCs w:val="24"/>
          <w:lang w:val="en-US"/>
        </w:rPr>
        <w:footnoteReference w:id="13"/>
      </w:r>
      <w:r>
        <w:rPr>
          <w:color w:val="000000"/>
          <w:szCs w:val="24"/>
          <w:lang w:val="en-US"/>
        </w:rPr>
        <w:t xml:space="preserve"> </w:t>
      </w:r>
      <w:r w:rsidR="00843734">
        <w:rPr>
          <w:color w:val="000000"/>
          <w:szCs w:val="24"/>
          <w:lang w:val="en-US"/>
        </w:rPr>
        <w:t>was</w:t>
      </w:r>
      <w:r>
        <w:rPr>
          <w:color w:val="000000"/>
          <w:szCs w:val="24"/>
          <w:lang w:val="en-US"/>
        </w:rPr>
        <w:t xml:space="preserve"> formed in 1964</w:t>
      </w:r>
      <w:r w:rsidR="0031230C">
        <w:rPr>
          <w:color w:val="000000"/>
          <w:szCs w:val="24"/>
          <w:lang w:val="en-US"/>
        </w:rPr>
        <w:t>.</w:t>
      </w:r>
      <w:r>
        <w:rPr>
          <w:color w:val="000000"/>
          <w:szCs w:val="24"/>
          <w:lang w:val="en-US"/>
        </w:rPr>
        <w:t xml:space="preserve"> </w:t>
      </w:r>
      <w:r w:rsidR="0031230C">
        <w:rPr>
          <w:color w:val="000000"/>
          <w:szCs w:val="24"/>
          <w:lang w:val="en-US"/>
        </w:rPr>
        <w:t>Then,</w:t>
      </w:r>
      <w:r>
        <w:rPr>
          <w:color w:val="000000"/>
          <w:szCs w:val="24"/>
          <w:lang w:val="en-US"/>
        </w:rPr>
        <w:t xml:space="preserve"> </w:t>
      </w:r>
      <w:r w:rsidR="00843734">
        <w:rPr>
          <w:color w:val="000000"/>
          <w:szCs w:val="24"/>
          <w:lang w:val="en-US"/>
        </w:rPr>
        <w:t>during the Six-Day War of 196</w:t>
      </w:r>
      <w:r>
        <w:rPr>
          <w:color w:val="000000"/>
          <w:szCs w:val="24"/>
          <w:lang w:val="en-US"/>
        </w:rPr>
        <w:t>7</w:t>
      </w:r>
      <w:r w:rsidR="004709A5">
        <w:rPr>
          <w:color w:val="000000"/>
          <w:szCs w:val="24"/>
          <w:lang w:val="en-US"/>
        </w:rPr>
        <w:t>,</w:t>
      </w:r>
      <w:r>
        <w:rPr>
          <w:color w:val="000000"/>
          <w:szCs w:val="24"/>
          <w:lang w:val="en-US"/>
        </w:rPr>
        <w:t xml:space="preserve"> </w:t>
      </w:r>
      <w:r w:rsidR="004709A5">
        <w:rPr>
          <w:color w:val="000000"/>
          <w:szCs w:val="24"/>
          <w:lang w:val="en-US"/>
        </w:rPr>
        <w:t xml:space="preserve">the </w:t>
      </w:r>
      <w:r>
        <w:rPr>
          <w:color w:val="000000"/>
          <w:szCs w:val="24"/>
          <w:lang w:val="en-US"/>
        </w:rPr>
        <w:t xml:space="preserve">West Bank, Gaza Strip, the Golan Heights, and the Sinai Peninsula </w:t>
      </w:r>
      <w:r w:rsidR="00843734">
        <w:rPr>
          <w:color w:val="000000"/>
          <w:szCs w:val="24"/>
          <w:lang w:val="en-US"/>
        </w:rPr>
        <w:t>were</w:t>
      </w:r>
      <w:r>
        <w:rPr>
          <w:color w:val="000000"/>
          <w:szCs w:val="24"/>
          <w:lang w:val="en-US"/>
        </w:rPr>
        <w:t xml:space="preserve"> seized from Jordan</w:t>
      </w:r>
      <w:r w:rsidR="004709A5">
        <w:rPr>
          <w:color w:val="000000"/>
          <w:szCs w:val="24"/>
          <w:lang w:val="en-US"/>
        </w:rPr>
        <w:t>, Egypt, and Syria respectively, with the seizure of Gaza Strip and the West Bank sending some 355,000 more Palestinian refugees to Jordan. Nonetheless, there was no resistance worth mentioning between this period until the First Intifada</w:t>
      </w:r>
      <w:r w:rsidR="009F7664">
        <w:rPr>
          <w:color w:val="000000"/>
          <w:szCs w:val="24"/>
          <w:lang w:val="en-US"/>
        </w:rPr>
        <w:t xml:space="preserve"> which erupted in the West Bank and Gaza Strip</w:t>
      </w:r>
      <w:r w:rsidR="00D44F56">
        <w:rPr>
          <w:color w:val="000000"/>
          <w:szCs w:val="24"/>
          <w:lang w:val="en-US"/>
        </w:rPr>
        <w:t xml:space="preserve"> in 1987</w:t>
      </w:r>
      <w:r w:rsidR="004709A5">
        <w:rPr>
          <w:color w:val="000000"/>
          <w:szCs w:val="24"/>
          <w:lang w:val="en-US"/>
        </w:rPr>
        <w:t>.</w:t>
      </w:r>
    </w:p>
    <w:p w:rsidR="00627C9B" w:rsidRDefault="00CF2119" w:rsidP="00CF2119">
      <w:pPr>
        <w:pStyle w:val="Nadpis2"/>
        <w:numPr>
          <w:ilvl w:val="1"/>
          <w:numId w:val="6"/>
        </w:numPr>
        <w:spacing w:after="240"/>
        <w:rPr>
          <w:lang w:val="en-US"/>
        </w:rPr>
      </w:pPr>
      <w:bookmarkStart w:id="4" w:name="_Toc454021437"/>
      <w:r>
        <w:rPr>
          <w:lang w:val="en-US"/>
        </w:rPr>
        <w:lastRenderedPageBreak/>
        <w:t xml:space="preserve">Overview of the </w:t>
      </w:r>
      <w:r w:rsidR="0087380E">
        <w:rPr>
          <w:lang w:val="en-US"/>
        </w:rPr>
        <w:t xml:space="preserve">Ethnic Group </w:t>
      </w:r>
      <w:r>
        <w:rPr>
          <w:lang w:val="en-US"/>
        </w:rPr>
        <w:t>Internal Dynamics</w:t>
      </w:r>
      <w:bookmarkEnd w:id="4"/>
    </w:p>
    <w:p w:rsidR="00C6046B" w:rsidRDefault="00CF2119" w:rsidP="00C6046B">
      <w:pPr>
        <w:spacing w:after="200"/>
        <w:ind w:firstLine="0"/>
        <w:contextualSpacing w:val="0"/>
        <w:rPr>
          <w:bCs/>
          <w:lang w:val="en-US"/>
        </w:rPr>
      </w:pPr>
      <w:r>
        <w:rPr>
          <w:bCs/>
          <w:lang w:val="en-US"/>
        </w:rPr>
        <w:t xml:space="preserve">Palestinians who live in Israel in the areas of the West Bank and Gaza Strip </w:t>
      </w:r>
      <w:r w:rsidR="00C6046B">
        <w:rPr>
          <w:bCs/>
          <w:lang w:val="en-US"/>
        </w:rPr>
        <w:t>are</w:t>
      </w:r>
      <w:r>
        <w:rPr>
          <w:bCs/>
          <w:lang w:val="en-US"/>
        </w:rPr>
        <w:t xml:space="preserve"> the people who have not had a sovereign state for centuries.</w:t>
      </w:r>
      <w:r w:rsidR="00ED0794">
        <w:rPr>
          <w:rStyle w:val="Znakapoznpodarou"/>
          <w:bCs/>
          <w:lang w:val="en-US"/>
        </w:rPr>
        <w:footnoteReference w:id="14"/>
      </w:r>
      <w:r>
        <w:rPr>
          <w:bCs/>
          <w:lang w:val="en-US"/>
        </w:rPr>
        <w:t xml:space="preserve"> </w:t>
      </w:r>
      <w:r w:rsidR="00C6046B">
        <w:rPr>
          <w:bCs/>
          <w:lang w:val="en-US"/>
        </w:rPr>
        <w:t xml:space="preserve">Though, there was no notion of the Palestinian </w:t>
      </w:r>
      <w:r w:rsidR="004E3317">
        <w:rPr>
          <w:bCs/>
          <w:lang w:val="en-US"/>
        </w:rPr>
        <w:t>Arab P</w:t>
      </w:r>
      <w:r w:rsidR="00C6046B">
        <w:rPr>
          <w:bCs/>
          <w:lang w:val="en-US"/>
        </w:rPr>
        <w:t>eople as we know it today prior 1920</w:t>
      </w:r>
      <w:r w:rsidR="00C6046B">
        <w:rPr>
          <w:rStyle w:val="Znakapoznpodarou"/>
          <w:bCs/>
          <w:lang w:val="en-US"/>
        </w:rPr>
        <w:footnoteReference w:id="15"/>
      </w:r>
      <w:r w:rsidR="00C6046B">
        <w:rPr>
          <w:bCs/>
          <w:lang w:val="en-US"/>
        </w:rPr>
        <w:t>.</w:t>
      </w:r>
    </w:p>
    <w:p w:rsidR="00C6046B" w:rsidRDefault="00CF2119" w:rsidP="00C6046B">
      <w:pPr>
        <w:spacing w:after="200"/>
        <w:ind w:firstLine="0"/>
        <w:contextualSpacing w:val="0"/>
        <w:rPr>
          <w:bCs/>
          <w:lang w:val="en-US"/>
        </w:rPr>
      </w:pPr>
      <w:r>
        <w:rPr>
          <w:bCs/>
          <w:lang w:val="en-US"/>
        </w:rPr>
        <w:t xml:space="preserve">They share a common language – Arabic – and about 90% of them are Sunni Muslims. </w:t>
      </w:r>
      <w:r w:rsidR="004E3317">
        <w:rPr>
          <w:bCs/>
          <w:lang w:val="en-US"/>
        </w:rPr>
        <w:t>In fact, prior 1920, most of the people in the area identified as a group based on their religion</w:t>
      </w:r>
      <w:r w:rsidR="008D6F04">
        <w:rPr>
          <w:bCs/>
          <w:lang w:val="en-US"/>
        </w:rPr>
        <w:t>;</w:t>
      </w:r>
      <w:r w:rsidR="004E3317">
        <w:rPr>
          <w:bCs/>
          <w:lang w:val="en-US"/>
        </w:rPr>
        <w:t xml:space="preserve"> </w:t>
      </w:r>
      <w:r w:rsidR="008D6F04">
        <w:rPr>
          <w:bCs/>
          <w:lang w:val="en-US"/>
        </w:rPr>
        <w:t>it was</w:t>
      </w:r>
      <w:r w:rsidR="004E3317">
        <w:rPr>
          <w:bCs/>
          <w:lang w:val="en-US"/>
        </w:rPr>
        <w:t xml:space="preserve"> only after this period </w:t>
      </w:r>
      <w:r w:rsidR="008D6F04">
        <w:rPr>
          <w:bCs/>
          <w:lang w:val="en-US"/>
        </w:rPr>
        <w:t>that</w:t>
      </w:r>
      <w:r w:rsidR="004E3317">
        <w:rPr>
          <w:bCs/>
          <w:lang w:val="en-US"/>
        </w:rPr>
        <w:t xml:space="preserve"> the idea of nationalism and national formation </w:t>
      </w:r>
      <w:r w:rsidR="008D6F04">
        <w:rPr>
          <w:bCs/>
          <w:lang w:val="en-US"/>
        </w:rPr>
        <w:t>was introduce</w:t>
      </w:r>
      <w:r w:rsidR="00D44F56">
        <w:rPr>
          <w:bCs/>
          <w:lang w:val="en-US"/>
        </w:rPr>
        <w:t>d</w:t>
      </w:r>
      <w:r w:rsidR="008D6F04">
        <w:rPr>
          <w:bCs/>
          <w:lang w:val="en-US"/>
        </w:rPr>
        <w:t xml:space="preserve"> in the area and</w:t>
      </w:r>
      <w:r w:rsidR="004E3317">
        <w:rPr>
          <w:bCs/>
          <w:lang w:val="en-US"/>
        </w:rPr>
        <w:t xml:space="preserve"> to the peoples living there</w:t>
      </w:r>
      <w:r w:rsidR="004E3317">
        <w:rPr>
          <w:rStyle w:val="Znakapoznpodarou"/>
          <w:bCs/>
          <w:lang w:val="en-US"/>
        </w:rPr>
        <w:footnoteReference w:id="16"/>
      </w:r>
      <w:r w:rsidR="004E3317">
        <w:rPr>
          <w:bCs/>
          <w:lang w:val="en-US"/>
        </w:rPr>
        <w:t xml:space="preserve">. </w:t>
      </w:r>
      <w:r>
        <w:rPr>
          <w:bCs/>
          <w:lang w:val="en-US"/>
        </w:rPr>
        <w:t xml:space="preserve">Most of </w:t>
      </w:r>
      <w:r w:rsidR="008D6F04">
        <w:rPr>
          <w:bCs/>
          <w:lang w:val="en-US"/>
        </w:rPr>
        <w:t>the</w:t>
      </w:r>
      <w:r w:rsidR="0031230C">
        <w:rPr>
          <w:bCs/>
          <w:lang w:val="en-US"/>
        </w:rPr>
        <w:t>se</w:t>
      </w:r>
      <w:r w:rsidR="008D6F04">
        <w:rPr>
          <w:bCs/>
          <w:lang w:val="en-US"/>
        </w:rPr>
        <w:t xml:space="preserve"> people </w:t>
      </w:r>
      <w:r>
        <w:rPr>
          <w:bCs/>
          <w:lang w:val="en-US"/>
        </w:rPr>
        <w:t xml:space="preserve">are </w:t>
      </w:r>
      <w:r w:rsidR="0031230C">
        <w:rPr>
          <w:bCs/>
          <w:lang w:val="en-US"/>
        </w:rPr>
        <w:t xml:space="preserve">a </w:t>
      </w:r>
      <w:r>
        <w:rPr>
          <w:bCs/>
          <w:lang w:val="en-US"/>
        </w:rPr>
        <w:t>second</w:t>
      </w:r>
      <w:r w:rsidR="00C6046B">
        <w:rPr>
          <w:bCs/>
          <w:lang w:val="en-US"/>
        </w:rPr>
        <w:t xml:space="preserve">, </w:t>
      </w:r>
      <w:r>
        <w:rPr>
          <w:bCs/>
          <w:lang w:val="en-US"/>
        </w:rPr>
        <w:t>third</w:t>
      </w:r>
      <w:r w:rsidR="00C6046B">
        <w:rPr>
          <w:bCs/>
          <w:lang w:val="en-US"/>
        </w:rPr>
        <w:t>,</w:t>
      </w:r>
      <w:r>
        <w:rPr>
          <w:bCs/>
          <w:lang w:val="en-US"/>
        </w:rPr>
        <w:t xml:space="preserve"> or further generation of those Arabs, who fled or </w:t>
      </w:r>
      <w:proofErr w:type="gramStart"/>
      <w:r>
        <w:rPr>
          <w:bCs/>
          <w:lang w:val="en-US"/>
        </w:rPr>
        <w:t>were</w:t>
      </w:r>
      <w:proofErr w:type="gramEnd"/>
      <w:r>
        <w:rPr>
          <w:bCs/>
          <w:lang w:val="en-US"/>
        </w:rPr>
        <w:t xml:space="preserve"> forced to leave following the 1948 and 1967 wars. </w:t>
      </w:r>
    </w:p>
    <w:p w:rsidR="00ED0794" w:rsidRPr="00ED0794" w:rsidRDefault="00CF2119" w:rsidP="00C6046B">
      <w:pPr>
        <w:spacing w:after="200"/>
        <w:ind w:firstLine="0"/>
        <w:contextualSpacing w:val="0"/>
        <w:rPr>
          <w:bCs/>
          <w:lang w:val="en-US"/>
        </w:rPr>
      </w:pPr>
      <w:r>
        <w:rPr>
          <w:bCs/>
          <w:lang w:val="en-US"/>
        </w:rPr>
        <w:t xml:space="preserve">They are still reported to live in poor conditions and suffer from social ills such as high unemployment risk, deteriorating health conditions, and </w:t>
      </w:r>
      <w:r w:rsidR="008D6F04">
        <w:rPr>
          <w:bCs/>
          <w:lang w:val="en-US"/>
        </w:rPr>
        <w:t>rising</w:t>
      </w:r>
      <w:r>
        <w:rPr>
          <w:bCs/>
          <w:lang w:val="en-US"/>
        </w:rPr>
        <w:t xml:space="preserve"> birth rate. There are further issues being reported in the area especially from and around the time of the </w:t>
      </w:r>
      <w:r w:rsidRPr="00C6046B">
        <w:rPr>
          <w:bCs/>
          <w:i/>
          <w:lang w:val="en-US"/>
        </w:rPr>
        <w:t>Second Intifada</w:t>
      </w:r>
      <w:r>
        <w:rPr>
          <w:bCs/>
          <w:lang w:val="en-US"/>
        </w:rPr>
        <w:t xml:space="preserve"> in 2000 which, however, is not </w:t>
      </w:r>
      <w:r w:rsidR="00C6046B">
        <w:rPr>
          <w:bCs/>
          <w:lang w:val="en-US"/>
        </w:rPr>
        <w:t>subject of this paper and shall thus be not discussed any further.</w:t>
      </w:r>
    </w:p>
    <w:p w:rsidR="00534707" w:rsidRDefault="00534707">
      <w:pPr>
        <w:spacing w:after="200" w:line="276" w:lineRule="auto"/>
        <w:ind w:firstLine="0"/>
        <w:contextualSpacing w:val="0"/>
        <w:jc w:val="left"/>
        <w:rPr>
          <w:rFonts w:eastAsiaTheme="majorEastAsia" w:cstheme="majorBidi"/>
          <w:b/>
          <w:bCs/>
          <w:sz w:val="28"/>
          <w:szCs w:val="28"/>
          <w:lang w:val="en-US"/>
        </w:rPr>
      </w:pPr>
      <w:r>
        <w:rPr>
          <w:lang w:val="en-US"/>
        </w:rPr>
        <w:br w:type="page"/>
      </w:r>
    </w:p>
    <w:p w:rsidR="002353EA" w:rsidRDefault="009A1F3D" w:rsidP="00E51C74">
      <w:pPr>
        <w:pStyle w:val="Nadpis1"/>
        <w:keepNext w:val="0"/>
        <w:keepLines w:val="0"/>
        <w:widowControl w:val="0"/>
        <w:numPr>
          <w:ilvl w:val="0"/>
          <w:numId w:val="5"/>
        </w:numPr>
        <w:spacing w:after="240"/>
        <w:ind w:left="0" w:firstLine="0"/>
        <w:rPr>
          <w:lang w:val="en-US"/>
        </w:rPr>
      </w:pPr>
      <w:bookmarkStart w:id="5" w:name="_Toc454021438"/>
      <w:r>
        <w:rPr>
          <w:lang w:val="en-US"/>
        </w:rPr>
        <w:lastRenderedPageBreak/>
        <w:t xml:space="preserve">The </w:t>
      </w:r>
      <w:r w:rsidR="002353EA">
        <w:rPr>
          <w:lang w:val="en-US"/>
        </w:rPr>
        <w:t>First Intifada</w:t>
      </w:r>
      <w:bookmarkEnd w:id="5"/>
    </w:p>
    <w:p w:rsidR="006C28D5" w:rsidRDefault="00E51C74" w:rsidP="00F44450">
      <w:pPr>
        <w:spacing w:before="240"/>
        <w:ind w:firstLine="0"/>
        <w:contextualSpacing w:val="0"/>
        <w:rPr>
          <w:color w:val="000000"/>
          <w:szCs w:val="24"/>
          <w:shd w:val="clear" w:color="auto" w:fill="FFFFFF"/>
          <w:lang w:val="en-US"/>
        </w:rPr>
      </w:pPr>
      <w:r w:rsidRPr="00E51C74">
        <w:rPr>
          <w:szCs w:val="24"/>
          <w:lang w:val="en-US"/>
        </w:rPr>
        <w:t xml:space="preserve">The First Intifada began </w:t>
      </w:r>
      <w:r w:rsidR="004745AC">
        <w:rPr>
          <w:szCs w:val="24"/>
          <w:lang w:val="en-US"/>
        </w:rPr>
        <w:t>on</w:t>
      </w:r>
      <w:r w:rsidRPr="00E51C74">
        <w:rPr>
          <w:szCs w:val="24"/>
          <w:lang w:val="en-US"/>
        </w:rPr>
        <w:t xml:space="preserve"> December</w:t>
      </w:r>
      <w:r w:rsidR="004745AC">
        <w:rPr>
          <w:szCs w:val="24"/>
          <w:lang w:val="en-US"/>
        </w:rPr>
        <w:t xml:space="preserve"> 9,</w:t>
      </w:r>
      <w:r w:rsidRPr="00E51C74">
        <w:rPr>
          <w:szCs w:val="24"/>
          <w:lang w:val="en-US"/>
        </w:rPr>
        <w:t xml:space="preserve"> 1987</w:t>
      </w:r>
      <w:r w:rsidR="004745AC">
        <w:rPr>
          <w:szCs w:val="24"/>
          <w:lang w:val="en-US"/>
        </w:rPr>
        <w:t xml:space="preserve"> after an Israeli truck</w:t>
      </w:r>
      <w:r w:rsidRPr="00E51C74">
        <w:rPr>
          <w:szCs w:val="24"/>
          <w:lang w:val="en-US"/>
        </w:rPr>
        <w:t xml:space="preserve"> </w:t>
      </w:r>
      <w:r w:rsidR="004745AC">
        <w:rPr>
          <w:szCs w:val="24"/>
          <w:lang w:val="en-US"/>
        </w:rPr>
        <w:t>hit two Palestinian cars, killing the workers inside</w:t>
      </w:r>
      <w:r w:rsidR="00D44F56">
        <w:rPr>
          <w:szCs w:val="24"/>
          <w:lang w:val="en-US"/>
        </w:rPr>
        <w:t>.</w:t>
      </w:r>
      <w:r w:rsidR="004745AC">
        <w:rPr>
          <w:szCs w:val="24"/>
          <w:lang w:val="en-US"/>
        </w:rPr>
        <w:t xml:space="preserve"> Palestinians understood it as retaliation for a murder of an Israeli tradesman in Gaza Strip on December 6 and the </w:t>
      </w:r>
      <w:r w:rsidR="00142742">
        <w:rPr>
          <w:szCs w:val="24"/>
          <w:lang w:val="en-US"/>
        </w:rPr>
        <w:t>unrest broke out</w:t>
      </w:r>
      <w:r w:rsidR="00142742">
        <w:rPr>
          <w:rStyle w:val="Znakapoznpodarou"/>
          <w:szCs w:val="24"/>
          <w:lang w:val="en-US"/>
        </w:rPr>
        <w:footnoteReference w:id="17"/>
      </w:r>
      <w:r w:rsidR="004745AC">
        <w:rPr>
          <w:szCs w:val="24"/>
          <w:lang w:val="en-US"/>
        </w:rPr>
        <w:t xml:space="preserve">. The </w:t>
      </w:r>
      <w:r w:rsidR="004745AC" w:rsidRPr="00D44F56">
        <w:rPr>
          <w:i/>
          <w:szCs w:val="24"/>
          <w:lang w:val="en-US"/>
        </w:rPr>
        <w:t>Intifada</w:t>
      </w:r>
      <w:r w:rsidRPr="00E51C74">
        <w:rPr>
          <w:szCs w:val="24"/>
          <w:lang w:val="en-US"/>
        </w:rPr>
        <w:t xml:space="preserve"> is understood as </w:t>
      </w:r>
      <w:r w:rsidR="00142742">
        <w:rPr>
          <w:szCs w:val="24"/>
          <w:lang w:val="en-US"/>
        </w:rPr>
        <w:t>a</w:t>
      </w:r>
      <w:r>
        <w:rPr>
          <w:szCs w:val="24"/>
          <w:lang w:val="en-US"/>
        </w:rPr>
        <w:t xml:space="preserve"> “</w:t>
      </w:r>
      <w:r w:rsidRPr="00E51C74">
        <w:rPr>
          <w:color w:val="000000"/>
          <w:szCs w:val="24"/>
          <w:shd w:val="clear" w:color="auto" w:fill="FFFFFF"/>
          <w:lang w:val="en-US"/>
        </w:rPr>
        <w:t>popular Palestinian uprising against the Israeli occupation of the West Bank, Gaza Strip, and East Jerusalem</w:t>
      </w:r>
      <w:r w:rsidR="002F31B1">
        <w:rPr>
          <w:color w:val="000000"/>
          <w:szCs w:val="24"/>
          <w:shd w:val="clear" w:color="auto" w:fill="FFFFFF"/>
          <w:lang w:val="en-US"/>
        </w:rPr>
        <w:t>.</w:t>
      </w:r>
      <w:r>
        <w:rPr>
          <w:rStyle w:val="Znakapoznpodarou"/>
          <w:color w:val="000000"/>
          <w:szCs w:val="24"/>
          <w:shd w:val="clear" w:color="auto" w:fill="FFFFFF"/>
          <w:lang w:val="en-US"/>
        </w:rPr>
        <w:footnoteReference w:id="18"/>
      </w:r>
      <w:r>
        <w:rPr>
          <w:color w:val="000000"/>
          <w:szCs w:val="24"/>
          <w:shd w:val="clear" w:color="auto" w:fill="FFFFFF"/>
          <w:lang w:val="en-US"/>
        </w:rPr>
        <w:t>”</w:t>
      </w:r>
      <w:r w:rsidR="002F31B1">
        <w:rPr>
          <w:color w:val="000000"/>
          <w:szCs w:val="24"/>
          <w:shd w:val="clear" w:color="auto" w:fill="FFFFFF"/>
          <w:lang w:val="en-US"/>
        </w:rPr>
        <w:t xml:space="preserve"> It started as a spontaneous and organic incident in the Gaza refugee camp </w:t>
      </w:r>
      <w:r w:rsidR="00D44F56">
        <w:rPr>
          <w:color w:val="000000"/>
          <w:szCs w:val="24"/>
          <w:shd w:val="clear" w:color="auto" w:fill="FFFFFF"/>
          <w:lang w:val="en-US"/>
        </w:rPr>
        <w:t>from where</w:t>
      </w:r>
      <w:r w:rsidR="00142742">
        <w:rPr>
          <w:color w:val="000000"/>
          <w:szCs w:val="24"/>
          <w:shd w:val="clear" w:color="auto" w:fill="FFFFFF"/>
          <w:lang w:val="en-US"/>
        </w:rPr>
        <w:t xml:space="preserve"> </w:t>
      </w:r>
      <w:r w:rsidR="0031230C">
        <w:rPr>
          <w:color w:val="000000"/>
          <w:szCs w:val="24"/>
          <w:shd w:val="clear" w:color="auto" w:fill="FFFFFF"/>
          <w:lang w:val="en-US"/>
        </w:rPr>
        <w:t xml:space="preserve">it </w:t>
      </w:r>
      <w:r w:rsidR="00142742">
        <w:rPr>
          <w:color w:val="000000"/>
          <w:szCs w:val="24"/>
          <w:shd w:val="clear" w:color="auto" w:fill="FFFFFF"/>
          <w:lang w:val="en-US"/>
        </w:rPr>
        <w:t>then</w:t>
      </w:r>
      <w:r w:rsidR="002F31B1">
        <w:rPr>
          <w:color w:val="000000"/>
          <w:szCs w:val="24"/>
          <w:shd w:val="clear" w:color="auto" w:fill="FFFFFF"/>
          <w:lang w:val="en-US"/>
        </w:rPr>
        <w:t xml:space="preserve"> spread through the occupied territories</w:t>
      </w:r>
      <w:r w:rsidR="00D44F56">
        <w:rPr>
          <w:color w:val="000000"/>
          <w:szCs w:val="24"/>
          <w:shd w:val="clear" w:color="auto" w:fill="FFFFFF"/>
          <w:lang w:val="en-US"/>
        </w:rPr>
        <w:t xml:space="preserve">; it </w:t>
      </w:r>
      <w:r w:rsidR="006C28D5">
        <w:rPr>
          <w:color w:val="000000"/>
          <w:szCs w:val="24"/>
          <w:shd w:val="clear" w:color="auto" w:fill="FFFFFF"/>
          <w:lang w:val="en-US"/>
        </w:rPr>
        <w:t xml:space="preserve">was </w:t>
      </w:r>
      <w:r w:rsidR="002F31B1">
        <w:rPr>
          <w:color w:val="000000"/>
          <w:szCs w:val="24"/>
          <w:shd w:val="clear" w:color="auto" w:fill="FFFFFF"/>
          <w:lang w:val="en-US"/>
        </w:rPr>
        <w:t>initial</w:t>
      </w:r>
      <w:r w:rsidR="006C28D5">
        <w:rPr>
          <w:color w:val="000000"/>
          <w:szCs w:val="24"/>
          <w:shd w:val="clear" w:color="auto" w:fill="FFFFFF"/>
          <w:lang w:val="en-US"/>
        </w:rPr>
        <w:t>ly of a</w:t>
      </w:r>
      <w:r w:rsidR="002F31B1">
        <w:rPr>
          <w:color w:val="000000"/>
          <w:szCs w:val="24"/>
          <w:shd w:val="clear" w:color="auto" w:fill="FFFFFF"/>
          <w:lang w:val="en-US"/>
        </w:rPr>
        <w:t xml:space="preserve"> mostly non-violent character that however, after the </w:t>
      </w:r>
      <w:r w:rsidR="006C28D5">
        <w:rPr>
          <w:color w:val="000000"/>
          <w:szCs w:val="24"/>
          <w:shd w:val="clear" w:color="auto" w:fill="FFFFFF"/>
          <w:lang w:val="en-US"/>
        </w:rPr>
        <w:t>first</w:t>
      </w:r>
      <w:r w:rsidR="002F31B1">
        <w:rPr>
          <w:color w:val="000000"/>
          <w:szCs w:val="24"/>
          <w:shd w:val="clear" w:color="auto" w:fill="FFFFFF"/>
          <w:lang w:val="en-US"/>
        </w:rPr>
        <w:t xml:space="preserve"> 18 months became fractioned and </w:t>
      </w:r>
      <w:r w:rsidR="00142742">
        <w:rPr>
          <w:color w:val="000000"/>
          <w:szCs w:val="24"/>
          <w:shd w:val="clear" w:color="auto" w:fill="FFFFFF"/>
          <w:lang w:val="en-US"/>
        </w:rPr>
        <w:t xml:space="preserve">more frequent </w:t>
      </w:r>
      <w:r w:rsidR="002F31B1">
        <w:rPr>
          <w:color w:val="000000"/>
          <w:szCs w:val="24"/>
          <w:shd w:val="clear" w:color="auto" w:fill="FFFFFF"/>
          <w:lang w:val="en-US"/>
        </w:rPr>
        <w:t>violence started occurring</w:t>
      </w:r>
      <w:r w:rsidR="002F31B1">
        <w:rPr>
          <w:rStyle w:val="Znakapoznpodarou"/>
          <w:color w:val="000000"/>
          <w:szCs w:val="24"/>
          <w:shd w:val="clear" w:color="auto" w:fill="FFFFFF"/>
          <w:lang w:val="en-US"/>
        </w:rPr>
        <w:footnoteReference w:id="19"/>
      </w:r>
      <w:r w:rsidR="002F31B1">
        <w:rPr>
          <w:color w:val="000000"/>
          <w:szCs w:val="24"/>
          <w:shd w:val="clear" w:color="auto" w:fill="FFFFFF"/>
          <w:lang w:val="en-US"/>
        </w:rPr>
        <w:t xml:space="preserve">. Nonetheless, there were </w:t>
      </w:r>
      <w:r w:rsidR="00B04835">
        <w:rPr>
          <w:color w:val="000000"/>
          <w:szCs w:val="24"/>
          <w:shd w:val="clear" w:color="auto" w:fill="FFFFFF"/>
          <w:lang w:val="en-US"/>
        </w:rPr>
        <w:t xml:space="preserve">also </w:t>
      </w:r>
      <w:r w:rsidR="002F31B1">
        <w:rPr>
          <w:color w:val="000000"/>
          <w:szCs w:val="24"/>
          <w:shd w:val="clear" w:color="auto" w:fill="FFFFFF"/>
          <w:lang w:val="en-US"/>
        </w:rPr>
        <w:t xml:space="preserve">occurrences of violence prior the official </w:t>
      </w:r>
      <w:r w:rsidR="002F31B1" w:rsidRPr="00D44F56">
        <w:rPr>
          <w:i/>
          <w:color w:val="000000"/>
          <w:szCs w:val="24"/>
          <w:shd w:val="clear" w:color="auto" w:fill="FFFFFF"/>
          <w:lang w:val="en-US"/>
        </w:rPr>
        <w:t>Intifada</w:t>
      </w:r>
      <w:r w:rsidR="002F31B1">
        <w:rPr>
          <w:color w:val="000000"/>
          <w:szCs w:val="24"/>
          <w:shd w:val="clear" w:color="auto" w:fill="FFFFFF"/>
          <w:lang w:val="en-US"/>
        </w:rPr>
        <w:t xml:space="preserve"> eruption which are casting a shadow on the initially non-violent character</w:t>
      </w:r>
      <w:r w:rsidR="003948A6">
        <w:rPr>
          <w:color w:val="000000"/>
          <w:szCs w:val="24"/>
          <w:shd w:val="clear" w:color="auto" w:fill="FFFFFF"/>
          <w:lang w:val="en-US"/>
        </w:rPr>
        <w:t xml:space="preserve">, similarly as there were individual incidents of Palestinian violence; overall, though, the Palestinians </w:t>
      </w:r>
      <w:r w:rsidR="00142742">
        <w:rPr>
          <w:color w:val="000000"/>
          <w:szCs w:val="24"/>
          <w:shd w:val="clear" w:color="auto" w:fill="FFFFFF"/>
          <w:lang w:val="en-US"/>
        </w:rPr>
        <w:t xml:space="preserve">are said to have </w:t>
      </w:r>
      <w:r w:rsidR="003948A6">
        <w:rPr>
          <w:color w:val="000000"/>
          <w:szCs w:val="24"/>
          <w:shd w:val="clear" w:color="auto" w:fill="FFFFFF"/>
          <w:lang w:val="en-US"/>
        </w:rPr>
        <w:t>managed t</w:t>
      </w:r>
      <w:r w:rsidR="00F16092">
        <w:rPr>
          <w:color w:val="000000"/>
          <w:szCs w:val="24"/>
          <w:shd w:val="clear" w:color="auto" w:fill="FFFFFF"/>
          <w:lang w:val="en-US"/>
        </w:rPr>
        <w:t>o win the</w:t>
      </w:r>
      <w:r w:rsidR="00142742">
        <w:rPr>
          <w:color w:val="000000"/>
          <w:szCs w:val="24"/>
          <w:shd w:val="clear" w:color="auto" w:fill="FFFFFF"/>
          <w:lang w:val="en-US"/>
        </w:rPr>
        <w:t xml:space="preserve"> moral high ground for the first phase</w:t>
      </w:r>
      <w:r w:rsidR="003948A6">
        <w:rPr>
          <w:color w:val="000000"/>
          <w:szCs w:val="24"/>
          <w:shd w:val="clear" w:color="auto" w:fill="FFFFFF"/>
          <w:lang w:val="en-US"/>
        </w:rPr>
        <w:t xml:space="preserve"> of the </w:t>
      </w:r>
      <w:r w:rsidR="003948A6" w:rsidRPr="00D44F56">
        <w:rPr>
          <w:i/>
          <w:color w:val="000000"/>
          <w:szCs w:val="24"/>
          <w:shd w:val="clear" w:color="auto" w:fill="FFFFFF"/>
          <w:lang w:val="en-US"/>
        </w:rPr>
        <w:t>First Intifada</w:t>
      </w:r>
      <w:r w:rsidR="003948A6">
        <w:rPr>
          <w:color w:val="000000"/>
          <w:szCs w:val="24"/>
          <w:shd w:val="clear" w:color="auto" w:fill="FFFFFF"/>
          <w:lang w:val="en-US"/>
        </w:rPr>
        <w:t>, especially in comparison to the preceding PLO activities</w:t>
      </w:r>
      <w:r w:rsidR="003948A6">
        <w:rPr>
          <w:rStyle w:val="Znakapoznpodarou"/>
          <w:color w:val="000000"/>
          <w:szCs w:val="24"/>
          <w:shd w:val="clear" w:color="auto" w:fill="FFFFFF"/>
          <w:lang w:val="en-US"/>
        </w:rPr>
        <w:footnoteReference w:id="20"/>
      </w:r>
      <w:r w:rsidR="003948A6">
        <w:rPr>
          <w:color w:val="000000"/>
          <w:szCs w:val="24"/>
          <w:shd w:val="clear" w:color="auto" w:fill="FFFFFF"/>
          <w:lang w:val="en-US"/>
        </w:rPr>
        <w:t>.</w:t>
      </w:r>
      <w:r w:rsidR="00F16092">
        <w:rPr>
          <w:color w:val="000000"/>
          <w:szCs w:val="24"/>
          <w:shd w:val="clear" w:color="auto" w:fill="FFFFFF"/>
          <w:lang w:val="en-US"/>
        </w:rPr>
        <w:t xml:space="preserve"> </w:t>
      </w:r>
    </w:p>
    <w:p w:rsidR="00F44450" w:rsidRDefault="00F44450" w:rsidP="00F44450">
      <w:pPr>
        <w:spacing w:before="240"/>
        <w:ind w:firstLine="0"/>
        <w:contextualSpacing w:val="0"/>
        <w:rPr>
          <w:color w:val="000000"/>
          <w:szCs w:val="24"/>
          <w:shd w:val="clear" w:color="auto" w:fill="FFFFFF"/>
          <w:lang w:val="en-US"/>
        </w:rPr>
      </w:pPr>
      <w:r>
        <w:rPr>
          <w:color w:val="000000"/>
          <w:szCs w:val="24"/>
          <w:shd w:val="clear" w:color="auto" w:fill="FFFFFF"/>
          <w:lang w:val="en-US"/>
        </w:rPr>
        <w:t xml:space="preserve">Although </w:t>
      </w:r>
      <w:r w:rsidR="00D44F56">
        <w:rPr>
          <w:color w:val="000000"/>
          <w:szCs w:val="24"/>
          <w:shd w:val="clear" w:color="auto" w:fill="FFFFFF"/>
          <w:lang w:val="en-US"/>
        </w:rPr>
        <w:t xml:space="preserve">Yasser </w:t>
      </w:r>
      <w:r>
        <w:rPr>
          <w:color w:val="000000"/>
          <w:szCs w:val="24"/>
          <w:shd w:val="clear" w:color="auto" w:fill="FFFFFF"/>
          <w:lang w:val="en-US"/>
        </w:rPr>
        <w:t xml:space="preserve">Arafat tried to present the </w:t>
      </w:r>
      <w:r w:rsidRPr="00D44F56">
        <w:rPr>
          <w:i/>
          <w:color w:val="000000"/>
          <w:szCs w:val="24"/>
          <w:shd w:val="clear" w:color="auto" w:fill="FFFFFF"/>
          <w:lang w:val="en-US"/>
        </w:rPr>
        <w:t>Intifada</w:t>
      </w:r>
      <w:r w:rsidR="00B04835">
        <w:rPr>
          <w:color w:val="000000"/>
          <w:szCs w:val="24"/>
          <w:shd w:val="clear" w:color="auto" w:fill="FFFFFF"/>
          <w:lang w:val="en-US"/>
        </w:rPr>
        <w:t xml:space="preserve"> as the </w:t>
      </w:r>
      <w:r>
        <w:rPr>
          <w:color w:val="000000"/>
          <w:szCs w:val="24"/>
          <w:shd w:val="clear" w:color="auto" w:fill="FFFFFF"/>
          <w:lang w:val="en-US"/>
        </w:rPr>
        <w:t>PLO</w:t>
      </w:r>
      <w:r w:rsidR="00B04835">
        <w:rPr>
          <w:color w:val="000000"/>
          <w:szCs w:val="24"/>
          <w:shd w:val="clear" w:color="auto" w:fill="FFFFFF"/>
          <w:lang w:val="en-US"/>
        </w:rPr>
        <w:t>’s</w:t>
      </w:r>
      <w:r>
        <w:rPr>
          <w:color w:val="000000"/>
          <w:szCs w:val="24"/>
          <w:shd w:val="clear" w:color="auto" w:fill="FFFFFF"/>
          <w:lang w:val="en-US"/>
        </w:rPr>
        <w:t xml:space="preserve"> making, it was a spontaneous event</w:t>
      </w:r>
      <w:r w:rsidR="008F5E83">
        <w:rPr>
          <w:color w:val="000000"/>
          <w:szCs w:val="24"/>
          <w:shd w:val="clear" w:color="auto" w:fill="FFFFFF"/>
          <w:lang w:val="en-US"/>
        </w:rPr>
        <w:t xml:space="preserve"> characterized mainly by Palestinian demonstrations and unrests including stone-throwing, Molotov cocktails, and usage of light weapons. Heavy weaponry and suicide bombings were not characteristic for the </w:t>
      </w:r>
      <w:r w:rsidR="008F5E83" w:rsidRPr="00B92548">
        <w:rPr>
          <w:i/>
          <w:color w:val="000000"/>
          <w:szCs w:val="24"/>
          <w:shd w:val="clear" w:color="auto" w:fill="FFFFFF"/>
          <w:lang w:val="en-US"/>
        </w:rPr>
        <w:t>First Intifada</w:t>
      </w:r>
      <w:r w:rsidR="008F5E83">
        <w:rPr>
          <w:rStyle w:val="Znakapoznpodarou"/>
          <w:color w:val="000000"/>
          <w:szCs w:val="24"/>
          <w:shd w:val="clear" w:color="auto" w:fill="FFFFFF"/>
          <w:lang w:val="en-US"/>
        </w:rPr>
        <w:footnoteReference w:id="21"/>
      </w:r>
      <w:r w:rsidR="008F5E83">
        <w:rPr>
          <w:color w:val="000000"/>
          <w:szCs w:val="24"/>
          <w:shd w:val="clear" w:color="auto" w:fill="FFFFFF"/>
          <w:lang w:val="en-US"/>
        </w:rPr>
        <w:t>.</w:t>
      </w:r>
      <w:r w:rsidR="0003467D">
        <w:rPr>
          <w:color w:val="000000"/>
          <w:szCs w:val="24"/>
          <w:shd w:val="clear" w:color="auto" w:fill="FFFFFF"/>
          <w:lang w:val="en-US"/>
        </w:rPr>
        <w:t xml:space="preserve"> The numbers o</w:t>
      </w:r>
      <w:r w:rsidR="00D44F56">
        <w:rPr>
          <w:color w:val="000000"/>
          <w:szCs w:val="24"/>
          <w:shd w:val="clear" w:color="auto" w:fill="FFFFFF"/>
          <w:lang w:val="en-US"/>
        </w:rPr>
        <w:t xml:space="preserve">f Palestinians who were </w:t>
      </w:r>
      <w:r w:rsidR="00577159">
        <w:rPr>
          <w:color w:val="000000"/>
          <w:szCs w:val="24"/>
          <w:shd w:val="clear" w:color="auto" w:fill="FFFFFF"/>
          <w:lang w:val="en-US"/>
        </w:rPr>
        <w:t>killed by</w:t>
      </w:r>
      <w:r w:rsidR="00B04835">
        <w:rPr>
          <w:color w:val="000000"/>
          <w:szCs w:val="24"/>
          <w:shd w:val="clear" w:color="auto" w:fill="FFFFFF"/>
          <w:lang w:val="en-US"/>
        </w:rPr>
        <w:t xml:space="preserve"> the</w:t>
      </w:r>
      <w:r w:rsidR="00577159">
        <w:rPr>
          <w:color w:val="000000"/>
          <w:szCs w:val="24"/>
          <w:shd w:val="clear" w:color="auto" w:fill="FFFFFF"/>
          <w:lang w:val="en-US"/>
        </w:rPr>
        <w:t xml:space="preserve"> </w:t>
      </w:r>
      <w:r w:rsidR="00D44F56">
        <w:rPr>
          <w:color w:val="000000"/>
          <w:szCs w:val="24"/>
          <w:shd w:val="clear" w:color="auto" w:fill="FFFFFF"/>
          <w:lang w:val="en-US"/>
        </w:rPr>
        <w:t>Israeli security forces in the o</w:t>
      </w:r>
      <w:r w:rsidR="00577159">
        <w:rPr>
          <w:color w:val="000000"/>
          <w:szCs w:val="24"/>
          <w:shd w:val="clear" w:color="auto" w:fill="FFFFFF"/>
          <w:lang w:val="en-US"/>
        </w:rPr>
        <w:t xml:space="preserve">ccupied territories (including East Jerusalem) was by the end of 1993 1,100 people and 21 within the Green Line; </w:t>
      </w:r>
      <w:r w:rsidR="00D44F56">
        <w:rPr>
          <w:color w:val="000000"/>
          <w:szCs w:val="24"/>
          <w:shd w:val="clear" w:color="auto" w:fill="FFFFFF"/>
          <w:lang w:val="en-US"/>
        </w:rPr>
        <w:t xml:space="preserve">the </w:t>
      </w:r>
      <w:r w:rsidR="00577159">
        <w:rPr>
          <w:color w:val="000000"/>
          <w:szCs w:val="24"/>
          <w:shd w:val="clear" w:color="auto" w:fill="FFFFFF"/>
          <w:lang w:val="en-US"/>
        </w:rPr>
        <w:t xml:space="preserve">number of Israeli fatalities from the same time span and area </w:t>
      </w:r>
      <w:r w:rsidR="00D44F56">
        <w:rPr>
          <w:color w:val="000000"/>
          <w:szCs w:val="24"/>
          <w:shd w:val="clear" w:color="auto" w:fill="FFFFFF"/>
          <w:lang w:val="en-US"/>
        </w:rPr>
        <w:t>equals</w:t>
      </w:r>
      <w:r w:rsidR="00577159">
        <w:rPr>
          <w:color w:val="000000"/>
          <w:szCs w:val="24"/>
          <w:shd w:val="clear" w:color="auto" w:fill="FFFFFF"/>
          <w:lang w:val="en-US"/>
        </w:rPr>
        <w:t xml:space="preserve"> 58 and 56 within the Green Line</w:t>
      </w:r>
      <w:r w:rsidR="00577159">
        <w:rPr>
          <w:rStyle w:val="Znakapoznpodarou"/>
          <w:color w:val="000000"/>
          <w:szCs w:val="24"/>
          <w:shd w:val="clear" w:color="auto" w:fill="FFFFFF"/>
          <w:lang w:val="en-US"/>
        </w:rPr>
        <w:footnoteReference w:id="22"/>
      </w:r>
      <w:r w:rsidR="00577159">
        <w:rPr>
          <w:color w:val="000000"/>
          <w:szCs w:val="24"/>
          <w:shd w:val="clear" w:color="auto" w:fill="FFFFFF"/>
          <w:lang w:val="en-US"/>
        </w:rPr>
        <w:t>.</w:t>
      </w:r>
      <w:r w:rsidR="0068517E">
        <w:rPr>
          <w:color w:val="000000"/>
          <w:szCs w:val="24"/>
          <w:shd w:val="clear" w:color="auto" w:fill="FFFFFF"/>
          <w:lang w:val="en-US"/>
        </w:rPr>
        <w:t xml:space="preserve"> </w:t>
      </w:r>
      <w:r w:rsidR="00D44F56">
        <w:rPr>
          <w:color w:val="000000"/>
          <w:szCs w:val="24"/>
          <w:shd w:val="clear" w:color="auto" w:fill="FFFFFF"/>
          <w:lang w:val="en-US"/>
        </w:rPr>
        <w:t>Some</w:t>
      </w:r>
      <w:r w:rsidR="0068517E">
        <w:rPr>
          <w:color w:val="000000"/>
          <w:szCs w:val="24"/>
          <w:shd w:val="clear" w:color="auto" w:fill="FFFFFF"/>
          <w:lang w:val="en-US"/>
        </w:rPr>
        <w:t xml:space="preserve"> Palestinians were also killed by radicalized </w:t>
      </w:r>
      <w:r w:rsidR="00D44F56">
        <w:rPr>
          <w:color w:val="000000"/>
          <w:szCs w:val="24"/>
          <w:shd w:val="clear" w:color="auto" w:fill="FFFFFF"/>
          <w:lang w:val="en-US"/>
        </w:rPr>
        <w:t xml:space="preserve">fellow </w:t>
      </w:r>
      <w:r w:rsidR="0068517E">
        <w:rPr>
          <w:color w:val="000000"/>
          <w:szCs w:val="24"/>
          <w:shd w:val="clear" w:color="auto" w:fill="FFFFFF"/>
          <w:lang w:val="en-US"/>
        </w:rPr>
        <w:t>Palestinians</w:t>
      </w:r>
      <w:r w:rsidR="0068517E">
        <w:rPr>
          <w:rStyle w:val="Znakapoznpodarou"/>
          <w:color w:val="000000"/>
          <w:szCs w:val="24"/>
          <w:shd w:val="clear" w:color="auto" w:fill="FFFFFF"/>
          <w:lang w:val="en-US"/>
        </w:rPr>
        <w:footnoteReference w:id="23"/>
      </w:r>
      <w:r w:rsidR="0068517E">
        <w:rPr>
          <w:color w:val="000000"/>
          <w:szCs w:val="24"/>
          <w:shd w:val="clear" w:color="auto" w:fill="FFFFFF"/>
          <w:lang w:val="en-US"/>
        </w:rPr>
        <w:t>.</w:t>
      </w:r>
      <w:r w:rsidR="00BA74A1">
        <w:rPr>
          <w:color w:val="000000"/>
          <w:szCs w:val="24"/>
          <w:shd w:val="clear" w:color="auto" w:fill="FFFFFF"/>
          <w:lang w:val="en-US"/>
        </w:rPr>
        <w:t xml:space="preserve"> Many of the killed Palestinians were children and youth which ignited sympathies </w:t>
      </w:r>
      <w:r w:rsidR="00B04835">
        <w:rPr>
          <w:color w:val="000000"/>
          <w:szCs w:val="24"/>
          <w:shd w:val="clear" w:color="auto" w:fill="FFFFFF"/>
          <w:lang w:val="en-US"/>
        </w:rPr>
        <w:t>for the Palestinians world-wide.</w:t>
      </w:r>
    </w:p>
    <w:p w:rsidR="00C365E0" w:rsidRDefault="00C365E0" w:rsidP="00C365E0">
      <w:pPr>
        <w:pStyle w:val="Nadpis2"/>
        <w:numPr>
          <w:ilvl w:val="1"/>
          <w:numId w:val="7"/>
        </w:numPr>
        <w:rPr>
          <w:shd w:val="clear" w:color="auto" w:fill="FFFFFF"/>
          <w:lang w:val="en-US"/>
        </w:rPr>
      </w:pPr>
      <w:bookmarkStart w:id="6" w:name="_Toc454021439"/>
      <w:r>
        <w:rPr>
          <w:shd w:val="clear" w:color="auto" w:fill="FFFFFF"/>
          <w:lang w:val="en-US"/>
        </w:rPr>
        <w:lastRenderedPageBreak/>
        <w:t>Ethnic Dimension</w:t>
      </w:r>
      <w:bookmarkEnd w:id="6"/>
    </w:p>
    <w:p w:rsidR="00263369" w:rsidRDefault="008B1414" w:rsidP="00A24D88">
      <w:pPr>
        <w:spacing w:before="240"/>
        <w:ind w:firstLine="0"/>
        <w:contextualSpacing w:val="0"/>
        <w:rPr>
          <w:lang w:val="en-US"/>
        </w:rPr>
      </w:pPr>
      <w:r>
        <w:rPr>
          <w:lang w:val="en-US"/>
        </w:rPr>
        <w:t xml:space="preserve">It is often difficult to completely separate </w:t>
      </w:r>
      <w:r w:rsidR="00B04835">
        <w:rPr>
          <w:lang w:val="en-US"/>
        </w:rPr>
        <w:t xml:space="preserve">a </w:t>
      </w:r>
      <w:r>
        <w:rPr>
          <w:lang w:val="en-US"/>
        </w:rPr>
        <w:t>purely ethnic dimension of the conflict from the political dimension</w:t>
      </w:r>
      <w:r w:rsidR="00B04835">
        <w:rPr>
          <w:lang w:val="en-US"/>
        </w:rPr>
        <w:t>,</w:t>
      </w:r>
      <w:r>
        <w:rPr>
          <w:lang w:val="en-US"/>
        </w:rPr>
        <w:t xml:space="preserve"> as many of the occurrences and issues are interwoven. Moreover, most of the issues that have ethnic background resulted in political measures</w:t>
      </w:r>
      <w:r w:rsidR="00D13DF4">
        <w:rPr>
          <w:lang w:val="en-US"/>
        </w:rPr>
        <w:t xml:space="preserve"> or vice versa</w:t>
      </w:r>
      <w:r>
        <w:rPr>
          <w:lang w:val="en-US"/>
        </w:rPr>
        <w:t xml:space="preserve">. Unless it is possible to </w:t>
      </w:r>
      <w:r w:rsidR="00D13DF4">
        <w:rPr>
          <w:lang w:val="en-US"/>
        </w:rPr>
        <w:t>clearly state that an issue is</w:t>
      </w:r>
      <w:r w:rsidR="00B04835">
        <w:rPr>
          <w:lang w:val="en-US"/>
        </w:rPr>
        <w:t xml:space="preserve"> of </w:t>
      </w:r>
      <w:r w:rsidR="00572A78">
        <w:rPr>
          <w:lang w:val="en-US"/>
        </w:rPr>
        <w:t xml:space="preserve">purely </w:t>
      </w:r>
      <w:r w:rsidR="00D13DF4">
        <w:rPr>
          <w:lang w:val="en-US"/>
        </w:rPr>
        <w:t>ethnic</w:t>
      </w:r>
      <w:r w:rsidR="00D44F56">
        <w:rPr>
          <w:lang w:val="en-US"/>
        </w:rPr>
        <w:t xml:space="preserve"> character</w:t>
      </w:r>
      <w:r w:rsidR="00D13DF4">
        <w:rPr>
          <w:lang w:val="en-US"/>
        </w:rPr>
        <w:t>, it shall be discussed in section 2.2.</w:t>
      </w:r>
    </w:p>
    <w:p w:rsidR="00A24D88" w:rsidRDefault="00A24D88" w:rsidP="00A24D88">
      <w:pPr>
        <w:spacing w:before="240"/>
        <w:ind w:firstLine="0"/>
        <w:contextualSpacing w:val="0"/>
        <w:rPr>
          <w:lang w:val="en-US"/>
        </w:rPr>
      </w:pPr>
      <w:r>
        <w:rPr>
          <w:lang w:val="en-US"/>
        </w:rPr>
        <w:t>One of the roots of ethnic unrests was the issue of settlements in the occupied territories which became a phenomenon especially in the 1980s and which triggered creation of many radical groups between both Palestinians as well as Israelis in the area</w:t>
      </w:r>
      <w:r w:rsidR="00572A78">
        <w:rPr>
          <w:lang w:val="en-US"/>
        </w:rPr>
        <w:t>,</w:t>
      </w:r>
      <w:r w:rsidR="00925B3D">
        <w:rPr>
          <w:lang w:val="en-US"/>
        </w:rPr>
        <w:t xml:space="preserve"> some of which turned into terrorist groups</w:t>
      </w:r>
      <w:r w:rsidR="00572A78">
        <w:rPr>
          <w:lang w:val="en-US"/>
        </w:rPr>
        <w:t xml:space="preserve">; this </w:t>
      </w:r>
      <w:r w:rsidR="00925B3D">
        <w:rPr>
          <w:lang w:val="en-US"/>
        </w:rPr>
        <w:t>was especially prominent in the 1980s with the anti-Arab groups</w:t>
      </w:r>
      <w:r>
        <w:rPr>
          <w:rStyle w:val="Znakapoznpodarou"/>
          <w:lang w:val="en-US"/>
        </w:rPr>
        <w:footnoteReference w:id="24"/>
      </w:r>
      <w:r>
        <w:rPr>
          <w:lang w:val="en-US"/>
        </w:rPr>
        <w:t>.</w:t>
      </w:r>
      <w:r w:rsidR="00572A78">
        <w:rPr>
          <w:lang w:val="en-US"/>
        </w:rPr>
        <w:t xml:space="preserve"> Moreover, one of such groups got elected into the Knesset in 1984.</w:t>
      </w:r>
      <w:r w:rsidR="00572A78">
        <w:rPr>
          <w:rStyle w:val="Znakapoznpodarou"/>
          <w:lang w:val="en-US"/>
        </w:rPr>
        <w:footnoteReference w:id="25"/>
      </w:r>
    </w:p>
    <w:p w:rsidR="0073361C" w:rsidRDefault="002803CE" w:rsidP="00A24D88">
      <w:pPr>
        <w:spacing w:before="240"/>
        <w:ind w:firstLine="0"/>
        <w:contextualSpacing w:val="0"/>
        <w:rPr>
          <w:lang w:val="en-US"/>
        </w:rPr>
      </w:pPr>
      <w:r>
        <w:rPr>
          <w:lang w:val="en-US"/>
        </w:rPr>
        <w:t xml:space="preserve">Summer of 1987 foreshadowed events of </w:t>
      </w:r>
      <w:r w:rsidR="00D44F56">
        <w:rPr>
          <w:lang w:val="en-US"/>
        </w:rPr>
        <w:t xml:space="preserve">the </w:t>
      </w:r>
      <w:r>
        <w:rPr>
          <w:lang w:val="en-US"/>
        </w:rPr>
        <w:t xml:space="preserve">fall </w:t>
      </w:r>
      <w:r w:rsidR="00D44F56">
        <w:rPr>
          <w:lang w:val="en-US"/>
        </w:rPr>
        <w:t xml:space="preserve">of </w:t>
      </w:r>
      <w:r>
        <w:rPr>
          <w:lang w:val="en-US"/>
        </w:rPr>
        <w:t>1987</w:t>
      </w:r>
      <w:r w:rsidR="00E2116B">
        <w:rPr>
          <w:lang w:val="en-US"/>
        </w:rPr>
        <w:t xml:space="preserve"> – </w:t>
      </w:r>
      <w:r w:rsidR="00D44F56">
        <w:rPr>
          <w:lang w:val="en-US"/>
        </w:rPr>
        <w:t xml:space="preserve">there were occurrences of </w:t>
      </w:r>
      <w:r w:rsidR="00E2116B">
        <w:rPr>
          <w:lang w:val="en-US"/>
        </w:rPr>
        <w:t>mutual killings of members of the other ethnic group.</w:t>
      </w:r>
      <w:r>
        <w:rPr>
          <w:lang w:val="en-US"/>
        </w:rPr>
        <w:t xml:space="preserve"> </w:t>
      </w:r>
      <w:r w:rsidR="00E2116B">
        <w:rPr>
          <w:lang w:val="en-US"/>
        </w:rPr>
        <w:t>I</w:t>
      </w:r>
      <w:r>
        <w:rPr>
          <w:lang w:val="en-US"/>
        </w:rPr>
        <w:t>n October, Israeli soldiers killed seven Palestinians from Gaza, assuming they were members of terrorist groups and then a Palestinian school girl was shot to death by a Jewish settler</w:t>
      </w:r>
      <w:r w:rsidR="00943575">
        <w:rPr>
          <w:lang w:val="en-US"/>
        </w:rPr>
        <w:t xml:space="preserve"> which was </w:t>
      </w:r>
      <w:r w:rsidR="00D44F56">
        <w:rPr>
          <w:lang w:val="en-US"/>
        </w:rPr>
        <w:t xml:space="preserve">then </w:t>
      </w:r>
      <w:r w:rsidR="00943575">
        <w:rPr>
          <w:lang w:val="en-US"/>
        </w:rPr>
        <w:t>answered by P</w:t>
      </w:r>
      <w:r w:rsidR="00D44F56">
        <w:rPr>
          <w:lang w:val="en-US"/>
        </w:rPr>
        <w:t>alestinian unrests and violence;</w:t>
      </w:r>
      <w:r w:rsidR="00943575">
        <w:rPr>
          <w:lang w:val="en-US"/>
        </w:rPr>
        <w:t xml:space="preserve"> the last straw </w:t>
      </w:r>
      <w:r w:rsidR="00D44F56">
        <w:rPr>
          <w:lang w:val="en-US"/>
        </w:rPr>
        <w:t>was</w:t>
      </w:r>
      <w:r w:rsidR="00943575">
        <w:rPr>
          <w:lang w:val="en-US"/>
        </w:rPr>
        <w:t xml:space="preserve"> the above mentioned truck incident of December 9.</w:t>
      </w:r>
      <w:r w:rsidR="00943575">
        <w:rPr>
          <w:rStyle w:val="Znakapoznpodarou"/>
          <w:lang w:val="en-US"/>
        </w:rPr>
        <w:footnoteReference w:id="26"/>
      </w:r>
      <w:r w:rsidR="009957BD">
        <w:rPr>
          <w:lang w:val="en-US"/>
        </w:rPr>
        <w:t xml:space="preserve"> </w:t>
      </w:r>
      <w:r w:rsidR="0073361C">
        <w:rPr>
          <w:lang w:val="en-US"/>
        </w:rPr>
        <w:t>Since the government was unsuccessful in handling the unrests, those Jewish settlers who were most impacted by the Intifada called for even more strict measures and kept forming their own armed militias</w:t>
      </w:r>
      <w:r w:rsidR="0073361C">
        <w:rPr>
          <w:rStyle w:val="Znakapoznpodarou"/>
          <w:lang w:val="en-US"/>
        </w:rPr>
        <w:footnoteReference w:id="27"/>
      </w:r>
      <w:r w:rsidR="0073361C">
        <w:rPr>
          <w:lang w:val="en-US"/>
        </w:rPr>
        <w:t>.</w:t>
      </w:r>
      <w:r w:rsidR="002652F1">
        <w:rPr>
          <w:lang w:val="en-US"/>
        </w:rPr>
        <w:t xml:space="preserve"> </w:t>
      </w:r>
    </w:p>
    <w:p w:rsidR="009957BD" w:rsidRDefault="009957BD" w:rsidP="00A24D88">
      <w:pPr>
        <w:spacing w:before="240"/>
        <w:ind w:firstLine="0"/>
        <w:contextualSpacing w:val="0"/>
        <w:rPr>
          <w:lang w:val="en-US"/>
        </w:rPr>
      </w:pPr>
      <w:r>
        <w:rPr>
          <w:lang w:val="en-US"/>
        </w:rPr>
        <w:t>Important moment from the ethnic point of view was how Yasser Arafat used the opportunities the Intifada provided him with to “regain control over his dispossessed people”: he used the media coverage as his platform to spread the explanation that “what was happening was the direct result of Israel’s policy of stealing Arab land” and he “urged every Arab to rally in support,” including Hamas as well as Lebanese leaders of Islamic Jihad</w:t>
      </w:r>
      <w:r w:rsidR="00D44F56">
        <w:rPr>
          <w:lang w:val="en-US"/>
        </w:rPr>
        <w:t xml:space="preserve">; </w:t>
      </w:r>
      <w:r>
        <w:rPr>
          <w:lang w:val="en-US"/>
        </w:rPr>
        <w:t xml:space="preserve">his cause managed </w:t>
      </w:r>
      <w:r w:rsidR="00D44F56">
        <w:rPr>
          <w:lang w:val="en-US"/>
        </w:rPr>
        <w:t xml:space="preserve">something </w:t>
      </w:r>
      <w:r>
        <w:rPr>
          <w:lang w:val="en-US"/>
        </w:rPr>
        <w:t>previously unthinkable: to unite Arabs “of all persuasions in a common cause.</w:t>
      </w:r>
      <w:r>
        <w:rPr>
          <w:rStyle w:val="Znakapoznpodarou"/>
          <w:lang w:val="en-US"/>
        </w:rPr>
        <w:footnoteReference w:id="28"/>
      </w:r>
      <w:r>
        <w:rPr>
          <w:lang w:val="en-US"/>
        </w:rPr>
        <w:t>”</w:t>
      </w:r>
    </w:p>
    <w:p w:rsidR="00C365E0" w:rsidRDefault="00C365E0" w:rsidP="00C365E0">
      <w:pPr>
        <w:pStyle w:val="Nadpis2"/>
        <w:numPr>
          <w:ilvl w:val="1"/>
          <w:numId w:val="7"/>
        </w:numPr>
        <w:rPr>
          <w:shd w:val="clear" w:color="auto" w:fill="FFFFFF"/>
          <w:lang w:val="en-US"/>
        </w:rPr>
      </w:pPr>
      <w:bookmarkStart w:id="7" w:name="_Toc454021440"/>
      <w:r>
        <w:rPr>
          <w:shd w:val="clear" w:color="auto" w:fill="FFFFFF"/>
          <w:lang w:val="en-US"/>
        </w:rPr>
        <w:lastRenderedPageBreak/>
        <w:t>Political Dimension</w:t>
      </w:r>
      <w:bookmarkEnd w:id="7"/>
    </w:p>
    <w:p w:rsidR="00263369" w:rsidRDefault="00263369" w:rsidP="00E2116B">
      <w:pPr>
        <w:spacing w:before="240"/>
        <w:ind w:firstLine="0"/>
        <w:rPr>
          <w:color w:val="000000"/>
          <w:szCs w:val="24"/>
          <w:shd w:val="clear" w:color="auto" w:fill="FFFFFF"/>
          <w:lang w:val="en-US"/>
        </w:rPr>
      </w:pPr>
      <w:r>
        <w:rPr>
          <w:lang w:val="en-US"/>
        </w:rPr>
        <w:t xml:space="preserve">The tension in the occupied territories between Palestinians and Israelis has been growing </w:t>
      </w:r>
      <w:r>
        <w:rPr>
          <w:color w:val="000000"/>
          <w:szCs w:val="24"/>
          <w:shd w:val="clear" w:color="auto" w:fill="FFFFFF"/>
          <w:lang w:val="en-US"/>
        </w:rPr>
        <w:t xml:space="preserve">throughout 1987 after Yitzhak Shamir became </w:t>
      </w:r>
      <w:r w:rsidR="00100392">
        <w:rPr>
          <w:color w:val="000000"/>
          <w:szCs w:val="24"/>
          <w:shd w:val="clear" w:color="auto" w:fill="FFFFFF"/>
          <w:lang w:val="en-US"/>
        </w:rPr>
        <w:t xml:space="preserve">the </w:t>
      </w:r>
      <w:r>
        <w:rPr>
          <w:color w:val="000000"/>
          <w:szCs w:val="24"/>
          <w:shd w:val="clear" w:color="auto" w:fill="FFFFFF"/>
          <w:lang w:val="en-US"/>
        </w:rPr>
        <w:t>Prime Minister and with the upcoming 20</w:t>
      </w:r>
      <w:r w:rsidRPr="00F16092">
        <w:rPr>
          <w:color w:val="000000"/>
          <w:szCs w:val="24"/>
          <w:shd w:val="clear" w:color="auto" w:fill="FFFFFF"/>
          <w:vertAlign w:val="superscript"/>
          <w:lang w:val="en-US"/>
        </w:rPr>
        <w:t>th</w:t>
      </w:r>
      <w:r>
        <w:rPr>
          <w:color w:val="000000"/>
          <w:szCs w:val="24"/>
          <w:shd w:val="clear" w:color="auto" w:fill="FFFFFF"/>
          <w:lang w:val="en-US"/>
        </w:rPr>
        <w:t xml:space="preserve"> anniversary of the Six-Day War of 1967</w:t>
      </w:r>
      <w:r w:rsidR="00100392">
        <w:rPr>
          <w:color w:val="000000"/>
          <w:szCs w:val="24"/>
          <w:shd w:val="clear" w:color="auto" w:fill="FFFFFF"/>
          <w:lang w:val="en-US"/>
        </w:rPr>
        <w:t xml:space="preserve"> when serious unrests erupted in Gaza and the West Bank</w:t>
      </w:r>
      <w:r>
        <w:rPr>
          <w:rStyle w:val="Znakapoznpodarou"/>
          <w:color w:val="000000"/>
          <w:szCs w:val="24"/>
          <w:shd w:val="clear" w:color="auto" w:fill="FFFFFF"/>
          <w:lang w:val="en-US"/>
        </w:rPr>
        <w:footnoteReference w:id="29"/>
      </w:r>
      <w:r>
        <w:rPr>
          <w:color w:val="000000"/>
          <w:szCs w:val="24"/>
          <w:shd w:val="clear" w:color="auto" w:fill="FFFFFF"/>
          <w:lang w:val="en-US"/>
        </w:rPr>
        <w:t>.</w:t>
      </w:r>
      <w:r w:rsidR="00227F90">
        <w:rPr>
          <w:color w:val="000000"/>
          <w:szCs w:val="24"/>
          <w:shd w:val="clear" w:color="auto" w:fill="FFFFFF"/>
          <w:lang w:val="en-US"/>
        </w:rPr>
        <w:t xml:space="preserve"> One of the contributing factors was also the inability of PLO as well as other Arab states to defend the Palestinian interests</w:t>
      </w:r>
      <w:r w:rsidR="00E2116B">
        <w:rPr>
          <w:color w:val="000000"/>
          <w:szCs w:val="24"/>
          <w:shd w:val="clear" w:color="auto" w:fill="FFFFFF"/>
          <w:lang w:val="en-US"/>
        </w:rPr>
        <w:t>;</w:t>
      </w:r>
      <w:r w:rsidR="00227F90">
        <w:rPr>
          <w:rStyle w:val="Znakapoznpodarou"/>
          <w:color w:val="000000"/>
          <w:szCs w:val="24"/>
          <w:shd w:val="clear" w:color="auto" w:fill="FFFFFF"/>
          <w:lang w:val="en-US"/>
        </w:rPr>
        <w:footnoteReference w:id="30"/>
      </w:r>
      <w:r w:rsidR="00E2116B">
        <w:rPr>
          <w:color w:val="000000"/>
          <w:szCs w:val="24"/>
          <w:shd w:val="clear" w:color="auto" w:fill="FFFFFF"/>
          <w:lang w:val="en-US"/>
        </w:rPr>
        <w:t xml:space="preserve"> in other words</w:t>
      </w:r>
      <w:r w:rsidR="00B04835">
        <w:rPr>
          <w:color w:val="000000"/>
          <w:szCs w:val="24"/>
          <w:shd w:val="clear" w:color="auto" w:fill="FFFFFF"/>
          <w:lang w:val="en-US"/>
        </w:rPr>
        <w:t>,</w:t>
      </w:r>
      <w:r w:rsidR="00E2116B">
        <w:rPr>
          <w:color w:val="000000"/>
          <w:szCs w:val="24"/>
          <w:shd w:val="clear" w:color="auto" w:fill="FFFFFF"/>
          <w:lang w:val="en-US"/>
        </w:rPr>
        <w:t xml:space="preserve"> “</w:t>
      </w:r>
      <w:r w:rsidR="00E2116B" w:rsidRPr="00E2116B">
        <w:rPr>
          <w:color w:val="000000"/>
          <w:szCs w:val="24"/>
          <w:shd w:val="clear" w:color="auto" w:fill="FFFFFF"/>
          <w:lang w:val="en-US"/>
        </w:rPr>
        <w:t>Palestinians living in the occupied territories recognized that neither Arab armies nor the PLO would liberate them from Israeli occupation</w:t>
      </w:r>
      <w:r w:rsidR="00E2116B">
        <w:rPr>
          <w:color w:val="000000"/>
          <w:szCs w:val="24"/>
          <w:shd w:val="clear" w:color="auto" w:fill="FFFFFF"/>
          <w:lang w:val="en-US"/>
        </w:rPr>
        <w:t>.</w:t>
      </w:r>
      <w:r w:rsidR="00E2116B">
        <w:rPr>
          <w:rStyle w:val="Znakapoznpodarou"/>
          <w:color w:val="000000"/>
          <w:szCs w:val="24"/>
          <w:shd w:val="clear" w:color="auto" w:fill="FFFFFF"/>
          <w:lang w:val="en-US"/>
        </w:rPr>
        <w:footnoteReference w:id="31"/>
      </w:r>
      <w:r w:rsidR="00E2116B">
        <w:rPr>
          <w:color w:val="000000"/>
          <w:szCs w:val="24"/>
          <w:shd w:val="clear" w:color="auto" w:fill="FFFFFF"/>
          <w:lang w:val="en-US"/>
        </w:rPr>
        <w:t>”</w:t>
      </w:r>
    </w:p>
    <w:p w:rsidR="00263369" w:rsidRDefault="00227F90" w:rsidP="000B54AD">
      <w:pPr>
        <w:pStyle w:val="Bezmezer"/>
        <w:spacing w:before="240" w:after="240" w:line="360" w:lineRule="auto"/>
        <w:ind w:firstLine="0"/>
        <w:contextualSpacing w:val="0"/>
        <w:rPr>
          <w:lang w:val="en-US"/>
        </w:rPr>
      </w:pPr>
      <w:r>
        <w:rPr>
          <w:lang w:val="en-US"/>
        </w:rPr>
        <w:t>Moreover, life of those who lived in the West Bank and Gaza was plagued by complications such as free movement restrictions</w:t>
      </w:r>
      <w:r w:rsidR="008B1414">
        <w:rPr>
          <w:lang w:val="en-US"/>
        </w:rPr>
        <w:t xml:space="preserve"> between Palestinian cities</w:t>
      </w:r>
      <w:r w:rsidR="00D44F56">
        <w:rPr>
          <w:lang w:val="en-US"/>
        </w:rPr>
        <w:t xml:space="preserve"> that </w:t>
      </w:r>
      <w:r w:rsidR="00B04835">
        <w:rPr>
          <w:lang w:val="en-US"/>
        </w:rPr>
        <w:t xml:space="preserve">also </w:t>
      </w:r>
      <w:r w:rsidR="00D44F56">
        <w:rPr>
          <w:lang w:val="en-US"/>
        </w:rPr>
        <w:t>included</w:t>
      </w:r>
      <w:r w:rsidR="008B1414">
        <w:rPr>
          <w:lang w:val="en-US"/>
        </w:rPr>
        <w:t xml:space="preserve"> waiting at checkpoints.</w:t>
      </w:r>
      <w:r w:rsidR="00C943DA">
        <w:rPr>
          <w:lang w:val="en-US"/>
        </w:rPr>
        <w:t xml:space="preserve"> Additionally, they often had to put up with dismissive behavior of Israeli soldiers and various forms of repressions such as mass arrests, house demolitions, deportations</w:t>
      </w:r>
      <w:r w:rsidR="00C504C0">
        <w:rPr>
          <w:lang w:val="en-US"/>
        </w:rPr>
        <w:t>,</w:t>
      </w:r>
      <w:r w:rsidR="00C943DA">
        <w:rPr>
          <w:lang w:val="en-US"/>
        </w:rPr>
        <w:t xml:space="preserve"> and the like</w:t>
      </w:r>
      <w:r w:rsidR="00C504C0">
        <w:rPr>
          <w:lang w:val="en-US"/>
        </w:rPr>
        <w:t>,</w:t>
      </w:r>
      <w:r w:rsidR="00940C7F">
        <w:rPr>
          <w:lang w:val="en-US"/>
        </w:rPr>
        <w:t xml:space="preserve"> provided there was a suspicion of </w:t>
      </w:r>
      <w:r w:rsidR="00940C7F" w:rsidRPr="00940C7F">
        <w:rPr>
          <w:lang w:val="en-US"/>
        </w:rPr>
        <w:t>terrorism</w:t>
      </w:r>
      <w:r w:rsidR="00940C7F">
        <w:rPr>
          <w:rStyle w:val="Znakapoznpodarou"/>
          <w:lang w:val="en-US"/>
        </w:rPr>
        <w:footnoteReference w:id="32"/>
      </w:r>
      <w:r w:rsidR="00C943DA" w:rsidRPr="00940C7F">
        <w:rPr>
          <w:lang w:val="en-US"/>
        </w:rPr>
        <w:t>.</w:t>
      </w:r>
      <w:r w:rsidR="00C943DA">
        <w:rPr>
          <w:lang w:val="en-US"/>
        </w:rPr>
        <w:t xml:space="preserve"> </w:t>
      </w:r>
      <w:r w:rsidR="00E2116B">
        <w:rPr>
          <w:lang w:val="en-US"/>
        </w:rPr>
        <w:t>Further</w:t>
      </w:r>
      <w:r w:rsidR="00C943DA">
        <w:rPr>
          <w:lang w:val="en-US"/>
        </w:rPr>
        <w:t>, Shamir’s policy of settlement</w:t>
      </w:r>
      <w:r w:rsidR="00B04835">
        <w:rPr>
          <w:lang w:val="en-US"/>
        </w:rPr>
        <w:t>-</w:t>
      </w:r>
      <w:r w:rsidR="00C943DA">
        <w:rPr>
          <w:lang w:val="en-US"/>
        </w:rPr>
        <w:t>building in the occupied territories additionally made life of Palestinians in the area complicated</w:t>
      </w:r>
      <w:r w:rsidR="00E7466C">
        <w:rPr>
          <w:lang w:val="en-US"/>
        </w:rPr>
        <w:t xml:space="preserve"> which became troublesome especially in the 1970s</w:t>
      </w:r>
      <w:r w:rsidR="005404D3">
        <w:rPr>
          <w:lang w:val="en-US"/>
        </w:rPr>
        <w:t xml:space="preserve"> since it ignited the notion that the occupation is not only temporary</w:t>
      </w:r>
      <w:r w:rsidR="005404D3">
        <w:rPr>
          <w:rStyle w:val="Znakapoznpodarou"/>
          <w:lang w:val="en-US"/>
        </w:rPr>
        <w:footnoteReference w:id="33"/>
      </w:r>
      <w:r w:rsidR="00C943DA">
        <w:rPr>
          <w:lang w:val="en-US"/>
        </w:rPr>
        <w:t>.</w:t>
      </w:r>
    </w:p>
    <w:p w:rsidR="000C31CA" w:rsidRDefault="000B54AD" w:rsidP="000B54AD">
      <w:pPr>
        <w:pStyle w:val="Bezmezer"/>
        <w:spacing w:before="240" w:after="240" w:line="360" w:lineRule="auto"/>
        <w:ind w:firstLine="0"/>
        <w:contextualSpacing w:val="0"/>
        <w:rPr>
          <w:lang w:val="en-US"/>
        </w:rPr>
      </w:pPr>
      <w:r>
        <w:rPr>
          <w:lang w:val="en-US"/>
        </w:rPr>
        <w:t>When the unrests fully erupted in December 1987, Israel was unprepared for such a</w:t>
      </w:r>
      <w:r w:rsidR="0073361C">
        <w:rPr>
          <w:lang w:val="en-US"/>
        </w:rPr>
        <w:t>n event and their reaction was conducted in an</w:t>
      </w:r>
      <w:r w:rsidR="00C504C0">
        <w:rPr>
          <w:lang w:val="en-US"/>
        </w:rPr>
        <w:t xml:space="preserve"> equally</w:t>
      </w:r>
      <w:r w:rsidR="0073361C">
        <w:rPr>
          <w:lang w:val="en-US"/>
        </w:rPr>
        <w:t xml:space="preserve"> unprepared manner </w:t>
      </w:r>
      <w:r w:rsidR="00C504C0">
        <w:rPr>
          <w:lang w:val="en-US"/>
        </w:rPr>
        <w:t>–</w:t>
      </w:r>
      <w:r w:rsidR="0073361C">
        <w:rPr>
          <w:lang w:val="en-US"/>
        </w:rPr>
        <w:t xml:space="preserve"> without a</w:t>
      </w:r>
      <w:r w:rsidR="00C504C0">
        <w:rPr>
          <w:lang w:val="en-US"/>
        </w:rPr>
        <w:t>ny</w:t>
      </w:r>
      <w:r w:rsidR="0073361C">
        <w:rPr>
          <w:lang w:val="en-US"/>
        </w:rPr>
        <w:t xml:space="preserve"> unified plan </w:t>
      </w:r>
      <w:r w:rsidR="00C504C0">
        <w:rPr>
          <w:lang w:val="en-US"/>
        </w:rPr>
        <w:t xml:space="preserve">and </w:t>
      </w:r>
      <w:r w:rsidR="0073361C">
        <w:rPr>
          <w:lang w:val="en-US"/>
        </w:rPr>
        <w:t>with the help of the army</w:t>
      </w:r>
      <w:r w:rsidR="00C504C0">
        <w:rPr>
          <w:lang w:val="en-US"/>
        </w:rPr>
        <w:t>,</w:t>
      </w:r>
      <w:r w:rsidR="0073361C">
        <w:rPr>
          <w:lang w:val="en-US"/>
        </w:rPr>
        <w:t xml:space="preserve"> since the police force</w:t>
      </w:r>
      <w:r w:rsidR="00C504C0">
        <w:rPr>
          <w:lang w:val="en-US"/>
        </w:rPr>
        <w:t>s were</w:t>
      </w:r>
      <w:r w:rsidR="0073361C">
        <w:rPr>
          <w:lang w:val="en-US"/>
        </w:rPr>
        <w:t xml:space="preserve"> not numerous enough. This all resulted in a rather tough reaction on the Israeli side, increasing number of losses on the </w:t>
      </w:r>
      <w:r w:rsidR="00C504C0">
        <w:rPr>
          <w:lang w:val="en-US"/>
        </w:rPr>
        <w:t xml:space="preserve">side  of </w:t>
      </w:r>
      <w:r w:rsidR="0073361C">
        <w:rPr>
          <w:lang w:val="en-US"/>
        </w:rPr>
        <w:t>Palestinian</w:t>
      </w:r>
      <w:r w:rsidR="00C504C0">
        <w:rPr>
          <w:lang w:val="en-US"/>
        </w:rPr>
        <w:t>s</w:t>
      </w:r>
      <w:r w:rsidR="0073361C">
        <w:rPr>
          <w:lang w:val="en-US"/>
        </w:rPr>
        <w:t xml:space="preserve"> which, in return, cause</w:t>
      </w:r>
      <w:r w:rsidR="00C504C0">
        <w:rPr>
          <w:lang w:val="en-US"/>
        </w:rPr>
        <w:t>d</w:t>
      </w:r>
      <w:r w:rsidR="0073361C">
        <w:rPr>
          <w:lang w:val="en-US"/>
        </w:rPr>
        <w:t xml:space="preserve"> more unrests, with the death toll being significantly higher </w:t>
      </w:r>
      <w:r w:rsidR="00C504C0">
        <w:rPr>
          <w:lang w:val="en-US"/>
        </w:rPr>
        <w:t>for the</w:t>
      </w:r>
      <w:r w:rsidR="0073361C">
        <w:rPr>
          <w:lang w:val="en-US"/>
        </w:rPr>
        <w:t xml:space="preserve"> Palestinian</w:t>
      </w:r>
      <w:r w:rsidR="00C504C0">
        <w:rPr>
          <w:lang w:val="en-US"/>
        </w:rPr>
        <w:t>s</w:t>
      </w:r>
      <w:r w:rsidR="004E2BA9">
        <w:rPr>
          <w:rStyle w:val="Znakapoznpodarou"/>
          <w:lang w:val="en-US"/>
        </w:rPr>
        <w:footnoteReference w:id="34"/>
      </w:r>
      <w:r w:rsidR="0073361C">
        <w:rPr>
          <w:lang w:val="en-US"/>
        </w:rPr>
        <w:t>.</w:t>
      </w:r>
      <w:r w:rsidR="00CB40A6">
        <w:rPr>
          <w:lang w:val="en-US"/>
        </w:rPr>
        <w:t xml:space="preserve"> </w:t>
      </w:r>
    </w:p>
    <w:p w:rsidR="000B54AD" w:rsidRPr="00263369" w:rsidRDefault="000C31CA" w:rsidP="000B54AD">
      <w:pPr>
        <w:pStyle w:val="Bezmezer"/>
        <w:spacing w:before="240" w:after="240" w:line="360" w:lineRule="auto"/>
        <w:ind w:firstLine="0"/>
        <w:contextualSpacing w:val="0"/>
        <w:rPr>
          <w:lang w:val="en-US"/>
        </w:rPr>
      </w:pPr>
      <w:r>
        <w:rPr>
          <w:lang w:val="en-US"/>
        </w:rPr>
        <w:t xml:space="preserve">Although </w:t>
      </w:r>
      <w:r w:rsidR="00C504C0">
        <w:rPr>
          <w:lang w:val="en-US"/>
        </w:rPr>
        <w:t xml:space="preserve">the </w:t>
      </w:r>
      <w:r>
        <w:rPr>
          <w:lang w:val="en-US"/>
        </w:rPr>
        <w:t xml:space="preserve">Israeli intelligence community – especially Mossad and Shin Bet – were actively launching operations to stop the </w:t>
      </w:r>
      <w:r w:rsidRPr="00C504C0">
        <w:rPr>
          <w:i/>
          <w:lang w:val="en-US"/>
        </w:rPr>
        <w:t>Intifada</w:t>
      </w:r>
      <w:r>
        <w:rPr>
          <w:lang w:val="en-US"/>
        </w:rPr>
        <w:t xml:space="preserve">, not only had their operations “done nothing to daunt Arab determination” but also the guerillas were able to “outsmart the Israelis, whose only response seemed to be violence and more violence” which resulted in the world </w:t>
      </w:r>
      <w:r>
        <w:rPr>
          <w:lang w:val="en-US"/>
        </w:rPr>
        <w:lastRenderedPageBreak/>
        <w:t xml:space="preserve">watching Israel not only to fail to stop the </w:t>
      </w:r>
      <w:r w:rsidRPr="00C504C0">
        <w:rPr>
          <w:i/>
          <w:lang w:val="en-US"/>
        </w:rPr>
        <w:t>Intifada</w:t>
      </w:r>
      <w:r>
        <w:rPr>
          <w:lang w:val="en-US"/>
        </w:rPr>
        <w:t xml:space="preserve"> “but also to lose the propaganda war”</w:t>
      </w:r>
      <w:r>
        <w:rPr>
          <w:rStyle w:val="Znakapoznpodarou"/>
          <w:lang w:val="en-US"/>
        </w:rPr>
        <w:footnoteReference w:id="35"/>
      </w:r>
      <w:r>
        <w:rPr>
          <w:lang w:val="en-US"/>
        </w:rPr>
        <w:t xml:space="preserve"> as well as the moral high ground.</w:t>
      </w:r>
    </w:p>
    <w:p w:rsidR="00C365E0" w:rsidRDefault="00C365E0" w:rsidP="00C365E0">
      <w:pPr>
        <w:pStyle w:val="Nadpis2"/>
        <w:numPr>
          <w:ilvl w:val="1"/>
          <w:numId w:val="7"/>
        </w:numPr>
        <w:rPr>
          <w:lang w:val="en-US"/>
        </w:rPr>
      </w:pPr>
      <w:bookmarkStart w:id="8" w:name="_Toc454021441"/>
      <w:r>
        <w:rPr>
          <w:lang w:val="en-US"/>
        </w:rPr>
        <w:t>Economic Dimension</w:t>
      </w:r>
      <w:bookmarkEnd w:id="8"/>
    </w:p>
    <w:p w:rsidR="00940C7F" w:rsidRDefault="005F09ED" w:rsidP="00940C7F">
      <w:pPr>
        <w:pStyle w:val="Bezmezer"/>
        <w:spacing w:before="240" w:after="240" w:line="360" w:lineRule="auto"/>
        <w:ind w:firstLine="0"/>
        <w:contextualSpacing w:val="0"/>
        <w:rPr>
          <w:lang w:val="en-US"/>
        </w:rPr>
      </w:pPr>
      <w:r>
        <w:rPr>
          <w:lang w:val="en-US"/>
        </w:rPr>
        <w:t xml:space="preserve">One of the first issues that contributed to the eruption of unrests that resulted in the </w:t>
      </w:r>
      <w:r w:rsidRPr="00C504C0">
        <w:rPr>
          <w:i/>
          <w:lang w:val="en-US"/>
        </w:rPr>
        <w:t>Intifada</w:t>
      </w:r>
      <w:r>
        <w:rPr>
          <w:lang w:val="en-US"/>
        </w:rPr>
        <w:t xml:space="preserve"> breakout was the r</w:t>
      </w:r>
      <w:r w:rsidR="006A22D7">
        <w:rPr>
          <w:lang w:val="en-US"/>
        </w:rPr>
        <w:t xml:space="preserve">ising unemployment </w:t>
      </w:r>
      <w:r w:rsidR="00504248">
        <w:rPr>
          <w:lang w:val="en-US"/>
        </w:rPr>
        <w:t>between the Palestinian</w:t>
      </w:r>
      <w:r>
        <w:rPr>
          <w:lang w:val="en-US"/>
        </w:rPr>
        <w:t xml:space="preserve"> </w:t>
      </w:r>
      <w:proofErr w:type="gramStart"/>
      <w:r>
        <w:rPr>
          <w:lang w:val="en-US"/>
        </w:rPr>
        <w:t>population</w:t>
      </w:r>
      <w:proofErr w:type="gramEnd"/>
      <w:r>
        <w:rPr>
          <w:lang w:val="en-US"/>
        </w:rPr>
        <w:t>.</w:t>
      </w:r>
      <w:r w:rsidR="00504248">
        <w:rPr>
          <w:rStyle w:val="Znakapoznpodarou"/>
          <w:lang w:val="en-US"/>
        </w:rPr>
        <w:footnoteReference w:id="36"/>
      </w:r>
      <w:r>
        <w:rPr>
          <w:lang w:val="en-US"/>
        </w:rPr>
        <w:t xml:space="preserve"> When the </w:t>
      </w:r>
      <w:r w:rsidRPr="00C504C0">
        <w:rPr>
          <w:i/>
          <w:lang w:val="en-US"/>
        </w:rPr>
        <w:t>Intifada</w:t>
      </w:r>
      <w:r>
        <w:rPr>
          <w:lang w:val="en-US"/>
        </w:rPr>
        <w:t xml:space="preserve"> was in full swing, </w:t>
      </w:r>
      <w:r w:rsidR="00D61A2A">
        <w:rPr>
          <w:lang w:val="en-US"/>
        </w:rPr>
        <w:t xml:space="preserve">some of the Palestinian </w:t>
      </w:r>
      <w:r w:rsidR="00B04835">
        <w:rPr>
          <w:lang w:val="en-US"/>
        </w:rPr>
        <w:t>merchants</w:t>
      </w:r>
      <w:r w:rsidR="00D61A2A">
        <w:rPr>
          <w:lang w:val="en-US"/>
        </w:rPr>
        <w:t xml:space="preserve"> started taking measures such as boycotting Israeli goods or refusal to pay Israeli taxes</w:t>
      </w:r>
      <w:r w:rsidR="00B04835">
        <w:rPr>
          <w:lang w:val="en-US"/>
        </w:rPr>
        <w:t>;</w:t>
      </w:r>
      <w:r w:rsidR="00C3586F">
        <w:rPr>
          <w:lang w:val="en-US"/>
        </w:rPr>
        <w:t xml:space="preserve"> the already weak Palestinian economics was further weakened by subsequent Israeli counter-measures</w:t>
      </w:r>
      <w:r w:rsidR="00D61A2A">
        <w:rPr>
          <w:rStyle w:val="Znakapoznpodarou"/>
          <w:lang w:val="en-US"/>
        </w:rPr>
        <w:footnoteReference w:id="37"/>
      </w:r>
      <w:r w:rsidR="00D61A2A">
        <w:rPr>
          <w:lang w:val="en-US"/>
        </w:rPr>
        <w:t>.</w:t>
      </w:r>
      <w:r w:rsidR="002652F1">
        <w:rPr>
          <w:lang w:val="en-US"/>
        </w:rPr>
        <w:t xml:space="preserve"> In fact, “every Arab community that was </w:t>
      </w:r>
      <w:proofErr w:type="spellStart"/>
      <w:r w:rsidR="002652F1">
        <w:rPr>
          <w:lang w:val="en-US"/>
        </w:rPr>
        <w:t>postered</w:t>
      </w:r>
      <w:proofErr w:type="spellEnd"/>
      <w:r w:rsidR="00865FE7">
        <w:rPr>
          <w:lang w:val="en-US"/>
        </w:rPr>
        <w:t xml:space="preserve"> </w:t>
      </w:r>
      <w:r w:rsidR="002652F1">
        <w:rPr>
          <w:lang w:val="en-US"/>
        </w:rPr>
        <w:t xml:space="preserve">with instructions in Arabic on how to stage strikes, to close shops, boycott Israeli goods, </w:t>
      </w:r>
      <w:proofErr w:type="gramStart"/>
      <w:r w:rsidR="002652F1">
        <w:rPr>
          <w:lang w:val="en-US"/>
        </w:rPr>
        <w:t>refuse</w:t>
      </w:r>
      <w:proofErr w:type="gramEnd"/>
      <w:r w:rsidR="002652F1">
        <w:rPr>
          <w:lang w:val="en-US"/>
        </w:rPr>
        <w:t xml:space="preserve"> to recognize the civil administration.</w:t>
      </w:r>
      <w:r w:rsidR="002652F1">
        <w:rPr>
          <w:rStyle w:val="Znakapoznpodarou"/>
          <w:lang w:val="en-US"/>
        </w:rPr>
        <w:footnoteReference w:id="38"/>
      </w:r>
      <w:r w:rsidR="002652F1">
        <w:rPr>
          <w:lang w:val="en-US"/>
        </w:rPr>
        <w:t>”</w:t>
      </w:r>
      <w:r w:rsidR="00940C7F">
        <w:rPr>
          <w:lang w:val="en-US"/>
        </w:rPr>
        <w:t xml:space="preserve"> Reasons for such behavior was the fact that the </w:t>
      </w:r>
      <w:r w:rsidR="00940C7F" w:rsidRPr="00940C7F">
        <w:rPr>
          <w:lang w:val="en-US"/>
        </w:rPr>
        <w:t xml:space="preserve">occupied territories were </w:t>
      </w:r>
      <w:r w:rsidR="00940C7F">
        <w:rPr>
          <w:lang w:val="en-US"/>
        </w:rPr>
        <w:t>“</w:t>
      </w:r>
      <w:r w:rsidR="00940C7F" w:rsidRPr="00940C7F">
        <w:rPr>
          <w:lang w:val="en-US"/>
        </w:rPr>
        <w:t>made entirely dependent, eco</w:t>
      </w:r>
      <w:r w:rsidR="00940C7F">
        <w:rPr>
          <w:lang w:val="en-US"/>
        </w:rPr>
        <w:t>nomically, on Israel [as] P</w:t>
      </w:r>
      <w:r w:rsidR="00940C7F" w:rsidRPr="00940C7F">
        <w:rPr>
          <w:lang w:val="en-US"/>
        </w:rPr>
        <w:t>alestinian products were denied entry into Israel, and nearly 90 percent of all goods imported into the territories came from Israel</w:t>
      </w:r>
      <w:r w:rsidR="00940C7F">
        <w:rPr>
          <w:lang w:val="en-US"/>
        </w:rPr>
        <w:t>.</w:t>
      </w:r>
      <w:r w:rsidR="00940C7F">
        <w:rPr>
          <w:rStyle w:val="Znakapoznpodarou"/>
          <w:lang w:val="en-US"/>
        </w:rPr>
        <w:footnoteReference w:id="39"/>
      </w:r>
      <w:r w:rsidR="00940C7F">
        <w:rPr>
          <w:lang w:val="en-US"/>
        </w:rPr>
        <w:t>”</w:t>
      </w:r>
    </w:p>
    <w:p w:rsidR="00BA74A1" w:rsidRDefault="00BA74A1" w:rsidP="00BA74A1">
      <w:pPr>
        <w:pStyle w:val="Bezmezer"/>
        <w:spacing w:before="240" w:after="240" w:line="360" w:lineRule="auto"/>
        <w:ind w:firstLine="0"/>
        <w:contextualSpacing w:val="0"/>
        <w:rPr>
          <w:lang w:val="en-US"/>
        </w:rPr>
      </w:pPr>
      <w:r>
        <w:rPr>
          <w:lang w:val="en-US"/>
        </w:rPr>
        <w:t>The measures taken by Israel ignited disapproval in the international communit</w:t>
      </w:r>
      <w:r w:rsidR="00C504C0">
        <w:rPr>
          <w:lang w:val="en-US"/>
        </w:rPr>
        <w:t>y including the UN</w:t>
      </w:r>
      <w:r>
        <w:rPr>
          <w:lang w:val="en-US"/>
        </w:rPr>
        <w:t xml:space="preserve"> and the economic help flowing to Israel started being conditioned by their behavior, which</w:t>
      </w:r>
      <w:r w:rsidR="002652F1">
        <w:rPr>
          <w:lang w:val="en-US"/>
        </w:rPr>
        <w:t>, however,</w:t>
      </w:r>
      <w:r>
        <w:rPr>
          <w:lang w:val="en-US"/>
        </w:rPr>
        <w:t xml:space="preserve"> is an interesting result of the Intifada, not its trigger</w:t>
      </w:r>
      <w:r>
        <w:rPr>
          <w:rStyle w:val="Znakapoznpodarou"/>
          <w:lang w:val="en-US"/>
        </w:rPr>
        <w:footnoteReference w:id="40"/>
      </w:r>
      <w:r>
        <w:rPr>
          <w:lang w:val="en-US"/>
        </w:rPr>
        <w:t>.</w:t>
      </w:r>
    </w:p>
    <w:p w:rsidR="004F5E26" w:rsidRDefault="004F5E26" w:rsidP="004F5E26">
      <w:pPr>
        <w:pStyle w:val="Nadpis2"/>
        <w:numPr>
          <w:ilvl w:val="1"/>
          <w:numId w:val="9"/>
        </w:numPr>
        <w:rPr>
          <w:lang w:val="en-US"/>
        </w:rPr>
      </w:pPr>
      <w:bookmarkStart w:id="9" w:name="_Toc454021442"/>
      <w:r>
        <w:rPr>
          <w:lang w:val="en-US"/>
        </w:rPr>
        <w:t>Nationalist Dimension</w:t>
      </w:r>
      <w:bookmarkEnd w:id="9"/>
    </w:p>
    <w:p w:rsidR="00940C7F" w:rsidRDefault="00940C7F" w:rsidP="00940C7F">
      <w:pPr>
        <w:spacing w:before="240"/>
        <w:ind w:firstLine="0"/>
        <w:rPr>
          <w:lang w:val="en-US"/>
        </w:rPr>
      </w:pPr>
      <w:r>
        <w:rPr>
          <w:lang w:val="en-US"/>
        </w:rPr>
        <w:t xml:space="preserve">Before the </w:t>
      </w:r>
      <w:r w:rsidRPr="00940C7F">
        <w:rPr>
          <w:i/>
          <w:lang w:val="en-US"/>
        </w:rPr>
        <w:t>First Intifada</w:t>
      </w:r>
      <w:r>
        <w:rPr>
          <w:lang w:val="en-US"/>
        </w:rPr>
        <w:t xml:space="preserve"> broke out, a</w:t>
      </w:r>
      <w:r w:rsidRPr="00940C7F">
        <w:rPr>
          <w:lang w:val="en-US"/>
        </w:rPr>
        <w:t>ccording to</w:t>
      </w:r>
      <w:r w:rsidR="00C504C0">
        <w:rPr>
          <w:lang w:val="en-US"/>
        </w:rPr>
        <w:t xml:space="preserve"> the</w:t>
      </w:r>
      <w:r w:rsidRPr="00940C7F">
        <w:rPr>
          <w:lang w:val="en-US"/>
        </w:rPr>
        <w:t xml:space="preserve"> Israeli law at the time, </w:t>
      </w:r>
      <w:r>
        <w:rPr>
          <w:lang w:val="en-US"/>
        </w:rPr>
        <w:t xml:space="preserve">“ ‘terrorist activities’ </w:t>
      </w:r>
      <w:r w:rsidRPr="00940C7F">
        <w:rPr>
          <w:lang w:val="en-US"/>
        </w:rPr>
        <w:t>included everything from painting slogans and graffiti to singing national songs to making the victory sign, displaying the Palestinian flag, throwing stones, burning tires, demonstrating, and forming politic</w:t>
      </w:r>
      <w:r w:rsidR="00C504C0">
        <w:rPr>
          <w:lang w:val="en-US"/>
        </w:rPr>
        <w:t xml:space="preserve">al gatherings” on top of </w:t>
      </w:r>
      <w:r w:rsidR="00B04835">
        <w:rPr>
          <w:lang w:val="en-US"/>
        </w:rPr>
        <w:t>which</w:t>
      </w:r>
      <w:r w:rsidR="00C504C0">
        <w:rPr>
          <w:lang w:val="en-US"/>
        </w:rPr>
        <w:t xml:space="preserve"> the “a</w:t>
      </w:r>
      <w:r w:rsidRPr="00940C7F">
        <w:rPr>
          <w:lang w:val="en-US"/>
        </w:rPr>
        <w:t>uthorities arrested or detained close to half a million Palestinians for these reasons prior t</w:t>
      </w:r>
      <w:r>
        <w:rPr>
          <w:lang w:val="en-US"/>
        </w:rPr>
        <w:t>o and during the First Intifada</w:t>
      </w:r>
      <w:r>
        <w:rPr>
          <w:rStyle w:val="Znakapoznpodarou"/>
          <w:lang w:val="en-US"/>
        </w:rPr>
        <w:footnoteReference w:id="41"/>
      </w:r>
      <w:r>
        <w:rPr>
          <w:lang w:val="en-US"/>
        </w:rPr>
        <w:t>” which testifies for</w:t>
      </w:r>
      <w:r w:rsidR="00C504C0">
        <w:rPr>
          <w:lang w:val="en-US"/>
        </w:rPr>
        <w:t xml:space="preserve"> a stro</w:t>
      </w:r>
      <w:r>
        <w:rPr>
          <w:lang w:val="en-US"/>
        </w:rPr>
        <w:t>ng pressure on Palestinians as a political and national entity.</w:t>
      </w:r>
    </w:p>
    <w:p w:rsidR="00926A0A" w:rsidRDefault="00CC4E4B" w:rsidP="008A4C23">
      <w:pPr>
        <w:pStyle w:val="Nadpis1"/>
        <w:keepNext w:val="0"/>
        <w:keepLines w:val="0"/>
        <w:widowControl w:val="0"/>
        <w:numPr>
          <w:ilvl w:val="0"/>
          <w:numId w:val="5"/>
        </w:numPr>
        <w:spacing w:after="240"/>
        <w:ind w:left="0" w:firstLine="0"/>
        <w:rPr>
          <w:lang w:val="en-US"/>
        </w:rPr>
      </w:pPr>
      <w:bookmarkStart w:id="10" w:name="_Toc454021443"/>
      <w:r>
        <w:rPr>
          <w:lang w:val="en-US"/>
        </w:rPr>
        <w:lastRenderedPageBreak/>
        <w:t>Interpretation</w:t>
      </w:r>
      <w:bookmarkEnd w:id="10"/>
    </w:p>
    <w:p w:rsidR="008A4C23" w:rsidRDefault="008A4C23" w:rsidP="008A4C23">
      <w:pPr>
        <w:spacing w:before="240" w:after="240"/>
        <w:ind w:firstLine="0"/>
        <w:contextualSpacing w:val="0"/>
        <w:rPr>
          <w:lang w:val="en-US"/>
        </w:rPr>
      </w:pPr>
      <w:r>
        <w:rPr>
          <w:lang w:val="en-US"/>
        </w:rPr>
        <w:t xml:space="preserve">The preceding passages clearly suggest that causes of the </w:t>
      </w:r>
      <w:r w:rsidRPr="008A4C23">
        <w:rPr>
          <w:i/>
          <w:lang w:val="en-US"/>
        </w:rPr>
        <w:t>Intifada</w:t>
      </w:r>
      <w:r>
        <w:rPr>
          <w:lang w:val="en-US"/>
        </w:rPr>
        <w:t xml:space="preserve"> are far more complex than just a pure ethnic matter or</w:t>
      </w:r>
      <w:r w:rsidR="001B2AB2">
        <w:rPr>
          <w:lang w:val="en-US"/>
        </w:rPr>
        <w:t xml:space="preserve"> a result of</w:t>
      </w:r>
      <w:r>
        <w:rPr>
          <w:lang w:val="en-US"/>
        </w:rPr>
        <w:t xml:space="preserve"> </w:t>
      </w:r>
      <w:r w:rsidRPr="008A4C23">
        <w:rPr>
          <w:i/>
          <w:lang w:val="en-US"/>
        </w:rPr>
        <w:t>ancient hatreds</w:t>
      </w:r>
      <w:r>
        <w:rPr>
          <w:lang w:val="en-US"/>
        </w:rPr>
        <w:t>. The final spark t</w:t>
      </w:r>
      <w:r w:rsidR="0022510A">
        <w:rPr>
          <w:lang w:val="en-US"/>
        </w:rPr>
        <w:t>hat ignited the conflict in full</w:t>
      </w:r>
      <w:r>
        <w:rPr>
          <w:lang w:val="en-US"/>
        </w:rPr>
        <w:t xml:space="preserve"> had ethnic connotations, though, was not purely ethnic, </w:t>
      </w:r>
      <w:r w:rsidR="001B2AB2">
        <w:rPr>
          <w:lang w:val="en-US"/>
        </w:rPr>
        <w:t>even though</w:t>
      </w:r>
      <w:r>
        <w:rPr>
          <w:lang w:val="en-US"/>
        </w:rPr>
        <w:t xml:space="preserve"> it </w:t>
      </w:r>
      <w:r w:rsidR="001B2AB2">
        <w:rPr>
          <w:lang w:val="en-US"/>
        </w:rPr>
        <w:t>initially started as retaliation</w:t>
      </w:r>
      <w:r w:rsidR="00C87786">
        <w:rPr>
          <w:lang w:val="en-US"/>
        </w:rPr>
        <w:t xml:space="preserve"> for a putative attack on members of an</w:t>
      </w:r>
      <w:r>
        <w:rPr>
          <w:lang w:val="en-US"/>
        </w:rPr>
        <w:t xml:space="preserve"> ethnic group.</w:t>
      </w:r>
    </w:p>
    <w:p w:rsidR="008A4C23" w:rsidRDefault="008A4C23" w:rsidP="008A4C23">
      <w:pPr>
        <w:spacing w:before="240" w:after="240"/>
        <w:ind w:firstLine="0"/>
        <w:contextualSpacing w:val="0"/>
        <w:rPr>
          <w:lang w:val="en-US"/>
        </w:rPr>
      </w:pPr>
      <w:r>
        <w:rPr>
          <w:lang w:val="en-US"/>
        </w:rPr>
        <w:t xml:space="preserve">There </w:t>
      </w:r>
      <w:r w:rsidR="0022510A">
        <w:rPr>
          <w:lang w:val="en-US"/>
        </w:rPr>
        <w:t>had</w:t>
      </w:r>
      <w:r>
        <w:rPr>
          <w:lang w:val="en-US"/>
        </w:rPr>
        <w:t xml:space="preserve"> been an ongoing tension between the two ethnic groups in the area</w:t>
      </w:r>
      <w:r w:rsidR="001B2AB2">
        <w:rPr>
          <w:lang w:val="en-US"/>
        </w:rPr>
        <w:t xml:space="preserve"> that </w:t>
      </w:r>
      <w:r w:rsidR="0022510A">
        <w:rPr>
          <w:lang w:val="en-US"/>
        </w:rPr>
        <w:t>has</w:t>
      </w:r>
      <w:r w:rsidR="00C87786">
        <w:rPr>
          <w:lang w:val="en-US"/>
        </w:rPr>
        <w:t xml:space="preserve"> </w:t>
      </w:r>
      <w:r w:rsidR="0022510A">
        <w:rPr>
          <w:lang w:val="en-US"/>
        </w:rPr>
        <w:t xml:space="preserve">its </w:t>
      </w:r>
      <w:r w:rsidR="001B2AB2">
        <w:rPr>
          <w:lang w:val="en-US"/>
        </w:rPr>
        <w:t>historic roots dating back to 1948 and 1967 as well as</w:t>
      </w:r>
      <w:r w:rsidR="00917887">
        <w:rPr>
          <w:lang w:val="en-US"/>
        </w:rPr>
        <w:t xml:space="preserve"> it has</w:t>
      </w:r>
      <w:r w:rsidR="001B2AB2">
        <w:rPr>
          <w:lang w:val="en-US"/>
        </w:rPr>
        <w:t xml:space="preserve"> </w:t>
      </w:r>
      <w:r w:rsidR="0022510A">
        <w:rPr>
          <w:lang w:val="en-US"/>
        </w:rPr>
        <w:t xml:space="preserve">its </w:t>
      </w:r>
      <w:r w:rsidR="001B2AB2">
        <w:rPr>
          <w:lang w:val="en-US"/>
        </w:rPr>
        <w:t xml:space="preserve">roots in animosity between Arabs and Jews that is </w:t>
      </w:r>
      <w:r w:rsidR="0022510A">
        <w:rPr>
          <w:lang w:val="en-US"/>
        </w:rPr>
        <w:t xml:space="preserve">generally </w:t>
      </w:r>
      <w:r w:rsidR="001B2AB2">
        <w:rPr>
          <w:lang w:val="en-US"/>
        </w:rPr>
        <w:t>typical for the area</w:t>
      </w:r>
      <w:r>
        <w:rPr>
          <w:lang w:val="en-US"/>
        </w:rPr>
        <w:t xml:space="preserve">. </w:t>
      </w:r>
      <w:r w:rsidR="001B2AB2">
        <w:rPr>
          <w:lang w:val="en-US"/>
        </w:rPr>
        <w:t xml:space="preserve">Then, partially, </w:t>
      </w:r>
      <w:r w:rsidR="00C87786">
        <w:rPr>
          <w:lang w:val="en-US"/>
        </w:rPr>
        <w:t xml:space="preserve">especially due to the latter reason, </w:t>
      </w:r>
      <w:r w:rsidR="001B2AB2">
        <w:rPr>
          <w:lang w:val="en-US"/>
        </w:rPr>
        <w:t xml:space="preserve">can concept of </w:t>
      </w:r>
      <w:r w:rsidR="001B2AB2" w:rsidRPr="001B2AB2">
        <w:rPr>
          <w:i/>
          <w:lang w:val="en-US"/>
        </w:rPr>
        <w:t>ancient hatreds</w:t>
      </w:r>
      <w:r w:rsidR="001B2AB2">
        <w:rPr>
          <w:lang w:val="en-US"/>
        </w:rPr>
        <w:t xml:space="preserve"> be seen as a contributing factor, however, not as the main reason for the unrest. </w:t>
      </w:r>
      <w:r w:rsidR="003D73BB">
        <w:rPr>
          <w:lang w:val="en-US"/>
        </w:rPr>
        <w:t>The tension</w:t>
      </w:r>
      <w:r>
        <w:rPr>
          <w:lang w:val="en-US"/>
        </w:rPr>
        <w:t xml:space="preserve"> took forms of economic pressure, political pressure, and als</w:t>
      </w:r>
      <w:r w:rsidR="0022510A">
        <w:rPr>
          <w:lang w:val="en-US"/>
        </w:rPr>
        <w:t>o of nationalist conflicts. These matters</w:t>
      </w:r>
      <w:r>
        <w:rPr>
          <w:lang w:val="en-US"/>
        </w:rPr>
        <w:t xml:space="preserve"> became so interwoven within the system that one case was influencing another and they were no longer possible to be separated</w:t>
      </w:r>
      <w:r w:rsidR="001B2AB2">
        <w:rPr>
          <w:lang w:val="en-US"/>
        </w:rPr>
        <w:t xml:space="preserve"> or seen as pure ethnic matter.</w:t>
      </w:r>
    </w:p>
    <w:p w:rsidR="001B2AB2" w:rsidRDefault="001B2AB2" w:rsidP="008A4C23">
      <w:pPr>
        <w:spacing w:before="240" w:after="240"/>
        <w:ind w:firstLine="0"/>
        <w:contextualSpacing w:val="0"/>
        <w:rPr>
          <w:lang w:val="en-US"/>
        </w:rPr>
      </w:pPr>
      <w:r>
        <w:rPr>
          <w:lang w:val="en-US"/>
        </w:rPr>
        <w:t xml:space="preserve">Provided </w:t>
      </w:r>
      <w:r w:rsidR="00C87786">
        <w:rPr>
          <w:lang w:val="en-US"/>
        </w:rPr>
        <w:t xml:space="preserve">the </w:t>
      </w:r>
      <w:r>
        <w:rPr>
          <w:lang w:val="en-US"/>
        </w:rPr>
        <w:t xml:space="preserve">hatred between Arabs and Jews would be irreconcilable, any peace between any </w:t>
      </w:r>
      <w:r w:rsidR="00C87786">
        <w:rPr>
          <w:lang w:val="en-US"/>
        </w:rPr>
        <w:t xml:space="preserve">of the </w:t>
      </w:r>
      <w:r>
        <w:rPr>
          <w:lang w:val="en-US"/>
        </w:rPr>
        <w:t>Arab nation</w:t>
      </w:r>
      <w:r w:rsidR="00C87786">
        <w:rPr>
          <w:lang w:val="en-US"/>
        </w:rPr>
        <w:t>s</w:t>
      </w:r>
      <w:r>
        <w:rPr>
          <w:lang w:val="en-US"/>
        </w:rPr>
        <w:t xml:space="preserve"> and Israel </w:t>
      </w:r>
      <w:r w:rsidR="00791A82">
        <w:rPr>
          <w:lang w:val="en-US"/>
        </w:rPr>
        <w:t xml:space="preserve">would not be possible. This </w:t>
      </w:r>
      <w:r w:rsidR="0022510A">
        <w:rPr>
          <w:lang w:val="en-US"/>
        </w:rPr>
        <w:t>had</w:t>
      </w:r>
      <w:r w:rsidR="00C87786">
        <w:rPr>
          <w:lang w:val="en-US"/>
        </w:rPr>
        <w:t xml:space="preserve"> already been</w:t>
      </w:r>
      <w:r w:rsidR="00791A82">
        <w:rPr>
          <w:lang w:val="en-US"/>
        </w:rPr>
        <w:t xml:space="preserve"> proven wrong based on historic experience – Israel made a peace treaty with Egypt</w:t>
      </w:r>
      <w:r w:rsidR="0022510A">
        <w:rPr>
          <w:lang w:val="en-US"/>
        </w:rPr>
        <w:t xml:space="preserve"> in 1978 during the </w:t>
      </w:r>
      <w:r w:rsidR="0022510A" w:rsidRPr="0022510A">
        <w:rPr>
          <w:i/>
          <w:lang w:val="en-US"/>
        </w:rPr>
        <w:t>Camp David A</w:t>
      </w:r>
      <w:r w:rsidR="00791A82" w:rsidRPr="0022510A">
        <w:rPr>
          <w:i/>
          <w:lang w:val="en-US"/>
        </w:rPr>
        <w:t>ccords</w:t>
      </w:r>
      <w:r w:rsidR="00C87786" w:rsidRPr="0022510A">
        <w:rPr>
          <w:i/>
          <w:lang w:val="en-US"/>
        </w:rPr>
        <w:t>.</w:t>
      </w:r>
      <w:r w:rsidR="00C87786">
        <w:rPr>
          <w:lang w:val="en-US"/>
        </w:rPr>
        <w:t xml:space="preserve"> Thus, t</w:t>
      </w:r>
      <w:r w:rsidR="00791A82">
        <w:rPr>
          <w:lang w:val="en-US"/>
        </w:rPr>
        <w:t xml:space="preserve">here is a precedent that can be seen as </w:t>
      </w:r>
      <w:r w:rsidR="0022510A">
        <w:rPr>
          <w:lang w:val="en-US"/>
        </w:rPr>
        <w:t xml:space="preserve">a </w:t>
      </w:r>
      <w:r w:rsidR="00C87786">
        <w:rPr>
          <w:lang w:val="en-US"/>
        </w:rPr>
        <w:t xml:space="preserve">disproval of </w:t>
      </w:r>
      <w:r w:rsidR="0022510A">
        <w:rPr>
          <w:lang w:val="en-US"/>
        </w:rPr>
        <w:t xml:space="preserve">the </w:t>
      </w:r>
      <w:r w:rsidR="00C87786">
        <w:rPr>
          <w:lang w:val="en-US"/>
        </w:rPr>
        <w:t>generalized assumption that no peace b</w:t>
      </w:r>
      <w:r w:rsidR="0022510A">
        <w:rPr>
          <w:lang w:val="en-US"/>
        </w:rPr>
        <w:t xml:space="preserve">etween the two ethnic groups </w:t>
      </w:r>
      <w:r w:rsidR="00C87786">
        <w:rPr>
          <w:lang w:val="en-US"/>
        </w:rPr>
        <w:t>is possible.</w:t>
      </w:r>
    </w:p>
    <w:p w:rsidR="00C87786" w:rsidRDefault="00C87786" w:rsidP="008A4C23">
      <w:pPr>
        <w:spacing w:before="240" w:after="240"/>
        <w:ind w:firstLine="0"/>
        <w:contextualSpacing w:val="0"/>
        <w:rPr>
          <w:lang w:val="en-US"/>
        </w:rPr>
      </w:pPr>
      <w:r>
        <w:rPr>
          <w:lang w:val="en-US"/>
        </w:rPr>
        <w:t xml:space="preserve">It is true that </w:t>
      </w:r>
      <w:r w:rsidRPr="00614801">
        <w:rPr>
          <w:i/>
          <w:lang w:val="en-US"/>
        </w:rPr>
        <w:t>primordialism</w:t>
      </w:r>
      <w:r>
        <w:rPr>
          <w:lang w:val="en-US"/>
        </w:rPr>
        <w:t xml:space="preserve"> offers </w:t>
      </w:r>
      <w:r w:rsidR="0022510A">
        <w:rPr>
          <w:lang w:val="en-US"/>
        </w:rPr>
        <w:t xml:space="preserve">a </w:t>
      </w:r>
      <w:r>
        <w:rPr>
          <w:lang w:val="en-US"/>
        </w:rPr>
        <w:t xml:space="preserve">partial explanation in </w:t>
      </w:r>
      <w:r w:rsidR="0022510A">
        <w:rPr>
          <w:lang w:val="en-US"/>
        </w:rPr>
        <w:t>terms of fear</w:t>
      </w:r>
      <w:r w:rsidR="00614801">
        <w:rPr>
          <w:lang w:val="en-US"/>
        </w:rPr>
        <w:t xml:space="preserve"> of </w:t>
      </w:r>
      <w:r w:rsidR="00614801" w:rsidRPr="00614801">
        <w:rPr>
          <w:i/>
          <w:lang w:val="en-US"/>
        </w:rPr>
        <w:t>domination</w:t>
      </w:r>
      <w:r w:rsidR="00614801">
        <w:rPr>
          <w:lang w:val="en-US"/>
        </w:rPr>
        <w:t xml:space="preserve">, </w:t>
      </w:r>
      <w:r w:rsidR="00614801" w:rsidRPr="00614801">
        <w:rPr>
          <w:i/>
          <w:lang w:val="en-US"/>
        </w:rPr>
        <w:t>extinction</w:t>
      </w:r>
      <w:r w:rsidR="00614801">
        <w:rPr>
          <w:lang w:val="en-US"/>
        </w:rPr>
        <w:t xml:space="preserve">, and </w:t>
      </w:r>
      <w:r w:rsidR="00614801" w:rsidRPr="00614801">
        <w:rPr>
          <w:i/>
          <w:lang w:val="en-US"/>
        </w:rPr>
        <w:t>expulsion</w:t>
      </w:r>
      <w:r w:rsidR="00614801">
        <w:rPr>
          <w:lang w:val="en-US"/>
        </w:rPr>
        <w:t xml:space="preserve">, which was especially palpable due to Shamir’s policy measures </w:t>
      </w:r>
      <w:r w:rsidR="009560C3">
        <w:rPr>
          <w:lang w:val="en-US"/>
        </w:rPr>
        <w:t>regarding the</w:t>
      </w:r>
      <w:r w:rsidR="00614801">
        <w:rPr>
          <w:lang w:val="en-US"/>
        </w:rPr>
        <w:t xml:space="preserve"> settlements in the occupied territories, anti-terrorist measures, and </w:t>
      </w:r>
      <w:r w:rsidR="003D73BB">
        <w:rPr>
          <w:lang w:val="en-US"/>
        </w:rPr>
        <w:t xml:space="preserve">with the </w:t>
      </w:r>
      <w:r w:rsidR="00614801">
        <w:rPr>
          <w:lang w:val="en-US"/>
        </w:rPr>
        <w:t xml:space="preserve">heavy pressure being put on many aspects of </w:t>
      </w:r>
      <w:r w:rsidR="009560C3">
        <w:rPr>
          <w:lang w:val="en-US"/>
        </w:rPr>
        <w:t xml:space="preserve">the </w:t>
      </w:r>
      <w:r w:rsidR="00614801">
        <w:rPr>
          <w:lang w:val="en-US"/>
        </w:rPr>
        <w:t xml:space="preserve">Palestinian life, especially </w:t>
      </w:r>
      <w:r w:rsidR="009560C3">
        <w:rPr>
          <w:lang w:val="en-US"/>
        </w:rPr>
        <w:t xml:space="preserve">the </w:t>
      </w:r>
      <w:r w:rsidR="00614801">
        <w:rPr>
          <w:lang w:val="en-US"/>
        </w:rPr>
        <w:t>restrictions on free movement and economic measures that made Palestinian life difficult.</w:t>
      </w:r>
    </w:p>
    <w:p w:rsidR="00614801" w:rsidRPr="008A4C23" w:rsidRDefault="00614801" w:rsidP="008A4C23">
      <w:pPr>
        <w:spacing w:before="240" w:after="240"/>
        <w:ind w:firstLine="0"/>
        <w:contextualSpacing w:val="0"/>
        <w:rPr>
          <w:lang w:val="en-US"/>
        </w:rPr>
      </w:pPr>
      <w:r>
        <w:rPr>
          <w:lang w:val="en-US"/>
        </w:rPr>
        <w:t xml:space="preserve">Although many of the measures were targeted directly at Palestinians who represent a different ethnic group in the area, it is questionable to what extent was the pressure result of them being a different ethnicity and to what extent would similar pressure arise regardless of who lived in the areas in question, even if they were not a unified ethnic group. There are other Arabs in </w:t>
      </w:r>
      <w:r w:rsidR="009560C3">
        <w:rPr>
          <w:lang w:val="en-US"/>
        </w:rPr>
        <w:t xml:space="preserve">Israel </w:t>
      </w:r>
      <w:r>
        <w:rPr>
          <w:lang w:val="en-US"/>
        </w:rPr>
        <w:t>and they were not subjected to the same form of pressure, even though they were technically members of the same ethnic class.</w:t>
      </w:r>
    </w:p>
    <w:p w:rsidR="003C7F83" w:rsidRDefault="00926A0A" w:rsidP="006A4D45">
      <w:pPr>
        <w:pStyle w:val="Nadpis1"/>
        <w:keepNext w:val="0"/>
        <w:keepLines w:val="0"/>
        <w:widowControl w:val="0"/>
        <w:ind w:firstLine="0"/>
        <w:rPr>
          <w:lang w:val="en-US"/>
        </w:rPr>
      </w:pPr>
      <w:bookmarkStart w:id="11" w:name="_Toc454021444"/>
      <w:r>
        <w:rPr>
          <w:lang w:val="en-US"/>
        </w:rPr>
        <w:lastRenderedPageBreak/>
        <w:t>Conclusion</w:t>
      </w:r>
      <w:bookmarkEnd w:id="11"/>
    </w:p>
    <w:p w:rsidR="00614801" w:rsidRDefault="00614801" w:rsidP="009560C3">
      <w:pPr>
        <w:spacing w:before="240"/>
        <w:ind w:firstLine="0"/>
        <w:contextualSpacing w:val="0"/>
        <w:rPr>
          <w:lang w:val="en-US"/>
        </w:rPr>
      </w:pPr>
      <w:r>
        <w:rPr>
          <w:lang w:val="en-US"/>
        </w:rPr>
        <w:t xml:space="preserve">The aim of this paper was to show that Kaplan’s theory of </w:t>
      </w:r>
      <w:r w:rsidRPr="007C51B2">
        <w:rPr>
          <w:i/>
          <w:lang w:val="en-US"/>
        </w:rPr>
        <w:t>ancient hatreds</w:t>
      </w:r>
      <w:r>
        <w:rPr>
          <w:lang w:val="en-US"/>
        </w:rPr>
        <w:t xml:space="preserve"> and </w:t>
      </w:r>
      <w:r w:rsidRPr="007C51B2">
        <w:rPr>
          <w:i/>
          <w:lang w:val="en-US"/>
        </w:rPr>
        <w:t>primordialism</w:t>
      </w:r>
      <w:r>
        <w:rPr>
          <w:lang w:val="en-US"/>
        </w:rPr>
        <w:t xml:space="preserve"> as such are ins</w:t>
      </w:r>
      <w:r w:rsidR="00653E35">
        <w:rPr>
          <w:lang w:val="en-US"/>
        </w:rPr>
        <w:t xml:space="preserve">ufficient as an explanation of causes </w:t>
      </w:r>
      <w:r w:rsidR="009560C3">
        <w:rPr>
          <w:lang w:val="en-US"/>
        </w:rPr>
        <w:t xml:space="preserve">of </w:t>
      </w:r>
      <w:r w:rsidR="00653E35">
        <w:rPr>
          <w:lang w:val="en-US"/>
        </w:rPr>
        <w:t>t</w:t>
      </w:r>
      <w:r>
        <w:rPr>
          <w:lang w:val="en-US"/>
        </w:rPr>
        <w:t xml:space="preserve">he </w:t>
      </w:r>
      <w:r w:rsidRPr="009560C3">
        <w:rPr>
          <w:i/>
          <w:lang w:val="en-US"/>
        </w:rPr>
        <w:t>First Intifada</w:t>
      </w:r>
      <w:r>
        <w:rPr>
          <w:lang w:val="en-US"/>
        </w:rPr>
        <w:t>.</w:t>
      </w:r>
      <w:r w:rsidR="007C51B2">
        <w:rPr>
          <w:lang w:val="en-US"/>
        </w:rPr>
        <w:t xml:space="preserve"> The paper explained who Palestinians are and how they settled in the area as well as when and how the problems leading to the </w:t>
      </w:r>
      <w:r w:rsidR="007C51B2" w:rsidRPr="009560C3">
        <w:rPr>
          <w:i/>
          <w:lang w:val="en-US"/>
        </w:rPr>
        <w:t>Intifada</w:t>
      </w:r>
      <w:r w:rsidR="007C51B2">
        <w:rPr>
          <w:lang w:val="en-US"/>
        </w:rPr>
        <w:t xml:space="preserve"> started.</w:t>
      </w:r>
    </w:p>
    <w:p w:rsidR="007C51B2" w:rsidRDefault="007C51B2" w:rsidP="009560C3">
      <w:pPr>
        <w:spacing w:before="240"/>
        <w:ind w:firstLine="0"/>
        <w:contextualSpacing w:val="0"/>
        <w:rPr>
          <w:lang w:val="en-US"/>
        </w:rPr>
      </w:pPr>
      <w:r>
        <w:rPr>
          <w:lang w:val="en-US"/>
        </w:rPr>
        <w:t xml:space="preserve">These problems are related to the 1948 and 1967 wars and subsequent seizure of areas where there lived Arabs who started calling themselves Palestinians. The paper also explained that their nationalist feeling as an “ethnic group” was built gradually due to external European encroachment in and around 1920. Thus, the idea of </w:t>
      </w:r>
      <w:r w:rsidRPr="007C51B2">
        <w:rPr>
          <w:i/>
          <w:lang w:val="en-US"/>
        </w:rPr>
        <w:t>ancient hatreds</w:t>
      </w:r>
      <w:r>
        <w:rPr>
          <w:lang w:val="en-US"/>
        </w:rPr>
        <w:t xml:space="preserve"> can be hardly fully used as an explanation</w:t>
      </w:r>
      <w:r w:rsidR="009560C3">
        <w:rPr>
          <w:lang w:val="en-US"/>
        </w:rPr>
        <w:t>,</w:t>
      </w:r>
      <w:r>
        <w:rPr>
          <w:lang w:val="en-US"/>
        </w:rPr>
        <w:t xml:space="preserve"> as the ethnicity in question was fairly young. </w:t>
      </w:r>
    </w:p>
    <w:p w:rsidR="00C504C0" w:rsidRPr="004F5E26" w:rsidRDefault="007C51B2" w:rsidP="009560C3">
      <w:pPr>
        <w:spacing w:before="240"/>
        <w:ind w:firstLine="0"/>
        <w:contextualSpacing w:val="0"/>
        <w:rPr>
          <w:lang w:val="en-US"/>
        </w:rPr>
      </w:pPr>
      <w:r>
        <w:rPr>
          <w:lang w:val="en-US"/>
        </w:rPr>
        <w:t>The</w:t>
      </w:r>
      <w:r w:rsidR="009560C3">
        <w:rPr>
          <w:lang w:val="en-US"/>
        </w:rPr>
        <w:t xml:space="preserve"> paper also showed</w:t>
      </w:r>
      <w:r>
        <w:rPr>
          <w:lang w:val="en-US"/>
        </w:rPr>
        <w:t xml:space="preserve"> how complicated and interwoven the causes were and that</w:t>
      </w:r>
      <w:r w:rsidR="003D73BB">
        <w:rPr>
          <w:lang w:val="en-US"/>
        </w:rPr>
        <w:t xml:space="preserve"> they concern</w:t>
      </w:r>
      <w:r>
        <w:rPr>
          <w:lang w:val="en-US"/>
        </w:rPr>
        <w:t xml:space="preserve"> areas of ethnicity as well as politics, economics, and nationalism</w:t>
      </w:r>
      <w:r w:rsidR="003D73BB">
        <w:rPr>
          <w:lang w:val="en-US"/>
        </w:rPr>
        <w:t>,</w:t>
      </w:r>
      <w:r>
        <w:rPr>
          <w:lang w:val="en-US"/>
        </w:rPr>
        <w:t xml:space="preserve"> all </w:t>
      </w:r>
      <w:r w:rsidR="003D73BB">
        <w:rPr>
          <w:lang w:val="en-US"/>
        </w:rPr>
        <w:t xml:space="preserve">of which </w:t>
      </w:r>
      <w:r>
        <w:rPr>
          <w:lang w:val="en-US"/>
        </w:rPr>
        <w:t xml:space="preserve">also had its own dimensions and sub-dimensions of influence on the situation in question. Thus, ethnicity alone cannot, once again, be seen as </w:t>
      </w:r>
      <w:r w:rsidRPr="009560C3">
        <w:rPr>
          <w:i/>
          <w:lang w:val="en-US"/>
        </w:rPr>
        <w:t>the one</w:t>
      </w:r>
      <w:r>
        <w:rPr>
          <w:lang w:val="en-US"/>
        </w:rPr>
        <w:t xml:space="preserve"> single cause of the uprising.</w:t>
      </w:r>
      <w:r w:rsidR="00C504C0">
        <w:rPr>
          <w:lang w:val="en-US"/>
        </w:rPr>
        <w:t xml:space="preserve"> Interestingly, though, the </w:t>
      </w:r>
      <w:r w:rsidR="00C504C0" w:rsidRPr="009560C3">
        <w:rPr>
          <w:i/>
          <w:lang w:val="en-US"/>
        </w:rPr>
        <w:t>Intifada</w:t>
      </w:r>
      <w:r w:rsidR="00C504C0">
        <w:rPr>
          <w:lang w:val="en-US"/>
        </w:rPr>
        <w:t xml:space="preserve"> helped to strengthen Palestinian national identity and self-awareness, decreased the dependence on neighboring Arab states (especially Jordan) and also led to strengthening the demands on their own statehood</w:t>
      </w:r>
      <w:r w:rsidR="00C504C0">
        <w:rPr>
          <w:rStyle w:val="Znakapoznpodarou"/>
          <w:lang w:val="en-US"/>
        </w:rPr>
        <w:footnoteReference w:id="42"/>
      </w:r>
      <w:r w:rsidR="00C504C0">
        <w:rPr>
          <w:lang w:val="en-US"/>
        </w:rPr>
        <w:t>.</w:t>
      </w:r>
    </w:p>
    <w:p w:rsidR="007C51B2" w:rsidRDefault="007C51B2" w:rsidP="009560C3">
      <w:pPr>
        <w:spacing w:before="240"/>
        <w:ind w:firstLine="0"/>
        <w:contextualSpacing w:val="0"/>
        <w:rPr>
          <w:lang w:val="en-US"/>
        </w:rPr>
      </w:pPr>
      <w:r>
        <w:rPr>
          <w:lang w:val="en-US"/>
        </w:rPr>
        <w:t>To sum up, although it is true that the differences – discrimination and well as exclusion – of Palestinians from the Israeli society can be attributed to ethnicity, it is</w:t>
      </w:r>
      <w:r w:rsidR="009560C3">
        <w:rPr>
          <w:lang w:val="en-US"/>
        </w:rPr>
        <w:t>, however,</w:t>
      </w:r>
      <w:r>
        <w:rPr>
          <w:lang w:val="en-US"/>
        </w:rPr>
        <w:t xml:space="preserve"> not possible to prove that ethnicity was </w:t>
      </w:r>
      <w:r w:rsidRPr="009560C3">
        <w:rPr>
          <w:i/>
          <w:lang w:val="en-US"/>
        </w:rPr>
        <w:t>the one</w:t>
      </w:r>
      <w:r>
        <w:rPr>
          <w:lang w:val="en-US"/>
        </w:rPr>
        <w:t xml:space="preserve"> single reason of the outbreak of the </w:t>
      </w:r>
      <w:r w:rsidRPr="007C51B2">
        <w:rPr>
          <w:i/>
          <w:lang w:val="en-US"/>
        </w:rPr>
        <w:t>Intifada</w:t>
      </w:r>
      <w:r>
        <w:rPr>
          <w:lang w:val="en-US"/>
        </w:rPr>
        <w:t>.</w:t>
      </w:r>
      <w:r w:rsidR="00113207">
        <w:rPr>
          <w:lang w:val="en-US"/>
        </w:rPr>
        <w:t xml:space="preserve"> Therefore, the initial hypothesis that ethnic factor alone cannot constitute the sole reason for the uprising was prove</w:t>
      </w:r>
      <w:r w:rsidR="009560C3">
        <w:rPr>
          <w:lang w:val="en-US"/>
        </w:rPr>
        <w:t>n</w:t>
      </w:r>
      <w:r w:rsidR="00113207">
        <w:rPr>
          <w:lang w:val="en-US"/>
        </w:rPr>
        <w:t xml:space="preserve"> correct.</w:t>
      </w:r>
    </w:p>
    <w:p w:rsidR="007C51B2" w:rsidRDefault="007C51B2" w:rsidP="009560C3">
      <w:pPr>
        <w:spacing w:before="240" w:line="276" w:lineRule="auto"/>
        <w:ind w:firstLine="0"/>
        <w:contextualSpacing w:val="0"/>
        <w:jc w:val="left"/>
        <w:rPr>
          <w:lang w:val="en-US"/>
        </w:rPr>
      </w:pPr>
      <w:r>
        <w:rPr>
          <w:lang w:val="en-US"/>
        </w:rPr>
        <w:br w:type="page"/>
      </w:r>
    </w:p>
    <w:p w:rsidR="00911CE1" w:rsidRPr="00926A0A" w:rsidRDefault="003C7F83" w:rsidP="007C51B2">
      <w:pPr>
        <w:pStyle w:val="Nadpis1"/>
        <w:keepNext w:val="0"/>
        <w:keepLines w:val="0"/>
        <w:widowControl w:val="0"/>
        <w:spacing w:after="240"/>
        <w:ind w:firstLine="0"/>
        <w:jc w:val="center"/>
        <w:rPr>
          <w:lang w:val="en-US"/>
        </w:rPr>
      </w:pPr>
      <w:bookmarkStart w:id="12" w:name="_Toc454021445"/>
      <w:r w:rsidRPr="00926A0A">
        <w:rPr>
          <w:lang w:val="en-US"/>
        </w:rPr>
        <w:lastRenderedPageBreak/>
        <w:t>Bibliography</w:t>
      </w:r>
      <w:bookmarkEnd w:id="12"/>
    </w:p>
    <w:p w:rsidR="00847D45" w:rsidRDefault="00847D45" w:rsidP="003C7F83">
      <w:pPr>
        <w:pStyle w:val="Textpoznpodarou"/>
        <w:spacing w:before="240" w:after="240" w:line="360" w:lineRule="auto"/>
        <w:ind w:firstLine="0"/>
        <w:contextualSpacing w:val="0"/>
        <w:rPr>
          <w:sz w:val="24"/>
          <w:szCs w:val="24"/>
          <w:lang w:val="en-US"/>
        </w:rPr>
      </w:pPr>
      <w:proofErr w:type="spellStart"/>
      <w:proofErr w:type="gramStart"/>
      <w:r>
        <w:rPr>
          <w:sz w:val="24"/>
          <w:szCs w:val="24"/>
          <w:lang w:val="en-US"/>
        </w:rPr>
        <w:t>Čejka</w:t>
      </w:r>
      <w:proofErr w:type="spellEnd"/>
      <w:r>
        <w:rPr>
          <w:sz w:val="24"/>
          <w:szCs w:val="24"/>
          <w:lang w:val="en-US"/>
        </w:rPr>
        <w:t>, Marek.</w:t>
      </w:r>
      <w:proofErr w:type="gramEnd"/>
      <w:r>
        <w:rPr>
          <w:sz w:val="24"/>
          <w:szCs w:val="24"/>
          <w:lang w:val="en-US"/>
        </w:rPr>
        <w:t xml:space="preserve"> </w:t>
      </w:r>
      <w:proofErr w:type="gramStart"/>
      <w:r>
        <w:rPr>
          <w:sz w:val="24"/>
          <w:szCs w:val="24"/>
          <w:lang w:val="en-US"/>
        </w:rPr>
        <w:t>(2011) “</w:t>
      </w:r>
      <w:proofErr w:type="spellStart"/>
      <w:r>
        <w:rPr>
          <w:sz w:val="24"/>
          <w:szCs w:val="24"/>
          <w:lang w:val="en-US"/>
        </w:rPr>
        <w:t>Dějiny</w:t>
      </w:r>
      <w:proofErr w:type="spellEnd"/>
      <w:r>
        <w:rPr>
          <w:sz w:val="24"/>
          <w:szCs w:val="24"/>
          <w:lang w:val="en-US"/>
        </w:rPr>
        <w:t xml:space="preserve"> </w:t>
      </w:r>
      <w:proofErr w:type="spellStart"/>
      <w:r>
        <w:rPr>
          <w:sz w:val="24"/>
          <w:szCs w:val="24"/>
          <w:lang w:val="en-US"/>
        </w:rPr>
        <w:t>moderního</w:t>
      </w:r>
      <w:proofErr w:type="spellEnd"/>
      <w:r>
        <w:rPr>
          <w:sz w:val="24"/>
          <w:szCs w:val="24"/>
          <w:lang w:val="en-US"/>
        </w:rPr>
        <w:t xml:space="preserve"> </w:t>
      </w:r>
      <w:proofErr w:type="spellStart"/>
      <w:r>
        <w:rPr>
          <w:sz w:val="24"/>
          <w:szCs w:val="24"/>
          <w:lang w:val="en-US"/>
        </w:rPr>
        <w:t>Izraele</w:t>
      </w:r>
      <w:proofErr w:type="spellEnd"/>
      <w:r>
        <w:rPr>
          <w:sz w:val="24"/>
          <w:szCs w:val="24"/>
          <w:lang w:val="en-US"/>
        </w:rPr>
        <w:t>.”</w:t>
      </w:r>
      <w:proofErr w:type="gramEnd"/>
      <w:r>
        <w:rPr>
          <w:sz w:val="24"/>
          <w:szCs w:val="24"/>
          <w:lang w:val="en-US"/>
        </w:rPr>
        <w:t xml:space="preserve"> </w:t>
      </w:r>
      <w:proofErr w:type="spellStart"/>
      <w:r>
        <w:rPr>
          <w:sz w:val="24"/>
          <w:szCs w:val="24"/>
          <w:lang w:val="en-US"/>
        </w:rPr>
        <w:t>Praha</w:t>
      </w:r>
      <w:proofErr w:type="spellEnd"/>
      <w:r>
        <w:rPr>
          <w:sz w:val="24"/>
          <w:szCs w:val="24"/>
          <w:lang w:val="en-US"/>
        </w:rPr>
        <w:t>: Grada publishing. Print.</w:t>
      </w:r>
    </w:p>
    <w:p w:rsidR="00847D45" w:rsidRDefault="00847D45" w:rsidP="003C7F83">
      <w:pPr>
        <w:pStyle w:val="Textpoznpodarou"/>
        <w:spacing w:before="240" w:after="240" w:line="360" w:lineRule="auto"/>
        <w:ind w:firstLine="0"/>
        <w:contextualSpacing w:val="0"/>
        <w:rPr>
          <w:sz w:val="24"/>
          <w:szCs w:val="24"/>
          <w:lang w:val="en-US"/>
        </w:rPr>
      </w:pPr>
      <w:proofErr w:type="spellStart"/>
      <w:proofErr w:type="gramStart"/>
      <w:r>
        <w:rPr>
          <w:sz w:val="24"/>
          <w:szCs w:val="24"/>
          <w:lang w:val="en-US"/>
        </w:rPr>
        <w:t>Čejka</w:t>
      </w:r>
      <w:proofErr w:type="spellEnd"/>
      <w:r>
        <w:rPr>
          <w:sz w:val="24"/>
          <w:szCs w:val="24"/>
          <w:lang w:val="en-US"/>
        </w:rPr>
        <w:t>, Marek</w:t>
      </w:r>
      <w:r w:rsidR="004745AC">
        <w:rPr>
          <w:sz w:val="24"/>
          <w:szCs w:val="24"/>
          <w:lang w:val="en-US"/>
        </w:rPr>
        <w:t>.</w:t>
      </w:r>
      <w:proofErr w:type="gramEnd"/>
      <w:r>
        <w:rPr>
          <w:sz w:val="24"/>
          <w:szCs w:val="24"/>
          <w:lang w:val="en-US"/>
        </w:rPr>
        <w:t xml:space="preserve"> </w:t>
      </w:r>
      <w:proofErr w:type="gramStart"/>
      <w:r>
        <w:rPr>
          <w:sz w:val="24"/>
          <w:szCs w:val="24"/>
          <w:lang w:val="en-US"/>
        </w:rPr>
        <w:t>(2005) “</w:t>
      </w:r>
      <w:proofErr w:type="spellStart"/>
      <w:r>
        <w:rPr>
          <w:sz w:val="24"/>
          <w:szCs w:val="24"/>
          <w:lang w:val="en-US"/>
        </w:rPr>
        <w:t>Izrael</w:t>
      </w:r>
      <w:proofErr w:type="spellEnd"/>
      <w:r>
        <w:rPr>
          <w:sz w:val="24"/>
          <w:szCs w:val="24"/>
          <w:lang w:val="en-US"/>
        </w:rPr>
        <w:t xml:space="preserve"> a </w:t>
      </w:r>
      <w:proofErr w:type="spellStart"/>
      <w:r>
        <w:rPr>
          <w:sz w:val="24"/>
          <w:szCs w:val="24"/>
          <w:lang w:val="en-US"/>
        </w:rPr>
        <w:t>Palestina</w:t>
      </w:r>
      <w:proofErr w:type="spellEnd"/>
      <w:r>
        <w:rPr>
          <w:sz w:val="24"/>
          <w:szCs w:val="24"/>
          <w:lang w:val="en-US"/>
        </w:rPr>
        <w:t>.”</w:t>
      </w:r>
      <w:proofErr w:type="gramEnd"/>
      <w:r>
        <w:rPr>
          <w:sz w:val="24"/>
          <w:szCs w:val="24"/>
          <w:lang w:val="en-US"/>
        </w:rPr>
        <w:t xml:space="preserve"> Brno: Centrum </w:t>
      </w:r>
      <w:proofErr w:type="spellStart"/>
      <w:r>
        <w:rPr>
          <w:sz w:val="24"/>
          <w:szCs w:val="24"/>
          <w:lang w:val="en-US"/>
        </w:rPr>
        <w:t>strategických</w:t>
      </w:r>
      <w:proofErr w:type="spellEnd"/>
      <w:r>
        <w:rPr>
          <w:sz w:val="24"/>
          <w:szCs w:val="24"/>
          <w:lang w:val="en-US"/>
        </w:rPr>
        <w:t xml:space="preserve"> </w:t>
      </w:r>
      <w:proofErr w:type="spellStart"/>
      <w:r>
        <w:rPr>
          <w:sz w:val="24"/>
          <w:szCs w:val="24"/>
          <w:lang w:val="en-US"/>
        </w:rPr>
        <w:t>studií</w:t>
      </w:r>
      <w:proofErr w:type="spellEnd"/>
      <w:r>
        <w:rPr>
          <w:sz w:val="24"/>
          <w:szCs w:val="24"/>
          <w:lang w:val="en-US"/>
        </w:rPr>
        <w:t>. Print.</w:t>
      </w:r>
    </w:p>
    <w:p w:rsidR="00E51C74" w:rsidRPr="00E51C74" w:rsidRDefault="00E51C74" w:rsidP="003C7F83">
      <w:pPr>
        <w:pStyle w:val="Textpoznpodarou"/>
        <w:spacing w:before="240" w:after="240" w:line="360" w:lineRule="auto"/>
        <w:ind w:firstLine="0"/>
        <w:contextualSpacing w:val="0"/>
        <w:rPr>
          <w:sz w:val="24"/>
          <w:szCs w:val="24"/>
          <w:lang w:val="en-US"/>
        </w:rPr>
      </w:pPr>
      <w:proofErr w:type="gramStart"/>
      <w:r w:rsidRPr="00E51C74">
        <w:rPr>
          <w:sz w:val="24"/>
          <w:szCs w:val="24"/>
          <w:lang w:val="en-US"/>
        </w:rPr>
        <w:t>Chenoweth, Erica and Maria J. Stephan.</w:t>
      </w:r>
      <w:proofErr w:type="gramEnd"/>
      <w:r w:rsidRPr="00E51C74">
        <w:rPr>
          <w:sz w:val="24"/>
          <w:szCs w:val="24"/>
          <w:lang w:val="en-US"/>
        </w:rPr>
        <w:t xml:space="preserve"> (2012) “Why Civil Resistance Works: The Strategic Logic of Nonviolent Conflict.” </w:t>
      </w:r>
      <w:proofErr w:type="gramStart"/>
      <w:r w:rsidRPr="00E51C74">
        <w:rPr>
          <w:sz w:val="24"/>
          <w:szCs w:val="24"/>
          <w:lang w:val="en-US"/>
        </w:rPr>
        <w:t>N.p</w:t>
      </w:r>
      <w:proofErr w:type="gramEnd"/>
      <w:r w:rsidRPr="00E51C74">
        <w:rPr>
          <w:sz w:val="24"/>
          <w:szCs w:val="24"/>
          <w:lang w:val="en-US"/>
        </w:rPr>
        <w:t xml:space="preserve">.: Columbia University Press. </w:t>
      </w:r>
      <w:proofErr w:type="gramStart"/>
      <w:r w:rsidR="002F31B1">
        <w:rPr>
          <w:sz w:val="24"/>
          <w:szCs w:val="24"/>
          <w:lang w:val="en-US"/>
        </w:rPr>
        <w:t>Ebook</w:t>
      </w:r>
      <w:r w:rsidRPr="00E51C74">
        <w:rPr>
          <w:sz w:val="24"/>
          <w:szCs w:val="24"/>
          <w:lang w:val="en-US"/>
        </w:rPr>
        <w:t>.</w:t>
      </w:r>
      <w:proofErr w:type="gramEnd"/>
    </w:p>
    <w:p w:rsidR="00577159" w:rsidRPr="00577159" w:rsidRDefault="00577159" w:rsidP="003C7F83">
      <w:pPr>
        <w:pStyle w:val="Textpoznpodarou"/>
        <w:spacing w:before="240" w:after="240" w:line="360" w:lineRule="auto"/>
        <w:ind w:firstLine="0"/>
        <w:contextualSpacing w:val="0"/>
        <w:rPr>
          <w:sz w:val="24"/>
          <w:szCs w:val="24"/>
          <w:lang w:val="en-US"/>
        </w:rPr>
      </w:pPr>
      <w:proofErr w:type="gramStart"/>
      <w:r w:rsidRPr="00577159">
        <w:rPr>
          <w:sz w:val="24"/>
          <w:szCs w:val="24"/>
          <w:lang w:val="en-US"/>
        </w:rPr>
        <w:t>“Fatalities in the first Intifada.”</w:t>
      </w:r>
      <w:proofErr w:type="gramEnd"/>
      <w:r w:rsidRPr="00577159">
        <w:rPr>
          <w:sz w:val="24"/>
          <w:szCs w:val="24"/>
          <w:lang w:val="en-US"/>
        </w:rPr>
        <w:t xml:space="preserve"> </w:t>
      </w:r>
      <w:proofErr w:type="gramStart"/>
      <w:r w:rsidRPr="00577159">
        <w:rPr>
          <w:sz w:val="24"/>
          <w:szCs w:val="24"/>
          <w:lang w:val="en-US"/>
        </w:rPr>
        <w:t>(N.d.)</w:t>
      </w:r>
      <w:proofErr w:type="gramEnd"/>
      <w:r w:rsidRPr="00577159">
        <w:rPr>
          <w:sz w:val="24"/>
          <w:szCs w:val="24"/>
          <w:lang w:val="en-US"/>
        </w:rPr>
        <w:t xml:space="preserve"> Jerusalem: </w:t>
      </w:r>
      <w:proofErr w:type="spellStart"/>
      <w:r w:rsidRPr="00577159">
        <w:rPr>
          <w:sz w:val="24"/>
          <w:szCs w:val="24"/>
          <w:lang w:val="en-US"/>
        </w:rPr>
        <w:t>B'Tselem</w:t>
      </w:r>
      <w:proofErr w:type="spellEnd"/>
      <w:r w:rsidRPr="00577159">
        <w:rPr>
          <w:sz w:val="24"/>
          <w:szCs w:val="24"/>
          <w:lang w:val="en-US"/>
        </w:rPr>
        <w:t xml:space="preserve">, </w:t>
      </w:r>
      <w:proofErr w:type="gramStart"/>
      <w:r w:rsidRPr="00577159">
        <w:rPr>
          <w:sz w:val="24"/>
          <w:szCs w:val="24"/>
          <w:lang w:val="en-US"/>
        </w:rPr>
        <w:t>The</w:t>
      </w:r>
      <w:proofErr w:type="gramEnd"/>
      <w:r w:rsidRPr="00577159">
        <w:rPr>
          <w:sz w:val="24"/>
          <w:szCs w:val="24"/>
          <w:lang w:val="en-US"/>
        </w:rPr>
        <w:t xml:space="preserve"> Israeli Information Center for Human Rights in the Occupied Territories. </w:t>
      </w:r>
      <w:proofErr w:type="gramStart"/>
      <w:r w:rsidRPr="00577159">
        <w:rPr>
          <w:sz w:val="24"/>
          <w:szCs w:val="24"/>
          <w:lang w:val="en-US"/>
        </w:rPr>
        <w:t xml:space="preserve">Retrieved from: </w:t>
      </w:r>
      <w:hyperlink r:id="rId9" w:history="1">
        <w:r w:rsidRPr="00577159">
          <w:rPr>
            <w:rStyle w:val="Hypertextovodkaz"/>
            <w:color w:val="auto"/>
            <w:sz w:val="24"/>
            <w:szCs w:val="24"/>
            <w:u w:val="none"/>
            <w:lang w:val="en-US"/>
          </w:rPr>
          <w:t>http://www.btselem.org/statistics/first_intifada_tables</w:t>
        </w:r>
      </w:hyperlink>
      <w:r w:rsidRPr="00577159">
        <w:rPr>
          <w:sz w:val="24"/>
          <w:szCs w:val="24"/>
          <w:lang w:val="en-US"/>
        </w:rPr>
        <w:t xml:space="preserve"> on [June 15, 2016].</w:t>
      </w:r>
      <w:proofErr w:type="gramEnd"/>
    </w:p>
    <w:p w:rsidR="003C7F83" w:rsidRDefault="003C7F83" w:rsidP="003C7F83">
      <w:pPr>
        <w:pStyle w:val="Textpoznpodarou"/>
        <w:spacing w:before="240" w:after="240" w:line="360" w:lineRule="auto"/>
        <w:ind w:firstLine="0"/>
        <w:contextualSpacing w:val="0"/>
        <w:rPr>
          <w:sz w:val="24"/>
          <w:szCs w:val="24"/>
          <w:lang w:val="en-US"/>
        </w:rPr>
      </w:pPr>
      <w:proofErr w:type="gramStart"/>
      <w:r w:rsidRPr="003C7F83">
        <w:rPr>
          <w:sz w:val="24"/>
          <w:szCs w:val="24"/>
          <w:lang w:val="en-US"/>
        </w:rPr>
        <w:t>Minorities at Risk Project.</w:t>
      </w:r>
      <w:proofErr w:type="gramEnd"/>
      <w:r w:rsidRPr="003C7F83">
        <w:rPr>
          <w:sz w:val="24"/>
          <w:szCs w:val="24"/>
          <w:lang w:val="en-US"/>
        </w:rPr>
        <w:t xml:space="preserve"> </w:t>
      </w:r>
      <w:proofErr w:type="gramStart"/>
      <w:r w:rsidRPr="003C7F83">
        <w:rPr>
          <w:sz w:val="24"/>
          <w:szCs w:val="24"/>
          <w:lang w:val="en-US"/>
        </w:rPr>
        <w:t>(2009</w:t>
      </w:r>
      <w:r w:rsidR="00926A0A">
        <w:rPr>
          <w:sz w:val="24"/>
          <w:szCs w:val="24"/>
          <w:lang w:val="en-US"/>
        </w:rPr>
        <w:t>a</w:t>
      </w:r>
      <w:r w:rsidRPr="003C7F83">
        <w:rPr>
          <w:sz w:val="24"/>
          <w:szCs w:val="24"/>
          <w:lang w:val="en-US"/>
        </w:rPr>
        <w:t>) “Assessment for Palestinians in Israel.”</w:t>
      </w:r>
      <w:proofErr w:type="gramEnd"/>
      <w:r w:rsidRPr="003C7F83">
        <w:rPr>
          <w:sz w:val="24"/>
          <w:szCs w:val="24"/>
          <w:lang w:val="en-US"/>
        </w:rPr>
        <w:t xml:space="preserve"> College Park, MD: Center for International Development and Conflict Management. </w:t>
      </w:r>
      <w:proofErr w:type="gramStart"/>
      <w:r w:rsidRPr="003C7F83">
        <w:rPr>
          <w:sz w:val="24"/>
          <w:szCs w:val="24"/>
          <w:lang w:val="en-US"/>
        </w:rPr>
        <w:t>Retrieved from http://www.mar.umd.edu/ on: [June 13, 2016].</w:t>
      </w:r>
      <w:proofErr w:type="gramEnd"/>
    </w:p>
    <w:p w:rsidR="003C7F83" w:rsidRDefault="003C7F83" w:rsidP="003C7F83">
      <w:pPr>
        <w:pStyle w:val="Textpoznpodarou"/>
        <w:spacing w:before="240" w:after="240" w:line="360" w:lineRule="auto"/>
        <w:ind w:firstLine="0"/>
        <w:contextualSpacing w:val="0"/>
        <w:rPr>
          <w:sz w:val="24"/>
          <w:szCs w:val="24"/>
          <w:lang w:val="en-US"/>
        </w:rPr>
      </w:pPr>
      <w:proofErr w:type="gramStart"/>
      <w:r w:rsidRPr="003C7F83">
        <w:rPr>
          <w:sz w:val="24"/>
          <w:szCs w:val="24"/>
          <w:lang w:val="en-US"/>
        </w:rPr>
        <w:t>Minorities at Risk Project.</w:t>
      </w:r>
      <w:proofErr w:type="gramEnd"/>
      <w:r w:rsidRPr="003C7F83">
        <w:rPr>
          <w:sz w:val="24"/>
          <w:szCs w:val="24"/>
          <w:lang w:val="en-US"/>
        </w:rPr>
        <w:t xml:space="preserve"> </w:t>
      </w:r>
      <w:proofErr w:type="gramStart"/>
      <w:r w:rsidRPr="003C7F83">
        <w:rPr>
          <w:sz w:val="24"/>
          <w:szCs w:val="24"/>
          <w:lang w:val="en-US"/>
        </w:rPr>
        <w:t>(2009</w:t>
      </w:r>
      <w:r w:rsidR="00926A0A">
        <w:rPr>
          <w:sz w:val="24"/>
          <w:szCs w:val="24"/>
          <w:lang w:val="en-US"/>
        </w:rPr>
        <w:t>b</w:t>
      </w:r>
      <w:r w:rsidRPr="003C7F83">
        <w:rPr>
          <w:sz w:val="24"/>
          <w:szCs w:val="24"/>
          <w:lang w:val="en-US"/>
        </w:rPr>
        <w:t>) “Chronology for Palestinians in Israel.”</w:t>
      </w:r>
      <w:proofErr w:type="gramEnd"/>
      <w:r w:rsidRPr="003C7F83">
        <w:rPr>
          <w:sz w:val="24"/>
          <w:szCs w:val="24"/>
          <w:lang w:val="en-US"/>
        </w:rPr>
        <w:t xml:space="preserve"> College Park, MD: Center for International Development and Conflict Management. </w:t>
      </w:r>
      <w:proofErr w:type="gramStart"/>
      <w:r w:rsidRPr="003C7F83">
        <w:rPr>
          <w:sz w:val="24"/>
          <w:szCs w:val="24"/>
          <w:lang w:val="en-US"/>
        </w:rPr>
        <w:t>Retrieved from http://www.mar.umd.edu/ on: [June 13, 2016].</w:t>
      </w:r>
      <w:proofErr w:type="gramEnd"/>
      <w:r w:rsidRPr="003C7F83">
        <w:rPr>
          <w:sz w:val="24"/>
          <w:szCs w:val="24"/>
          <w:lang w:val="en-US"/>
        </w:rPr>
        <w:t xml:space="preserve"> </w:t>
      </w:r>
    </w:p>
    <w:p w:rsidR="003C7F83" w:rsidRDefault="003C7F83" w:rsidP="003C7F83">
      <w:pPr>
        <w:pStyle w:val="Textpoznpodarou"/>
        <w:spacing w:before="240" w:after="240" w:line="360" w:lineRule="auto"/>
        <w:ind w:firstLine="0"/>
        <w:contextualSpacing w:val="0"/>
        <w:rPr>
          <w:sz w:val="24"/>
          <w:szCs w:val="24"/>
          <w:lang w:val="en-US"/>
        </w:rPr>
      </w:pPr>
      <w:proofErr w:type="gramStart"/>
      <w:r w:rsidRPr="003C7F83">
        <w:rPr>
          <w:sz w:val="24"/>
          <w:szCs w:val="24"/>
          <w:lang w:val="en-US"/>
        </w:rPr>
        <w:t>Minorities at Risk Project.</w:t>
      </w:r>
      <w:proofErr w:type="gramEnd"/>
      <w:r w:rsidRPr="003C7F83">
        <w:rPr>
          <w:sz w:val="24"/>
          <w:szCs w:val="24"/>
          <w:lang w:val="en-US"/>
        </w:rPr>
        <w:t xml:space="preserve"> </w:t>
      </w:r>
      <w:proofErr w:type="gramStart"/>
      <w:r w:rsidRPr="003C7F83">
        <w:rPr>
          <w:sz w:val="24"/>
          <w:szCs w:val="24"/>
          <w:lang w:val="en-US"/>
        </w:rPr>
        <w:t>(2009</w:t>
      </w:r>
      <w:r w:rsidR="00926A0A">
        <w:rPr>
          <w:sz w:val="24"/>
          <w:szCs w:val="24"/>
          <w:lang w:val="en-US"/>
        </w:rPr>
        <w:t>c</w:t>
      </w:r>
      <w:r w:rsidRPr="003C7F83">
        <w:rPr>
          <w:sz w:val="24"/>
          <w:szCs w:val="24"/>
          <w:lang w:val="en-US"/>
        </w:rPr>
        <w:t>) “Minorities at Risk Dataset.”</w:t>
      </w:r>
      <w:proofErr w:type="gramEnd"/>
      <w:r w:rsidRPr="003C7F83">
        <w:rPr>
          <w:sz w:val="24"/>
          <w:szCs w:val="24"/>
          <w:lang w:val="en-US"/>
        </w:rPr>
        <w:t xml:space="preserve"> College Park, MD: Center for International Development and Conflict Management. </w:t>
      </w:r>
      <w:proofErr w:type="gramStart"/>
      <w:r w:rsidRPr="003C7F83">
        <w:rPr>
          <w:sz w:val="24"/>
          <w:szCs w:val="24"/>
          <w:lang w:val="en-US"/>
        </w:rPr>
        <w:t>Retrieved from http://www.mar.umd.edu/ on: [June 13, 2016].</w:t>
      </w:r>
      <w:proofErr w:type="gramEnd"/>
    </w:p>
    <w:p w:rsidR="004E3317" w:rsidRDefault="004E3317" w:rsidP="003C7F83">
      <w:pPr>
        <w:pStyle w:val="Textpoznpodarou"/>
        <w:spacing w:line="360" w:lineRule="auto"/>
        <w:ind w:firstLine="0"/>
        <w:contextualSpacing w:val="0"/>
        <w:rPr>
          <w:sz w:val="24"/>
          <w:szCs w:val="24"/>
          <w:lang w:val="en-US"/>
        </w:rPr>
      </w:pPr>
      <w:r w:rsidRPr="004E3317">
        <w:rPr>
          <w:sz w:val="24"/>
          <w:szCs w:val="24"/>
          <w:lang w:val="en-US"/>
        </w:rPr>
        <w:t xml:space="preserve">Pipes, Daniel. </w:t>
      </w:r>
      <w:proofErr w:type="gramStart"/>
      <w:r w:rsidR="00CF5908">
        <w:rPr>
          <w:sz w:val="24"/>
          <w:szCs w:val="24"/>
          <w:lang w:val="en-US"/>
        </w:rPr>
        <w:t>(N.d.)</w:t>
      </w:r>
      <w:proofErr w:type="gramEnd"/>
      <w:r w:rsidR="00CF5908">
        <w:rPr>
          <w:sz w:val="24"/>
          <w:szCs w:val="24"/>
          <w:lang w:val="en-US"/>
        </w:rPr>
        <w:t xml:space="preserve"> </w:t>
      </w:r>
      <w:r w:rsidRPr="004E3317">
        <w:rPr>
          <w:sz w:val="24"/>
          <w:szCs w:val="24"/>
          <w:lang w:val="en-US"/>
        </w:rPr>
        <w:t xml:space="preserve">“Pre-State Israel: The Origins of the Palestinian Arabs.” </w:t>
      </w:r>
      <w:proofErr w:type="gramStart"/>
      <w:r w:rsidRPr="004E3317">
        <w:rPr>
          <w:sz w:val="24"/>
          <w:szCs w:val="24"/>
          <w:lang w:val="en-US"/>
        </w:rPr>
        <w:t>N.p</w:t>
      </w:r>
      <w:proofErr w:type="gramEnd"/>
      <w:r w:rsidRPr="004E3317">
        <w:rPr>
          <w:sz w:val="24"/>
          <w:szCs w:val="24"/>
          <w:lang w:val="en-US"/>
        </w:rPr>
        <w:t>.: American-Israeli Cooperative Enterprise. Retrieved fro</w:t>
      </w:r>
      <w:r>
        <w:rPr>
          <w:sz w:val="24"/>
          <w:szCs w:val="24"/>
          <w:lang w:val="en-US"/>
        </w:rPr>
        <w:t>m</w:t>
      </w:r>
    </w:p>
    <w:p w:rsidR="004E3317" w:rsidRPr="004E3317" w:rsidRDefault="004E3317" w:rsidP="004E3317">
      <w:pPr>
        <w:pStyle w:val="Textpoznpodarou"/>
        <w:spacing w:after="240" w:line="360" w:lineRule="auto"/>
        <w:ind w:firstLine="0"/>
        <w:contextualSpacing w:val="0"/>
        <w:rPr>
          <w:sz w:val="24"/>
          <w:szCs w:val="24"/>
          <w:lang w:val="en-US"/>
        </w:rPr>
      </w:pPr>
      <w:r w:rsidRPr="004E3317">
        <w:rPr>
          <w:sz w:val="24"/>
          <w:szCs w:val="24"/>
          <w:lang w:val="en-US"/>
        </w:rPr>
        <w:t xml:space="preserve"> http://www.jewishvirtuallibrary.org/jsource/History/palarabs.html on: [June 14, 2016].</w:t>
      </w:r>
    </w:p>
    <w:p w:rsidR="003C7F83" w:rsidRDefault="003C7F83" w:rsidP="007A4FDE">
      <w:pPr>
        <w:pStyle w:val="Textpoznpodarou"/>
        <w:spacing w:after="240" w:line="360" w:lineRule="auto"/>
        <w:ind w:firstLine="0"/>
        <w:contextualSpacing w:val="0"/>
        <w:rPr>
          <w:sz w:val="24"/>
          <w:szCs w:val="24"/>
          <w:lang w:val="en-US"/>
        </w:rPr>
      </w:pPr>
      <w:proofErr w:type="gramStart"/>
      <w:r w:rsidRPr="003C7F83">
        <w:rPr>
          <w:sz w:val="24"/>
          <w:szCs w:val="24"/>
          <w:lang w:val="en-US"/>
        </w:rPr>
        <w:t>Sykes-Picot Agreement.</w:t>
      </w:r>
      <w:proofErr w:type="gramEnd"/>
      <w:r w:rsidRPr="003C7F83">
        <w:rPr>
          <w:sz w:val="24"/>
          <w:szCs w:val="24"/>
          <w:lang w:val="en-US"/>
        </w:rPr>
        <w:t xml:space="preserve"> </w:t>
      </w:r>
      <w:proofErr w:type="gramStart"/>
      <w:r w:rsidRPr="003C7F83">
        <w:rPr>
          <w:sz w:val="24"/>
          <w:szCs w:val="24"/>
          <w:lang w:val="en-US"/>
        </w:rPr>
        <w:t>(2016) “Sykes-Picot Agreement.”</w:t>
      </w:r>
      <w:proofErr w:type="gramEnd"/>
      <w:r w:rsidRPr="003C7F83">
        <w:rPr>
          <w:sz w:val="24"/>
          <w:szCs w:val="24"/>
          <w:lang w:val="en-US"/>
        </w:rPr>
        <w:t xml:space="preserve"> </w:t>
      </w:r>
      <w:proofErr w:type="gramStart"/>
      <w:r w:rsidRPr="003C7F83">
        <w:rPr>
          <w:sz w:val="24"/>
          <w:szCs w:val="24"/>
          <w:lang w:val="en-US"/>
        </w:rPr>
        <w:t>N.p</w:t>
      </w:r>
      <w:proofErr w:type="gramEnd"/>
      <w:r w:rsidRPr="003C7F83">
        <w:rPr>
          <w:sz w:val="24"/>
          <w:szCs w:val="24"/>
          <w:lang w:val="en-US"/>
        </w:rPr>
        <w:t xml:space="preserve">.: </w:t>
      </w:r>
      <w:proofErr w:type="spellStart"/>
      <w:r w:rsidRPr="003C7F83">
        <w:rPr>
          <w:sz w:val="24"/>
          <w:szCs w:val="24"/>
          <w:lang w:val="en-US"/>
        </w:rPr>
        <w:t>Encyclopædia</w:t>
      </w:r>
      <w:proofErr w:type="spellEnd"/>
      <w:r w:rsidRPr="003C7F83">
        <w:rPr>
          <w:sz w:val="24"/>
          <w:szCs w:val="24"/>
          <w:lang w:val="en-US"/>
        </w:rPr>
        <w:t xml:space="preserve"> Britannica, Inc. Retrieved from: </w:t>
      </w:r>
      <w:r w:rsidR="00A97CBF" w:rsidRPr="00A97CBF">
        <w:rPr>
          <w:sz w:val="24"/>
          <w:szCs w:val="24"/>
          <w:lang w:val="en-US"/>
        </w:rPr>
        <w:t>http://www.britannica.com/event/Sykes-Picot-Agreement</w:t>
      </w:r>
      <w:r w:rsidR="00A97CBF">
        <w:rPr>
          <w:sz w:val="24"/>
          <w:szCs w:val="24"/>
          <w:lang w:val="en-US"/>
        </w:rPr>
        <w:t xml:space="preserve"> o</w:t>
      </w:r>
      <w:r w:rsidRPr="003C7F83">
        <w:rPr>
          <w:sz w:val="24"/>
          <w:szCs w:val="24"/>
          <w:lang w:val="en-US"/>
        </w:rPr>
        <w:t xml:space="preserve">n: [June 13, </w:t>
      </w:r>
      <w:r w:rsidRPr="002225CF">
        <w:rPr>
          <w:sz w:val="24"/>
          <w:szCs w:val="24"/>
          <w:lang w:val="en-US"/>
        </w:rPr>
        <w:t>2016].</w:t>
      </w:r>
    </w:p>
    <w:p w:rsidR="00D5526F" w:rsidRPr="00D5526F" w:rsidRDefault="00D5526F" w:rsidP="007A4FDE">
      <w:pPr>
        <w:pStyle w:val="Textpoznpodarou"/>
        <w:spacing w:after="240" w:line="360" w:lineRule="auto"/>
        <w:ind w:firstLine="0"/>
        <w:contextualSpacing w:val="0"/>
        <w:rPr>
          <w:sz w:val="24"/>
          <w:szCs w:val="24"/>
          <w:lang w:val="en-US"/>
        </w:rPr>
      </w:pPr>
      <w:r w:rsidRPr="00D5526F">
        <w:rPr>
          <w:sz w:val="24"/>
          <w:szCs w:val="24"/>
          <w:lang w:val="en-US"/>
        </w:rPr>
        <w:t xml:space="preserve">Thomas, Gordon. </w:t>
      </w:r>
      <w:proofErr w:type="gramStart"/>
      <w:r w:rsidRPr="00D5526F">
        <w:rPr>
          <w:sz w:val="24"/>
          <w:szCs w:val="24"/>
          <w:lang w:val="en-US"/>
        </w:rPr>
        <w:t>(2008) “Gideon’s Spies.”</w:t>
      </w:r>
      <w:proofErr w:type="gramEnd"/>
      <w:r w:rsidRPr="00D5526F">
        <w:rPr>
          <w:sz w:val="24"/>
          <w:szCs w:val="24"/>
          <w:lang w:val="en-US"/>
        </w:rPr>
        <w:t xml:space="preserve"> London: JR Books. Print</w:t>
      </w:r>
      <w:r>
        <w:rPr>
          <w:sz w:val="24"/>
          <w:szCs w:val="24"/>
          <w:lang w:val="en-US"/>
        </w:rPr>
        <w:t>.</w:t>
      </w:r>
    </w:p>
    <w:p w:rsidR="008D6F04" w:rsidRPr="008D6F04" w:rsidRDefault="008D6F04" w:rsidP="007A4FDE">
      <w:pPr>
        <w:pStyle w:val="Textpoznpodarou"/>
        <w:spacing w:after="240" w:line="360" w:lineRule="auto"/>
        <w:ind w:firstLine="0"/>
        <w:contextualSpacing w:val="0"/>
        <w:rPr>
          <w:sz w:val="24"/>
          <w:szCs w:val="24"/>
          <w:lang w:val="en-US"/>
        </w:rPr>
      </w:pPr>
      <w:r w:rsidRPr="008D6F04">
        <w:rPr>
          <w:sz w:val="24"/>
          <w:szCs w:val="24"/>
          <w:lang w:val="en-US"/>
        </w:rPr>
        <w:t xml:space="preserve">“What is Palestine and Palestinians?” </w:t>
      </w:r>
      <w:proofErr w:type="gramStart"/>
      <w:r w:rsidRPr="008D6F04">
        <w:rPr>
          <w:sz w:val="24"/>
          <w:szCs w:val="24"/>
          <w:lang w:val="en-US"/>
        </w:rPr>
        <w:t>(N.d.)</w:t>
      </w:r>
      <w:proofErr w:type="gramEnd"/>
      <w:r w:rsidRPr="008D6F04">
        <w:rPr>
          <w:sz w:val="24"/>
          <w:szCs w:val="24"/>
          <w:lang w:val="en-US"/>
        </w:rPr>
        <w:t xml:space="preserve"> </w:t>
      </w:r>
      <w:proofErr w:type="gramStart"/>
      <w:r w:rsidRPr="008D6F04">
        <w:rPr>
          <w:sz w:val="24"/>
          <w:szCs w:val="24"/>
          <w:lang w:val="en-US"/>
        </w:rPr>
        <w:t>N.p</w:t>
      </w:r>
      <w:proofErr w:type="gramEnd"/>
      <w:r w:rsidRPr="008D6F04">
        <w:rPr>
          <w:sz w:val="24"/>
          <w:szCs w:val="24"/>
          <w:lang w:val="en-US"/>
        </w:rPr>
        <w:t xml:space="preserve">.: Israel Science and Technology Directory. </w:t>
      </w:r>
      <w:proofErr w:type="gramStart"/>
      <w:r w:rsidRPr="008D6F04">
        <w:rPr>
          <w:sz w:val="24"/>
          <w:szCs w:val="24"/>
          <w:lang w:val="en-US"/>
        </w:rPr>
        <w:t>Retrieved from: http://www.science.co.il/History-Palestine.php on [June 14, 2016].</w:t>
      </w:r>
      <w:proofErr w:type="gramEnd"/>
    </w:p>
    <w:p w:rsidR="002225CF" w:rsidRDefault="002225CF" w:rsidP="002225CF">
      <w:pPr>
        <w:pStyle w:val="Textpoznpodarou"/>
        <w:spacing w:line="360" w:lineRule="auto"/>
        <w:ind w:firstLine="0"/>
        <w:contextualSpacing w:val="0"/>
        <w:rPr>
          <w:sz w:val="24"/>
          <w:szCs w:val="24"/>
          <w:lang w:val="en-US"/>
        </w:rPr>
      </w:pPr>
      <w:r w:rsidRPr="002225CF">
        <w:rPr>
          <w:sz w:val="24"/>
          <w:szCs w:val="24"/>
          <w:lang w:val="en-US"/>
        </w:rPr>
        <w:lastRenderedPageBreak/>
        <w:t xml:space="preserve">Williams, </w:t>
      </w:r>
      <w:proofErr w:type="spellStart"/>
      <w:r w:rsidRPr="002225CF">
        <w:rPr>
          <w:sz w:val="24"/>
          <w:szCs w:val="24"/>
          <w:lang w:val="en-US"/>
        </w:rPr>
        <w:t>Dodeye</w:t>
      </w:r>
      <w:proofErr w:type="spellEnd"/>
      <w:r w:rsidRPr="002225CF">
        <w:rPr>
          <w:sz w:val="24"/>
          <w:szCs w:val="24"/>
          <w:lang w:val="en-US"/>
        </w:rPr>
        <w:t xml:space="preserve"> </w:t>
      </w:r>
      <w:proofErr w:type="spellStart"/>
      <w:r w:rsidRPr="002225CF">
        <w:rPr>
          <w:sz w:val="24"/>
          <w:szCs w:val="24"/>
          <w:lang w:val="en-US"/>
        </w:rPr>
        <w:t>Uduak</w:t>
      </w:r>
      <w:proofErr w:type="spellEnd"/>
      <w:r w:rsidRPr="002225CF">
        <w:rPr>
          <w:sz w:val="24"/>
          <w:szCs w:val="24"/>
          <w:lang w:val="en-US"/>
        </w:rPr>
        <w:t>.</w:t>
      </w:r>
      <w:r w:rsidR="00CF5908">
        <w:rPr>
          <w:sz w:val="24"/>
          <w:szCs w:val="24"/>
          <w:lang w:val="en-US"/>
        </w:rPr>
        <w:t xml:space="preserve"> </w:t>
      </w:r>
      <w:r w:rsidR="00CF5908" w:rsidRPr="002225CF">
        <w:rPr>
          <w:sz w:val="24"/>
          <w:szCs w:val="24"/>
          <w:lang w:val="en-US"/>
        </w:rPr>
        <w:t>(2015)</w:t>
      </w:r>
      <w:proofErr w:type="gramStart"/>
      <w:r w:rsidR="00CF5908" w:rsidRPr="002225CF">
        <w:rPr>
          <w:sz w:val="24"/>
          <w:szCs w:val="24"/>
          <w:lang w:val="en-US"/>
        </w:rPr>
        <w:t xml:space="preserve">. </w:t>
      </w:r>
      <w:r w:rsidRPr="002225CF">
        <w:rPr>
          <w:sz w:val="24"/>
          <w:szCs w:val="24"/>
          <w:lang w:val="en-US"/>
        </w:rPr>
        <w:t xml:space="preserve"> “</w:t>
      </w:r>
      <w:proofErr w:type="gramEnd"/>
      <w:r w:rsidRPr="002225CF">
        <w:rPr>
          <w:sz w:val="24"/>
          <w:szCs w:val="24"/>
          <w:lang w:val="en-US"/>
        </w:rPr>
        <w:t xml:space="preserve">How Useful are the Main Existing Theories of Ethnic Conflict?” </w:t>
      </w:r>
      <w:proofErr w:type="gramStart"/>
      <w:r w:rsidRPr="002225CF">
        <w:rPr>
          <w:sz w:val="24"/>
          <w:szCs w:val="24"/>
          <w:lang w:val="en-US"/>
        </w:rPr>
        <w:t xml:space="preserve">Academic Journal of </w:t>
      </w:r>
      <w:r w:rsidR="00CF5908">
        <w:rPr>
          <w:sz w:val="24"/>
          <w:szCs w:val="24"/>
          <w:lang w:val="en-US"/>
        </w:rPr>
        <w:t>Interdisciplinary Studies, 4.01.</w:t>
      </w:r>
      <w:proofErr w:type="gramEnd"/>
      <w:r w:rsidR="00CF5908">
        <w:rPr>
          <w:sz w:val="24"/>
          <w:szCs w:val="24"/>
          <w:lang w:val="en-US"/>
        </w:rPr>
        <w:t xml:space="preserve"> </w:t>
      </w:r>
      <w:r w:rsidRPr="002225CF">
        <w:rPr>
          <w:sz w:val="24"/>
          <w:szCs w:val="24"/>
          <w:lang w:val="en-US"/>
        </w:rPr>
        <w:t>Rome: MCSER Publishing. Retrieved from</w:t>
      </w:r>
      <w:r w:rsidR="00A97CBF">
        <w:rPr>
          <w:sz w:val="24"/>
          <w:szCs w:val="24"/>
          <w:lang w:val="en-US"/>
        </w:rPr>
        <w:t>:</w:t>
      </w:r>
      <w:r w:rsidRPr="002225CF">
        <w:rPr>
          <w:sz w:val="24"/>
          <w:szCs w:val="24"/>
          <w:lang w:val="en-US"/>
        </w:rPr>
        <w:t xml:space="preserve"> </w:t>
      </w:r>
    </w:p>
    <w:p w:rsidR="002225CF" w:rsidRPr="00A97CBF" w:rsidRDefault="005E5758" w:rsidP="002225CF">
      <w:pPr>
        <w:pStyle w:val="Textpoznpodarou"/>
        <w:spacing w:line="360" w:lineRule="auto"/>
        <w:ind w:firstLine="0"/>
        <w:contextualSpacing w:val="0"/>
        <w:rPr>
          <w:sz w:val="24"/>
          <w:szCs w:val="24"/>
          <w:lang w:val="en-US"/>
        </w:rPr>
      </w:pPr>
      <w:hyperlink r:id="rId10" w:history="1">
        <w:proofErr w:type="gramStart"/>
        <w:r w:rsidR="00A97CBF" w:rsidRPr="00A97CBF">
          <w:rPr>
            <w:rStyle w:val="Hypertextovodkaz"/>
            <w:color w:val="auto"/>
            <w:sz w:val="24"/>
            <w:szCs w:val="24"/>
            <w:u w:val="none"/>
            <w:lang w:val="en-US"/>
          </w:rPr>
          <w:t>http://www.mcser.org/journal/index.php/ajis/article/viewFile/5964/5735</w:t>
        </w:r>
      </w:hyperlink>
      <w:r w:rsidR="00A97CBF" w:rsidRPr="00A97CBF">
        <w:rPr>
          <w:sz w:val="24"/>
          <w:szCs w:val="24"/>
          <w:lang w:val="en-US"/>
        </w:rPr>
        <w:t xml:space="preserve"> o</w:t>
      </w:r>
      <w:r w:rsidR="002225CF" w:rsidRPr="00A97CBF">
        <w:rPr>
          <w:sz w:val="24"/>
          <w:szCs w:val="24"/>
          <w:lang w:val="en-US"/>
        </w:rPr>
        <w:t>n [June 14, 2016].</w:t>
      </w:r>
      <w:proofErr w:type="gramEnd"/>
    </w:p>
    <w:sectPr w:rsidR="002225CF" w:rsidRPr="00A97CBF" w:rsidSect="00922B08">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EF" w:rsidRDefault="00AC1AEF" w:rsidP="00922B08">
      <w:pPr>
        <w:spacing w:after="0" w:line="240" w:lineRule="auto"/>
      </w:pPr>
      <w:r>
        <w:separator/>
      </w:r>
    </w:p>
  </w:endnote>
  <w:endnote w:type="continuationSeparator" w:id="0">
    <w:p w:rsidR="00AC1AEF" w:rsidRDefault="00AC1AEF" w:rsidP="00922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41688"/>
      <w:docPartObj>
        <w:docPartGallery w:val="Page Numbers (Bottom of Page)"/>
        <w:docPartUnique/>
      </w:docPartObj>
    </w:sdtPr>
    <w:sdtContent>
      <w:p w:rsidR="00631F9E" w:rsidRDefault="005E5758">
        <w:pPr>
          <w:pStyle w:val="Zpat"/>
          <w:jc w:val="center"/>
        </w:pPr>
        <w:fldSimple w:instr=" PAGE   \* MERGEFORMAT ">
          <w:r w:rsidR="00253FCF">
            <w:rPr>
              <w:noProof/>
            </w:rPr>
            <w:t>1</w:t>
          </w:r>
        </w:fldSimple>
      </w:p>
    </w:sdtContent>
  </w:sdt>
  <w:p w:rsidR="00631F9E" w:rsidRDefault="00631F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EF" w:rsidRDefault="00AC1AEF" w:rsidP="00922B08">
      <w:pPr>
        <w:spacing w:after="0" w:line="240" w:lineRule="auto"/>
      </w:pPr>
      <w:r>
        <w:separator/>
      </w:r>
    </w:p>
  </w:footnote>
  <w:footnote w:type="continuationSeparator" w:id="0">
    <w:p w:rsidR="00AC1AEF" w:rsidRDefault="00AC1AEF" w:rsidP="00922B08">
      <w:pPr>
        <w:spacing w:after="0" w:line="240" w:lineRule="auto"/>
      </w:pPr>
      <w:r>
        <w:continuationSeparator/>
      </w:r>
    </w:p>
  </w:footnote>
  <w:footnote w:id="1">
    <w:p w:rsidR="00631F9E" w:rsidRPr="00D46778" w:rsidRDefault="00631F9E" w:rsidP="009A1F3D">
      <w:pPr>
        <w:pStyle w:val="Textpoznpodarou"/>
        <w:spacing w:line="360" w:lineRule="auto"/>
        <w:ind w:firstLine="0"/>
        <w:rPr>
          <w:lang w:val="en-US"/>
        </w:rPr>
      </w:pPr>
      <w:r w:rsidRPr="00D46778">
        <w:rPr>
          <w:rStyle w:val="Znakapoznpodarou"/>
          <w:lang w:val="en-US"/>
        </w:rPr>
        <w:footnoteRef/>
      </w:r>
      <w:r w:rsidRPr="00D46778">
        <w:rPr>
          <w:lang w:val="en-US"/>
        </w:rPr>
        <w:t xml:space="preserve"> There are al</w:t>
      </w:r>
      <w:r>
        <w:rPr>
          <w:lang w:val="en-US"/>
        </w:rPr>
        <w:t>so</w:t>
      </w:r>
      <w:r w:rsidRPr="00D46778">
        <w:rPr>
          <w:lang w:val="en-US"/>
        </w:rPr>
        <w:t xml:space="preserve"> other Arabs</w:t>
      </w:r>
      <w:r w:rsidR="00113207">
        <w:rPr>
          <w:lang w:val="en-US"/>
        </w:rPr>
        <w:t xml:space="preserve"> minorities </w:t>
      </w:r>
      <w:r>
        <w:rPr>
          <w:lang w:val="en-US"/>
        </w:rPr>
        <w:t>in Israel</w:t>
      </w:r>
      <w:r w:rsidRPr="00D46778">
        <w:rPr>
          <w:lang w:val="en-US"/>
        </w:rPr>
        <w:t xml:space="preserve"> who</w:t>
      </w:r>
      <w:r w:rsidR="00113207">
        <w:rPr>
          <w:lang w:val="en-US"/>
        </w:rPr>
        <w:t>, however,</w:t>
      </w:r>
      <w:r w:rsidRPr="00D46778">
        <w:rPr>
          <w:lang w:val="en-US"/>
        </w:rPr>
        <w:t xml:space="preserve"> do not identify as Palestinians.</w:t>
      </w:r>
    </w:p>
  </w:footnote>
  <w:footnote w:id="2">
    <w:p w:rsidR="00631F9E" w:rsidRPr="00C87786" w:rsidRDefault="00631F9E" w:rsidP="00C87786">
      <w:pPr>
        <w:pStyle w:val="Textpoznpodarou"/>
        <w:spacing w:line="360" w:lineRule="auto"/>
        <w:ind w:firstLine="0"/>
        <w:rPr>
          <w:lang w:val="en-US"/>
        </w:rPr>
      </w:pPr>
      <w:r w:rsidRPr="00C87786">
        <w:rPr>
          <w:rStyle w:val="Znakapoznpodarou"/>
          <w:lang w:val="en-US"/>
        </w:rPr>
        <w:footnoteRef/>
      </w:r>
      <w:r w:rsidR="000D3D04">
        <w:rPr>
          <w:lang w:val="en-US"/>
        </w:rPr>
        <w:t xml:space="preserve"> Jews are an </w:t>
      </w:r>
      <w:r w:rsidR="000D3D04" w:rsidRPr="000D3D04">
        <w:rPr>
          <w:i/>
          <w:lang w:val="en-US"/>
        </w:rPr>
        <w:t>ethnoreligious</w:t>
      </w:r>
      <w:r w:rsidR="000D3D04">
        <w:rPr>
          <w:lang w:val="en-US"/>
        </w:rPr>
        <w:t xml:space="preserve"> group</w:t>
      </w:r>
      <w:r w:rsidRPr="00C87786">
        <w:rPr>
          <w:lang w:val="en-US"/>
        </w:rPr>
        <w:t xml:space="preserve"> and shall be further in this essay treated as </w:t>
      </w:r>
      <w:r w:rsidR="005916C7">
        <w:rPr>
          <w:lang w:val="en-US"/>
        </w:rPr>
        <w:t>such</w:t>
      </w:r>
      <w:r w:rsidRPr="00C87786">
        <w:rPr>
          <w:lang w:val="en-US"/>
        </w:rPr>
        <w:t>.</w:t>
      </w:r>
    </w:p>
  </w:footnote>
  <w:footnote w:id="3">
    <w:p w:rsidR="00631F9E" w:rsidRPr="004A2F3B" w:rsidRDefault="00631F9E" w:rsidP="00C87786">
      <w:pPr>
        <w:pStyle w:val="Textpoznpodarou"/>
        <w:spacing w:line="360" w:lineRule="auto"/>
        <w:ind w:firstLine="0"/>
        <w:rPr>
          <w:lang w:val="en-US"/>
        </w:rPr>
      </w:pPr>
      <w:r w:rsidRPr="004A2F3B">
        <w:rPr>
          <w:rStyle w:val="Znakapoznpodarou"/>
          <w:lang w:val="en-US"/>
        </w:rPr>
        <w:footnoteRef/>
      </w:r>
      <w:r w:rsidRPr="004A2F3B">
        <w:rPr>
          <w:lang w:val="en-US"/>
        </w:rPr>
        <w:t xml:space="preserve"> Williams, </w:t>
      </w:r>
      <w:proofErr w:type="spellStart"/>
      <w:r w:rsidRPr="004A2F3B">
        <w:rPr>
          <w:lang w:val="en-US"/>
        </w:rPr>
        <w:t>Dodeye</w:t>
      </w:r>
      <w:proofErr w:type="spellEnd"/>
      <w:r w:rsidRPr="004A2F3B">
        <w:rPr>
          <w:lang w:val="en-US"/>
        </w:rPr>
        <w:t xml:space="preserve"> </w:t>
      </w:r>
      <w:proofErr w:type="spellStart"/>
      <w:r w:rsidRPr="004A2F3B">
        <w:rPr>
          <w:lang w:val="en-US"/>
        </w:rPr>
        <w:t>Uduak</w:t>
      </w:r>
      <w:proofErr w:type="spellEnd"/>
      <w:r w:rsidRPr="004A2F3B">
        <w:rPr>
          <w:lang w:val="en-US"/>
        </w:rPr>
        <w:t xml:space="preserve">. </w:t>
      </w:r>
      <w:r>
        <w:rPr>
          <w:lang w:val="en-US"/>
        </w:rPr>
        <w:t>(2015) “</w:t>
      </w:r>
      <w:r w:rsidRPr="004A2F3B">
        <w:rPr>
          <w:lang w:val="en-US"/>
        </w:rPr>
        <w:t xml:space="preserve">How Useful </w:t>
      </w:r>
      <w:proofErr w:type="gramStart"/>
      <w:r w:rsidRPr="004A2F3B">
        <w:rPr>
          <w:lang w:val="en-US"/>
        </w:rPr>
        <w:t>are</w:t>
      </w:r>
      <w:proofErr w:type="gramEnd"/>
      <w:r w:rsidRPr="004A2F3B">
        <w:rPr>
          <w:lang w:val="en-US"/>
        </w:rPr>
        <w:t xml:space="preserve"> the Main Existing Theories of Ethnic Conflict?</w:t>
      </w:r>
      <w:r>
        <w:rPr>
          <w:lang w:val="en-US"/>
        </w:rPr>
        <w:t xml:space="preserve">” </w:t>
      </w:r>
      <w:proofErr w:type="gramStart"/>
      <w:r w:rsidRPr="002225CF">
        <w:rPr>
          <w:lang w:val="en-US"/>
        </w:rPr>
        <w:t>Academic Journal of Interdisciplinary Studies</w:t>
      </w:r>
      <w:r>
        <w:rPr>
          <w:lang w:val="en-US"/>
        </w:rPr>
        <w:t>, 4.01.</w:t>
      </w:r>
      <w:proofErr w:type="gramEnd"/>
      <w:r>
        <w:rPr>
          <w:lang w:val="en-US"/>
        </w:rPr>
        <w:t xml:space="preserve"> Rome: </w:t>
      </w:r>
      <w:r w:rsidRPr="002225CF">
        <w:rPr>
          <w:lang w:val="en-US"/>
        </w:rPr>
        <w:t>MCSER Publishing</w:t>
      </w:r>
      <w:r>
        <w:rPr>
          <w:lang w:val="en-US"/>
        </w:rPr>
        <w:t xml:space="preserve">. </w:t>
      </w:r>
      <w:proofErr w:type="gramStart"/>
      <w:r>
        <w:rPr>
          <w:lang w:val="en-US"/>
        </w:rPr>
        <w:t xml:space="preserve">Retrieved from </w:t>
      </w:r>
      <w:r w:rsidRPr="002225CF">
        <w:rPr>
          <w:lang w:val="en-US"/>
        </w:rPr>
        <w:t>http://www.mcser.org/journal/index.php/ajis/article/viewFile/5964/5735</w:t>
      </w:r>
      <w:r>
        <w:rPr>
          <w:lang w:val="en-US"/>
        </w:rPr>
        <w:t xml:space="preserve"> on [June 14, 2016], p.147.</w:t>
      </w:r>
      <w:proofErr w:type="gramEnd"/>
    </w:p>
  </w:footnote>
  <w:footnote w:id="4">
    <w:p w:rsidR="00631F9E" w:rsidRDefault="00631F9E" w:rsidP="00C87786">
      <w:pPr>
        <w:pStyle w:val="Textpoznpodarou"/>
        <w:spacing w:line="360" w:lineRule="auto"/>
        <w:ind w:firstLine="0"/>
      </w:pPr>
      <w:r>
        <w:rPr>
          <w:rStyle w:val="Znakapoznpodarou"/>
        </w:rPr>
        <w:footnoteRef/>
      </w:r>
      <w:r>
        <w:t xml:space="preserve"> </w:t>
      </w:r>
      <w:proofErr w:type="spellStart"/>
      <w:r>
        <w:t>Ibid</w:t>
      </w:r>
      <w:proofErr w:type="spellEnd"/>
      <w:r>
        <w:t xml:space="preserve"> 147.</w:t>
      </w:r>
    </w:p>
  </w:footnote>
  <w:footnote w:id="5">
    <w:p w:rsidR="00631F9E" w:rsidRDefault="00631F9E" w:rsidP="00C87786">
      <w:pPr>
        <w:pStyle w:val="Textpoznpodarou"/>
        <w:tabs>
          <w:tab w:val="left" w:pos="2955"/>
        </w:tabs>
        <w:spacing w:line="360" w:lineRule="auto"/>
        <w:ind w:firstLine="0"/>
      </w:pPr>
      <w:r>
        <w:rPr>
          <w:rStyle w:val="Znakapoznpodarou"/>
        </w:rPr>
        <w:footnoteRef/>
      </w:r>
      <w:r>
        <w:t xml:space="preserve"> </w:t>
      </w:r>
      <w:proofErr w:type="spellStart"/>
      <w:r>
        <w:t>Ibid</w:t>
      </w:r>
      <w:proofErr w:type="spellEnd"/>
      <w:r>
        <w:t xml:space="preserve"> 147.</w:t>
      </w:r>
      <w:r>
        <w:tab/>
      </w:r>
    </w:p>
  </w:footnote>
  <w:footnote w:id="6">
    <w:p w:rsidR="00631F9E" w:rsidRDefault="00631F9E" w:rsidP="00C87786">
      <w:pPr>
        <w:pStyle w:val="Textpoznpodarou"/>
        <w:spacing w:line="360" w:lineRule="auto"/>
        <w:ind w:firstLine="0"/>
      </w:pPr>
      <w:r>
        <w:rPr>
          <w:rStyle w:val="Znakapoznpodarou"/>
        </w:rPr>
        <w:footnoteRef/>
      </w:r>
      <w:r>
        <w:t xml:space="preserve"> </w:t>
      </w:r>
      <w:proofErr w:type="spellStart"/>
      <w:r>
        <w:t>Ibid</w:t>
      </w:r>
      <w:proofErr w:type="spellEnd"/>
      <w:r>
        <w:t xml:space="preserve"> 148.</w:t>
      </w:r>
    </w:p>
  </w:footnote>
  <w:footnote w:id="7">
    <w:p w:rsidR="00631F9E" w:rsidRDefault="00631F9E" w:rsidP="008F3229">
      <w:pPr>
        <w:pStyle w:val="Textpoznpodarou"/>
        <w:spacing w:line="360" w:lineRule="auto"/>
        <w:ind w:firstLine="0"/>
      </w:pPr>
      <w:r w:rsidRPr="00565C6C">
        <w:rPr>
          <w:rStyle w:val="Znakapoznpodarou"/>
          <w:lang w:val="en-US"/>
        </w:rPr>
        <w:footnoteRef/>
      </w:r>
      <w:r w:rsidRPr="00565C6C">
        <w:rPr>
          <w:lang w:val="en-US"/>
        </w:rPr>
        <w:t xml:space="preserve"> </w:t>
      </w:r>
      <w:proofErr w:type="gramStart"/>
      <w:r w:rsidRPr="00565C6C">
        <w:rPr>
          <w:lang w:val="en-US"/>
        </w:rPr>
        <w:t>Mino</w:t>
      </w:r>
      <w:r>
        <w:rPr>
          <w:lang w:val="en-US"/>
        </w:rPr>
        <w:t>rities at Risk Project.</w:t>
      </w:r>
      <w:proofErr w:type="gramEnd"/>
      <w:r>
        <w:rPr>
          <w:lang w:val="en-US"/>
        </w:rPr>
        <w:t xml:space="preserve"> </w:t>
      </w:r>
      <w:proofErr w:type="gramStart"/>
      <w:r>
        <w:rPr>
          <w:lang w:val="en-US"/>
        </w:rPr>
        <w:t>(2009c) “Minorities at Risk Dataset.”</w:t>
      </w:r>
      <w:proofErr w:type="gramEnd"/>
      <w:r w:rsidRPr="00565C6C">
        <w:rPr>
          <w:lang w:val="en-US"/>
        </w:rPr>
        <w:t xml:space="preserve"> College Park, MD: Center for International Development and Conflict Management. </w:t>
      </w:r>
      <w:proofErr w:type="gramStart"/>
      <w:r w:rsidRPr="00565C6C">
        <w:rPr>
          <w:lang w:val="en-US"/>
        </w:rPr>
        <w:t>Retrieved from http://www.mar.umd.edu/ on: [June 13, 2016]</w:t>
      </w:r>
      <w:r>
        <w:rPr>
          <w:lang w:val="en-US"/>
        </w:rPr>
        <w:t>.</w:t>
      </w:r>
      <w:proofErr w:type="gramEnd"/>
    </w:p>
  </w:footnote>
  <w:footnote w:id="8">
    <w:p w:rsidR="00631F9E" w:rsidRPr="00565C6C" w:rsidRDefault="00631F9E" w:rsidP="00A078D2">
      <w:pPr>
        <w:pStyle w:val="Textpoznpodarou"/>
        <w:spacing w:before="240" w:after="240" w:line="360" w:lineRule="auto"/>
        <w:ind w:firstLine="0"/>
        <w:rPr>
          <w:lang w:val="en-US"/>
        </w:rPr>
      </w:pPr>
      <w:r w:rsidRPr="00565C6C">
        <w:rPr>
          <w:rStyle w:val="Znakapoznpodarou"/>
          <w:lang w:val="en-US"/>
        </w:rPr>
        <w:footnoteRef/>
      </w:r>
      <w:r w:rsidRPr="00565C6C">
        <w:rPr>
          <w:lang w:val="en-US"/>
        </w:rPr>
        <w:t xml:space="preserve"> </w:t>
      </w:r>
      <w:proofErr w:type="gramStart"/>
      <w:r w:rsidRPr="00565C6C">
        <w:rPr>
          <w:lang w:val="en-US"/>
        </w:rPr>
        <w:t xml:space="preserve">Based on </w:t>
      </w:r>
      <w:r w:rsidR="005916C7">
        <w:rPr>
          <w:lang w:val="en-US"/>
        </w:rPr>
        <w:t xml:space="preserve">the </w:t>
      </w:r>
      <w:r w:rsidRPr="00565C6C">
        <w:rPr>
          <w:lang w:val="en-US"/>
        </w:rPr>
        <w:t>lecture notes.</w:t>
      </w:r>
      <w:proofErr w:type="gramEnd"/>
    </w:p>
  </w:footnote>
  <w:footnote w:id="9">
    <w:p w:rsidR="00631F9E" w:rsidRDefault="00631F9E" w:rsidP="008D6F04">
      <w:pPr>
        <w:pStyle w:val="Textpoznpodarou"/>
        <w:spacing w:line="360" w:lineRule="auto"/>
        <w:ind w:firstLine="0"/>
        <w:rPr>
          <w:lang w:val="en-US"/>
        </w:rPr>
      </w:pPr>
      <w:r w:rsidRPr="007A711E">
        <w:rPr>
          <w:rStyle w:val="Znakapoznpodarou"/>
          <w:lang w:val="en-US"/>
        </w:rPr>
        <w:footnoteRef/>
      </w:r>
      <w:r w:rsidRPr="007A711E">
        <w:rPr>
          <w:lang w:val="en-US"/>
        </w:rPr>
        <w:t xml:space="preserve"> Unless stated otherwise, summary of the Palestinian history</w:t>
      </w:r>
      <w:r w:rsidRPr="00886E80">
        <w:rPr>
          <w:lang w:val="en-US"/>
        </w:rPr>
        <w:t xml:space="preserve"> </w:t>
      </w:r>
      <w:r w:rsidRPr="007A711E">
        <w:rPr>
          <w:lang w:val="en-US"/>
        </w:rPr>
        <w:t xml:space="preserve">in Israel </w:t>
      </w:r>
      <w:r>
        <w:rPr>
          <w:lang w:val="en-US"/>
        </w:rPr>
        <w:t>including direct quotes in this subchapter come</w:t>
      </w:r>
      <w:r w:rsidRPr="007A711E">
        <w:rPr>
          <w:lang w:val="en-US"/>
        </w:rPr>
        <w:t xml:space="preserve"> from</w:t>
      </w:r>
      <w:r>
        <w:rPr>
          <w:lang w:val="en-US"/>
        </w:rPr>
        <w:t xml:space="preserve">: </w:t>
      </w:r>
    </w:p>
    <w:p w:rsidR="00631F9E" w:rsidRPr="007A711E" w:rsidRDefault="00631F9E" w:rsidP="008D6F04">
      <w:pPr>
        <w:pStyle w:val="Textpoznpodarou"/>
        <w:spacing w:line="360" w:lineRule="auto"/>
        <w:ind w:firstLine="0"/>
        <w:rPr>
          <w:lang w:val="en-US"/>
        </w:rPr>
      </w:pPr>
      <w:proofErr w:type="gramStart"/>
      <w:r w:rsidRPr="00565C6C">
        <w:rPr>
          <w:lang w:val="en-US"/>
        </w:rPr>
        <w:t>Mino</w:t>
      </w:r>
      <w:r>
        <w:rPr>
          <w:lang w:val="en-US"/>
        </w:rPr>
        <w:t>rities at Risk Project.</w:t>
      </w:r>
      <w:proofErr w:type="gramEnd"/>
      <w:r>
        <w:rPr>
          <w:lang w:val="en-US"/>
        </w:rPr>
        <w:t xml:space="preserve"> </w:t>
      </w:r>
      <w:proofErr w:type="gramStart"/>
      <w:r>
        <w:rPr>
          <w:lang w:val="en-US"/>
        </w:rPr>
        <w:t>(2009a) “</w:t>
      </w:r>
      <w:r w:rsidRPr="00FB520E">
        <w:rPr>
          <w:lang w:val="en-US"/>
        </w:rPr>
        <w:t>Chronology for Palestinians in Israel</w:t>
      </w:r>
      <w:r>
        <w:rPr>
          <w:lang w:val="en-US"/>
        </w:rPr>
        <w:t>.”</w:t>
      </w:r>
      <w:proofErr w:type="gramEnd"/>
      <w:r w:rsidRPr="00565C6C">
        <w:rPr>
          <w:lang w:val="en-US"/>
        </w:rPr>
        <w:t xml:space="preserve"> College Park, MD: Center for International Development and Conflict Management. </w:t>
      </w:r>
      <w:proofErr w:type="gramStart"/>
      <w:r w:rsidRPr="00565C6C">
        <w:rPr>
          <w:lang w:val="en-US"/>
        </w:rPr>
        <w:t>Retrieved from http://www.mar.umd.edu/ on: [June 13, 2016]</w:t>
      </w:r>
      <w:r>
        <w:rPr>
          <w:lang w:val="en-US"/>
        </w:rPr>
        <w:t>.</w:t>
      </w:r>
      <w:proofErr w:type="gramEnd"/>
      <w:r>
        <w:rPr>
          <w:lang w:val="en-US"/>
        </w:rPr>
        <w:t xml:space="preserve"> </w:t>
      </w:r>
    </w:p>
  </w:footnote>
  <w:footnote w:id="10">
    <w:p w:rsidR="00631F9E" w:rsidRPr="007A711E" w:rsidRDefault="00631F9E" w:rsidP="008D6F04">
      <w:pPr>
        <w:pStyle w:val="Textpoznpodarou"/>
        <w:spacing w:line="360" w:lineRule="auto"/>
        <w:ind w:firstLine="0"/>
        <w:rPr>
          <w:lang w:val="en-US"/>
        </w:rPr>
      </w:pPr>
      <w:r w:rsidRPr="007A711E">
        <w:rPr>
          <w:rStyle w:val="Znakapoznpodarou"/>
          <w:lang w:val="en-US"/>
        </w:rPr>
        <w:footnoteRef/>
      </w:r>
      <w:r w:rsidRPr="007A711E">
        <w:rPr>
          <w:lang w:val="en-US"/>
        </w:rPr>
        <w:t xml:space="preserve"> </w:t>
      </w:r>
      <w:proofErr w:type="gramStart"/>
      <w:r w:rsidRPr="007A711E">
        <w:rPr>
          <w:lang w:val="en-US"/>
        </w:rPr>
        <w:t>Sykes-Picot Agreement.</w:t>
      </w:r>
      <w:proofErr w:type="gramEnd"/>
      <w:r w:rsidRPr="007A711E">
        <w:rPr>
          <w:lang w:val="en-US"/>
        </w:rPr>
        <w:t xml:space="preserve"> </w:t>
      </w:r>
      <w:proofErr w:type="gramStart"/>
      <w:r w:rsidRPr="007A711E">
        <w:rPr>
          <w:lang w:val="en-US"/>
        </w:rPr>
        <w:t>(2016) “Sykes-Picot Agreement.”</w:t>
      </w:r>
      <w:proofErr w:type="gramEnd"/>
      <w:r w:rsidRPr="007A711E">
        <w:rPr>
          <w:lang w:val="en-US"/>
        </w:rPr>
        <w:t xml:space="preserve"> </w:t>
      </w:r>
      <w:proofErr w:type="gramStart"/>
      <w:r w:rsidRPr="007A711E">
        <w:rPr>
          <w:lang w:val="en-US"/>
        </w:rPr>
        <w:t>N.p</w:t>
      </w:r>
      <w:proofErr w:type="gramEnd"/>
      <w:r w:rsidRPr="007A711E">
        <w:rPr>
          <w:lang w:val="en-US"/>
        </w:rPr>
        <w:t xml:space="preserve">.: </w:t>
      </w:r>
      <w:proofErr w:type="spellStart"/>
      <w:r w:rsidRPr="007A711E">
        <w:rPr>
          <w:lang w:val="en-US"/>
        </w:rPr>
        <w:t>Encyclopædia</w:t>
      </w:r>
      <w:proofErr w:type="spellEnd"/>
      <w:r w:rsidRPr="007A711E">
        <w:rPr>
          <w:lang w:val="en-US"/>
        </w:rPr>
        <w:t xml:space="preserve"> Britannica, Inc. Retrieved from: http://www.britannica.com/event/Sykes-Picot-Agreement. </w:t>
      </w:r>
      <w:proofErr w:type="gramStart"/>
      <w:r w:rsidRPr="007A711E">
        <w:rPr>
          <w:lang w:val="en-US"/>
        </w:rPr>
        <w:t>on</w:t>
      </w:r>
      <w:proofErr w:type="gramEnd"/>
      <w:r w:rsidRPr="007A711E">
        <w:rPr>
          <w:lang w:val="en-US"/>
        </w:rPr>
        <w:t>: [June 13, 2016].</w:t>
      </w:r>
    </w:p>
  </w:footnote>
  <w:footnote w:id="11">
    <w:p w:rsidR="00631F9E" w:rsidRPr="008D6F04" w:rsidRDefault="00631F9E" w:rsidP="008D6F04">
      <w:pPr>
        <w:pStyle w:val="Textpoznpodarou"/>
        <w:spacing w:line="360" w:lineRule="auto"/>
        <w:ind w:firstLine="0"/>
        <w:rPr>
          <w:lang w:val="en-US"/>
        </w:rPr>
      </w:pPr>
      <w:r w:rsidRPr="008D6F04">
        <w:rPr>
          <w:rStyle w:val="Znakapoznpodarou"/>
          <w:lang w:val="en-US"/>
        </w:rPr>
        <w:footnoteRef/>
      </w:r>
      <w:r w:rsidRPr="008D6F04">
        <w:rPr>
          <w:lang w:val="en-US"/>
        </w:rPr>
        <w:t xml:space="preserve"> </w:t>
      </w:r>
      <w:r>
        <w:rPr>
          <w:lang w:val="en-US"/>
        </w:rPr>
        <w:t>“</w:t>
      </w:r>
      <w:r w:rsidRPr="008D6F04">
        <w:rPr>
          <w:lang w:val="en-US"/>
        </w:rPr>
        <w:t>What is Palestine and Palestinians?</w:t>
      </w:r>
      <w:r>
        <w:rPr>
          <w:lang w:val="en-US"/>
        </w:rPr>
        <w:t xml:space="preserve">” (N.d.) </w:t>
      </w:r>
      <w:proofErr w:type="gramStart"/>
      <w:r>
        <w:rPr>
          <w:lang w:val="en-US"/>
        </w:rPr>
        <w:t>N.p</w:t>
      </w:r>
      <w:proofErr w:type="gramEnd"/>
      <w:r>
        <w:rPr>
          <w:lang w:val="en-US"/>
        </w:rPr>
        <w:t xml:space="preserve">.: </w:t>
      </w:r>
      <w:r w:rsidRPr="008D6F04">
        <w:rPr>
          <w:lang w:val="en-US"/>
        </w:rPr>
        <w:t>Israel Science and Technology Directory</w:t>
      </w:r>
      <w:r>
        <w:rPr>
          <w:lang w:val="en-US"/>
        </w:rPr>
        <w:t xml:space="preserve">. </w:t>
      </w:r>
      <w:proofErr w:type="gramStart"/>
      <w:r>
        <w:rPr>
          <w:lang w:val="en-US"/>
        </w:rPr>
        <w:t xml:space="preserve">Retrieved from: </w:t>
      </w:r>
      <w:r w:rsidRPr="008D6F04">
        <w:rPr>
          <w:lang w:val="en-US"/>
        </w:rPr>
        <w:t>http://www.science.co.il/History-Palestine.php</w:t>
      </w:r>
      <w:r>
        <w:rPr>
          <w:lang w:val="en-US"/>
        </w:rPr>
        <w:t xml:space="preserve"> on [June 14, 2016].</w:t>
      </w:r>
      <w:proofErr w:type="gramEnd"/>
    </w:p>
  </w:footnote>
  <w:footnote w:id="12">
    <w:p w:rsidR="00631F9E" w:rsidRDefault="00631F9E" w:rsidP="008D6F04">
      <w:pPr>
        <w:pStyle w:val="Textpoznpodarou"/>
        <w:spacing w:line="360" w:lineRule="auto"/>
        <w:ind w:firstLine="0"/>
      </w:pPr>
      <w:r>
        <w:rPr>
          <w:rStyle w:val="Znakapoznpodarou"/>
        </w:rPr>
        <w:footnoteRef/>
      </w:r>
      <w:r>
        <w:t xml:space="preserve"> MAR Project (2009a)</w:t>
      </w:r>
    </w:p>
  </w:footnote>
  <w:footnote w:id="13">
    <w:p w:rsidR="001F73D5" w:rsidRDefault="001F73D5" w:rsidP="001F73D5">
      <w:pPr>
        <w:pStyle w:val="Textpoznpodarou"/>
        <w:ind w:firstLine="0"/>
      </w:pPr>
      <w:r>
        <w:rPr>
          <w:rStyle w:val="Znakapoznpodarou"/>
        </w:rPr>
        <w:footnoteRef/>
      </w:r>
      <w:r>
        <w:t xml:space="preserve"> </w:t>
      </w:r>
      <w:proofErr w:type="spellStart"/>
      <w:r>
        <w:t>Palestine</w:t>
      </w:r>
      <w:proofErr w:type="spellEnd"/>
      <w:r>
        <w:t xml:space="preserve"> </w:t>
      </w:r>
      <w:proofErr w:type="spellStart"/>
      <w:r>
        <w:t>Liberation</w:t>
      </w:r>
      <w:proofErr w:type="spellEnd"/>
      <w:r>
        <w:t xml:space="preserve"> </w:t>
      </w:r>
      <w:proofErr w:type="spellStart"/>
      <w:r>
        <w:t>Organization</w:t>
      </w:r>
      <w:proofErr w:type="spellEnd"/>
    </w:p>
  </w:footnote>
  <w:footnote w:id="14">
    <w:p w:rsidR="00631F9E" w:rsidRDefault="00631F9E" w:rsidP="004E3317">
      <w:pPr>
        <w:pStyle w:val="Textpoznpodarou"/>
        <w:spacing w:line="360" w:lineRule="auto"/>
        <w:ind w:firstLine="0"/>
        <w:rPr>
          <w:lang w:val="en-US"/>
        </w:rPr>
      </w:pPr>
      <w:r>
        <w:rPr>
          <w:rStyle w:val="Znakapoznpodarou"/>
        </w:rPr>
        <w:footnoteRef/>
      </w:r>
      <w:r>
        <w:t xml:space="preserve"> </w:t>
      </w:r>
      <w:r w:rsidRPr="007A711E">
        <w:rPr>
          <w:lang w:val="en-US"/>
        </w:rPr>
        <w:t>Unless stated otherwise, summary of the Palestinian history</w:t>
      </w:r>
      <w:r w:rsidRPr="00886E80">
        <w:rPr>
          <w:lang w:val="en-US"/>
        </w:rPr>
        <w:t xml:space="preserve"> </w:t>
      </w:r>
      <w:r w:rsidRPr="007A711E">
        <w:rPr>
          <w:lang w:val="en-US"/>
        </w:rPr>
        <w:t xml:space="preserve">in Israel </w:t>
      </w:r>
      <w:r>
        <w:rPr>
          <w:lang w:val="en-US"/>
        </w:rPr>
        <w:t>including direct quotes in this subchapter come</w:t>
      </w:r>
      <w:r w:rsidRPr="007A711E">
        <w:rPr>
          <w:lang w:val="en-US"/>
        </w:rPr>
        <w:t xml:space="preserve"> from</w:t>
      </w:r>
      <w:r>
        <w:rPr>
          <w:lang w:val="en-US"/>
        </w:rPr>
        <w:t>:</w:t>
      </w:r>
    </w:p>
    <w:p w:rsidR="00631F9E" w:rsidRDefault="00631F9E" w:rsidP="004E3317">
      <w:pPr>
        <w:pStyle w:val="Textpoznpodarou"/>
        <w:spacing w:line="360" w:lineRule="auto"/>
        <w:ind w:firstLine="0"/>
      </w:pPr>
      <w:proofErr w:type="gramStart"/>
      <w:r w:rsidRPr="00565C6C">
        <w:rPr>
          <w:lang w:val="en-US"/>
        </w:rPr>
        <w:t>Mino</w:t>
      </w:r>
      <w:r>
        <w:rPr>
          <w:lang w:val="en-US"/>
        </w:rPr>
        <w:t>rities at Risk Project.</w:t>
      </w:r>
      <w:proofErr w:type="gramEnd"/>
      <w:r>
        <w:rPr>
          <w:lang w:val="en-US"/>
        </w:rPr>
        <w:t xml:space="preserve"> </w:t>
      </w:r>
      <w:proofErr w:type="gramStart"/>
      <w:r>
        <w:rPr>
          <w:lang w:val="en-US"/>
        </w:rPr>
        <w:t>(2009b) “</w:t>
      </w:r>
      <w:r w:rsidRPr="00FB520E">
        <w:rPr>
          <w:lang w:val="en-US"/>
        </w:rPr>
        <w:t>Assessment for Palestinians in Israel</w:t>
      </w:r>
      <w:r>
        <w:rPr>
          <w:lang w:val="en-US"/>
        </w:rPr>
        <w:t>.”</w:t>
      </w:r>
      <w:proofErr w:type="gramEnd"/>
      <w:r w:rsidRPr="00565C6C">
        <w:rPr>
          <w:lang w:val="en-US"/>
        </w:rPr>
        <w:t xml:space="preserve"> College Park, MD: Center for International Development and Conflict Management. </w:t>
      </w:r>
      <w:proofErr w:type="gramStart"/>
      <w:r w:rsidRPr="00565C6C">
        <w:rPr>
          <w:lang w:val="en-US"/>
        </w:rPr>
        <w:t>Retrieved from http://www.mar.umd.edu/ on: [June 13, 2016]</w:t>
      </w:r>
      <w:r>
        <w:rPr>
          <w:lang w:val="en-US"/>
        </w:rPr>
        <w:t>.</w:t>
      </w:r>
      <w:proofErr w:type="gramEnd"/>
    </w:p>
  </w:footnote>
  <w:footnote w:id="15">
    <w:p w:rsidR="00631F9E" w:rsidRPr="00C6046B" w:rsidRDefault="00631F9E" w:rsidP="004E3317">
      <w:pPr>
        <w:pStyle w:val="Textpoznpodarou"/>
        <w:spacing w:line="360" w:lineRule="auto"/>
        <w:ind w:firstLine="0"/>
        <w:rPr>
          <w:lang w:val="en-US"/>
        </w:rPr>
      </w:pPr>
      <w:r w:rsidRPr="00C6046B">
        <w:rPr>
          <w:rStyle w:val="Znakapoznpodarou"/>
          <w:lang w:val="en-US"/>
        </w:rPr>
        <w:footnoteRef/>
      </w:r>
      <w:r w:rsidRPr="00C6046B">
        <w:rPr>
          <w:lang w:val="en-US"/>
        </w:rPr>
        <w:t xml:space="preserve"> Pipes, Daniel. </w:t>
      </w:r>
      <w:r>
        <w:rPr>
          <w:lang w:val="en-US"/>
        </w:rPr>
        <w:t>(N.d.) “</w:t>
      </w:r>
      <w:r w:rsidRPr="00C6046B">
        <w:rPr>
          <w:lang w:val="en-US"/>
        </w:rPr>
        <w:t>Pre-State Israel: The Origins of the Palestinian Arabs</w:t>
      </w:r>
      <w:r>
        <w:rPr>
          <w:lang w:val="en-US"/>
        </w:rPr>
        <w:t xml:space="preserve">.” </w:t>
      </w:r>
      <w:proofErr w:type="gramStart"/>
      <w:r>
        <w:rPr>
          <w:lang w:val="en-US"/>
        </w:rPr>
        <w:t>N.p</w:t>
      </w:r>
      <w:proofErr w:type="gramEnd"/>
      <w:r>
        <w:rPr>
          <w:lang w:val="en-US"/>
        </w:rPr>
        <w:t xml:space="preserve">.: </w:t>
      </w:r>
      <w:r w:rsidRPr="00C6046B">
        <w:rPr>
          <w:lang w:val="en-US"/>
        </w:rPr>
        <w:t>American-Israeli Cooperative Enterprise</w:t>
      </w:r>
      <w:r>
        <w:rPr>
          <w:lang w:val="en-US"/>
        </w:rPr>
        <w:t xml:space="preserve">. </w:t>
      </w:r>
      <w:proofErr w:type="gramStart"/>
      <w:r>
        <w:rPr>
          <w:lang w:val="en-US"/>
        </w:rPr>
        <w:t xml:space="preserve">Retrieved from </w:t>
      </w:r>
      <w:r w:rsidRPr="00C6046B">
        <w:rPr>
          <w:lang w:val="en-US"/>
        </w:rPr>
        <w:t>http://www.jewishvirtuallibrary.org/jsource/History/palarabs.html</w:t>
      </w:r>
      <w:r>
        <w:rPr>
          <w:lang w:val="en-US"/>
        </w:rPr>
        <w:t xml:space="preserve"> on: [June 14, 2016].</w:t>
      </w:r>
      <w:proofErr w:type="gramEnd"/>
    </w:p>
  </w:footnote>
  <w:footnote w:id="16">
    <w:p w:rsidR="00631F9E" w:rsidRDefault="00631F9E" w:rsidP="004E3317">
      <w:pPr>
        <w:pStyle w:val="Textpoznpodarou"/>
        <w:spacing w:line="360" w:lineRule="auto"/>
        <w:ind w:firstLine="0"/>
      </w:pPr>
      <w:r>
        <w:rPr>
          <w:rStyle w:val="Znakapoznpodarou"/>
        </w:rPr>
        <w:footnoteRef/>
      </w:r>
      <w:r>
        <w:t xml:space="preserve"> </w:t>
      </w:r>
      <w:proofErr w:type="spellStart"/>
      <w:r>
        <w:t>Ibid</w:t>
      </w:r>
      <w:proofErr w:type="spellEnd"/>
      <w:r>
        <w:t>.</w:t>
      </w:r>
    </w:p>
  </w:footnote>
  <w:footnote w:id="17">
    <w:p w:rsidR="00631F9E" w:rsidRPr="000C31CA" w:rsidRDefault="00631F9E" w:rsidP="000C31CA">
      <w:pPr>
        <w:pStyle w:val="Textpoznpodarou"/>
        <w:spacing w:line="360" w:lineRule="auto"/>
        <w:ind w:firstLine="0"/>
        <w:contextualSpacing w:val="0"/>
        <w:jc w:val="left"/>
        <w:rPr>
          <w:lang w:val="en-US"/>
        </w:rPr>
      </w:pPr>
      <w:r w:rsidRPr="000C31CA">
        <w:rPr>
          <w:rStyle w:val="Znakapoznpodarou"/>
        </w:rPr>
        <w:footnoteRef/>
      </w:r>
      <w:r w:rsidRPr="000C31CA">
        <w:t xml:space="preserve"> </w:t>
      </w:r>
      <w:proofErr w:type="spellStart"/>
      <w:proofErr w:type="gramStart"/>
      <w:r w:rsidRPr="000C31CA">
        <w:rPr>
          <w:lang w:val="en-US"/>
        </w:rPr>
        <w:t>Čejka</w:t>
      </w:r>
      <w:proofErr w:type="spellEnd"/>
      <w:r w:rsidRPr="000C31CA">
        <w:rPr>
          <w:lang w:val="en-US"/>
        </w:rPr>
        <w:t>, Marek.</w:t>
      </w:r>
      <w:proofErr w:type="gramEnd"/>
      <w:r w:rsidRPr="000C31CA">
        <w:rPr>
          <w:lang w:val="en-US"/>
        </w:rPr>
        <w:t xml:space="preserve"> </w:t>
      </w:r>
      <w:proofErr w:type="gramStart"/>
      <w:r w:rsidRPr="000C31CA">
        <w:rPr>
          <w:lang w:val="en-US"/>
        </w:rPr>
        <w:t>(2011) “</w:t>
      </w:r>
      <w:proofErr w:type="spellStart"/>
      <w:r w:rsidRPr="000C31CA">
        <w:rPr>
          <w:lang w:val="en-US"/>
        </w:rPr>
        <w:t>Dějiny</w:t>
      </w:r>
      <w:proofErr w:type="spellEnd"/>
      <w:r w:rsidRPr="000C31CA">
        <w:rPr>
          <w:lang w:val="en-US"/>
        </w:rPr>
        <w:t xml:space="preserve"> </w:t>
      </w:r>
      <w:proofErr w:type="spellStart"/>
      <w:r w:rsidRPr="000C31CA">
        <w:rPr>
          <w:lang w:val="en-US"/>
        </w:rPr>
        <w:t>moderního</w:t>
      </w:r>
      <w:proofErr w:type="spellEnd"/>
      <w:r w:rsidRPr="000C31CA">
        <w:rPr>
          <w:lang w:val="en-US"/>
        </w:rPr>
        <w:t xml:space="preserve"> </w:t>
      </w:r>
      <w:proofErr w:type="spellStart"/>
      <w:r w:rsidRPr="000C31CA">
        <w:rPr>
          <w:lang w:val="en-US"/>
        </w:rPr>
        <w:t>Izraele</w:t>
      </w:r>
      <w:proofErr w:type="spellEnd"/>
      <w:r w:rsidRPr="000C31CA">
        <w:rPr>
          <w:lang w:val="en-US"/>
        </w:rPr>
        <w:t>.”</w:t>
      </w:r>
      <w:proofErr w:type="gramEnd"/>
      <w:r w:rsidRPr="000C31CA">
        <w:rPr>
          <w:lang w:val="en-US"/>
        </w:rPr>
        <w:t xml:space="preserve"> </w:t>
      </w:r>
      <w:proofErr w:type="spellStart"/>
      <w:r w:rsidRPr="000C31CA">
        <w:rPr>
          <w:lang w:val="en-US"/>
        </w:rPr>
        <w:t>Praha</w:t>
      </w:r>
      <w:proofErr w:type="spellEnd"/>
      <w:r w:rsidRPr="000C31CA">
        <w:rPr>
          <w:lang w:val="en-US"/>
        </w:rPr>
        <w:t>: Grada publishing. Print.: 200</w:t>
      </w:r>
    </w:p>
  </w:footnote>
  <w:footnote w:id="18">
    <w:p w:rsidR="00631F9E" w:rsidRPr="000C31CA" w:rsidRDefault="00631F9E" w:rsidP="000C31CA">
      <w:pPr>
        <w:pStyle w:val="Textpoznpodarou"/>
        <w:spacing w:line="360" w:lineRule="auto"/>
        <w:ind w:firstLine="0"/>
        <w:jc w:val="left"/>
        <w:rPr>
          <w:lang w:val="en-US"/>
        </w:rPr>
      </w:pPr>
      <w:r w:rsidRPr="000C31CA">
        <w:rPr>
          <w:rStyle w:val="Znakapoznpodarou"/>
          <w:lang w:val="en-US"/>
        </w:rPr>
        <w:footnoteRef/>
      </w:r>
      <w:r w:rsidRPr="000C31CA">
        <w:rPr>
          <w:lang w:val="en-US"/>
        </w:rPr>
        <w:t xml:space="preserve"> </w:t>
      </w:r>
      <w:proofErr w:type="gramStart"/>
      <w:r w:rsidRPr="000C31CA">
        <w:rPr>
          <w:lang w:val="en-US"/>
        </w:rPr>
        <w:t>Chenoweth, Erica and Maria J. Stephan.</w:t>
      </w:r>
      <w:proofErr w:type="gramEnd"/>
      <w:r w:rsidRPr="000C31CA">
        <w:rPr>
          <w:lang w:val="en-US"/>
        </w:rPr>
        <w:t xml:space="preserve"> (2012) “Why Civil Resistance Works: The Strategic Logic of Nonviolent Conflict.” </w:t>
      </w:r>
      <w:proofErr w:type="gramStart"/>
      <w:r w:rsidRPr="000C31CA">
        <w:rPr>
          <w:lang w:val="en-US"/>
        </w:rPr>
        <w:t>N.p</w:t>
      </w:r>
      <w:proofErr w:type="gramEnd"/>
      <w:r w:rsidRPr="000C31CA">
        <w:rPr>
          <w:lang w:val="en-US"/>
        </w:rPr>
        <w:t>.: Columbia University Press. Ebook.</w:t>
      </w:r>
      <w:r>
        <w:rPr>
          <w:lang w:val="en-US"/>
        </w:rPr>
        <w:t>: 278</w:t>
      </w:r>
    </w:p>
  </w:footnote>
  <w:footnote w:id="19">
    <w:p w:rsidR="00631F9E" w:rsidRPr="000C31CA" w:rsidRDefault="00631F9E" w:rsidP="000C31CA">
      <w:pPr>
        <w:pStyle w:val="Textpoznpodarou"/>
        <w:spacing w:line="360" w:lineRule="auto"/>
        <w:ind w:firstLine="0"/>
        <w:jc w:val="left"/>
      </w:pPr>
      <w:r w:rsidRPr="000C31CA">
        <w:rPr>
          <w:rStyle w:val="Znakapoznpodarou"/>
        </w:rPr>
        <w:footnoteRef/>
      </w:r>
      <w:r w:rsidRPr="000C31CA">
        <w:t xml:space="preserve"> </w:t>
      </w:r>
      <w:proofErr w:type="spellStart"/>
      <w:r w:rsidRPr="000C31CA">
        <w:t>Ibid</w:t>
      </w:r>
      <w:proofErr w:type="spellEnd"/>
      <w:r w:rsidRPr="000C31CA">
        <w:t xml:space="preserve"> 278.</w:t>
      </w:r>
    </w:p>
  </w:footnote>
  <w:footnote w:id="20">
    <w:p w:rsidR="00631F9E" w:rsidRPr="000C31CA" w:rsidRDefault="00631F9E" w:rsidP="000C31CA">
      <w:pPr>
        <w:pStyle w:val="Textpoznpodarou"/>
        <w:spacing w:line="360" w:lineRule="auto"/>
        <w:ind w:firstLine="0"/>
        <w:jc w:val="left"/>
      </w:pPr>
      <w:r w:rsidRPr="000C31CA">
        <w:rPr>
          <w:rStyle w:val="Znakapoznpodarou"/>
        </w:rPr>
        <w:footnoteRef/>
      </w:r>
      <w:r w:rsidRPr="000C31CA">
        <w:t xml:space="preserve"> </w:t>
      </w:r>
      <w:proofErr w:type="spellStart"/>
      <w:r w:rsidRPr="000C31CA">
        <w:t>Ibid</w:t>
      </w:r>
      <w:proofErr w:type="spellEnd"/>
      <w:r w:rsidRPr="000C31CA">
        <w:t xml:space="preserve"> 279.</w:t>
      </w:r>
    </w:p>
  </w:footnote>
  <w:footnote w:id="21">
    <w:p w:rsidR="00631F9E" w:rsidRPr="000C31CA" w:rsidRDefault="00631F9E" w:rsidP="000C31CA">
      <w:pPr>
        <w:pStyle w:val="Textpoznpodarou"/>
        <w:spacing w:line="360" w:lineRule="auto"/>
        <w:ind w:firstLine="0"/>
        <w:contextualSpacing w:val="0"/>
        <w:rPr>
          <w:lang w:val="en-US"/>
        </w:rPr>
      </w:pPr>
      <w:r w:rsidRPr="000C31CA">
        <w:rPr>
          <w:rStyle w:val="Znakapoznpodarou"/>
        </w:rPr>
        <w:footnoteRef/>
      </w:r>
      <w:r w:rsidRPr="000C31CA">
        <w:t xml:space="preserve"> </w:t>
      </w:r>
      <w:proofErr w:type="spellStart"/>
      <w:proofErr w:type="gramStart"/>
      <w:r w:rsidRPr="000C31CA">
        <w:rPr>
          <w:lang w:val="en-US"/>
        </w:rPr>
        <w:t>Čejka</w:t>
      </w:r>
      <w:proofErr w:type="spellEnd"/>
      <w:r w:rsidRPr="000C31CA">
        <w:rPr>
          <w:lang w:val="en-US"/>
        </w:rPr>
        <w:t>, Marek.</w:t>
      </w:r>
      <w:proofErr w:type="gramEnd"/>
      <w:r w:rsidRPr="000C31CA">
        <w:rPr>
          <w:lang w:val="en-US"/>
        </w:rPr>
        <w:t xml:space="preserve"> </w:t>
      </w:r>
      <w:proofErr w:type="gramStart"/>
      <w:r w:rsidRPr="000C31CA">
        <w:rPr>
          <w:lang w:val="en-US"/>
        </w:rPr>
        <w:t>(2005) “</w:t>
      </w:r>
      <w:proofErr w:type="spellStart"/>
      <w:r w:rsidRPr="000C31CA">
        <w:rPr>
          <w:lang w:val="en-US"/>
        </w:rPr>
        <w:t>Izrael</w:t>
      </w:r>
      <w:proofErr w:type="spellEnd"/>
      <w:r w:rsidRPr="000C31CA">
        <w:rPr>
          <w:lang w:val="en-US"/>
        </w:rPr>
        <w:t xml:space="preserve"> a </w:t>
      </w:r>
      <w:proofErr w:type="spellStart"/>
      <w:r w:rsidRPr="000C31CA">
        <w:rPr>
          <w:lang w:val="en-US"/>
        </w:rPr>
        <w:t>Palestina</w:t>
      </w:r>
      <w:proofErr w:type="spellEnd"/>
      <w:r w:rsidRPr="000C31CA">
        <w:rPr>
          <w:lang w:val="en-US"/>
        </w:rPr>
        <w:t>.”</w:t>
      </w:r>
      <w:proofErr w:type="gramEnd"/>
      <w:r w:rsidRPr="000C31CA">
        <w:rPr>
          <w:lang w:val="en-US"/>
        </w:rPr>
        <w:t xml:space="preserve"> Brno: Centrum </w:t>
      </w:r>
      <w:proofErr w:type="spellStart"/>
      <w:r w:rsidRPr="000C31CA">
        <w:rPr>
          <w:lang w:val="en-US"/>
        </w:rPr>
        <w:t>strategických</w:t>
      </w:r>
      <w:proofErr w:type="spellEnd"/>
      <w:r w:rsidRPr="000C31CA">
        <w:rPr>
          <w:lang w:val="en-US"/>
        </w:rPr>
        <w:t xml:space="preserve"> </w:t>
      </w:r>
      <w:proofErr w:type="spellStart"/>
      <w:r w:rsidRPr="000C31CA">
        <w:rPr>
          <w:lang w:val="en-US"/>
        </w:rPr>
        <w:t>studií</w:t>
      </w:r>
      <w:proofErr w:type="spellEnd"/>
      <w:r w:rsidRPr="000C31CA">
        <w:rPr>
          <w:lang w:val="en-US"/>
        </w:rPr>
        <w:t>. Print.: 170</w:t>
      </w:r>
    </w:p>
  </w:footnote>
  <w:footnote w:id="22">
    <w:p w:rsidR="00631F9E" w:rsidRPr="00577159" w:rsidRDefault="00631F9E" w:rsidP="000C31CA">
      <w:pPr>
        <w:pStyle w:val="Textpoznpodarou"/>
        <w:spacing w:line="360" w:lineRule="auto"/>
        <w:ind w:firstLine="0"/>
        <w:rPr>
          <w:lang w:val="en-US"/>
        </w:rPr>
      </w:pPr>
      <w:r w:rsidRPr="000C31CA">
        <w:rPr>
          <w:rStyle w:val="Znakapoznpodarou"/>
          <w:lang w:val="en-US"/>
        </w:rPr>
        <w:footnoteRef/>
      </w:r>
      <w:r w:rsidRPr="000C31CA">
        <w:rPr>
          <w:lang w:val="en-US"/>
        </w:rPr>
        <w:t xml:space="preserve"> </w:t>
      </w:r>
      <w:proofErr w:type="gramStart"/>
      <w:r w:rsidRPr="000C31CA">
        <w:rPr>
          <w:lang w:val="en-US"/>
        </w:rPr>
        <w:t>“Fatalities in the first Intifada.”</w:t>
      </w:r>
      <w:proofErr w:type="gramEnd"/>
      <w:r w:rsidRPr="000C31CA">
        <w:rPr>
          <w:lang w:val="en-US"/>
        </w:rPr>
        <w:t xml:space="preserve"> (N.d.) Jerusalem: </w:t>
      </w:r>
      <w:proofErr w:type="spellStart"/>
      <w:r w:rsidRPr="000C31CA">
        <w:rPr>
          <w:lang w:val="en-US"/>
        </w:rPr>
        <w:t>B'Tselem</w:t>
      </w:r>
      <w:proofErr w:type="spellEnd"/>
      <w:r w:rsidRPr="000C31CA">
        <w:rPr>
          <w:lang w:val="en-US"/>
        </w:rPr>
        <w:t xml:space="preserve">, </w:t>
      </w:r>
      <w:proofErr w:type="gramStart"/>
      <w:r w:rsidRPr="000C31CA">
        <w:rPr>
          <w:lang w:val="en-US"/>
        </w:rPr>
        <w:t>The</w:t>
      </w:r>
      <w:proofErr w:type="gramEnd"/>
      <w:r w:rsidRPr="000C31CA">
        <w:rPr>
          <w:lang w:val="en-US"/>
        </w:rPr>
        <w:t xml:space="preserve"> Israeli Information Center for Human Rights in the Occupied Territories. </w:t>
      </w:r>
      <w:proofErr w:type="gramStart"/>
      <w:r w:rsidRPr="000C31CA">
        <w:rPr>
          <w:lang w:val="en-US"/>
        </w:rPr>
        <w:t xml:space="preserve">Retrieved from: </w:t>
      </w:r>
      <w:hyperlink r:id="rId1" w:history="1">
        <w:r w:rsidRPr="000C31CA">
          <w:rPr>
            <w:rStyle w:val="Hypertextovodkaz"/>
            <w:color w:val="auto"/>
            <w:u w:val="none"/>
            <w:lang w:val="en-US"/>
          </w:rPr>
          <w:t>http://www.btselem.org/statistics/first_intifada_tables</w:t>
        </w:r>
      </w:hyperlink>
      <w:r w:rsidRPr="000C31CA">
        <w:rPr>
          <w:lang w:val="en-US"/>
        </w:rPr>
        <w:t xml:space="preserve"> on [June 15, 2016].</w:t>
      </w:r>
      <w:proofErr w:type="gramEnd"/>
    </w:p>
  </w:footnote>
  <w:footnote w:id="23">
    <w:p w:rsidR="00631F9E" w:rsidRDefault="00631F9E" w:rsidP="0068517E">
      <w:pPr>
        <w:pStyle w:val="Textpoznpodarou"/>
        <w:ind w:firstLine="0"/>
      </w:pPr>
      <w:r>
        <w:rPr>
          <w:rStyle w:val="Znakapoznpodarou"/>
        </w:rPr>
        <w:footnoteRef/>
      </w:r>
      <w:r>
        <w:t xml:space="preserve"> Čejka (2005): 171.</w:t>
      </w:r>
    </w:p>
  </w:footnote>
  <w:footnote w:id="24">
    <w:p w:rsidR="00631F9E" w:rsidRDefault="00631F9E" w:rsidP="0073361C">
      <w:pPr>
        <w:pStyle w:val="Textpoznpodarou"/>
        <w:spacing w:line="360" w:lineRule="auto"/>
        <w:ind w:firstLine="0"/>
      </w:pPr>
      <w:r>
        <w:rPr>
          <w:rStyle w:val="Znakapoznpodarou"/>
        </w:rPr>
        <w:footnoteRef/>
      </w:r>
      <w:r>
        <w:t xml:space="preserve"> Čejka (2005): 169</w:t>
      </w:r>
    </w:p>
  </w:footnote>
  <w:footnote w:id="25">
    <w:p w:rsidR="00631F9E" w:rsidRDefault="00631F9E" w:rsidP="0073361C">
      <w:pPr>
        <w:pStyle w:val="Textpoznpodarou"/>
        <w:spacing w:line="360" w:lineRule="auto"/>
        <w:ind w:firstLine="0"/>
      </w:pPr>
      <w:r>
        <w:rPr>
          <w:rStyle w:val="Znakapoznpodarou"/>
        </w:rPr>
        <w:footnoteRef/>
      </w:r>
      <w:r>
        <w:t xml:space="preserve"> </w:t>
      </w:r>
      <w:proofErr w:type="spellStart"/>
      <w:r>
        <w:t>Ibid</w:t>
      </w:r>
      <w:proofErr w:type="spellEnd"/>
      <w:r>
        <w:t xml:space="preserve"> 169.</w:t>
      </w:r>
    </w:p>
  </w:footnote>
  <w:footnote w:id="26">
    <w:p w:rsidR="00631F9E" w:rsidRDefault="00631F9E" w:rsidP="0073361C">
      <w:pPr>
        <w:pStyle w:val="Textpoznpodarou"/>
        <w:spacing w:line="360" w:lineRule="auto"/>
        <w:ind w:firstLine="0"/>
      </w:pPr>
      <w:r>
        <w:rPr>
          <w:rStyle w:val="Znakapoznpodarou"/>
        </w:rPr>
        <w:footnoteRef/>
      </w:r>
      <w:r>
        <w:t xml:space="preserve"> </w:t>
      </w:r>
      <w:proofErr w:type="spellStart"/>
      <w:r w:rsidR="009560C3">
        <w:t>Ibid</w:t>
      </w:r>
      <w:proofErr w:type="spellEnd"/>
      <w:r>
        <w:t xml:space="preserve"> 170</w:t>
      </w:r>
    </w:p>
  </w:footnote>
  <w:footnote w:id="27">
    <w:p w:rsidR="00631F9E" w:rsidRDefault="00631F9E" w:rsidP="0073361C">
      <w:pPr>
        <w:pStyle w:val="Textpoznpodarou"/>
        <w:spacing w:line="360" w:lineRule="auto"/>
        <w:ind w:firstLine="0"/>
      </w:pPr>
      <w:r>
        <w:rPr>
          <w:rStyle w:val="Znakapoznpodarou"/>
        </w:rPr>
        <w:footnoteRef/>
      </w:r>
      <w:r>
        <w:t xml:space="preserve"> </w:t>
      </w:r>
      <w:proofErr w:type="spellStart"/>
      <w:r>
        <w:t>Ibid</w:t>
      </w:r>
      <w:proofErr w:type="spellEnd"/>
      <w:r>
        <w:t xml:space="preserve"> 171.</w:t>
      </w:r>
    </w:p>
  </w:footnote>
  <w:footnote w:id="28">
    <w:p w:rsidR="00631F9E" w:rsidRDefault="00631F9E" w:rsidP="009957BD">
      <w:pPr>
        <w:pStyle w:val="Textpoznpodarou"/>
        <w:ind w:firstLine="0"/>
      </w:pPr>
      <w:r>
        <w:rPr>
          <w:rStyle w:val="Znakapoznpodarou"/>
        </w:rPr>
        <w:footnoteRef/>
      </w:r>
      <w:r>
        <w:t xml:space="preserve"> </w:t>
      </w:r>
      <w:r w:rsidRPr="004E2BA9">
        <w:rPr>
          <w:lang w:val="en-US"/>
        </w:rPr>
        <w:t xml:space="preserve">Thomas, Gordon. </w:t>
      </w:r>
      <w:proofErr w:type="gramStart"/>
      <w:r>
        <w:rPr>
          <w:lang w:val="en-US"/>
        </w:rPr>
        <w:t>(2008) “Gideon’s Spies.”</w:t>
      </w:r>
      <w:proofErr w:type="gramEnd"/>
      <w:r>
        <w:rPr>
          <w:lang w:val="en-US"/>
        </w:rPr>
        <w:t xml:space="preserve"> London: JR Books. Print</w:t>
      </w:r>
      <w:r>
        <w:t>: 199-200</w:t>
      </w:r>
    </w:p>
  </w:footnote>
  <w:footnote w:id="29">
    <w:p w:rsidR="00631F9E" w:rsidRPr="00F16092" w:rsidRDefault="00631F9E" w:rsidP="00E2116B">
      <w:pPr>
        <w:pStyle w:val="Textpoznpodarou"/>
        <w:spacing w:line="360" w:lineRule="auto"/>
        <w:ind w:firstLine="0"/>
        <w:contextualSpacing w:val="0"/>
        <w:rPr>
          <w:lang w:val="en-US"/>
        </w:rPr>
      </w:pPr>
      <w:r w:rsidRPr="00F16092">
        <w:rPr>
          <w:rStyle w:val="Znakapoznpodarou"/>
        </w:rPr>
        <w:footnoteRef/>
      </w:r>
      <w:r w:rsidRPr="00F16092">
        <w:t xml:space="preserve"> </w:t>
      </w:r>
      <w:r w:rsidRPr="00943575">
        <w:t xml:space="preserve">Čejka, Marek. </w:t>
      </w:r>
      <w:r w:rsidRPr="00F16092">
        <w:rPr>
          <w:lang w:val="en-US"/>
        </w:rPr>
        <w:t>(2005) “</w:t>
      </w:r>
      <w:proofErr w:type="spellStart"/>
      <w:r w:rsidRPr="00F16092">
        <w:rPr>
          <w:lang w:val="en-US"/>
        </w:rPr>
        <w:t>Izrael</w:t>
      </w:r>
      <w:proofErr w:type="spellEnd"/>
      <w:r w:rsidRPr="00F16092">
        <w:rPr>
          <w:lang w:val="en-US"/>
        </w:rPr>
        <w:t xml:space="preserve"> a </w:t>
      </w:r>
      <w:proofErr w:type="spellStart"/>
      <w:r w:rsidRPr="00F16092">
        <w:rPr>
          <w:lang w:val="en-US"/>
        </w:rPr>
        <w:t>Palestina</w:t>
      </w:r>
      <w:proofErr w:type="spellEnd"/>
      <w:r w:rsidRPr="00F16092">
        <w:rPr>
          <w:lang w:val="en-US"/>
        </w:rPr>
        <w:t xml:space="preserve">.” Brno: Centrum </w:t>
      </w:r>
      <w:proofErr w:type="spellStart"/>
      <w:r w:rsidRPr="00F16092">
        <w:rPr>
          <w:lang w:val="en-US"/>
        </w:rPr>
        <w:t>strategických</w:t>
      </w:r>
      <w:proofErr w:type="spellEnd"/>
      <w:r w:rsidRPr="00F16092">
        <w:rPr>
          <w:lang w:val="en-US"/>
        </w:rPr>
        <w:t xml:space="preserve"> </w:t>
      </w:r>
      <w:proofErr w:type="spellStart"/>
      <w:r w:rsidRPr="00F16092">
        <w:rPr>
          <w:lang w:val="en-US"/>
        </w:rPr>
        <w:t>studií</w:t>
      </w:r>
      <w:proofErr w:type="spellEnd"/>
      <w:r w:rsidRPr="00F16092">
        <w:rPr>
          <w:lang w:val="en-US"/>
        </w:rPr>
        <w:t>. Print.</w:t>
      </w:r>
      <w:r>
        <w:rPr>
          <w:lang w:val="en-US"/>
        </w:rPr>
        <w:t>: 169</w:t>
      </w:r>
    </w:p>
  </w:footnote>
  <w:footnote w:id="30">
    <w:p w:rsidR="00631F9E" w:rsidRDefault="00631F9E" w:rsidP="00E2116B">
      <w:pPr>
        <w:pStyle w:val="Textpoznpodarou"/>
        <w:spacing w:line="360" w:lineRule="auto"/>
        <w:ind w:firstLine="0"/>
      </w:pPr>
      <w:r>
        <w:rPr>
          <w:rStyle w:val="Znakapoznpodarou"/>
        </w:rPr>
        <w:footnoteRef/>
      </w:r>
      <w:r w:rsidR="009560C3">
        <w:t xml:space="preserve"> </w:t>
      </w:r>
      <w:proofErr w:type="spellStart"/>
      <w:r w:rsidR="009560C3">
        <w:t>Ibid</w:t>
      </w:r>
      <w:proofErr w:type="spellEnd"/>
      <w:r w:rsidR="009560C3">
        <w:t xml:space="preserve"> 169</w:t>
      </w:r>
    </w:p>
  </w:footnote>
  <w:footnote w:id="31">
    <w:p w:rsidR="00631F9E" w:rsidRDefault="00631F9E" w:rsidP="00E2116B">
      <w:pPr>
        <w:pStyle w:val="Textpoznpodarou"/>
        <w:spacing w:line="360" w:lineRule="auto"/>
        <w:ind w:firstLine="0"/>
      </w:pPr>
      <w:r>
        <w:rPr>
          <w:rStyle w:val="Znakapoznpodarou"/>
        </w:rPr>
        <w:footnoteRef/>
      </w:r>
      <w:r>
        <w:t xml:space="preserve"> </w:t>
      </w:r>
      <w:proofErr w:type="gramStart"/>
      <w:r w:rsidRPr="000C31CA">
        <w:rPr>
          <w:lang w:val="en-US"/>
        </w:rPr>
        <w:t>Chenoweth, Erica and Maria J. Stephan.</w:t>
      </w:r>
      <w:proofErr w:type="gramEnd"/>
      <w:r w:rsidRPr="000C31CA">
        <w:rPr>
          <w:lang w:val="en-US"/>
        </w:rPr>
        <w:t xml:space="preserve"> (2012)</w:t>
      </w:r>
      <w:r>
        <w:rPr>
          <w:lang w:val="en-US"/>
        </w:rPr>
        <w:t>: 287,5</w:t>
      </w:r>
    </w:p>
  </w:footnote>
  <w:footnote w:id="32">
    <w:p w:rsidR="00631F9E" w:rsidRDefault="00631F9E" w:rsidP="00E2116B">
      <w:pPr>
        <w:pStyle w:val="Textpoznpodarou"/>
        <w:spacing w:line="360" w:lineRule="auto"/>
        <w:ind w:firstLine="0"/>
      </w:pPr>
      <w:r>
        <w:rPr>
          <w:rStyle w:val="Znakapoznpodarou"/>
        </w:rPr>
        <w:footnoteRef/>
      </w:r>
      <w:r w:rsidR="009560C3">
        <w:rPr>
          <w:lang w:val="en-US"/>
        </w:rPr>
        <w:t xml:space="preserve"> Ibid</w:t>
      </w:r>
      <w:r>
        <w:rPr>
          <w:lang w:val="en-US"/>
        </w:rPr>
        <w:t xml:space="preserve"> 282,1</w:t>
      </w:r>
    </w:p>
  </w:footnote>
  <w:footnote w:id="33">
    <w:p w:rsidR="00631F9E" w:rsidRDefault="00631F9E" w:rsidP="00E2116B">
      <w:pPr>
        <w:pStyle w:val="Textpoznpodarou"/>
        <w:spacing w:line="360" w:lineRule="auto"/>
        <w:ind w:firstLine="0"/>
      </w:pPr>
      <w:r>
        <w:rPr>
          <w:rStyle w:val="Znakapoznpodarou"/>
        </w:rPr>
        <w:footnoteRef/>
      </w:r>
      <w:r>
        <w:t xml:space="preserve"> </w:t>
      </w:r>
      <w:proofErr w:type="spellStart"/>
      <w:r>
        <w:t>Saleh</w:t>
      </w:r>
      <w:proofErr w:type="spellEnd"/>
      <w:r>
        <w:t xml:space="preserve"> (2002) in </w:t>
      </w:r>
      <w:r w:rsidRPr="000C31CA">
        <w:rPr>
          <w:lang w:val="en-US"/>
        </w:rPr>
        <w:t>Chenoweth, Erica and Maria J. Stephan. (2012)</w:t>
      </w:r>
      <w:r>
        <w:rPr>
          <w:lang w:val="en-US"/>
        </w:rPr>
        <w:t>: 283,4</w:t>
      </w:r>
    </w:p>
  </w:footnote>
  <w:footnote w:id="34">
    <w:p w:rsidR="00631F9E" w:rsidRPr="004E2BA9" w:rsidRDefault="00631F9E" w:rsidP="00E2116B">
      <w:pPr>
        <w:pStyle w:val="Textpoznpodarou"/>
        <w:spacing w:line="360" w:lineRule="auto"/>
        <w:ind w:firstLine="0"/>
        <w:rPr>
          <w:lang w:val="en-US"/>
        </w:rPr>
      </w:pPr>
      <w:r w:rsidRPr="004E2BA9">
        <w:rPr>
          <w:rStyle w:val="Znakapoznpodarou"/>
          <w:lang w:val="en-US"/>
        </w:rPr>
        <w:footnoteRef/>
      </w:r>
      <w:r>
        <w:rPr>
          <w:lang w:val="en-US"/>
        </w:rPr>
        <w:t xml:space="preserve"> </w:t>
      </w:r>
      <w:r w:rsidRPr="004E2BA9">
        <w:rPr>
          <w:lang w:val="en-US"/>
        </w:rPr>
        <w:t xml:space="preserve">Gordon </w:t>
      </w:r>
      <w:r>
        <w:rPr>
          <w:lang w:val="en-US"/>
        </w:rPr>
        <w:t xml:space="preserve">(2008): 198 &amp; </w:t>
      </w:r>
      <w:proofErr w:type="spellStart"/>
      <w:r>
        <w:rPr>
          <w:lang w:val="en-US"/>
        </w:rPr>
        <w:t>Čejka</w:t>
      </w:r>
      <w:proofErr w:type="spellEnd"/>
      <w:r>
        <w:rPr>
          <w:lang w:val="en-US"/>
        </w:rPr>
        <w:t xml:space="preserve"> (2005): 171</w:t>
      </w:r>
    </w:p>
  </w:footnote>
  <w:footnote w:id="35">
    <w:p w:rsidR="00631F9E" w:rsidRDefault="00631F9E" w:rsidP="00940C7F">
      <w:pPr>
        <w:pStyle w:val="Textpoznpodarou"/>
        <w:spacing w:line="360" w:lineRule="auto"/>
        <w:ind w:firstLine="0"/>
      </w:pPr>
      <w:r>
        <w:rPr>
          <w:rStyle w:val="Znakapoznpodarou"/>
        </w:rPr>
        <w:footnoteRef/>
      </w:r>
      <w:r>
        <w:t xml:space="preserve"> </w:t>
      </w:r>
      <w:proofErr w:type="spellStart"/>
      <w:r>
        <w:t>Gordon</w:t>
      </w:r>
      <w:proofErr w:type="spellEnd"/>
      <w:r>
        <w:t xml:space="preserve"> (2008): 199</w:t>
      </w:r>
    </w:p>
  </w:footnote>
  <w:footnote w:id="36">
    <w:p w:rsidR="00631F9E" w:rsidRDefault="00631F9E" w:rsidP="00940C7F">
      <w:pPr>
        <w:pStyle w:val="Textpoznpodarou"/>
        <w:spacing w:line="360" w:lineRule="auto"/>
        <w:ind w:firstLine="0"/>
      </w:pPr>
      <w:r>
        <w:rPr>
          <w:rStyle w:val="Znakapoznpodarou"/>
        </w:rPr>
        <w:footnoteRef/>
      </w:r>
      <w:r>
        <w:t xml:space="preserve"> Čejka (2005): 169</w:t>
      </w:r>
    </w:p>
  </w:footnote>
  <w:footnote w:id="37">
    <w:p w:rsidR="00631F9E" w:rsidRDefault="00631F9E" w:rsidP="00940C7F">
      <w:pPr>
        <w:pStyle w:val="Textpoznpodarou"/>
        <w:spacing w:line="360" w:lineRule="auto"/>
        <w:ind w:firstLine="0"/>
      </w:pPr>
      <w:r>
        <w:rPr>
          <w:rStyle w:val="Znakapoznpodarou"/>
        </w:rPr>
        <w:footnoteRef/>
      </w:r>
      <w:r>
        <w:t xml:space="preserve"> </w:t>
      </w:r>
      <w:proofErr w:type="spellStart"/>
      <w:r>
        <w:t>Ibid</w:t>
      </w:r>
      <w:proofErr w:type="spellEnd"/>
      <w:r>
        <w:t xml:space="preserve"> 171.</w:t>
      </w:r>
    </w:p>
  </w:footnote>
  <w:footnote w:id="38">
    <w:p w:rsidR="00631F9E" w:rsidRDefault="00631F9E" w:rsidP="00940C7F">
      <w:pPr>
        <w:pStyle w:val="Textpoznpodarou"/>
        <w:spacing w:line="360" w:lineRule="auto"/>
        <w:ind w:firstLine="0"/>
      </w:pPr>
      <w:r>
        <w:rPr>
          <w:rStyle w:val="Znakapoznpodarou"/>
        </w:rPr>
        <w:footnoteRef/>
      </w:r>
      <w:r>
        <w:t xml:space="preserve"> </w:t>
      </w:r>
      <w:proofErr w:type="spellStart"/>
      <w:r>
        <w:t>Gordon</w:t>
      </w:r>
      <w:proofErr w:type="spellEnd"/>
      <w:r>
        <w:t xml:space="preserve"> (2008): 199</w:t>
      </w:r>
    </w:p>
  </w:footnote>
  <w:footnote w:id="39">
    <w:p w:rsidR="00631F9E" w:rsidRDefault="00631F9E" w:rsidP="00940C7F">
      <w:pPr>
        <w:pStyle w:val="Textpoznpodarou"/>
        <w:spacing w:line="360" w:lineRule="auto"/>
        <w:ind w:firstLine="0"/>
      </w:pPr>
      <w:r>
        <w:rPr>
          <w:rStyle w:val="Znakapoznpodarou"/>
        </w:rPr>
        <w:footnoteRef/>
      </w:r>
      <w:r>
        <w:t xml:space="preserve"> </w:t>
      </w:r>
      <w:proofErr w:type="gramStart"/>
      <w:r w:rsidRPr="000C31CA">
        <w:rPr>
          <w:lang w:val="en-US"/>
        </w:rPr>
        <w:t>Chenoweth, Erica and Maria J. Stephan.</w:t>
      </w:r>
      <w:proofErr w:type="gramEnd"/>
      <w:r w:rsidRPr="000C31CA">
        <w:rPr>
          <w:lang w:val="en-US"/>
        </w:rPr>
        <w:t xml:space="preserve"> (2012)</w:t>
      </w:r>
      <w:r>
        <w:rPr>
          <w:lang w:val="en-US"/>
        </w:rPr>
        <w:t>: 282,1</w:t>
      </w:r>
    </w:p>
  </w:footnote>
  <w:footnote w:id="40">
    <w:p w:rsidR="00631F9E" w:rsidRDefault="00631F9E" w:rsidP="00940C7F">
      <w:pPr>
        <w:pStyle w:val="Textpoznpodarou"/>
        <w:spacing w:line="360" w:lineRule="auto"/>
        <w:ind w:firstLine="0"/>
      </w:pPr>
      <w:r>
        <w:rPr>
          <w:rStyle w:val="Znakapoznpodarou"/>
        </w:rPr>
        <w:footnoteRef/>
      </w:r>
      <w:r>
        <w:t xml:space="preserve"> Čejka (2005): 172.</w:t>
      </w:r>
    </w:p>
  </w:footnote>
  <w:footnote w:id="41">
    <w:p w:rsidR="00631F9E" w:rsidRDefault="00631F9E" w:rsidP="00940C7F">
      <w:pPr>
        <w:pStyle w:val="Textpoznpodarou"/>
        <w:spacing w:line="360" w:lineRule="auto"/>
        <w:ind w:firstLine="0"/>
      </w:pPr>
      <w:r>
        <w:rPr>
          <w:rStyle w:val="Znakapoznpodarou"/>
        </w:rPr>
        <w:footnoteRef/>
      </w:r>
      <w:r>
        <w:t xml:space="preserve"> </w:t>
      </w:r>
      <w:proofErr w:type="spellStart"/>
      <w:proofErr w:type="gramStart"/>
      <w:r>
        <w:rPr>
          <w:lang w:val="en-US"/>
        </w:rPr>
        <w:t>Benvenisti</w:t>
      </w:r>
      <w:proofErr w:type="spellEnd"/>
      <w:r>
        <w:rPr>
          <w:lang w:val="en-US"/>
        </w:rPr>
        <w:t xml:space="preserve"> 1987 in </w:t>
      </w:r>
      <w:r w:rsidRPr="000C31CA">
        <w:rPr>
          <w:lang w:val="en-US"/>
        </w:rPr>
        <w:t>Chenoweth, Erica and Maria J. Stephan.</w:t>
      </w:r>
      <w:proofErr w:type="gramEnd"/>
      <w:r w:rsidRPr="000C31CA">
        <w:rPr>
          <w:lang w:val="en-US"/>
        </w:rPr>
        <w:t xml:space="preserve"> (2012)</w:t>
      </w:r>
      <w:r>
        <w:rPr>
          <w:lang w:val="en-US"/>
        </w:rPr>
        <w:t>: 282,1</w:t>
      </w:r>
    </w:p>
  </w:footnote>
  <w:footnote w:id="42">
    <w:p w:rsidR="00C504C0" w:rsidRDefault="00C504C0" w:rsidP="00C504C0">
      <w:pPr>
        <w:pStyle w:val="Textpoznpodarou"/>
        <w:spacing w:line="360" w:lineRule="auto"/>
        <w:ind w:firstLine="0"/>
      </w:pPr>
      <w:r>
        <w:rPr>
          <w:rStyle w:val="Znakapoznpodarou"/>
        </w:rPr>
        <w:footnoteRef/>
      </w:r>
      <w:r>
        <w:t xml:space="preserve"> Čejka (2005): 172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753C"/>
    <w:multiLevelType w:val="multilevel"/>
    <w:tmpl w:val="020606B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AE917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C34648"/>
    <w:multiLevelType w:val="hybridMultilevel"/>
    <w:tmpl w:val="3BC43570"/>
    <w:lvl w:ilvl="0" w:tplc="0144F338">
      <w:start w:val="2"/>
      <w:numFmt w:val="bullet"/>
      <w:lvlText w:val="-"/>
      <w:lvlJc w:val="left"/>
      <w:pPr>
        <w:ind w:left="1069" w:hanging="360"/>
      </w:pPr>
      <w:rPr>
        <w:rFonts w:ascii="Times New Roman" w:eastAsia="Calibri" w:hAnsi="Times New Roman" w:cs="Times New Roman" w:hint="default"/>
        <w:sz w:val="24"/>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3EAC7DF6"/>
    <w:multiLevelType w:val="hybridMultilevel"/>
    <w:tmpl w:val="25AEF3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6F3150"/>
    <w:multiLevelType w:val="hybridMultilevel"/>
    <w:tmpl w:val="212CE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2C21E7"/>
    <w:multiLevelType w:val="hybridMultilevel"/>
    <w:tmpl w:val="B8B47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8BA02BC"/>
    <w:multiLevelType w:val="hybridMultilevel"/>
    <w:tmpl w:val="E09093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8D00AB8"/>
    <w:multiLevelType w:val="hybridMultilevel"/>
    <w:tmpl w:val="AB2C2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E01853"/>
    <w:multiLevelType w:val="multilevel"/>
    <w:tmpl w:val="997482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2"/>
  </w:num>
  <w:num w:numId="4">
    <w:abstractNumId w:val="7"/>
  </w:num>
  <w:num w:numId="5">
    <w:abstractNumId w:val="3"/>
  </w:num>
  <w:num w:numId="6">
    <w:abstractNumId w:val="1"/>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F144F"/>
    <w:rsid w:val="0003467D"/>
    <w:rsid w:val="000B54AD"/>
    <w:rsid w:val="000C31CA"/>
    <w:rsid w:val="000D3D04"/>
    <w:rsid w:val="00100392"/>
    <w:rsid w:val="00113207"/>
    <w:rsid w:val="00142742"/>
    <w:rsid w:val="001B2AB2"/>
    <w:rsid w:val="001F73D5"/>
    <w:rsid w:val="002018C1"/>
    <w:rsid w:val="002225CF"/>
    <w:rsid w:val="0022510A"/>
    <w:rsid w:val="00227F90"/>
    <w:rsid w:val="0023522D"/>
    <w:rsid w:val="002353EA"/>
    <w:rsid w:val="00253FCF"/>
    <w:rsid w:val="00254377"/>
    <w:rsid w:val="00260520"/>
    <w:rsid w:val="00263369"/>
    <w:rsid w:val="002652F1"/>
    <w:rsid w:val="00272829"/>
    <w:rsid w:val="0027595E"/>
    <w:rsid w:val="002803CE"/>
    <w:rsid w:val="002D083A"/>
    <w:rsid w:val="002F31B1"/>
    <w:rsid w:val="00306DF2"/>
    <w:rsid w:val="0031230C"/>
    <w:rsid w:val="00322F73"/>
    <w:rsid w:val="00330484"/>
    <w:rsid w:val="00346E1E"/>
    <w:rsid w:val="0036197F"/>
    <w:rsid w:val="003948A6"/>
    <w:rsid w:val="003C69B4"/>
    <w:rsid w:val="003C7F83"/>
    <w:rsid w:val="003D73BB"/>
    <w:rsid w:val="00430FAA"/>
    <w:rsid w:val="004709A5"/>
    <w:rsid w:val="004745AC"/>
    <w:rsid w:val="004A2F3B"/>
    <w:rsid w:val="004A502C"/>
    <w:rsid w:val="004E2BA9"/>
    <w:rsid w:val="004E3317"/>
    <w:rsid w:val="004F5E26"/>
    <w:rsid w:val="00504248"/>
    <w:rsid w:val="00511440"/>
    <w:rsid w:val="00525928"/>
    <w:rsid w:val="00534707"/>
    <w:rsid w:val="005404D3"/>
    <w:rsid w:val="00565C6C"/>
    <w:rsid w:val="00572A78"/>
    <w:rsid w:val="00577159"/>
    <w:rsid w:val="005916C7"/>
    <w:rsid w:val="005B1154"/>
    <w:rsid w:val="005E2829"/>
    <w:rsid w:val="005E5758"/>
    <w:rsid w:val="005E6EC9"/>
    <w:rsid w:val="005F09ED"/>
    <w:rsid w:val="005F144F"/>
    <w:rsid w:val="00614801"/>
    <w:rsid w:val="00627C9B"/>
    <w:rsid w:val="00631F9E"/>
    <w:rsid w:val="00653E35"/>
    <w:rsid w:val="00673A62"/>
    <w:rsid w:val="0068517E"/>
    <w:rsid w:val="006936BC"/>
    <w:rsid w:val="006A22D7"/>
    <w:rsid w:val="006A4D45"/>
    <w:rsid w:val="006C28D5"/>
    <w:rsid w:val="006F5CB4"/>
    <w:rsid w:val="00713AEB"/>
    <w:rsid w:val="0071663A"/>
    <w:rsid w:val="00732616"/>
    <w:rsid w:val="0073361C"/>
    <w:rsid w:val="00777B47"/>
    <w:rsid w:val="00791A82"/>
    <w:rsid w:val="00793294"/>
    <w:rsid w:val="007A4FDE"/>
    <w:rsid w:val="007A711E"/>
    <w:rsid w:val="007C51B2"/>
    <w:rsid w:val="00843734"/>
    <w:rsid w:val="00847D45"/>
    <w:rsid w:val="00865FE7"/>
    <w:rsid w:val="0087380E"/>
    <w:rsid w:val="00883CA7"/>
    <w:rsid w:val="00886E80"/>
    <w:rsid w:val="008A4C23"/>
    <w:rsid w:val="008B1414"/>
    <w:rsid w:val="008D6F04"/>
    <w:rsid w:val="008F3229"/>
    <w:rsid w:val="008F5E83"/>
    <w:rsid w:val="00911CE1"/>
    <w:rsid w:val="009172C6"/>
    <w:rsid w:val="00917887"/>
    <w:rsid w:val="00922B08"/>
    <w:rsid w:val="00925B3D"/>
    <w:rsid w:val="00926A0A"/>
    <w:rsid w:val="00940C7F"/>
    <w:rsid w:val="00943575"/>
    <w:rsid w:val="009560C3"/>
    <w:rsid w:val="009607BB"/>
    <w:rsid w:val="009957BD"/>
    <w:rsid w:val="009A05D2"/>
    <w:rsid w:val="009A1F3D"/>
    <w:rsid w:val="009F7664"/>
    <w:rsid w:val="00A078D2"/>
    <w:rsid w:val="00A24812"/>
    <w:rsid w:val="00A24D88"/>
    <w:rsid w:val="00A25266"/>
    <w:rsid w:val="00A50FD5"/>
    <w:rsid w:val="00A60D55"/>
    <w:rsid w:val="00A97CBF"/>
    <w:rsid w:val="00AA7D62"/>
    <w:rsid w:val="00AB0A4D"/>
    <w:rsid w:val="00AC1AEF"/>
    <w:rsid w:val="00B04835"/>
    <w:rsid w:val="00B62262"/>
    <w:rsid w:val="00B77C7B"/>
    <w:rsid w:val="00B92548"/>
    <w:rsid w:val="00BA74A1"/>
    <w:rsid w:val="00BC1636"/>
    <w:rsid w:val="00C21C29"/>
    <w:rsid w:val="00C3586F"/>
    <w:rsid w:val="00C365E0"/>
    <w:rsid w:val="00C504C0"/>
    <w:rsid w:val="00C547CB"/>
    <w:rsid w:val="00C6046B"/>
    <w:rsid w:val="00C87786"/>
    <w:rsid w:val="00C91045"/>
    <w:rsid w:val="00C943DA"/>
    <w:rsid w:val="00CB40A6"/>
    <w:rsid w:val="00CC4E4B"/>
    <w:rsid w:val="00CE280E"/>
    <w:rsid w:val="00CE42CE"/>
    <w:rsid w:val="00CF2119"/>
    <w:rsid w:val="00CF5908"/>
    <w:rsid w:val="00D13DF4"/>
    <w:rsid w:val="00D44F56"/>
    <w:rsid w:val="00D46778"/>
    <w:rsid w:val="00D5526F"/>
    <w:rsid w:val="00D61A2A"/>
    <w:rsid w:val="00D74AB9"/>
    <w:rsid w:val="00DC21E0"/>
    <w:rsid w:val="00E02749"/>
    <w:rsid w:val="00E2116B"/>
    <w:rsid w:val="00E51C74"/>
    <w:rsid w:val="00E71C00"/>
    <w:rsid w:val="00E7466C"/>
    <w:rsid w:val="00E96709"/>
    <w:rsid w:val="00EA6706"/>
    <w:rsid w:val="00ED0794"/>
    <w:rsid w:val="00EE367E"/>
    <w:rsid w:val="00F16092"/>
    <w:rsid w:val="00F42D92"/>
    <w:rsid w:val="00F44450"/>
    <w:rsid w:val="00F86ACA"/>
    <w:rsid w:val="00FB1F6C"/>
    <w:rsid w:val="00FB52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2C6"/>
    <w:pPr>
      <w:spacing w:after="80" w:line="360" w:lineRule="auto"/>
      <w:ind w:firstLine="709"/>
      <w:contextualSpacing/>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6936BC"/>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C21C29"/>
    <w:pPr>
      <w:keepNext/>
      <w:keepLines/>
      <w:spacing w:before="200" w:after="0"/>
      <w:ind w:firstLine="0"/>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6BC"/>
    <w:rPr>
      <w:rFonts w:ascii="Times New Roman" w:eastAsiaTheme="majorEastAsia" w:hAnsi="Times New Roman" w:cstheme="majorBidi"/>
      <w:b/>
      <w:bCs/>
      <w:sz w:val="28"/>
      <w:szCs w:val="28"/>
    </w:rPr>
  </w:style>
  <w:style w:type="paragraph" w:styleId="Zhlav">
    <w:name w:val="header"/>
    <w:basedOn w:val="Normln"/>
    <w:link w:val="ZhlavChar"/>
    <w:uiPriority w:val="99"/>
    <w:semiHidden/>
    <w:unhideWhenUsed/>
    <w:rsid w:val="00922B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22B08"/>
    <w:rPr>
      <w:rFonts w:ascii="Calibri" w:eastAsia="Calibri" w:hAnsi="Calibri" w:cs="Times New Roman"/>
    </w:rPr>
  </w:style>
  <w:style w:type="paragraph" w:styleId="Zpat">
    <w:name w:val="footer"/>
    <w:basedOn w:val="Normln"/>
    <w:link w:val="ZpatChar"/>
    <w:uiPriority w:val="99"/>
    <w:unhideWhenUsed/>
    <w:rsid w:val="00922B08"/>
    <w:pPr>
      <w:tabs>
        <w:tab w:val="center" w:pos="4536"/>
        <w:tab w:val="right" w:pos="9072"/>
      </w:tabs>
      <w:spacing w:after="0" w:line="240" w:lineRule="auto"/>
    </w:pPr>
  </w:style>
  <w:style w:type="character" w:customStyle="1" w:styleId="ZpatChar">
    <w:name w:val="Zápatí Char"/>
    <w:basedOn w:val="Standardnpsmoodstavce"/>
    <w:link w:val="Zpat"/>
    <w:uiPriority w:val="99"/>
    <w:rsid w:val="00922B08"/>
    <w:rPr>
      <w:rFonts w:ascii="Calibri" w:eastAsia="Calibri" w:hAnsi="Calibri" w:cs="Times New Roman"/>
    </w:rPr>
  </w:style>
  <w:style w:type="paragraph" w:styleId="Nadpisobsahu">
    <w:name w:val="TOC Heading"/>
    <w:basedOn w:val="Nadpis1"/>
    <w:next w:val="Normln"/>
    <w:uiPriority w:val="39"/>
    <w:semiHidden/>
    <w:unhideWhenUsed/>
    <w:qFormat/>
    <w:rsid w:val="00922B08"/>
    <w:pPr>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2353EA"/>
    <w:pPr>
      <w:tabs>
        <w:tab w:val="right" w:leader="dot" w:pos="9062"/>
      </w:tabs>
      <w:spacing w:after="100"/>
      <w:ind w:firstLine="0"/>
    </w:pPr>
  </w:style>
  <w:style w:type="character" w:styleId="Hypertextovodkaz">
    <w:name w:val="Hyperlink"/>
    <w:basedOn w:val="Standardnpsmoodstavce"/>
    <w:uiPriority w:val="99"/>
    <w:unhideWhenUsed/>
    <w:rsid w:val="00922B08"/>
    <w:rPr>
      <w:color w:val="0000FF" w:themeColor="hyperlink"/>
      <w:u w:val="single"/>
    </w:rPr>
  </w:style>
  <w:style w:type="paragraph" w:styleId="Textbubliny">
    <w:name w:val="Balloon Text"/>
    <w:basedOn w:val="Normln"/>
    <w:link w:val="TextbublinyChar"/>
    <w:uiPriority w:val="99"/>
    <w:semiHidden/>
    <w:unhideWhenUsed/>
    <w:rsid w:val="00922B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B08"/>
    <w:rPr>
      <w:rFonts w:ascii="Tahoma" w:eastAsia="Calibri" w:hAnsi="Tahoma" w:cs="Tahoma"/>
      <w:sz w:val="16"/>
      <w:szCs w:val="16"/>
    </w:rPr>
  </w:style>
  <w:style w:type="paragraph" w:styleId="Textpoznpodarou">
    <w:name w:val="footnote text"/>
    <w:basedOn w:val="Normln"/>
    <w:link w:val="TextpoznpodarouChar"/>
    <w:uiPriority w:val="99"/>
    <w:unhideWhenUsed/>
    <w:rsid w:val="00275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7595E"/>
    <w:rPr>
      <w:rFonts w:ascii="Times New Roman" w:eastAsia="Calibri" w:hAnsi="Times New Roman" w:cs="Times New Roman"/>
      <w:sz w:val="20"/>
      <w:szCs w:val="20"/>
    </w:rPr>
  </w:style>
  <w:style w:type="character" w:styleId="Znakapoznpodarou">
    <w:name w:val="footnote reference"/>
    <w:basedOn w:val="Standardnpsmoodstavce"/>
    <w:uiPriority w:val="99"/>
    <w:semiHidden/>
    <w:unhideWhenUsed/>
    <w:rsid w:val="0027595E"/>
    <w:rPr>
      <w:vertAlign w:val="superscript"/>
    </w:rPr>
  </w:style>
  <w:style w:type="paragraph" w:styleId="Odstavecseseznamem">
    <w:name w:val="List Paragraph"/>
    <w:basedOn w:val="Normln"/>
    <w:uiPriority w:val="34"/>
    <w:qFormat/>
    <w:rsid w:val="00777B47"/>
    <w:pPr>
      <w:ind w:left="720"/>
    </w:pPr>
  </w:style>
  <w:style w:type="paragraph" w:styleId="Normlnweb">
    <w:name w:val="Normal (Web)"/>
    <w:basedOn w:val="Normln"/>
    <w:uiPriority w:val="99"/>
    <w:semiHidden/>
    <w:unhideWhenUsed/>
    <w:rsid w:val="00565C6C"/>
    <w:pPr>
      <w:spacing w:before="100" w:beforeAutospacing="1" w:after="100" w:afterAutospacing="1" w:line="240" w:lineRule="auto"/>
      <w:ind w:firstLine="0"/>
      <w:contextualSpacing w:val="0"/>
      <w:jc w:val="left"/>
    </w:pPr>
    <w:rPr>
      <w:rFonts w:eastAsia="Times New Roman"/>
      <w:szCs w:val="24"/>
      <w:lang w:eastAsia="cs-CZ"/>
    </w:rPr>
  </w:style>
  <w:style w:type="character" w:customStyle="1" w:styleId="Nadpis2Char">
    <w:name w:val="Nadpis 2 Char"/>
    <w:basedOn w:val="Standardnpsmoodstavce"/>
    <w:link w:val="Nadpis2"/>
    <w:uiPriority w:val="9"/>
    <w:rsid w:val="00C21C29"/>
    <w:rPr>
      <w:rFonts w:ascii="Times New Roman" w:eastAsiaTheme="majorEastAsia" w:hAnsi="Times New Roman" w:cstheme="majorBidi"/>
      <w:b/>
      <w:bCs/>
      <w:sz w:val="24"/>
      <w:szCs w:val="26"/>
    </w:rPr>
  </w:style>
  <w:style w:type="paragraph" w:styleId="Obsah2">
    <w:name w:val="toc 2"/>
    <w:basedOn w:val="Normln"/>
    <w:next w:val="Normln"/>
    <w:autoRedefine/>
    <w:uiPriority w:val="39"/>
    <w:unhideWhenUsed/>
    <w:rsid w:val="00C21C29"/>
    <w:pPr>
      <w:tabs>
        <w:tab w:val="left" w:pos="880"/>
        <w:tab w:val="right" w:leader="dot" w:pos="9062"/>
      </w:tabs>
      <w:spacing w:after="100"/>
      <w:ind w:left="240" w:firstLine="44"/>
    </w:pPr>
  </w:style>
  <w:style w:type="paragraph" w:styleId="Bezmezer">
    <w:name w:val="No Spacing"/>
    <w:uiPriority w:val="1"/>
    <w:qFormat/>
    <w:rsid w:val="00263369"/>
    <w:pPr>
      <w:spacing w:after="0" w:line="240" w:lineRule="auto"/>
      <w:ind w:firstLine="709"/>
      <w:contextualSpacing/>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10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cser.org/journal/index.php/ajis/article/viewFile/5964/5735" TargetMode="External"/><Relationship Id="rId4" Type="http://schemas.openxmlformats.org/officeDocument/2006/relationships/settings" Target="settings.xml"/><Relationship Id="rId9" Type="http://schemas.openxmlformats.org/officeDocument/2006/relationships/hyperlink" Target="http://www.btselem.org/statistics/first_intifada_tab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tselem.org/statistics/first_intifada_table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D2343-782C-4CF0-B2C7-615C394A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3451</Words>
  <Characters>20361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96</cp:revision>
  <dcterms:created xsi:type="dcterms:W3CDTF">2016-06-12T13:53:00Z</dcterms:created>
  <dcterms:modified xsi:type="dcterms:W3CDTF">2016-06-18T11:55:00Z</dcterms:modified>
</cp:coreProperties>
</file>