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0F64D" w14:textId="66AA48CA" w:rsidR="00A74198" w:rsidRPr="00C3671E" w:rsidRDefault="00A74198" w:rsidP="00A74198">
      <w:pPr>
        <w:pStyle w:val="FormtovanvHTML"/>
        <w:jc w:val="center"/>
        <w:rPr>
          <w:rFonts w:ascii="Times New Roman" w:hAnsi="Times New Roman" w:cs="Times New Roman"/>
          <w:noProof/>
          <w:sz w:val="32"/>
          <w:szCs w:val="32"/>
          <w:lang w:eastAsia="zh-CN"/>
        </w:rPr>
      </w:pPr>
      <w:r w:rsidRPr="00C3671E">
        <w:rPr>
          <w:rFonts w:ascii="Times New Roman" w:hAnsi="Times New Roman" w:cs="Times New Roman"/>
          <w:noProof/>
          <w:sz w:val="32"/>
          <w:szCs w:val="32"/>
          <w:lang w:eastAsia="zh-CN"/>
        </w:rPr>
        <w:t>MASARYK UNIVERSITY</w:t>
      </w:r>
    </w:p>
    <w:p w14:paraId="7A05C9E7" w14:textId="36BAC9B4" w:rsidR="00A74198" w:rsidRPr="00C3671E" w:rsidRDefault="00A74198"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r w:rsidRPr="00C3671E">
        <w:rPr>
          <w:noProof/>
          <w:sz w:val="32"/>
          <w:szCs w:val="32"/>
          <w:lang w:val="en-GB" w:eastAsia="zh-CN"/>
        </w:rPr>
        <w:t>Faculty of Social Studies</w:t>
      </w:r>
    </w:p>
    <w:p w14:paraId="36D8C5A6" w14:textId="09E0898B" w:rsidR="00A74198" w:rsidRPr="00C3671E" w:rsidRDefault="00A74198"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r w:rsidRPr="00C3671E">
        <w:rPr>
          <w:noProof/>
          <w:sz w:val="32"/>
          <w:szCs w:val="32"/>
          <w:lang w:val="en-GB" w:eastAsia="zh-CN"/>
        </w:rPr>
        <w:t>Department of Sociology</w:t>
      </w:r>
    </w:p>
    <w:p w14:paraId="06094329" w14:textId="59B0F89C" w:rsidR="00A74198" w:rsidRPr="00C3671E" w:rsidRDefault="00A74198"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p>
    <w:p w14:paraId="753E6E62" w14:textId="77777777" w:rsidR="004B2236" w:rsidRPr="00C3671E" w:rsidRDefault="004B2236"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p>
    <w:p w14:paraId="4DB4A1B3" w14:textId="77777777" w:rsidR="00A74198" w:rsidRPr="00C3671E" w:rsidRDefault="00A74198"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p>
    <w:p w14:paraId="5B361FA5" w14:textId="4668D6C8" w:rsidR="00A74198" w:rsidRPr="00C3671E" w:rsidRDefault="00A74198"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p>
    <w:p w14:paraId="3F048854" w14:textId="2BEED7E8" w:rsidR="00A74198" w:rsidRPr="00C3671E" w:rsidRDefault="00A74198"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p>
    <w:p w14:paraId="04DDAD83" w14:textId="47561FFB" w:rsidR="00A74198" w:rsidRPr="00C3671E" w:rsidRDefault="00A74198"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p>
    <w:p w14:paraId="4E15AC29" w14:textId="307A81C7" w:rsidR="00A74198" w:rsidRPr="00C3671E" w:rsidRDefault="00A74198"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p>
    <w:p w14:paraId="66D183CF" w14:textId="77777777" w:rsidR="00A74198" w:rsidRPr="00C3671E" w:rsidRDefault="00A74198"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p>
    <w:p w14:paraId="3F306770" w14:textId="66B24A27" w:rsidR="00A74198" w:rsidRPr="00C3671E" w:rsidRDefault="00A74198"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6"/>
          <w:szCs w:val="36"/>
          <w:lang w:val="en-GB" w:eastAsia="zh-CN"/>
        </w:rPr>
      </w:pPr>
      <w:r w:rsidRPr="00C3671E">
        <w:rPr>
          <w:noProof/>
          <w:sz w:val="36"/>
          <w:szCs w:val="36"/>
          <w:lang w:val="en-GB" w:eastAsia="zh-CN"/>
        </w:rPr>
        <w:t>Mgr. Martin Lakomý</w:t>
      </w:r>
    </w:p>
    <w:p w14:paraId="60D3B220" w14:textId="77777777" w:rsidR="004B2236" w:rsidRPr="00C3671E" w:rsidRDefault="004B2236"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6"/>
          <w:szCs w:val="36"/>
          <w:lang w:val="en-GB" w:eastAsia="zh-CN"/>
        </w:rPr>
      </w:pPr>
    </w:p>
    <w:p w14:paraId="7346533C" w14:textId="5AE42B97" w:rsidR="00A74198" w:rsidRPr="00C3671E" w:rsidRDefault="00A74198"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36"/>
          <w:szCs w:val="36"/>
          <w:lang w:val="en-GB" w:eastAsia="zh-CN"/>
        </w:rPr>
      </w:pPr>
      <w:r w:rsidRPr="00C3671E">
        <w:rPr>
          <w:b/>
          <w:noProof/>
          <w:sz w:val="36"/>
          <w:szCs w:val="36"/>
          <w:lang w:val="en-GB" w:eastAsia="zh-CN"/>
        </w:rPr>
        <w:t>Role dynamics of older adults and their consequences</w:t>
      </w:r>
    </w:p>
    <w:p w14:paraId="6BF982D2" w14:textId="77777777" w:rsidR="004B2236" w:rsidRPr="00C3671E" w:rsidRDefault="004B2236"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p>
    <w:p w14:paraId="0E517997" w14:textId="77777777" w:rsidR="004B2236" w:rsidRPr="00C3671E" w:rsidRDefault="004B2236"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p>
    <w:p w14:paraId="2C21FCDF" w14:textId="176B3F0D" w:rsidR="00A74198" w:rsidRPr="00C3671E" w:rsidRDefault="00A74198"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r w:rsidRPr="00C3671E">
        <w:rPr>
          <w:noProof/>
          <w:sz w:val="32"/>
          <w:szCs w:val="32"/>
          <w:lang w:val="en-GB" w:eastAsia="zh-CN"/>
        </w:rPr>
        <w:t>Dissertation thesis</w:t>
      </w:r>
    </w:p>
    <w:p w14:paraId="085E94D1" w14:textId="2F7FC728" w:rsidR="004B2236" w:rsidRPr="00C3671E" w:rsidRDefault="004B2236"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p>
    <w:p w14:paraId="540809F8" w14:textId="53735106" w:rsidR="004B2236" w:rsidRPr="00C3671E" w:rsidRDefault="004B2236"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p>
    <w:p w14:paraId="09F83C88" w14:textId="1336EFB9" w:rsidR="004B2236" w:rsidRPr="00C3671E" w:rsidRDefault="004B2236"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p>
    <w:p w14:paraId="3D97362B" w14:textId="6D05DEAB" w:rsidR="004B2236" w:rsidRPr="00C3671E" w:rsidRDefault="004B2236"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p>
    <w:p w14:paraId="153C382A" w14:textId="4243686B" w:rsidR="004B2236" w:rsidRPr="00C3671E" w:rsidRDefault="004B2236"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p>
    <w:p w14:paraId="2F099D73" w14:textId="223ADE8D" w:rsidR="004B2236" w:rsidRPr="00C3671E" w:rsidRDefault="004B2236"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p>
    <w:p w14:paraId="47787A8C" w14:textId="740236F4" w:rsidR="004B2236" w:rsidRPr="00C3671E" w:rsidRDefault="004B2236"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p>
    <w:p w14:paraId="140336A3" w14:textId="5A53D8C4" w:rsidR="004B2236" w:rsidRPr="00C3671E" w:rsidRDefault="004B2236"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p>
    <w:p w14:paraId="5DAFB0F7" w14:textId="3824E4CC" w:rsidR="004B2236" w:rsidRPr="00C3671E" w:rsidRDefault="004B2236"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p>
    <w:p w14:paraId="7A6A439E" w14:textId="77777777" w:rsidR="004B2236" w:rsidRPr="00C3671E" w:rsidRDefault="004B2236"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p>
    <w:p w14:paraId="148EBD21" w14:textId="77777777" w:rsidR="004B2236" w:rsidRPr="00C3671E" w:rsidRDefault="004B2236"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p>
    <w:p w14:paraId="2EEEB4FB" w14:textId="38B30066" w:rsidR="00A74198" w:rsidRPr="00C3671E" w:rsidRDefault="00A74198"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r w:rsidRPr="00C3671E">
        <w:rPr>
          <w:noProof/>
          <w:sz w:val="32"/>
          <w:szCs w:val="32"/>
          <w:lang w:val="en-GB" w:eastAsia="zh-CN"/>
        </w:rPr>
        <w:t>Supervisor: prof. Martin Kreidl, Ph.D.</w:t>
      </w:r>
    </w:p>
    <w:p w14:paraId="1772FEF9" w14:textId="77777777" w:rsidR="004B2236" w:rsidRPr="00C3671E" w:rsidRDefault="004B2236"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p>
    <w:p w14:paraId="3DADB8AE" w14:textId="77777777" w:rsidR="004B2236" w:rsidRPr="00C3671E" w:rsidRDefault="004B2236"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p>
    <w:p w14:paraId="3633CEAC" w14:textId="77777777" w:rsidR="004B2236" w:rsidRPr="00C3671E" w:rsidRDefault="004B2236" w:rsidP="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p>
    <w:p w14:paraId="7A8D852C" w14:textId="77777777" w:rsidR="004B2236" w:rsidRPr="00C3671E" w:rsidRDefault="004B2236" w:rsidP="00B8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32"/>
          <w:szCs w:val="32"/>
          <w:lang w:val="en-GB" w:eastAsia="zh-CN"/>
        </w:rPr>
      </w:pPr>
    </w:p>
    <w:p w14:paraId="4F791559" w14:textId="77777777" w:rsidR="00B836B0" w:rsidRPr="00C3671E" w:rsidRDefault="00A74198" w:rsidP="00B8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32"/>
          <w:szCs w:val="32"/>
          <w:lang w:val="en-GB" w:eastAsia="zh-CN"/>
        </w:rPr>
      </w:pPr>
      <w:r w:rsidRPr="00C3671E">
        <w:rPr>
          <w:noProof/>
          <w:sz w:val="32"/>
          <w:szCs w:val="32"/>
          <w:lang w:val="en-GB" w:eastAsia="zh-CN"/>
        </w:rPr>
        <w:t>Brno 201</w:t>
      </w:r>
      <w:r w:rsidR="00B836B0" w:rsidRPr="00C3671E">
        <w:rPr>
          <w:noProof/>
          <w:sz w:val="32"/>
          <w:szCs w:val="32"/>
          <w:lang w:val="en-GB" w:eastAsia="zh-CN"/>
        </w:rPr>
        <w:t>8</w:t>
      </w:r>
    </w:p>
    <w:p w14:paraId="19154D49" w14:textId="77777777" w:rsidR="00B836B0" w:rsidRPr="00C3671E" w:rsidRDefault="00B836B0" w:rsidP="00B8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32"/>
          <w:szCs w:val="32"/>
          <w:lang w:val="en-GB" w:eastAsia="zh-CN"/>
        </w:rPr>
      </w:pPr>
    </w:p>
    <w:p w14:paraId="4F0541FF" w14:textId="16676EE0" w:rsidR="00B836B0" w:rsidRPr="00C3671E" w:rsidRDefault="00B836B0" w:rsidP="00B8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32"/>
          <w:szCs w:val="32"/>
          <w:lang w:val="en-GB" w:eastAsia="zh-CN"/>
        </w:rPr>
        <w:sectPr w:rsidR="00B836B0" w:rsidRPr="00C3671E">
          <w:footerReference w:type="default" r:id="rId8"/>
          <w:pgSz w:w="11906" w:h="16838"/>
          <w:pgMar w:top="1417" w:right="1417" w:bottom="1417" w:left="1417" w:header="708" w:footer="708" w:gutter="0"/>
          <w:cols w:space="708"/>
          <w:docGrid w:linePitch="360"/>
        </w:sectPr>
      </w:pPr>
    </w:p>
    <w:sdt>
      <w:sdtPr>
        <w:rPr>
          <w:rFonts w:ascii="Times New Roman" w:eastAsia="Times New Roman" w:hAnsi="Times New Roman" w:cs="Times New Roman"/>
          <w:color w:val="auto"/>
          <w:sz w:val="24"/>
          <w:szCs w:val="24"/>
          <w:lang w:eastAsia="cs-CZ"/>
        </w:rPr>
        <w:id w:val="1800182977"/>
        <w:docPartObj>
          <w:docPartGallery w:val="Table of Contents"/>
          <w:docPartUnique/>
        </w:docPartObj>
      </w:sdtPr>
      <w:sdtEndPr>
        <w:rPr>
          <w:b/>
          <w:bCs/>
        </w:rPr>
      </w:sdtEndPr>
      <w:sdtContent>
        <w:p w14:paraId="3E59D072" w14:textId="3F1659FC" w:rsidR="004B2236" w:rsidRPr="00C3671E" w:rsidRDefault="00251CB7">
          <w:pPr>
            <w:pStyle w:val="Nadpisobsahu"/>
          </w:pPr>
          <w:r w:rsidRPr="00C3671E">
            <w:t>Table of Contents</w:t>
          </w:r>
        </w:p>
        <w:p w14:paraId="68EE18FE" w14:textId="1D166140" w:rsidR="00B86239" w:rsidRDefault="004B2236">
          <w:pPr>
            <w:pStyle w:val="Obsah1"/>
            <w:tabs>
              <w:tab w:val="right" w:leader="dot" w:pos="9062"/>
            </w:tabs>
            <w:rPr>
              <w:rFonts w:asciiTheme="minorHAnsi" w:eastAsiaTheme="minorEastAsia" w:hAnsiTheme="minorHAnsi" w:cstheme="minorBidi"/>
              <w:noProof/>
              <w:sz w:val="22"/>
              <w:szCs w:val="22"/>
              <w:lang w:val="en-GB" w:eastAsia="en-GB"/>
            </w:rPr>
          </w:pPr>
          <w:r w:rsidRPr="00C3671E">
            <w:rPr>
              <w:lang w:val="en-GB"/>
            </w:rPr>
            <w:fldChar w:fldCharType="begin"/>
          </w:r>
          <w:r w:rsidRPr="00C3671E">
            <w:rPr>
              <w:lang w:val="en-GB"/>
            </w:rPr>
            <w:instrText xml:space="preserve"> TOC \o "1-3" \h \z \u </w:instrText>
          </w:r>
          <w:r w:rsidRPr="00C3671E">
            <w:rPr>
              <w:lang w:val="en-GB"/>
            </w:rPr>
            <w:fldChar w:fldCharType="separate"/>
          </w:r>
          <w:hyperlink w:anchor="_Toc512687718" w:history="1">
            <w:r w:rsidR="00B86239" w:rsidRPr="00506631">
              <w:rPr>
                <w:rStyle w:val="Hypertextovodkaz"/>
                <w:noProof/>
                <w:lang w:val="en-GB" w:eastAsia="zh-CN"/>
              </w:rPr>
              <w:t>Chapter 1: Introduction</w:t>
            </w:r>
            <w:r w:rsidR="00B86239">
              <w:rPr>
                <w:noProof/>
                <w:webHidden/>
              </w:rPr>
              <w:tab/>
            </w:r>
            <w:r w:rsidR="00B86239">
              <w:rPr>
                <w:noProof/>
                <w:webHidden/>
              </w:rPr>
              <w:fldChar w:fldCharType="begin"/>
            </w:r>
            <w:r w:rsidR="00B86239">
              <w:rPr>
                <w:noProof/>
                <w:webHidden/>
              </w:rPr>
              <w:instrText xml:space="preserve"> PAGEREF _Toc512687718 \h </w:instrText>
            </w:r>
            <w:r w:rsidR="00B86239">
              <w:rPr>
                <w:noProof/>
                <w:webHidden/>
              </w:rPr>
            </w:r>
            <w:r w:rsidR="00B86239">
              <w:rPr>
                <w:noProof/>
                <w:webHidden/>
              </w:rPr>
              <w:fldChar w:fldCharType="separate"/>
            </w:r>
            <w:r w:rsidR="00466C1F">
              <w:rPr>
                <w:noProof/>
                <w:webHidden/>
              </w:rPr>
              <w:t>5</w:t>
            </w:r>
            <w:r w:rsidR="00B86239">
              <w:rPr>
                <w:noProof/>
                <w:webHidden/>
              </w:rPr>
              <w:fldChar w:fldCharType="end"/>
            </w:r>
          </w:hyperlink>
        </w:p>
        <w:p w14:paraId="1141B3CC" w14:textId="00802D4D"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19" w:history="1">
            <w:r w:rsidRPr="00506631">
              <w:rPr>
                <w:rStyle w:val="Hypertextovodkaz"/>
                <w:noProof/>
                <w:lang w:val="en-GB"/>
              </w:rPr>
              <w:t>Demographic development in Europe</w:t>
            </w:r>
            <w:r>
              <w:rPr>
                <w:noProof/>
                <w:webHidden/>
              </w:rPr>
              <w:tab/>
            </w:r>
            <w:r>
              <w:rPr>
                <w:noProof/>
                <w:webHidden/>
              </w:rPr>
              <w:fldChar w:fldCharType="begin"/>
            </w:r>
            <w:r>
              <w:rPr>
                <w:noProof/>
                <w:webHidden/>
              </w:rPr>
              <w:instrText xml:space="preserve"> PAGEREF _Toc512687719 \h </w:instrText>
            </w:r>
            <w:r>
              <w:rPr>
                <w:noProof/>
                <w:webHidden/>
              </w:rPr>
            </w:r>
            <w:r>
              <w:rPr>
                <w:noProof/>
                <w:webHidden/>
              </w:rPr>
              <w:fldChar w:fldCharType="separate"/>
            </w:r>
            <w:r w:rsidR="00466C1F">
              <w:rPr>
                <w:noProof/>
                <w:webHidden/>
              </w:rPr>
              <w:t>5</w:t>
            </w:r>
            <w:r>
              <w:rPr>
                <w:noProof/>
                <w:webHidden/>
              </w:rPr>
              <w:fldChar w:fldCharType="end"/>
            </w:r>
          </w:hyperlink>
        </w:p>
        <w:p w14:paraId="209B65B0" w14:textId="24D0CBB6"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20" w:history="1">
            <w:r w:rsidRPr="00506631">
              <w:rPr>
                <w:rStyle w:val="Hypertextovodkaz"/>
                <w:noProof/>
                <w:lang w:val="en-GB"/>
              </w:rPr>
              <w:t>Concept and policy of active ageing</w:t>
            </w:r>
            <w:r>
              <w:rPr>
                <w:noProof/>
                <w:webHidden/>
              </w:rPr>
              <w:tab/>
            </w:r>
            <w:r>
              <w:rPr>
                <w:noProof/>
                <w:webHidden/>
              </w:rPr>
              <w:fldChar w:fldCharType="begin"/>
            </w:r>
            <w:r>
              <w:rPr>
                <w:noProof/>
                <w:webHidden/>
              </w:rPr>
              <w:instrText xml:space="preserve"> PAGEREF _Toc512687720 \h </w:instrText>
            </w:r>
            <w:r>
              <w:rPr>
                <w:noProof/>
                <w:webHidden/>
              </w:rPr>
            </w:r>
            <w:r>
              <w:rPr>
                <w:noProof/>
                <w:webHidden/>
              </w:rPr>
              <w:fldChar w:fldCharType="separate"/>
            </w:r>
            <w:r w:rsidR="00466C1F">
              <w:rPr>
                <w:noProof/>
                <w:webHidden/>
              </w:rPr>
              <w:t>7</w:t>
            </w:r>
            <w:r>
              <w:rPr>
                <w:noProof/>
                <w:webHidden/>
              </w:rPr>
              <w:fldChar w:fldCharType="end"/>
            </w:r>
          </w:hyperlink>
        </w:p>
        <w:p w14:paraId="0498DCD8" w14:textId="6D502FA7"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21" w:history="1">
            <w:r w:rsidRPr="00506631">
              <w:rPr>
                <w:rStyle w:val="Hypertextovodkaz"/>
                <w:i/>
                <w:noProof/>
                <w:lang w:val="en-GB" w:eastAsia="zh-CN"/>
              </w:rPr>
              <w:t>Perspectives on ageing and inception of active ageing paradigm</w:t>
            </w:r>
            <w:r>
              <w:rPr>
                <w:noProof/>
                <w:webHidden/>
              </w:rPr>
              <w:tab/>
            </w:r>
            <w:r>
              <w:rPr>
                <w:noProof/>
                <w:webHidden/>
              </w:rPr>
              <w:fldChar w:fldCharType="begin"/>
            </w:r>
            <w:r>
              <w:rPr>
                <w:noProof/>
                <w:webHidden/>
              </w:rPr>
              <w:instrText xml:space="preserve"> PAGEREF _Toc512687721 \h </w:instrText>
            </w:r>
            <w:r>
              <w:rPr>
                <w:noProof/>
                <w:webHidden/>
              </w:rPr>
            </w:r>
            <w:r>
              <w:rPr>
                <w:noProof/>
                <w:webHidden/>
              </w:rPr>
              <w:fldChar w:fldCharType="separate"/>
            </w:r>
            <w:r w:rsidR="00466C1F">
              <w:rPr>
                <w:noProof/>
                <w:webHidden/>
              </w:rPr>
              <w:t>7</w:t>
            </w:r>
            <w:r>
              <w:rPr>
                <w:noProof/>
                <w:webHidden/>
              </w:rPr>
              <w:fldChar w:fldCharType="end"/>
            </w:r>
          </w:hyperlink>
        </w:p>
        <w:p w14:paraId="775CFE04" w14:textId="30FDFAA0"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22" w:history="1">
            <w:r w:rsidRPr="00506631">
              <w:rPr>
                <w:rStyle w:val="Hypertextovodkaz"/>
                <w:i/>
                <w:noProof/>
                <w:lang w:val="en-GB" w:eastAsia="zh-CN"/>
              </w:rPr>
              <w:t>Development of active ageing and activities promoted by this approach</w:t>
            </w:r>
            <w:r>
              <w:rPr>
                <w:noProof/>
                <w:webHidden/>
              </w:rPr>
              <w:tab/>
            </w:r>
            <w:r>
              <w:rPr>
                <w:noProof/>
                <w:webHidden/>
              </w:rPr>
              <w:fldChar w:fldCharType="begin"/>
            </w:r>
            <w:r>
              <w:rPr>
                <w:noProof/>
                <w:webHidden/>
              </w:rPr>
              <w:instrText xml:space="preserve"> PAGEREF _Toc512687722 \h </w:instrText>
            </w:r>
            <w:r>
              <w:rPr>
                <w:noProof/>
                <w:webHidden/>
              </w:rPr>
            </w:r>
            <w:r>
              <w:rPr>
                <w:noProof/>
                <w:webHidden/>
              </w:rPr>
              <w:fldChar w:fldCharType="separate"/>
            </w:r>
            <w:r w:rsidR="00466C1F">
              <w:rPr>
                <w:noProof/>
                <w:webHidden/>
              </w:rPr>
              <w:t>10</w:t>
            </w:r>
            <w:r>
              <w:rPr>
                <w:noProof/>
                <w:webHidden/>
              </w:rPr>
              <w:fldChar w:fldCharType="end"/>
            </w:r>
          </w:hyperlink>
        </w:p>
        <w:p w14:paraId="4589DE75" w14:textId="6E895EC5"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23" w:history="1">
            <w:r w:rsidRPr="00506631">
              <w:rPr>
                <w:rStyle w:val="Hypertextovodkaz"/>
                <w:i/>
                <w:noProof/>
                <w:lang w:val="en-GB" w:eastAsia="zh-CN"/>
              </w:rPr>
              <w:t>Prevalence of activities in the data</w:t>
            </w:r>
            <w:r>
              <w:rPr>
                <w:noProof/>
                <w:webHidden/>
              </w:rPr>
              <w:tab/>
            </w:r>
            <w:r>
              <w:rPr>
                <w:noProof/>
                <w:webHidden/>
              </w:rPr>
              <w:fldChar w:fldCharType="begin"/>
            </w:r>
            <w:r>
              <w:rPr>
                <w:noProof/>
                <w:webHidden/>
              </w:rPr>
              <w:instrText xml:space="preserve"> PAGEREF _Toc512687723 \h </w:instrText>
            </w:r>
            <w:r>
              <w:rPr>
                <w:noProof/>
                <w:webHidden/>
              </w:rPr>
            </w:r>
            <w:r>
              <w:rPr>
                <w:noProof/>
                <w:webHidden/>
              </w:rPr>
              <w:fldChar w:fldCharType="separate"/>
            </w:r>
            <w:r w:rsidR="00466C1F">
              <w:rPr>
                <w:noProof/>
                <w:webHidden/>
              </w:rPr>
              <w:t>13</w:t>
            </w:r>
            <w:r>
              <w:rPr>
                <w:noProof/>
                <w:webHidden/>
              </w:rPr>
              <w:fldChar w:fldCharType="end"/>
            </w:r>
          </w:hyperlink>
        </w:p>
        <w:p w14:paraId="552803D9" w14:textId="1D98ED64"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24" w:history="1">
            <w:r w:rsidRPr="00506631">
              <w:rPr>
                <w:rStyle w:val="Hypertextovodkaz"/>
                <w:i/>
                <w:noProof/>
                <w:lang w:val="en-GB" w:eastAsia="zh-CN"/>
              </w:rPr>
              <w:t>Criticism of active ageing</w:t>
            </w:r>
            <w:r>
              <w:rPr>
                <w:noProof/>
                <w:webHidden/>
              </w:rPr>
              <w:tab/>
            </w:r>
            <w:r>
              <w:rPr>
                <w:noProof/>
                <w:webHidden/>
              </w:rPr>
              <w:fldChar w:fldCharType="begin"/>
            </w:r>
            <w:r>
              <w:rPr>
                <w:noProof/>
                <w:webHidden/>
              </w:rPr>
              <w:instrText xml:space="preserve"> PAGEREF _Toc512687724 \h </w:instrText>
            </w:r>
            <w:r>
              <w:rPr>
                <w:noProof/>
                <w:webHidden/>
              </w:rPr>
            </w:r>
            <w:r>
              <w:rPr>
                <w:noProof/>
                <w:webHidden/>
              </w:rPr>
              <w:fldChar w:fldCharType="separate"/>
            </w:r>
            <w:r w:rsidR="00466C1F">
              <w:rPr>
                <w:noProof/>
                <w:webHidden/>
              </w:rPr>
              <w:t>21</w:t>
            </w:r>
            <w:r>
              <w:rPr>
                <w:noProof/>
                <w:webHidden/>
              </w:rPr>
              <w:fldChar w:fldCharType="end"/>
            </w:r>
          </w:hyperlink>
        </w:p>
        <w:p w14:paraId="7B287166" w14:textId="087E6A28"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25" w:history="1">
            <w:r w:rsidRPr="00506631">
              <w:rPr>
                <w:rStyle w:val="Hypertextovodkaz"/>
                <w:i/>
                <w:noProof/>
                <w:lang w:val="en-GB" w:eastAsia="zh-CN"/>
              </w:rPr>
              <w:t>Congruence of active ageing with role theories</w:t>
            </w:r>
            <w:r>
              <w:rPr>
                <w:noProof/>
                <w:webHidden/>
              </w:rPr>
              <w:tab/>
            </w:r>
            <w:r>
              <w:rPr>
                <w:noProof/>
                <w:webHidden/>
              </w:rPr>
              <w:fldChar w:fldCharType="begin"/>
            </w:r>
            <w:r>
              <w:rPr>
                <w:noProof/>
                <w:webHidden/>
              </w:rPr>
              <w:instrText xml:space="preserve"> PAGEREF _Toc512687725 \h </w:instrText>
            </w:r>
            <w:r>
              <w:rPr>
                <w:noProof/>
                <w:webHidden/>
              </w:rPr>
            </w:r>
            <w:r>
              <w:rPr>
                <w:noProof/>
                <w:webHidden/>
              </w:rPr>
              <w:fldChar w:fldCharType="separate"/>
            </w:r>
            <w:r w:rsidR="00466C1F">
              <w:rPr>
                <w:noProof/>
                <w:webHidden/>
              </w:rPr>
              <w:t>22</w:t>
            </w:r>
            <w:r>
              <w:rPr>
                <w:noProof/>
                <w:webHidden/>
              </w:rPr>
              <w:fldChar w:fldCharType="end"/>
            </w:r>
          </w:hyperlink>
        </w:p>
        <w:p w14:paraId="59934087" w14:textId="4D25DE21"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26" w:history="1">
            <w:r w:rsidRPr="00506631">
              <w:rPr>
                <w:rStyle w:val="Hypertextovodkaz"/>
                <w:noProof/>
                <w:lang w:val="en-GB"/>
              </w:rPr>
              <w:t>Context-dependency of active ageing outcomes</w:t>
            </w:r>
            <w:r>
              <w:rPr>
                <w:noProof/>
                <w:webHidden/>
              </w:rPr>
              <w:tab/>
            </w:r>
            <w:r>
              <w:rPr>
                <w:noProof/>
                <w:webHidden/>
              </w:rPr>
              <w:fldChar w:fldCharType="begin"/>
            </w:r>
            <w:r>
              <w:rPr>
                <w:noProof/>
                <w:webHidden/>
              </w:rPr>
              <w:instrText xml:space="preserve"> PAGEREF _Toc512687726 \h </w:instrText>
            </w:r>
            <w:r>
              <w:rPr>
                <w:noProof/>
                <w:webHidden/>
              </w:rPr>
            </w:r>
            <w:r>
              <w:rPr>
                <w:noProof/>
                <w:webHidden/>
              </w:rPr>
              <w:fldChar w:fldCharType="separate"/>
            </w:r>
            <w:r w:rsidR="00466C1F">
              <w:rPr>
                <w:noProof/>
                <w:webHidden/>
              </w:rPr>
              <w:t>23</w:t>
            </w:r>
            <w:r>
              <w:rPr>
                <w:noProof/>
                <w:webHidden/>
              </w:rPr>
              <w:fldChar w:fldCharType="end"/>
            </w:r>
          </w:hyperlink>
        </w:p>
        <w:p w14:paraId="011F593B" w14:textId="40F60634"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27" w:history="1">
            <w:r w:rsidRPr="00506631">
              <w:rPr>
                <w:rStyle w:val="Hypertextovodkaz"/>
                <w:i/>
                <w:noProof/>
                <w:lang w:val="en-GB" w:eastAsia="zh-CN"/>
              </w:rPr>
              <w:t>Theoretical alternatives expecting various outcomes of roles and activities</w:t>
            </w:r>
            <w:r>
              <w:rPr>
                <w:noProof/>
                <w:webHidden/>
              </w:rPr>
              <w:tab/>
            </w:r>
            <w:r>
              <w:rPr>
                <w:noProof/>
                <w:webHidden/>
              </w:rPr>
              <w:fldChar w:fldCharType="begin"/>
            </w:r>
            <w:r>
              <w:rPr>
                <w:noProof/>
                <w:webHidden/>
              </w:rPr>
              <w:instrText xml:space="preserve"> PAGEREF _Toc512687727 \h </w:instrText>
            </w:r>
            <w:r>
              <w:rPr>
                <w:noProof/>
                <w:webHidden/>
              </w:rPr>
            </w:r>
            <w:r>
              <w:rPr>
                <w:noProof/>
                <w:webHidden/>
              </w:rPr>
              <w:fldChar w:fldCharType="separate"/>
            </w:r>
            <w:r w:rsidR="00466C1F">
              <w:rPr>
                <w:noProof/>
                <w:webHidden/>
              </w:rPr>
              <w:t>24</w:t>
            </w:r>
            <w:r>
              <w:rPr>
                <w:noProof/>
                <w:webHidden/>
              </w:rPr>
              <w:fldChar w:fldCharType="end"/>
            </w:r>
          </w:hyperlink>
        </w:p>
        <w:p w14:paraId="2AAEEC46" w14:textId="1CB382F9"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28" w:history="1">
            <w:r w:rsidRPr="00506631">
              <w:rPr>
                <w:rStyle w:val="Hypertextovodkaz"/>
                <w:i/>
                <w:noProof/>
                <w:lang w:val="en-GB" w:eastAsia="zh-CN"/>
              </w:rPr>
              <w:t>Influential sociological theories and their implications for the active ageing paradigm</w:t>
            </w:r>
            <w:r>
              <w:rPr>
                <w:noProof/>
                <w:webHidden/>
              </w:rPr>
              <w:tab/>
            </w:r>
            <w:r>
              <w:rPr>
                <w:noProof/>
                <w:webHidden/>
              </w:rPr>
              <w:fldChar w:fldCharType="begin"/>
            </w:r>
            <w:r>
              <w:rPr>
                <w:noProof/>
                <w:webHidden/>
              </w:rPr>
              <w:instrText xml:space="preserve"> PAGEREF _Toc512687728 \h </w:instrText>
            </w:r>
            <w:r>
              <w:rPr>
                <w:noProof/>
                <w:webHidden/>
              </w:rPr>
            </w:r>
            <w:r>
              <w:rPr>
                <w:noProof/>
                <w:webHidden/>
              </w:rPr>
              <w:fldChar w:fldCharType="separate"/>
            </w:r>
            <w:r w:rsidR="00466C1F">
              <w:rPr>
                <w:noProof/>
                <w:webHidden/>
              </w:rPr>
              <w:t>25</w:t>
            </w:r>
            <w:r>
              <w:rPr>
                <w:noProof/>
                <w:webHidden/>
              </w:rPr>
              <w:fldChar w:fldCharType="end"/>
            </w:r>
          </w:hyperlink>
        </w:p>
        <w:p w14:paraId="13AB09FB" w14:textId="7AC39CEF"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29" w:history="1">
            <w:r w:rsidRPr="00506631">
              <w:rPr>
                <w:rStyle w:val="Hypertextovodkaz"/>
                <w:i/>
                <w:noProof/>
                <w:lang w:val="en-GB" w:eastAsia="zh-CN"/>
              </w:rPr>
              <w:t>Individual factors shaping outcomes of activities</w:t>
            </w:r>
            <w:r>
              <w:rPr>
                <w:noProof/>
                <w:webHidden/>
              </w:rPr>
              <w:tab/>
            </w:r>
            <w:r>
              <w:rPr>
                <w:noProof/>
                <w:webHidden/>
              </w:rPr>
              <w:fldChar w:fldCharType="begin"/>
            </w:r>
            <w:r>
              <w:rPr>
                <w:noProof/>
                <w:webHidden/>
              </w:rPr>
              <w:instrText xml:space="preserve"> PAGEREF _Toc512687729 \h </w:instrText>
            </w:r>
            <w:r>
              <w:rPr>
                <w:noProof/>
                <w:webHidden/>
              </w:rPr>
            </w:r>
            <w:r>
              <w:rPr>
                <w:noProof/>
                <w:webHidden/>
              </w:rPr>
              <w:fldChar w:fldCharType="separate"/>
            </w:r>
            <w:r w:rsidR="00466C1F">
              <w:rPr>
                <w:noProof/>
                <w:webHidden/>
              </w:rPr>
              <w:t>32</w:t>
            </w:r>
            <w:r>
              <w:rPr>
                <w:noProof/>
                <w:webHidden/>
              </w:rPr>
              <w:fldChar w:fldCharType="end"/>
            </w:r>
          </w:hyperlink>
        </w:p>
        <w:p w14:paraId="23AAAB47" w14:textId="6E62F256"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30" w:history="1">
            <w:r w:rsidRPr="00506631">
              <w:rPr>
                <w:rStyle w:val="Hypertextovodkaz"/>
                <w:i/>
                <w:noProof/>
                <w:lang w:val="en-GB" w:eastAsia="zh-CN"/>
              </w:rPr>
              <w:t>Macro-factors shaping outcomes of activities</w:t>
            </w:r>
            <w:r>
              <w:rPr>
                <w:noProof/>
                <w:webHidden/>
              </w:rPr>
              <w:tab/>
            </w:r>
            <w:r>
              <w:rPr>
                <w:noProof/>
                <w:webHidden/>
              </w:rPr>
              <w:fldChar w:fldCharType="begin"/>
            </w:r>
            <w:r>
              <w:rPr>
                <w:noProof/>
                <w:webHidden/>
              </w:rPr>
              <w:instrText xml:space="preserve"> PAGEREF _Toc512687730 \h </w:instrText>
            </w:r>
            <w:r>
              <w:rPr>
                <w:noProof/>
                <w:webHidden/>
              </w:rPr>
            </w:r>
            <w:r>
              <w:rPr>
                <w:noProof/>
                <w:webHidden/>
              </w:rPr>
              <w:fldChar w:fldCharType="separate"/>
            </w:r>
            <w:r w:rsidR="00466C1F">
              <w:rPr>
                <w:noProof/>
                <w:webHidden/>
              </w:rPr>
              <w:t>34</w:t>
            </w:r>
            <w:r>
              <w:rPr>
                <w:noProof/>
                <w:webHidden/>
              </w:rPr>
              <w:fldChar w:fldCharType="end"/>
            </w:r>
          </w:hyperlink>
        </w:p>
        <w:p w14:paraId="657990C1" w14:textId="103B4F7B"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31" w:history="1">
            <w:r w:rsidRPr="00506631">
              <w:rPr>
                <w:rStyle w:val="Hypertextovodkaz"/>
                <w:noProof/>
                <w:lang w:val="en-GB"/>
              </w:rPr>
              <w:t>Aims and questions of the dissertation</w:t>
            </w:r>
            <w:r>
              <w:rPr>
                <w:noProof/>
                <w:webHidden/>
              </w:rPr>
              <w:tab/>
            </w:r>
            <w:r>
              <w:rPr>
                <w:noProof/>
                <w:webHidden/>
              </w:rPr>
              <w:fldChar w:fldCharType="begin"/>
            </w:r>
            <w:r>
              <w:rPr>
                <w:noProof/>
                <w:webHidden/>
              </w:rPr>
              <w:instrText xml:space="preserve"> PAGEREF _Toc512687731 \h </w:instrText>
            </w:r>
            <w:r>
              <w:rPr>
                <w:noProof/>
                <w:webHidden/>
              </w:rPr>
            </w:r>
            <w:r>
              <w:rPr>
                <w:noProof/>
                <w:webHidden/>
              </w:rPr>
              <w:fldChar w:fldCharType="separate"/>
            </w:r>
            <w:r w:rsidR="00466C1F">
              <w:rPr>
                <w:noProof/>
                <w:webHidden/>
              </w:rPr>
              <w:t>36</w:t>
            </w:r>
            <w:r>
              <w:rPr>
                <w:noProof/>
                <w:webHidden/>
              </w:rPr>
              <w:fldChar w:fldCharType="end"/>
            </w:r>
          </w:hyperlink>
        </w:p>
        <w:p w14:paraId="03B32907" w14:textId="0C0206B3" w:rsidR="00B86239" w:rsidRDefault="00B86239">
          <w:pPr>
            <w:pStyle w:val="Obsah1"/>
            <w:tabs>
              <w:tab w:val="right" w:leader="dot" w:pos="9062"/>
            </w:tabs>
            <w:rPr>
              <w:rFonts w:asciiTheme="minorHAnsi" w:eastAsiaTheme="minorEastAsia" w:hAnsiTheme="minorHAnsi" w:cstheme="minorBidi"/>
              <w:noProof/>
              <w:sz w:val="22"/>
              <w:szCs w:val="22"/>
              <w:lang w:val="en-GB" w:eastAsia="en-GB"/>
            </w:rPr>
          </w:pPr>
          <w:hyperlink w:anchor="_Toc512687732" w:history="1">
            <w:r w:rsidRPr="00506631">
              <w:rPr>
                <w:rStyle w:val="Hypertextovodkaz"/>
                <w:noProof/>
                <w:lang w:val="en-GB" w:eastAsia="zh-CN"/>
              </w:rPr>
              <w:t>Chapter 2: Data and methods</w:t>
            </w:r>
            <w:r>
              <w:rPr>
                <w:noProof/>
                <w:webHidden/>
              </w:rPr>
              <w:tab/>
            </w:r>
            <w:r>
              <w:rPr>
                <w:noProof/>
                <w:webHidden/>
              </w:rPr>
              <w:fldChar w:fldCharType="begin"/>
            </w:r>
            <w:r>
              <w:rPr>
                <w:noProof/>
                <w:webHidden/>
              </w:rPr>
              <w:instrText xml:space="preserve"> PAGEREF _Toc512687732 \h </w:instrText>
            </w:r>
            <w:r>
              <w:rPr>
                <w:noProof/>
                <w:webHidden/>
              </w:rPr>
            </w:r>
            <w:r>
              <w:rPr>
                <w:noProof/>
                <w:webHidden/>
              </w:rPr>
              <w:fldChar w:fldCharType="separate"/>
            </w:r>
            <w:r w:rsidR="00466C1F">
              <w:rPr>
                <w:noProof/>
                <w:webHidden/>
              </w:rPr>
              <w:t>37</w:t>
            </w:r>
            <w:r>
              <w:rPr>
                <w:noProof/>
                <w:webHidden/>
              </w:rPr>
              <w:fldChar w:fldCharType="end"/>
            </w:r>
          </w:hyperlink>
        </w:p>
        <w:p w14:paraId="0B39925D" w14:textId="3F97C5AD"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33" w:history="1">
            <w:r w:rsidRPr="00506631">
              <w:rPr>
                <w:rStyle w:val="Hypertextovodkaz"/>
                <w:noProof/>
                <w:lang w:val="en-GB"/>
              </w:rPr>
              <w:t>Data</w:t>
            </w:r>
            <w:r>
              <w:rPr>
                <w:noProof/>
                <w:webHidden/>
              </w:rPr>
              <w:tab/>
            </w:r>
            <w:r>
              <w:rPr>
                <w:noProof/>
                <w:webHidden/>
              </w:rPr>
              <w:fldChar w:fldCharType="begin"/>
            </w:r>
            <w:r>
              <w:rPr>
                <w:noProof/>
                <w:webHidden/>
              </w:rPr>
              <w:instrText xml:space="preserve"> PAGEREF _Toc512687733 \h </w:instrText>
            </w:r>
            <w:r>
              <w:rPr>
                <w:noProof/>
                <w:webHidden/>
              </w:rPr>
            </w:r>
            <w:r>
              <w:rPr>
                <w:noProof/>
                <w:webHidden/>
              </w:rPr>
              <w:fldChar w:fldCharType="separate"/>
            </w:r>
            <w:r w:rsidR="00466C1F">
              <w:rPr>
                <w:noProof/>
                <w:webHidden/>
              </w:rPr>
              <w:t>37</w:t>
            </w:r>
            <w:r>
              <w:rPr>
                <w:noProof/>
                <w:webHidden/>
              </w:rPr>
              <w:fldChar w:fldCharType="end"/>
            </w:r>
          </w:hyperlink>
        </w:p>
        <w:p w14:paraId="3AB0C2B1" w14:textId="3160D3E9"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34" w:history="1">
            <w:r w:rsidRPr="00506631">
              <w:rPr>
                <w:rStyle w:val="Hypertextovodkaz"/>
                <w:noProof/>
                <w:lang w:val="en-GB"/>
              </w:rPr>
              <w:t>Methods</w:t>
            </w:r>
            <w:r>
              <w:rPr>
                <w:noProof/>
                <w:webHidden/>
              </w:rPr>
              <w:tab/>
            </w:r>
            <w:r>
              <w:rPr>
                <w:noProof/>
                <w:webHidden/>
              </w:rPr>
              <w:fldChar w:fldCharType="begin"/>
            </w:r>
            <w:r>
              <w:rPr>
                <w:noProof/>
                <w:webHidden/>
              </w:rPr>
              <w:instrText xml:space="preserve"> PAGEREF _Toc512687734 \h </w:instrText>
            </w:r>
            <w:r>
              <w:rPr>
                <w:noProof/>
                <w:webHidden/>
              </w:rPr>
            </w:r>
            <w:r>
              <w:rPr>
                <w:noProof/>
                <w:webHidden/>
              </w:rPr>
              <w:fldChar w:fldCharType="separate"/>
            </w:r>
            <w:r w:rsidR="00466C1F">
              <w:rPr>
                <w:noProof/>
                <w:webHidden/>
              </w:rPr>
              <w:t>39</w:t>
            </w:r>
            <w:r>
              <w:rPr>
                <w:noProof/>
                <w:webHidden/>
              </w:rPr>
              <w:fldChar w:fldCharType="end"/>
            </w:r>
          </w:hyperlink>
        </w:p>
        <w:p w14:paraId="2A29D007" w14:textId="3D5348C4" w:rsidR="00B86239" w:rsidRDefault="00B86239">
          <w:pPr>
            <w:pStyle w:val="Obsah1"/>
            <w:tabs>
              <w:tab w:val="right" w:leader="dot" w:pos="9062"/>
            </w:tabs>
            <w:rPr>
              <w:rFonts w:asciiTheme="minorHAnsi" w:eastAsiaTheme="minorEastAsia" w:hAnsiTheme="minorHAnsi" w:cstheme="minorBidi"/>
              <w:noProof/>
              <w:sz w:val="22"/>
              <w:szCs w:val="22"/>
              <w:lang w:val="en-GB" w:eastAsia="en-GB"/>
            </w:rPr>
          </w:pPr>
          <w:hyperlink w:anchor="_Toc512687735" w:history="1">
            <w:r w:rsidRPr="00506631">
              <w:rPr>
                <w:rStyle w:val="Hypertextovodkaz"/>
                <w:noProof/>
                <w:lang w:val="en-GB" w:eastAsia="zh-CN"/>
              </w:rPr>
              <w:t>Chapter 3: The consequences of prolonged working life for a subjective quality of life across Europe</w:t>
            </w:r>
            <w:r>
              <w:rPr>
                <w:noProof/>
                <w:webHidden/>
              </w:rPr>
              <w:tab/>
            </w:r>
            <w:r>
              <w:rPr>
                <w:noProof/>
                <w:webHidden/>
              </w:rPr>
              <w:fldChar w:fldCharType="begin"/>
            </w:r>
            <w:r>
              <w:rPr>
                <w:noProof/>
                <w:webHidden/>
              </w:rPr>
              <w:instrText xml:space="preserve"> PAGEREF _Toc512687735 \h </w:instrText>
            </w:r>
            <w:r>
              <w:rPr>
                <w:noProof/>
                <w:webHidden/>
              </w:rPr>
            </w:r>
            <w:r>
              <w:rPr>
                <w:noProof/>
                <w:webHidden/>
              </w:rPr>
              <w:fldChar w:fldCharType="separate"/>
            </w:r>
            <w:r w:rsidR="00466C1F">
              <w:rPr>
                <w:noProof/>
                <w:webHidden/>
              </w:rPr>
              <w:t>43</w:t>
            </w:r>
            <w:r>
              <w:rPr>
                <w:noProof/>
                <w:webHidden/>
              </w:rPr>
              <w:fldChar w:fldCharType="end"/>
            </w:r>
          </w:hyperlink>
        </w:p>
        <w:p w14:paraId="211E5A36" w14:textId="18F94E13"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36" w:history="1">
            <w:r w:rsidRPr="00506631">
              <w:rPr>
                <w:rStyle w:val="Hypertextovodkaz"/>
                <w:noProof/>
                <w:lang w:val="en-GB"/>
              </w:rPr>
              <w:t>Introduction</w:t>
            </w:r>
            <w:r>
              <w:rPr>
                <w:noProof/>
                <w:webHidden/>
              </w:rPr>
              <w:tab/>
            </w:r>
            <w:r>
              <w:rPr>
                <w:noProof/>
                <w:webHidden/>
              </w:rPr>
              <w:fldChar w:fldCharType="begin"/>
            </w:r>
            <w:r>
              <w:rPr>
                <w:noProof/>
                <w:webHidden/>
              </w:rPr>
              <w:instrText xml:space="preserve"> PAGEREF _Toc512687736 \h </w:instrText>
            </w:r>
            <w:r>
              <w:rPr>
                <w:noProof/>
                <w:webHidden/>
              </w:rPr>
            </w:r>
            <w:r>
              <w:rPr>
                <w:noProof/>
                <w:webHidden/>
              </w:rPr>
              <w:fldChar w:fldCharType="separate"/>
            </w:r>
            <w:r w:rsidR="00466C1F">
              <w:rPr>
                <w:noProof/>
                <w:webHidden/>
              </w:rPr>
              <w:t>44</w:t>
            </w:r>
            <w:r>
              <w:rPr>
                <w:noProof/>
                <w:webHidden/>
              </w:rPr>
              <w:fldChar w:fldCharType="end"/>
            </w:r>
          </w:hyperlink>
        </w:p>
        <w:p w14:paraId="24778FE7" w14:textId="1DCBB329"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37" w:history="1">
            <w:r w:rsidRPr="00506631">
              <w:rPr>
                <w:rStyle w:val="Hypertextovodkaz"/>
                <w:noProof/>
                <w:lang w:val="en-GB"/>
              </w:rPr>
              <w:t>The relationship between labour force participation and QoL</w:t>
            </w:r>
            <w:r>
              <w:rPr>
                <w:noProof/>
                <w:webHidden/>
              </w:rPr>
              <w:tab/>
            </w:r>
            <w:r>
              <w:rPr>
                <w:noProof/>
                <w:webHidden/>
              </w:rPr>
              <w:fldChar w:fldCharType="begin"/>
            </w:r>
            <w:r>
              <w:rPr>
                <w:noProof/>
                <w:webHidden/>
              </w:rPr>
              <w:instrText xml:space="preserve"> PAGEREF _Toc512687737 \h </w:instrText>
            </w:r>
            <w:r>
              <w:rPr>
                <w:noProof/>
                <w:webHidden/>
              </w:rPr>
            </w:r>
            <w:r>
              <w:rPr>
                <w:noProof/>
                <w:webHidden/>
              </w:rPr>
              <w:fldChar w:fldCharType="separate"/>
            </w:r>
            <w:r w:rsidR="00466C1F">
              <w:rPr>
                <w:noProof/>
                <w:webHidden/>
              </w:rPr>
              <w:t>46</w:t>
            </w:r>
            <w:r>
              <w:rPr>
                <w:noProof/>
                <w:webHidden/>
              </w:rPr>
              <w:fldChar w:fldCharType="end"/>
            </w:r>
          </w:hyperlink>
        </w:p>
        <w:p w14:paraId="19D852EF" w14:textId="11D2346B"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38" w:history="1">
            <w:r w:rsidRPr="00506631">
              <w:rPr>
                <w:rStyle w:val="Hypertextovodkaz"/>
                <w:noProof/>
                <w:lang w:val="en-GB"/>
              </w:rPr>
              <w:t>Different meaning and value of work across Europe</w:t>
            </w:r>
            <w:r>
              <w:rPr>
                <w:noProof/>
                <w:webHidden/>
              </w:rPr>
              <w:tab/>
            </w:r>
            <w:r>
              <w:rPr>
                <w:noProof/>
                <w:webHidden/>
              </w:rPr>
              <w:fldChar w:fldCharType="begin"/>
            </w:r>
            <w:r>
              <w:rPr>
                <w:noProof/>
                <w:webHidden/>
              </w:rPr>
              <w:instrText xml:space="preserve"> PAGEREF _Toc512687738 \h </w:instrText>
            </w:r>
            <w:r>
              <w:rPr>
                <w:noProof/>
                <w:webHidden/>
              </w:rPr>
            </w:r>
            <w:r>
              <w:rPr>
                <w:noProof/>
                <w:webHidden/>
              </w:rPr>
              <w:fldChar w:fldCharType="separate"/>
            </w:r>
            <w:r w:rsidR="00466C1F">
              <w:rPr>
                <w:noProof/>
                <w:webHidden/>
              </w:rPr>
              <w:t>48</w:t>
            </w:r>
            <w:r>
              <w:rPr>
                <w:noProof/>
                <w:webHidden/>
              </w:rPr>
              <w:fldChar w:fldCharType="end"/>
            </w:r>
          </w:hyperlink>
        </w:p>
        <w:p w14:paraId="1AF24F47" w14:textId="36C0FB63"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39" w:history="1">
            <w:r w:rsidRPr="00506631">
              <w:rPr>
                <w:rStyle w:val="Hypertextovodkaz"/>
                <w:noProof/>
                <w:lang w:val="en-GB"/>
              </w:rPr>
              <w:t>Data and methods</w:t>
            </w:r>
            <w:r>
              <w:rPr>
                <w:noProof/>
                <w:webHidden/>
              </w:rPr>
              <w:tab/>
            </w:r>
            <w:r>
              <w:rPr>
                <w:noProof/>
                <w:webHidden/>
              </w:rPr>
              <w:fldChar w:fldCharType="begin"/>
            </w:r>
            <w:r>
              <w:rPr>
                <w:noProof/>
                <w:webHidden/>
              </w:rPr>
              <w:instrText xml:space="preserve"> PAGEREF _Toc512687739 \h </w:instrText>
            </w:r>
            <w:r>
              <w:rPr>
                <w:noProof/>
                <w:webHidden/>
              </w:rPr>
            </w:r>
            <w:r>
              <w:rPr>
                <w:noProof/>
                <w:webHidden/>
              </w:rPr>
              <w:fldChar w:fldCharType="separate"/>
            </w:r>
            <w:r w:rsidR="00466C1F">
              <w:rPr>
                <w:noProof/>
                <w:webHidden/>
              </w:rPr>
              <w:t>50</w:t>
            </w:r>
            <w:r>
              <w:rPr>
                <w:noProof/>
                <w:webHidden/>
              </w:rPr>
              <w:fldChar w:fldCharType="end"/>
            </w:r>
          </w:hyperlink>
        </w:p>
        <w:p w14:paraId="5CD80FF6" w14:textId="4B9DFB4B"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40" w:history="1">
            <w:r w:rsidRPr="00506631">
              <w:rPr>
                <w:rStyle w:val="Hypertextovodkaz"/>
                <w:i/>
                <w:noProof/>
                <w:lang w:val="en-GB" w:eastAsia="zh-CN"/>
              </w:rPr>
              <w:t>Data</w:t>
            </w:r>
            <w:r>
              <w:rPr>
                <w:noProof/>
                <w:webHidden/>
              </w:rPr>
              <w:tab/>
            </w:r>
            <w:r>
              <w:rPr>
                <w:noProof/>
                <w:webHidden/>
              </w:rPr>
              <w:fldChar w:fldCharType="begin"/>
            </w:r>
            <w:r>
              <w:rPr>
                <w:noProof/>
                <w:webHidden/>
              </w:rPr>
              <w:instrText xml:space="preserve"> PAGEREF _Toc512687740 \h </w:instrText>
            </w:r>
            <w:r>
              <w:rPr>
                <w:noProof/>
                <w:webHidden/>
              </w:rPr>
            </w:r>
            <w:r>
              <w:rPr>
                <w:noProof/>
                <w:webHidden/>
              </w:rPr>
              <w:fldChar w:fldCharType="separate"/>
            </w:r>
            <w:r w:rsidR="00466C1F">
              <w:rPr>
                <w:noProof/>
                <w:webHidden/>
              </w:rPr>
              <w:t>51</w:t>
            </w:r>
            <w:r>
              <w:rPr>
                <w:noProof/>
                <w:webHidden/>
              </w:rPr>
              <w:fldChar w:fldCharType="end"/>
            </w:r>
          </w:hyperlink>
        </w:p>
        <w:p w14:paraId="67E940E8" w14:textId="4C5CEE1F"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41" w:history="1">
            <w:r w:rsidRPr="00506631">
              <w:rPr>
                <w:rStyle w:val="Hypertextovodkaz"/>
                <w:i/>
                <w:noProof/>
                <w:lang w:val="en-GB" w:eastAsia="zh-CN"/>
              </w:rPr>
              <w:t>Method</w:t>
            </w:r>
            <w:r>
              <w:rPr>
                <w:noProof/>
                <w:webHidden/>
              </w:rPr>
              <w:tab/>
            </w:r>
            <w:r>
              <w:rPr>
                <w:noProof/>
                <w:webHidden/>
              </w:rPr>
              <w:fldChar w:fldCharType="begin"/>
            </w:r>
            <w:r>
              <w:rPr>
                <w:noProof/>
                <w:webHidden/>
              </w:rPr>
              <w:instrText xml:space="preserve"> PAGEREF _Toc512687741 \h </w:instrText>
            </w:r>
            <w:r>
              <w:rPr>
                <w:noProof/>
                <w:webHidden/>
              </w:rPr>
            </w:r>
            <w:r>
              <w:rPr>
                <w:noProof/>
                <w:webHidden/>
              </w:rPr>
              <w:fldChar w:fldCharType="separate"/>
            </w:r>
            <w:r w:rsidR="00466C1F">
              <w:rPr>
                <w:noProof/>
                <w:webHidden/>
              </w:rPr>
              <w:t>52</w:t>
            </w:r>
            <w:r>
              <w:rPr>
                <w:noProof/>
                <w:webHidden/>
              </w:rPr>
              <w:fldChar w:fldCharType="end"/>
            </w:r>
          </w:hyperlink>
        </w:p>
        <w:p w14:paraId="7A6BFDBD" w14:textId="2C1DD62E"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42" w:history="1">
            <w:r w:rsidRPr="00506631">
              <w:rPr>
                <w:rStyle w:val="Hypertextovodkaz"/>
                <w:i/>
                <w:noProof/>
                <w:lang w:val="en-GB" w:eastAsia="zh-CN"/>
              </w:rPr>
              <w:t>Outcome variable</w:t>
            </w:r>
            <w:r>
              <w:rPr>
                <w:noProof/>
                <w:webHidden/>
              </w:rPr>
              <w:tab/>
            </w:r>
            <w:r>
              <w:rPr>
                <w:noProof/>
                <w:webHidden/>
              </w:rPr>
              <w:fldChar w:fldCharType="begin"/>
            </w:r>
            <w:r>
              <w:rPr>
                <w:noProof/>
                <w:webHidden/>
              </w:rPr>
              <w:instrText xml:space="preserve"> PAGEREF _Toc512687742 \h </w:instrText>
            </w:r>
            <w:r>
              <w:rPr>
                <w:noProof/>
                <w:webHidden/>
              </w:rPr>
            </w:r>
            <w:r>
              <w:rPr>
                <w:noProof/>
                <w:webHidden/>
              </w:rPr>
              <w:fldChar w:fldCharType="separate"/>
            </w:r>
            <w:r w:rsidR="00466C1F">
              <w:rPr>
                <w:noProof/>
                <w:webHidden/>
              </w:rPr>
              <w:t>54</w:t>
            </w:r>
            <w:r>
              <w:rPr>
                <w:noProof/>
                <w:webHidden/>
              </w:rPr>
              <w:fldChar w:fldCharType="end"/>
            </w:r>
          </w:hyperlink>
        </w:p>
        <w:p w14:paraId="1BF2265C" w14:textId="30580827"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43" w:history="1">
            <w:r w:rsidRPr="00506631">
              <w:rPr>
                <w:rStyle w:val="Hypertextovodkaz"/>
                <w:i/>
                <w:noProof/>
                <w:lang w:val="en-GB" w:eastAsia="zh-CN"/>
              </w:rPr>
              <w:t>Treatment variable</w:t>
            </w:r>
            <w:r>
              <w:rPr>
                <w:noProof/>
                <w:webHidden/>
              </w:rPr>
              <w:tab/>
            </w:r>
            <w:r>
              <w:rPr>
                <w:noProof/>
                <w:webHidden/>
              </w:rPr>
              <w:fldChar w:fldCharType="begin"/>
            </w:r>
            <w:r>
              <w:rPr>
                <w:noProof/>
                <w:webHidden/>
              </w:rPr>
              <w:instrText xml:space="preserve"> PAGEREF _Toc512687743 \h </w:instrText>
            </w:r>
            <w:r>
              <w:rPr>
                <w:noProof/>
                <w:webHidden/>
              </w:rPr>
            </w:r>
            <w:r>
              <w:rPr>
                <w:noProof/>
                <w:webHidden/>
              </w:rPr>
              <w:fldChar w:fldCharType="separate"/>
            </w:r>
            <w:r w:rsidR="00466C1F">
              <w:rPr>
                <w:noProof/>
                <w:webHidden/>
              </w:rPr>
              <w:t>54</w:t>
            </w:r>
            <w:r>
              <w:rPr>
                <w:noProof/>
                <w:webHidden/>
              </w:rPr>
              <w:fldChar w:fldCharType="end"/>
            </w:r>
          </w:hyperlink>
        </w:p>
        <w:p w14:paraId="33B66413" w14:textId="1E02E1AD"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44" w:history="1">
            <w:r w:rsidRPr="00506631">
              <w:rPr>
                <w:rStyle w:val="Hypertextovodkaz"/>
                <w:i/>
                <w:noProof/>
                <w:lang w:val="en-GB" w:eastAsia="zh-CN"/>
              </w:rPr>
              <w:t>Covariates</w:t>
            </w:r>
            <w:r>
              <w:rPr>
                <w:noProof/>
                <w:webHidden/>
              </w:rPr>
              <w:tab/>
            </w:r>
            <w:r>
              <w:rPr>
                <w:noProof/>
                <w:webHidden/>
              </w:rPr>
              <w:fldChar w:fldCharType="begin"/>
            </w:r>
            <w:r>
              <w:rPr>
                <w:noProof/>
                <w:webHidden/>
              </w:rPr>
              <w:instrText xml:space="preserve"> PAGEREF _Toc512687744 \h </w:instrText>
            </w:r>
            <w:r>
              <w:rPr>
                <w:noProof/>
                <w:webHidden/>
              </w:rPr>
            </w:r>
            <w:r>
              <w:rPr>
                <w:noProof/>
                <w:webHidden/>
              </w:rPr>
              <w:fldChar w:fldCharType="separate"/>
            </w:r>
            <w:r w:rsidR="00466C1F">
              <w:rPr>
                <w:noProof/>
                <w:webHidden/>
              </w:rPr>
              <w:t>55</w:t>
            </w:r>
            <w:r>
              <w:rPr>
                <w:noProof/>
                <w:webHidden/>
              </w:rPr>
              <w:fldChar w:fldCharType="end"/>
            </w:r>
          </w:hyperlink>
        </w:p>
        <w:p w14:paraId="7729FFC5" w14:textId="42C57063"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45" w:history="1">
            <w:r w:rsidRPr="00506631">
              <w:rPr>
                <w:rStyle w:val="Hypertextovodkaz"/>
                <w:noProof/>
                <w:lang w:val="en-GB"/>
              </w:rPr>
              <w:t>Results</w:t>
            </w:r>
            <w:r>
              <w:rPr>
                <w:noProof/>
                <w:webHidden/>
              </w:rPr>
              <w:tab/>
            </w:r>
            <w:r>
              <w:rPr>
                <w:noProof/>
                <w:webHidden/>
              </w:rPr>
              <w:fldChar w:fldCharType="begin"/>
            </w:r>
            <w:r>
              <w:rPr>
                <w:noProof/>
                <w:webHidden/>
              </w:rPr>
              <w:instrText xml:space="preserve"> PAGEREF _Toc512687745 \h </w:instrText>
            </w:r>
            <w:r>
              <w:rPr>
                <w:noProof/>
                <w:webHidden/>
              </w:rPr>
            </w:r>
            <w:r>
              <w:rPr>
                <w:noProof/>
                <w:webHidden/>
              </w:rPr>
              <w:fldChar w:fldCharType="separate"/>
            </w:r>
            <w:r w:rsidR="00466C1F">
              <w:rPr>
                <w:noProof/>
                <w:webHidden/>
              </w:rPr>
              <w:t>56</w:t>
            </w:r>
            <w:r>
              <w:rPr>
                <w:noProof/>
                <w:webHidden/>
              </w:rPr>
              <w:fldChar w:fldCharType="end"/>
            </w:r>
          </w:hyperlink>
        </w:p>
        <w:p w14:paraId="214624BA" w14:textId="4EAA4D5F"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46" w:history="1">
            <w:r w:rsidRPr="00506631">
              <w:rPr>
                <w:rStyle w:val="Hypertextovodkaz"/>
                <w:i/>
                <w:noProof/>
                <w:lang w:val="en-GB" w:eastAsia="zh-CN"/>
              </w:rPr>
              <w:t>Description of the outcome variable</w:t>
            </w:r>
            <w:r>
              <w:rPr>
                <w:noProof/>
                <w:webHidden/>
              </w:rPr>
              <w:tab/>
            </w:r>
            <w:r>
              <w:rPr>
                <w:noProof/>
                <w:webHidden/>
              </w:rPr>
              <w:fldChar w:fldCharType="begin"/>
            </w:r>
            <w:r>
              <w:rPr>
                <w:noProof/>
                <w:webHidden/>
              </w:rPr>
              <w:instrText xml:space="preserve"> PAGEREF _Toc512687746 \h </w:instrText>
            </w:r>
            <w:r>
              <w:rPr>
                <w:noProof/>
                <w:webHidden/>
              </w:rPr>
            </w:r>
            <w:r>
              <w:rPr>
                <w:noProof/>
                <w:webHidden/>
              </w:rPr>
              <w:fldChar w:fldCharType="separate"/>
            </w:r>
            <w:r w:rsidR="00466C1F">
              <w:rPr>
                <w:noProof/>
                <w:webHidden/>
              </w:rPr>
              <w:t>56</w:t>
            </w:r>
            <w:r>
              <w:rPr>
                <w:noProof/>
                <w:webHidden/>
              </w:rPr>
              <w:fldChar w:fldCharType="end"/>
            </w:r>
          </w:hyperlink>
        </w:p>
        <w:p w14:paraId="1AFBA64D" w14:textId="6D7C6211"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47" w:history="1">
            <w:r w:rsidRPr="00506631">
              <w:rPr>
                <w:rStyle w:val="Hypertextovodkaz"/>
                <w:i/>
                <w:noProof/>
                <w:lang w:val="en-GB" w:eastAsia="zh-CN"/>
              </w:rPr>
              <w:t>The process of matching</w:t>
            </w:r>
            <w:r>
              <w:rPr>
                <w:noProof/>
                <w:webHidden/>
              </w:rPr>
              <w:tab/>
            </w:r>
            <w:r>
              <w:rPr>
                <w:noProof/>
                <w:webHidden/>
              </w:rPr>
              <w:fldChar w:fldCharType="begin"/>
            </w:r>
            <w:r>
              <w:rPr>
                <w:noProof/>
                <w:webHidden/>
              </w:rPr>
              <w:instrText xml:space="preserve"> PAGEREF _Toc512687747 \h </w:instrText>
            </w:r>
            <w:r>
              <w:rPr>
                <w:noProof/>
                <w:webHidden/>
              </w:rPr>
            </w:r>
            <w:r>
              <w:rPr>
                <w:noProof/>
                <w:webHidden/>
              </w:rPr>
              <w:fldChar w:fldCharType="separate"/>
            </w:r>
            <w:r w:rsidR="00466C1F">
              <w:rPr>
                <w:noProof/>
                <w:webHidden/>
              </w:rPr>
              <w:t>56</w:t>
            </w:r>
            <w:r>
              <w:rPr>
                <w:noProof/>
                <w:webHidden/>
              </w:rPr>
              <w:fldChar w:fldCharType="end"/>
            </w:r>
          </w:hyperlink>
        </w:p>
        <w:p w14:paraId="43278A53" w14:textId="2780A981"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48" w:history="1">
            <w:r w:rsidRPr="00506631">
              <w:rPr>
                <w:rStyle w:val="Hypertextovodkaz"/>
                <w:i/>
                <w:noProof/>
                <w:lang w:val="en-GB" w:eastAsia="zh-CN"/>
              </w:rPr>
              <w:t>The results of average treatment effect (ATT)</w:t>
            </w:r>
            <w:r>
              <w:rPr>
                <w:noProof/>
                <w:webHidden/>
              </w:rPr>
              <w:tab/>
            </w:r>
            <w:r>
              <w:rPr>
                <w:noProof/>
                <w:webHidden/>
              </w:rPr>
              <w:fldChar w:fldCharType="begin"/>
            </w:r>
            <w:r>
              <w:rPr>
                <w:noProof/>
                <w:webHidden/>
              </w:rPr>
              <w:instrText xml:space="preserve"> PAGEREF _Toc512687748 \h </w:instrText>
            </w:r>
            <w:r>
              <w:rPr>
                <w:noProof/>
                <w:webHidden/>
              </w:rPr>
            </w:r>
            <w:r>
              <w:rPr>
                <w:noProof/>
                <w:webHidden/>
              </w:rPr>
              <w:fldChar w:fldCharType="separate"/>
            </w:r>
            <w:r w:rsidR="00466C1F">
              <w:rPr>
                <w:noProof/>
                <w:webHidden/>
              </w:rPr>
              <w:t>59</w:t>
            </w:r>
            <w:r>
              <w:rPr>
                <w:noProof/>
                <w:webHidden/>
              </w:rPr>
              <w:fldChar w:fldCharType="end"/>
            </w:r>
          </w:hyperlink>
        </w:p>
        <w:p w14:paraId="5EF26E63" w14:textId="5228EC93"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49" w:history="1">
            <w:r w:rsidRPr="00506631">
              <w:rPr>
                <w:rStyle w:val="Hypertextovodkaz"/>
                <w:noProof/>
                <w:lang w:val="en-GB"/>
              </w:rPr>
              <w:t>Conclusion and discussion</w:t>
            </w:r>
            <w:r>
              <w:rPr>
                <w:noProof/>
                <w:webHidden/>
              </w:rPr>
              <w:tab/>
            </w:r>
            <w:r>
              <w:rPr>
                <w:noProof/>
                <w:webHidden/>
              </w:rPr>
              <w:fldChar w:fldCharType="begin"/>
            </w:r>
            <w:r>
              <w:rPr>
                <w:noProof/>
                <w:webHidden/>
              </w:rPr>
              <w:instrText xml:space="preserve"> PAGEREF _Toc512687749 \h </w:instrText>
            </w:r>
            <w:r>
              <w:rPr>
                <w:noProof/>
                <w:webHidden/>
              </w:rPr>
            </w:r>
            <w:r>
              <w:rPr>
                <w:noProof/>
                <w:webHidden/>
              </w:rPr>
              <w:fldChar w:fldCharType="separate"/>
            </w:r>
            <w:r w:rsidR="00466C1F">
              <w:rPr>
                <w:noProof/>
                <w:webHidden/>
              </w:rPr>
              <w:t>60</w:t>
            </w:r>
            <w:r>
              <w:rPr>
                <w:noProof/>
                <w:webHidden/>
              </w:rPr>
              <w:fldChar w:fldCharType="end"/>
            </w:r>
          </w:hyperlink>
        </w:p>
        <w:p w14:paraId="1581BCCF" w14:textId="7093848C" w:rsidR="00B86239" w:rsidRDefault="00B86239">
          <w:pPr>
            <w:pStyle w:val="Obsah1"/>
            <w:tabs>
              <w:tab w:val="right" w:leader="dot" w:pos="9062"/>
            </w:tabs>
            <w:rPr>
              <w:rFonts w:asciiTheme="minorHAnsi" w:eastAsiaTheme="minorEastAsia" w:hAnsiTheme="minorHAnsi" w:cstheme="minorBidi"/>
              <w:noProof/>
              <w:sz w:val="22"/>
              <w:szCs w:val="22"/>
              <w:lang w:val="en-GB" w:eastAsia="en-GB"/>
            </w:rPr>
          </w:pPr>
          <w:hyperlink w:anchor="_Toc512687750" w:history="1">
            <w:r w:rsidRPr="00506631">
              <w:rPr>
                <w:rStyle w:val="Hypertextovodkaz"/>
                <w:noProof/>
                <w:lang w:val="en-GB" w:eastAsia="zh-CN"/>
              </w:rPr>
              <w:t>Chapter 4: Is Providing Informal Care a Path to Meaningful and Satisfying Ageing?</w:t>
            </w:r>
            <w:r>
              <w:rPr>
                <w:noProof/>
                <w:webHidden/>
              </w:rPr>
              <w:tab/>
            </w:r>
            <w:r>
              <w:rPr>
                <w:noProof/>
                <w:webHidden/>
              </w:rPr>
              <w:fldChar w:fldCharType="begin"/>
            </w:r>
            <w:r>
              <w:rPr>
                <w:noProof/>
                <w:webHidden/>
              </w:rPr>
              <w:instrText xml:space="preserve"> PAGEREF _Toc512687750 \h </w:instrText>
            </w:r>
            <w:r>
              <w:rPr>
                <w:noProof/>
                <w:webHidden/>
              </w:rPr>
            </w:r>
            <w:r>
              <w:rPr>
                <w:noProof/>
                <w:webHidden/>
              </w:rPr>
              <w:fldChar w:fldCharType="separate"/>
            </w:r>
            <w:r w:rsidR="00466C1F">
              <w:rPr>
                <w:noProof/>
                <w:webHidden/>
              </w:rPr>
              <w:t>64</w:t>
            </w:r>
            <w:r>
              <w:rPr>
                <w:noProof/>
                <w:webHidden/>
              </w:rPr>
              <w:fldChar w:fldCharType="end"/>
            </w:r>
          </w:hyperlink>
        </w:p>
        <w:p w14:paraId="2D3519CE" w14:textId="46C84EFA"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51" w:history="1">
            <w:r w:rsidRPr="00506631">
              <w:rPr>
                <w:rStyle w:val="Hypertextovodkaz"/>
                <w:noProof/>
                <w:lang w:val="en-GB"/>
              </w:rPr>
              <w:t>Introduction</w:t>
            </w:r>
            <w:r>
              <w:rPr>
                <w:noProof/>
                <w:webHidden/>
              </w:rPr>
              <w:tab/>
            </w:r>
            <w:r>
              <w:rPr>
                <w:noProof/>
                <w:webHidden/>
              </w:rPr>
              <w:fldChar w:fldCharType="begin"/>
            </w:r>
            <w:r>
              <w:rPr>
                <w:noProof/>
                <w:webHidden/>
              </w:rPr>
              <w:instrText xml:space="preserve"> PAGEREF _Toc512687751 \h </w:instrText>
            </w:r>
            <w:r>
              <w:rPr>
                <w:noProof/>
                <w:webHidden/>
              </w:rPr>
            </w:r>
            <w:r>
              <w:rPr>
                <w:noProof/>
                <w:webHidden/>
              </w:rPr>
              <w:fldChar w:fldCharType="separate"/>
            </w:r>
            <w:r w:rsidR="00466C1F">
              <w:rPr>
                <w:noProof/>
                <w:webHidden/>
              </w:rPr>
              <w:t>65</w:t>
            </w:r>
            <w:r>
              <w:rPr>
                <w:noProof/>
                <w:webHidden/>
              </w:rPr>
              <w:fldChar w:fldCharType="end"/>
            </w:r>
          </w:hyperlink>
        </w:p>
        <w:p w14:paraId="692BCE0C" w14:textId="187F31B8"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52" w:history="1">
            <w:r w:rsidRPr="00506631">
              <w:rPr>
                <w:rStyle w:val="Hypertextovodkaz"/>
                <w:noProof/>
                <w:lang w:val="en-GB"/>
              </w:rPr>
              <w:t>Literature Review</w:t>
            </w:r>
            <w:r>
              <w:rPr>
                <w:noProof/>
                <w:webHidden/>
              </w:rPr>
              <w:tab/>
            </w:r>
            <w:r>
              <w:rPr>
                <w:noProof/>
                <w:webHidden/>
              </w:rPr>
              <w:fldChar w:fldCharType="begin"/>
            </w:r>
            <w:r>
              <w:rPr>
                <w:noProof/>
                <w:webHidden/>
              </w:rPr>
              <w:instrText xml:space="preserve"> PAGEREF _Toc512687752 \h </w:instrText>
            </w:r>
            <w:r>
              <w:rPr>
                <w:noProof/>
                <w:webHidden/>
              </w:rPr>
            </w:r>
            <w:r>
              <w:rPr>
                <w:noProof/>
                <w:webHidden/>
              </w:rPr>
              <w:fldChar w:fldCharType="separate"/>
            </w:r>
            <w:r w:rsidR="00466C1F">
              <w:rPr>
                <w:noProof/>
                <w:webHidden/>
              </w:rPr>
              <w:t>66</w:t>
            </w:r>
            <w:r>
              <w:rPr>
                <w:noProof/>
                <w:webHidden/>
              </w:rPr>
              <w:fldChar w:fldCharType="end"/>
            </w:r>
          </w:hyperlink>
        </w:p>
        <w:p w14:paraId="508C96DF" w14:textId="27BB44D9"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53" w:history="1">
            <w:r w:rsidRPr="00506631">
              <w:rPr>
                <w:rStyle w:val="Hypertextovodkaz"/>
                <w:i/>
                <w:noProof/>
                <w:lang w:val="en-GB" w:eastAsia="zh-CN"/>
              </w:rPr>
              <w:t>Costs and Benefits of Informal Caregiving</w:t>
            </w:r>
            <w:r>
              <w:rPr>
                <w:noProof/>
                <w:webHidden/>
              </w:rPr>
              <w:tab/>
            </w:r>
            <w:r>
              <w:rPr>
                <w:noProof/>
                <w:webHidden/>
              </w:rPr>
              <w:fldChar w:fldCharType="begin"/>
            </w:r>
            <w:r>
              <w:rPr>
                <w:noProof/>
                <w:webHidden/>
              </w:rPr>
              <w:instrText xml:space="preserve"> PAGEREF _Toc512687753 \h </w:instrText>
            </w:r>
            <w:r>
              <w:rPr>
                <w:noProof/>
                <w:webHidden/>
              </w:rPr>
            </w:r>
            <w:r>
              <w:rPr>
                <w:noProof/>
                <w:webHidden/>
              </w:rPr>
              <w:fldChar w:fldCharType="separate"/>
            </w:r>
            <w:r w:rsidR="00466C1F">
              <w:rPr>
                <w:noProof/>
                <w:webHidden/>
              </w:rPr>
              <w:t>66</w:t>
            </w:r>
            <w:r>
              <w:rPr>
                <w:noProof/>
                <w:webHidden/>
              </w:rPr>
              <w:fldChar w:fldCharType="end"/>
            </w:r>
          </w:hyperlink>
        </w:p>
        <w:p w14:paraId="3C84D429" w14:textId="624E6AA2"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54" w:history="1">
            <w:r w:rsidRPr="00506631">
              <w:rPr>
                <w:rStyle w:val="Hypertextovodkaz"/>
                <w:i/>
                <w:noProof/>
                <w:lang w:val="en-GB" w:eastAsia="zh-CN"/>
              </w:rPr>
              <w:t>Factors Affecting Caregiving Outcomes</w:t>
            </w:r>
            <w:r>
              <w:rPr>
                <w:noProof/>
                <w:webHidden/>
              </w:rPr>
              <w:tab/>
            </w:r>
            <w:r>
              <w:rPr>
                <w:noProof/>
                <w:webHidden/>
              </w:rPr>
              <w:fldChar w:fldCharType="begin"/>
            </w:r>
            <w:r>
              <w:rPr>
                <w:noProof/>
                <w:webHidden/>
              </w:rPr>
              <w:instrText xml:space="preserve"> PAGEREF _Toc512687754 \h </w:instrText>
            </w:r>
            <w:r>
              <w:rPr>
                <w:noProof/>
                <w:webHidden/>
              </w:rPr>
            </w:r>
            <w:r>
              <w:rPr>
                <w:noProof/>
                <w:webHidden/>
              </w:rPr>
              <w:fldChar w:fldCharType="separate"/>
            </w:r>
            <w:r w:rsidR="00466C1F">
              <w:rPr>
                <w:noProof/>
                <w:webHidden/>
              </w:rPr>
              <w:t>67</w:t>
            </w:r>
            <w:r>
              <w:rPr>
                <w:noProof/>
                <w:webHidden/>
              </w:rPr>
              <w:fldChar w:fldCharType="end"/>
            </w:r>
          </w:hyperlink>
        </w:p>
        <w:p w14:paraId="4ECBF8FE" w14:textId="27BAE97F"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55" w:history="1">
            <w:r w:rsidRPr="00506631">
              <w:rPr>
                <w:rStyle w:val="Hypertextovodkaz"/>
                <w:i/>
                <w:noProof/>
                <w:lang w:val="en-GB" w:eastAsia="zh-CN"/>
              </w:rPr>
              <w:t>Subjective QoL and Related Concepts</w:t>
            </w:r>
            <w:r>
              <w:rPr>
                <w:noProof/>
                <w:webHidden/>
              </w:rPr>
              <w:tab/>
            </w:r>
            <w:r>
              <w:rPr>
                <w:noProof/>
                <w:webHidden/>
              </w:rPr>
              <w:fldChar w:fldCharType="begin"/>
            </w:r>
            <w:r>
              <w:rPr>
                <w:noProof/>
                <w:webHidden/>
              </w:rPr>
              <w:instrText xml:space="preserve"> PAGEREF _Toc512687755 \h </w:instrText>
            </w:r>
            <w:r>
              <w:rPr>
                <w:noProof/>
                <w:webHidden/>
              </w:rPr>
            </w:r>
            <w:r>
              <w:rPr>
                <w:noProof/>
                <w:webHidden/>
              </w:rPr>
              <w:fldChar w:fldCharType="separate"/>
            </w:r>
            <w:r w:rsidR="00466C1F">
              <w:rPr>
                <w:noProof/>
                <w:webHidden/>
              </w:rPr>
              <w:t>69</w:t>
            </w:r>
            <w:r>
              <w:rPr>
                <w:noProof/>
                <w:webHidden/>
              </w:rPr>
              <w:fldChar w:fldCharType="end"/>
            </w:r>
          </w:hyperlink>
        </w:p>
        <w:p w14:paraId="021C08C9" w14:textId="344FA065"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56" w:history="1">
            <w:r w:rsidRPr="00506631">
              <w:rPr>
                <w:rStyle w:val="Hypertextovodkaz"/>
                <w:noProof/>
                <w:lang w:val="en-GB"/>
              </w:rPr>
              <w:t>Data, Measurement, and Methods</w:t>
            </w:r>
            <w:r>
              <w:rPr>
                <w:noProof/>
                <w:webHidden/>
              </w:rPr>
              <w:tab/>
            </w:r>
            <w:r>
              <w:rPr>
                <w:noProof/>
                <w:webHidden/>
              </w:rPr>
              <w:fldChar w:fldCharType="begin"/>
            </w:r>
            <w:r>
              <w:rPr>
                <w:noProof/>
                <w:webHidden/>
              </w:rPr>
              <w:instrText xml:space="preserve"> PAGEREF _Toc512687756 \h </w:instrText>
            </w:r>
            <w:r>
              <w:rPr>
                <w:noProof/>
                <w:webHidden/>
              </w:rPr>
            </w:r>
            <w:r>
              <w:rPr>
                <w:noProof/>
                <w:webHidden/>
              </w:rPr>
              <w:fldChar w:fldCharType="separate"/>
            </w:r>
            <w:r w:rsidR="00466C1F">
              <w:rPr>
                <w:noProof/>
                <w:webHidden/>
              </w:rPr>
              <w:t>71</w:t>
            </w:r>
            <w:r>
              <w:rPr>
                <w:noProof/>
                <w:webHidden/>
              </w:rPr>
              <w:fldChar w:fldCharType="end"/>
            </w:r>
          </w:hyperlink>
        </w:p>
        <w:p w14:paraId="0889B8B3" w14:textId="5627ACC9"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57" w:history="1">
            <w:r w:rsidRPr="00506631">
              <w:rPr>
                <w:rStyle w:val="Hypertextovodkaz"/>
                <w:i/>
                <w:noProof/>
                <w:lang w:val="en-GB" w:eastAsia="zh-CN"/>
              </w:rPr>
              <w:t>Data</w:t>
            </w:r>
            <w:r>
              <w:rPr>
                <w:noProof/>
                <w:webHidden/>
              </w:rPr>
              <w:tab/>
            </w:r>
            <w:r>
              <w:rPr>
                <w:noProof/>
                <w:webHidden/>
              </w:rPr>
              <w:fldChar w:fldCharType="begin"/>
            </w:r>
            <w:r>
              <w:rPr>
                <w:noProof/>
                <w:webHidden/>
              </w:rPr>
              <w:instrText xml:space="preserve"> PAGEREF _Toc512687757 \h </w:instrText>
            </w:r>
            <w:r>
              <w:rPr>
                <w:noProof/>
                <w:webHidden/>
              </w:rPr>
            </w:r>
            <w:r>
              <w:rPr>
                <w:noProof/>
                <w:webHidden/>
              </w:rPr>
              <w:fldChar w:fldCharType="separate"/>
            </w:r>
            <w:r w:rsidR="00466C1F">
              <w:rPr>
                <w:noProof/>
                <w:webHidden/>
              </w:rPr>
              <w:t>71</w:t>
            </w:r>
            <w:r>
              <w:rPr>
                <w:noProof/>
                <w:webHidden/>
              </w:rPr>
              <w:fldChar w:fldCharType="end"/>
            </w:r>
          </w:hyperlink>
        </w:p>
        <w:p w14:paraId="267F6EEB" w14:textId="1FE3D4C4"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58" w:history="1">
            <w:r w:rsidRPr="00506631">
              <w:rPr>
                <w:rStyle w:val="Hypertextovodkaz"/>
                <w:i/>
                <w:noProof/>
                <w:lang w:val="en-GB" w:eastAsia="zh-CN"/>
              </w:rPr>
              <w:t>Dependent Variables</w:t>
            </w:r>
            <w:r>
              <w:rPr>
                <w:noProof/>
                <w:webHidden/>
              </w:rPr>
              <w:tab/>
            </w:r>
            <w:r>
              <w:rPr>
                <w:noProof/>
                <w:webHidden/>
              </w:rPr>
              <w:fldChar w:fldCharType="begin"/>
            </w:r>
            <w:r>
              <w:rPr>
                <w:noProof/>
                <w:webHidden/>
              </w:rPr>
              <w:instrText xml:space="preserve"> PAGEREF _Toc512687758 \h </w:instrText>
            </w:r>
            <w:r>
              <w:rPr>
                <w:noProof/>
                <w:webHidden/>
              </w:rPr>
            </w:r>
            <w:r>
              <w:rPr>
                <w:noProof/>
                <w:webHidden/>
              </w:rPr>
              <w:fldChar w:fldCharType="separate"/>
            </w:r>
            <w:r w:rsidR="00466C1F">
              <w:rPr>
                <w:noProof/>
                <w:webHidden/>
              </w:rPr>
              <w:t>73</w:t>
            </w:r>
            <w:r>
              <w:rPr>
                <w:noProof/>
                <w:webHidden/>
              </w:rPr>
              <w:fldChar w:fldCharType="end"/>
            </w:r>
          </w:hyperlink>
        </w:p>
        <w:p w14:paraId="01CEE736" w14:textId="23978AD5"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59" w:history="1">
            <w:r w:rsidRPr="00506631">
              <w:rPr>
                <w:rStyle w:val="Hypertextovodkaz"/>
                <w:i/>
                <w:noProof/>
                <w:lang w:val="en-GB" w:eastAsia="zh-CN"/>
              </w:rPr>
              <w:t>Main Explanatory Variables</w:t>
            </w:r>
            <w:r>
              <w:rPr>
                <w:noProof/>
                <w:webHidden/>
              </w:rPr>
              <w:tab/>
            </w:r>
            <w:r>
              <w:rPr>
                <w:noProof/>
                <w:webHidden/>
              </w:rPr>
              <w:fldChar w:fldCharType="begin"/>
            </w:r>
            <w:r>
              <w:rPr>
                <w:noProof/>
                <w:webHidden/>
              </w:rPr>
              <w:instrText xml:space="preserve"> PAGEREF _Toc512687759 \h </w:instrText>
            </w:r>
            <w:r>
              <w:rPr>
                <w:noProof/>
                <w:webHidden/>
              </w:rPr>
            </w:r>
            <w:r>
              <w:rPr>
                <w:noProof/>
                <w:webHidden/>
              </w:rPr>
              <w:fldChar w:fldCharType="separate"/>
            </w:r>
            <w:r w:rsidR="00466C1F">
              <w:rPr>
                <w:noProof/>
                <w:webHidden/>
              </w:rPr>
              <w:t>74</w:t>
            </w:r>
            <w:r>
              <w:rPr>
                <w:noProof/>
                <w:webHidden/>
              </w:rPr>
              <w:fldChar w:fldCharType="end"/>
            </w:r>
          </w:hyperlink>
        </w:p>
        <w:p w14:paraId="7988AF89" w14:textId="62BFF9B7"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60" w:history="1">
            <w:r w:rsidRPr="00506631">
              <w:rPr>
                <w:rStyle w:val="Hypertextovodkaz"/>
                <w:i/>
                <w:noProof/>
                <w:lang w:val="en-GB" w:eastAsia="zh-CN"/>
              </w:rPr>
              <w:t>Control Variables</w:t>
            </w:r>
            <w:r>
              <w:rPr>
                <w:noProof/>
                <w:webHidden/>
              </w:rPr>
              <w:tab/>
            </w:r>
            <w:r>
              <w:rPr>
                <w:noProof/>
                <w:webHidden/>
              </w:rPr>
              <w:fldChar w:fldCharType="begin"/>
            </w:r>
            <w:r>
              <w:rPr>
                <w:noProof/>
                <w:webHidden/>
              </w:rPr>
              <w:instrText xml:space="preserve"> PAGEREF _Toc512687760 \h </w:instrText>
            </w:r>
            <w:r>
              <w:rPr>
                <w:noProof/>
                <w:webHidden/>
              </w:rPr>
            </w:r>
            <w:r>
              <w:rPr>
                <w:noProof/>
                <w:webHidden/>
              </w:rPr>
              <w:fldChar w:fldCharType="separate"/>
            </w:r>
            <w:r w:rsidR="00466C1F">
              <w:rPr>
                <w:noProof/>
                <w:webHidden/>
              </w:rPr>
              <w:t>75</w:t>
            </w:r>
            <w:r>
              <w:rPr>
                <w:noProof/>
                <w:webHidden/>
              </w:rPr>
              <w:fldChar w:fldCharType="end"/>
            </w:r>
          </w:hyperlink>
        </w:p>
        <w:p w14:paraId="0BC303B6" w14:textId="7F88551E"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61" w:history="1">
            <w:r w:rsidRPr="00506631">
              <w:rPr>
                <w:rStyle w:val="Hypertextovodkaz"/>
                <w:noProof/>
                <w:lang w:val="en-GB"/>
              </w:rPr>
              <w:t>Results</w:t>
            </w:r>
            <w:r>
              <w:rPr>
                <w:noProof/>
                <w:webHidden/>
              </w:rPr>
              <w:tab/>
            </w:r>
            <w:r>
              <w:rPr>
                <w:noProof/>
                <w:webHidden/>
              </w:rPr>
              <w:fldChar w:fldCharType="begin"/>
            </w:r>
            <w:r>
              <w:rPr>
                <w:noProof/>
                <w:webHidden/>
              </w:rPr>
              <w:instrText xml:space="preserve"> PAGEREF _Toc512687761 \h </w:instrText>
            </w:r>
            <w:r>
              <w:rPr>
                <w:noProof/>
                <w:webHidden/>
              </w:rPr>
            </w:r>
            <w:r>
              <w:rPr>
                <w:noProof/>
                <w:webHidden/>
              </w:rPr>
              <w:fldChar w:fldCharType="separate"/>
            </w:r>
            <w:r w:rsidR="00466C1F">
              <w:rPr>
                <w:noProof/>
                <w:webHidden/>
              </w:rPr>
              <w:t>76</w:t>
            </w:r>
            <w:r>
              <w:rPr>
                <w:noProof/>
                <w:webHidden/>
              </w:rPr>
              <w:fldChar w:fldCharType="end"/>
            </w:r>
          </w:hyperlink>
        </w:p>
        <w:p w14:paraId="53722353" w14:textId="3E98859B"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62" w:history="1">
            <w:r w:rsidRPr="00506631">
              <w:rPr>
                <w:rStyle w:val="Hypertextovodkaz"/>
                <w:noProof/>
                <w:lang w:val="en-GB"/>
              </w:rPr>
              <w:t>Conclusion and Discussion</w:t>
            </w:r>
            <w:r>
              <w:rPr>
                <w:noProof/>
                <w:webHidden/>
              </w:rPr>
              <w:tab/>
            </w:r>
            <w:r>
              <w:rPr>
                <w:noProof/>
                <w:webHidden/>
              </w:rPr>
              <w:fldChar w:fldCharType="begin"/>
            </w:r>
            <w:r>
              <w:rPr>
                <w:noProof/>
                <w:webHidden/>
              </w:rPr>
              <w:instrText xml:space="preserve"> PAGEREF _Toc512687762 \h </w:instrText>
            </w:r>
            <w:r>
              <w:rPr>
                <w:noProof/>
                <w:webHidden/>
              </w:rPr>
            </w:r>
            <w:r>
              <w:rPr>
                <w:noProof/>
                <w:webHidden/>
              </w:rPr>
              <w:fldChar w:fldCharType="separate"/>
            </w:r>
            <w:r w:rsidR="00466C1F">
              <w:rPr>
                <w:noProof/>
                <w:webHidden/>
              </w:rPr>
              <w:t>80</w:t>
            </w:r>
            <w:r>
              <w:rPr>
                <w:noProof/>
                <w:webHidden/>
              </w:rPr>
              <w:fldChar w:fldCharType="end"/>
            </w:r>
          </w:hyperlink>
        </w:p>
        <w:p w14:paraId="5CC2088F" w14:textId="4A907193" w:rsidR="00B86239" w:rsidRDefault="00B86239">
          <w:pPr>
            <w:pStyle w:val="Obsah1"/>
            <w:tabs>
              <w:tab w:val="right" w:leader="dot" w:pos="9062"/>
            </w:tabs>
            <w:rPr>
              <w:rFonts w:asciiTheme="minorHAnsi" w:eastAsiaTheme="minorEastAsia" w:hAnsiTheme="minorHAnsi" w:cstheme="minorBidi"/>
              <w:noProof/>
              <w:sz w:val="22"/>
              <w:szCs w:val="22"/>
              <w:lang w:val="en-GB" w:eastAsia="en-GB"/>
            </w:rPr>
          </w:pPr>
          <w:hyperlink w:anchor="_Toc512687763" w:history="1">
            <w:r w:rsidRPr="00506631">
              <w:rPr>
                <w:rStyle w:val="Hypertextovodkaz"/>
                <w:noProof/>
                <w:lang w:val="en-GB" w:eastAsia="zh-CN"/>
              </w:rPr>
              <w:t>Chapter 5: Unequal accessibility of social participation in later life across European welfare regimes</w:t>
            </w:r>
            <w:r>
              <w:rPr>
                <w:noProof/>
                <w:webHidden/>
              </w:rPr>
              <w:tab/>
            </w:r>
            <w:r>
              <w:rPr>
                <w:noProof/>
                <w:webHidden/>
              </w:rPr>
              <w:fldChar w:fldCharType="begin"/>
            </w:r>
            <w:r>
              <w:rPr>
                <w:noProof/>
                <w:webHidden/>
              </w:rPr>
              <w:instrText xml:space="preserve"> PAGEREF _Toc512687763 \h </w:instrText>
            </w:r>
            <w:r>
              <w:rPr>
                <w:noProof/>
                <w:webHidden/>
              </w:rPr>
            </w:r>
            <w:r>
              <w:rPr>
                <w:noProof/>
                <w:webHidden/>
              </w:rPr>
              <w:fldChar w:fldCharType="separate"/>
            </w:r>
            <w:r w:rsidR="00466C1F">
              <w:rPr>
                <w:noProof/>
                <w:webHidden/>
              </w:rPr>
              <w:t>84</w:t>
            </w:r>
            <w:r>
              <w:rPr>
                <w:noProof/>
                <w:webHidden/>
              </w:rPr>
              <w:fldChar w:fldCharType="end"/>
            </w:r>
          </w:hyperlink>
        </w:p>
        <w:p w14:paraId="1ACF34E3" w14:textId="22E94798"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64" w:history="1">
            <w:r w:rsidRPr="00506631">
              <w:rPr>
                <w:rStyle w:val="Hypertextovodkaz"/>
                <w:noProof/>
                <w:lang w:val="en-GB"/>
              </w:rPr>
              <w:t>Introduction</w:t>
            </w:r>
            <w:r>
              <w:rPr>
                <w:noProof/>
                <w:webHidden/>
              </w:rPr>
              <w:tab/>
            </w:r>
            <w:r>
              <w:rPr>
                <w:noProof/>
                <w:webHidden/>
              </w:rPr>
              <w:fldChar w:fldCharType="begin"/>
            </w:r>
            <w:r>
              <w:rPr>
                <w:noProof/>
                <w:webHidden/>
              </w:rPr>
              <w:instrText xml:space="preserve"> PAGEREF _Toc512687764 \h </w:instrText>
            </w:r>
            <w:r>
              <w:rPr>
                <w:noProof/>
                <w:webHidden/>
              </w:rPr>
            </w:r>
            <w:r>
              <w:rPr>
                <w:noProof/>
                <w:webHidden/>
              </w:rPr>
              <w:fldChar w:fldCharType="separate"/>
            </w:r>
            <w:r w:rsidR="00466C1F">
              <w:rPr>
                <w:noProof/>
                <w:webHidden/>
              </w:rPr>
              <w:t>85</w:t>
            </w:r>
            <w:r>
              <w:rPr>
                <w:noProof/>
                <w:webHidden/>
              </w:rPr>
              <w:fldChar w:fldCharType="end"/>
            </w:r>
          </w:hyperlink>
        </w:p>
        <w:p w14:paraId="1A2CA143" w14:textId="57C30370"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65" w:history="1">
            <w:r w:rsidRPr="00506631">
              <w:rPr>
                <w:rStyle w:val="Hypertextovodkaz"/>
                <w:noProof/>
                <w:lang w:val="en-GB"/>
              </w:rPr>
              <w:t>Literature review</w:t>
            </w:r>
            <w:r>
              <w:rPr>
                <w:noProof/>
                <w:webHidden/>
              </w:rPr>
              <w:tab/>
            </w:r>
            <w:r>
              <w:rPr>
                <w:noProof/>
                <w:webHidden/>
              </w:rPr>
              <w:fldChar w:fldCharType="begin"/>
            </w:r>
            <w:r>
              <w:rPr>
                <w:noProof/>
                <w:webHidden/>
              </w:rPr>
              <w:instrText xml:space="preserve"> PAGEREF _Toc512687765 \h </w:instrText>
            </w:r>
            <w:r>
              <w:rPr>
                <w:noProof/>
                <w:webHidden/>
              </w:rPr>
            </w:r>
            <w:r>
              <w:rPr>
                <w:noProof/>
                <w:webHidden/>
              </w:rPr>
              <w:fldChar w:fldCharType="separate"/>
            </w:r>
            <w:r w:rsidR="00466C1F">
              <w:rPr>
                <w:noProof/>
                <w:webHidden/>
              </w:rPr>
              <w:t>86</w:t>
            </w:r>
            <w:r>
              <w:rPr>
                <w:noProof/>
                <w:webHidden/>
              </w:rPr>
              <w:fldChar w:fldCharType="end"/>
            </w:r>
          </w:hyperlink>
        </w:p>
        <w:p w14:paraId="3D33550A" w14:textId="79E07ABA"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66" w:history="1">
            <w:r w:rsidRPr="00506631">
              <w:rPr>
                <w:rStyle w:val="Hypertextovodkaz"/>
                <w:i/>
                <w:noProof/>
                <w:lang w:val="en-GB" w:eastAsia="zh-CN"/>
              </w:rPr>
              <w:t>What is active ageing and social participation?</w:t>
            </w:r>
            <w:r>
              <w:rPr>
                <w:noProof/>
                <w:webHidden/>
              </w:rPr>
              <w:tab/>
            </w:r>
            <w:r>
              <w:rPr>
                <w:noProof/>
                <w:webHidden/>
              </w:rPr>
              <w:fldChar w:fldCharType="begin"/>
            </w:r>
            <w:r>
              <w:rPr>
                <w:noProof/>
                <w:webHidden/>
              </w:rPr>
              <w:instrText xml:space="preserve"> PAGEREF _Toc512687766 \h </w:instrText>
            </w:r>
            <w:r>
              <w:rPr>
                <w:noProof/>
                <w:webHidden/>
              </w:rPr>
            </w:r>
            <w:r>
              <w:rPr>
                <w:noProof/>
                <w:webHidden/>
              </w:rPr>
              <w:fldChar w:fldCharType="separate"/>
            </w:r>
            <w:r w:rsidR="00466C1F">
              <w:rPr>
                <w:noProof/>
                <w:webHidden/>
              </w:rPr>
              <w:t>86</w:t>
            </w:r>
            <w:r>
              <w:rPr>
                <w:noProof/>
                <w:webHidden/>
              </w:rPr>
              <w:fldChar w:fldCharType="end"/>
            </w:r>
          </w:hyperlink>
        </w:p>
        <w:p w14:paraId="75524855" w14:textId="7C833E42"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67" w:history="1">
            <w:r w:rsidRPr="00506631">
              <w:rPr>
                <w:rStyle w:val="Hypertextovodkaz"/>
                <w:i/>
                <w:noProof/>
                <w:lang w:val="en-GB" w:eastAsia="zh-CN"/>
              </w:rPr>
              <w:t>Effect of social participation and its conditioning</w:t>
            </w:r>
            <w:r>
              <w:rPr>
                <w:noProof/>
                <w:webHidden/>
              </w:rPr>
              <w:tab/>
            </w:r>
            <w:r>
              <w:rPr>
                <w:noProof/>
                <w:webHidden/>
              </w:rPr>
              <w:fldChar w:fldCharType="begin"/>
            </w:r>
            <w:r>
              <w:rPr>
                <w:noProof/>
                <w:webHidden/>
              </w:rPr>
              <w:instrText xml:space="preserve"> PAGEREF _Toc512687767 \h </w:instrText>
            </w:r>
            <w:r>
              <w:rPr>
                <w:noProof/>
                <w:webHidden/>
              </w:rPr>
            </w:r>
            <w:r>
              <w:rPr>
                <w:noProof/>
                <w:webHidden/>
              </w:rPr>
              <w:fldChar w:fldCharType="separate"/>
            </w:r>
            <w:r w:rsidR="00466C1F">
              <w:rPr>
                <w:noProof/>
                <w:webHidden/>
              </w:rPr>
              <w:t>88</w:t>
            </w:r>
            <w:r>
              <w:rPr>
                <w:noProof/>
                <w:webHidden/>
              </w:rPr>
              <w:fldChar w:fldCharType="end"/>
            </w:r>
          </w:hyperlink>
        </w:p>
        <w:p w14:paraId="70ADCDB3" w14:textId="413C61F9"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68" w:history="1">
            <w:r w:rsidRPr="00506631">
              <w:rPr>
                <w:rStyle w:val="Hypertextovodkaz"/>
                <w:i/>
                <w:noProof/>
                <w:lang w:val="en-GB" w:eastAsia="zh-CN"/>
              </w:rPr>
              <w:t>Three concerns with support of social participation</w:t>
            </w:r>
            <w:r>
              <w:rPr>
                <w:noProof/>
                <w:webHidden/>
              </w:rPr>
              <w:tab/>
            </w:r>
            <w:r>
              <w:rPr>
                <w:noProof/>
                <w:webHidden/>
              </w:rPr>
              <w:fldChar w:fldCharType="begin"/>
            </w:r>
            <w:r>
              <w:rPr>
                <w:noProof/>
                <w:webHidden/>
              </w:rPr>
              <w:instrText xml:space="preserve"> PAGEREF _Toc512687768 \h </w:instrText>
            </w:r>
            <w:r>
              <w:rPr>
                <w:noProof/>
                <w:webHidden/>
              </w:rPr>
            </w:r>
            <w:r>
              <w:rPr>
                <w:noProof/>
                <w:webHidden/>
              </w:rPr>
              <w:fldChar w:fldCharType="separate"/>
            </w:r>
            <w:r w:rsidR="00466C1F">
              <w:rPr>
                <w:noProof/>
                <w:webHidden/>
              </w:rPr>
              <w:t>89</w:t>
            </w:r>
            <w:r>
              <w:rPr>
                <w:noProof/>
                <w:webHidden/>
              </w:rPr>
              <w:fldChar w:fldCharType="end"/>
            </w:r>
          </w:hyperlink>
        </w:p>
        <w:p w14:paraId="56B950B9" w14:textId="1AAF337B"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69" w:history="1">
            <w:r w:rsidRPr="00506631">
              <w:rPr>
                <w:rStyle w:val="Hypertextovodkaz"/>
                <w:noProof/>
                <w:lang w:val="en-GB"/>
              </w:rPr>
              <w:t>Data, measurement, and methods</w:t>
            </w:r>
            <w:r>
              <w:rPr>
                <w:noProof/>
                <w:webHidden/>
              </w:rPr>
              <w:tab/>
            </w:r>
            <w:r>
              <w:rPr>
                <w:noProof/>
                <w:webHidden/>
              </w:rPr>
              <w:fldChar w:fldCharType="begin"/>
            </w:r>
            <w:r>
              <w:rPr>
                <w:noProof/>
                <w:webHidden/>
              </w:rPr>
              <w:instrText xml:space="preserve"> PAGEREF _Toc512687769 \h </w:instrText>
            </w:r>
            <w:r>
              <w:rPr>
                <w:noProof/>
                <w:webHidden/>
              </w:rPr>
            </w:r>
            <w:r>
              <w:rPr>
                <w:noProof/>
                <w:webHidden/>
              </w:rPr>
              <w:fldChar w:fldCharType="separate"/>
            </w:r>
            <w:r w:rsidR="00466C1F">
              <w:rPr>
                <w:noProof/>
                <w:webHidden/>
              </w:rPr>
              <w:t>91</w:t>
            </w:r>
            <w:r>
              <w:rPr>
                <w:noProof/>
                <w:webHidden/>
              </w:rPr>
              <w:fldChar w:fldCharType="end"/>
            </w:r>
          </w:hyperlink>
        </w:p>
        <w:p w14:paraId="1E5ABD6C" w14:textId="6FACA428"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70" w:history="1">
            <w:r w:rsidRPr="00506631">
              <w:rPr>
                <w:rStyle w:val="Hypertextovodkaz"/>
                <w:i/>
                <w:noProof/>
                <w:lang w:val="en-GB" w:eastAsia="zh-CN"/>
              </w:rPr>
              <w:t>Data</w:t>
            </w:r>
            <w:r>
              <w:rPr>
                <w:noProof/>
                <w:webHidden/>
              </w:rPr>
              <w:tab/>
            </w:r>
            <w:r>
              <w:rPr>
                <w:noProof/>
                <w:webHidden/>
              </w:rPr>
              <w:fldChar w:fldCharType="begin"/>
            </w:r>
            <w:r>
              <w:rPr>
                <w:noProof/>
                <w:webHidden/>
              </w:rPr>
              <w:instrText xml:space="preserve"> PAGEREF _Toc512687770 \h </w:instrText>
            </w:r>
            <w:r>
              <w:rPr>
                <w:noProof/>
                <w:webHidden/>
              </w:rPr>
            </w:r>
            <w:r>
              <w:rPr>
                <w:noProof/>
                <w:webHidden/>
              </w:rPr>
              <w:fldChar w:fldCharType="separate"/>
            </w:r>
            <w:r w:rsidR="00466C1F">
              <w:rPr>
                <w:noProof/>
                <w:webHidden/>
              </w:rPr>
              <w:t>91</w:t>
            </w:r>
            <w:r>
              <w:rPr>
                <w:noProof/>
                <w:webHidden/>
              </w:rPr>
              <w:fldChar w:fldCharType="end"/>
            </w:r>
          </w:hyperlink>
        </w:p>
        <w:p w14:paraId="1A21A783" w14:textId="3FC64640"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71" w:history="1">
            <w:r w:rsidRPr="00506631">
              <w:rPr>
                <w:rStyle w:val="Hypertextovodkaz"/>
                <w:i/>
                <w:noProof/>
                <w:lang w:val="en-GB" w:eastAsia="zh-CN"/>
              </w:rPr>
              <w:t>Dependent variable</w:t>
            </w:r>
            <w:r>
              <w:rPr>
                <w:noProof/>
                <w:webHidden/>
              </w:rPr>
              <w:tab/>
            </w:r>
            <w:r>
              <w:rPr>
                <w:noProof/>
                <w:webHidden/>
              </w:rPr>
              <w:fldChar w:fldCharType="begin"/>
            </w:r>
            <w:r>
              <w:rPr>
                <w:noProof/>
                <w:webHidden/>
              </w:rPr>
              <w:instrText xml:space="preserve"> PAGEREF _Toc512687771 \h </w:instrText>
            </w:r>
            <w:r>
              <w:rPr>
                <w:noProof/>
                <w:webHidden/>
              </w:rPr>
            </w:r>
            <w:r>
              <w:rPr>
                <w:noProof/>
                <w:webHidden/>
              </w:rPr>
              <w:fldChar w:fldCharType="separate"/>
            </w:r>
            <w:r w:rsidR="00466C1F">
              <w:rPr>
                <w:noProof/>
                <w:webHidden/>
              </w:rPr>
              <w:t>93</w:t>
            </w:r>
            <w:r>
              <w:rPr>
                <w:noProof/>
                <w:webHidden/>
              </w:rPr>
              <w:fldChar w:fldCharType="end"/>
            </w:r>
          </w:hyperlink>
        </w:p>
        <w:p w14:paraId="182406D0" w14:textId="7788CDCE"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72" w:history="1">
            <w:r w:rsidRPr="00506631">
              <w:rPr>
                <w:rStyle w:val="Hypertextovodkaz"/>
                <w:i/>
                <w:noProof/>
                <w:lang w:val="en-GB" w:eastAsia="zh-CN"/>
              </w:rPr>
              <w:t>Independent variables</w:t>
            </w:r>
            <w:r>
              <w:rPr>
                <w:noProof/>
                <w:webHidden/>
              </w:rPr>
              <w:tab/>
            </w:r>
            <w:r>
              <w:rPr>
                <w:noProof/>
                <w:webHidden/>
              </w:rPr>
              <w:fldChar w:fldCharType="begin"/>
            </w:r>
            <w:r>
              <w:rPr>
                <w:noProof/>
                <w:webHidden/>
              </w:rPr>
              <w:instrText xml:space="preserve"> PAGEREF _Toc512687772 \h </w:instrText>
            </w:r>
            <w:r>
              <w:rPr>
                <w:noProof/>
                <w:webHidden/>
              </w:rPr>
            </w:r>
            <w:r>
              <w:rPr>
                <w:noProof/>
                <w:webHidden/>
              </w:rPr>
              <w:fldChar w:fldCharType="separate"/>
            </w:r>
            <w:r w:rsidR="00466C1F">
              <w:rPr>
                <w:noProof/>
                <w:webHidden/>
              </w:rPr>
              <w:t>94</w:t>
            </w:r>
            <w:r>
              <w:rPr>
                <w:noProof/>
                <w:webHidden/>
              </w:rPr>
              <w:fldChar w:fldCharType="end"/>
            </w:r>
          </w:hyperlink>
        </w:p>
        <w:p w14:paraId="39261236" w14:textId="4A16A697"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73" w:history="1">
            <w:r w:rsidRPr="00506631">
              <w:rPr>
                <w:rStyle w:val="Hypertextovodkaz"/>
                <w:i/>
                <w:noProof/>
                <w:lang w:val="en-GB" w:eastAsia="zh-CN"/>
              </w:rPr>
              <w:t>Methods</w:t>
            </w:r>
            <w:r>
              <w:rPr>
                <w:noProof/>
                <w:webHidden/>
              </w:rPr>
              <w:tab/>
            </w:r>
            <w:r>
              <w:rPr>
                <w:noProof/>
                <w:webHidden/>
              </w:rPr>
              <w:fldChar w:fldCharType="begin"/>
            </w:r>
            <w:r>
              <w:rPr>
                <w:noProof/>
                <w:webHidden/>
              </w:rPr>
              <w:instrText xml:space="preserve"> PAGEREF _Toc512687773 \h </w:instrText>
            </w:r>
            <w:r>
              <w:rPr>
                <w:noProof/>
                <w:webHidden/>
              </w:rPr>
            </w:r>
            <w:r>
              <w:rPr>
                <w:noProof/>
                <w:webHidden/>
              </w:rPr>
              <w:fldChar w:fldCharType="separate"/>
            </w:r>
            <w:r w:rsidR="00466C1F">
              <w:rPr>
                <w:noProof/>
                <w:webHidden/>
              </w:rPr>
              <w:t>95</w:t>
            </w:r>
            <w:r>
              <w:rPr>
                <w:noProof/>
                <w:webHidden/>
              </w:rPr>
              <w:fldChar w:fldCharType="end"/>
            </w:r>
          </w:hyperlink>
        </w:p>
        <w:p w14:paraId="04956163" w14:textId="77F3580D"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74" w:history="1">
            <w:r w:rsidRPr="00506631">
              <w:rPr>
                <w:rStyle w:val="Hypertextovodkaz"/>
                <w:noProof/>
                <w:lang w:val="en-GB"/>
              </w:rPr>
              <w:t>Results</w:t>
            </w:r>
            <w:r>
              <w:rPr>
                <w:noProof/>
                <w:webHidden/>
              </w:rPr>
              <w:tab/>
            </w:r>
            <w:r>
              <w:rPr>
                <w:noProof/>
                <w:webHidden/>
              </w:rPr>
              <w:fldChar w:fldCharType="begin"/>
            </w:r>
            <w:r>
              <w:rPr>
                <w:noProof/>
                <w:webHidden/>
              </w:rPr>
              <w:instrText xml:space="preserve"> PAGEREF _Toc512687774 \h </w:instrText>
            </w:r>
            <w:r>
              <w:rPr>
                <w:noProof/>
                <w:webHidden/>
              </w:rPr>
            </w:r>
            <w:r>
              <w:rPr>
                <w:noProof/>
                <w:webHidden/>
              </w:rPr>
              <w:fldChar w:fldCharType="separate"/>
            </w:r>
            <w:r w:rsidR="00466C1F">
              <w:rPr>
                <w:noProof/>
                <w:webHidden/>
              </w:rPr>
              <w:t>96</w:t>
            </w:r>
            <w:r>
              <w:rPr>
                <w:noProof/>
                <w:webHidden/>
              </w:rPr>
              <w:fldChar w:fldCharType="end"/>
            </w:r>
          </w:hyperlink>
        </w:p>
        <w:p w14:paraId="71C5B62E" w14:textId="23E04B4D"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75" w:history="1">
            <w:r w:rsidRPr="00506631">
              <w:rPr>
                <w:rStyle w:val="Hypertextovodkaz"/>
                <w:noProof/>
                <w:lang w:val="en-GB"/>
              </w:rPr>
              <w:t>Conclusions and discussion</w:t>
            </w:r>
            <w:r>
              <w:rPr>
                <w:noProof/>
                <w:webHidden/>
              </w:rPr>
              <w:tab/>
            </w:r>
            <w:r>
              <w:rPr>
                <w:noProof/>
                <w:webHidden/>
              </w:rPr>
              <w:fldChar w:fldCharType="begin"/>
            </w:r>
            <w:r>
              <w:rPr>
                <w:noProof/>
                <w:webHidden/>
              </w:rPr>
              <w:instrText xml:space="preserve"> PAGEREF _Toc512687775 \h </w:instrText>
            </w:r>
            <w:r>
              <w:rPr>
                <w:noProof/>
                <w:webHidden/>
              </w:rPr>
            </w:r>
            <w:r>
              <w:rPr>
                <w:noProof/>
                <w:webHidden/>
              </w:rPr>
              <w:fldChar w:fldCharType="separate"/>
            </w:r>
            <w:r w:rsidR="00466C1F">
              <w:rPr>
                <w:noProof/>
                <w:webHidden/>
              </w:rPr>
              <w:t>102</w:t>
            </w:r>
            <w:r>
              <w:rPr>
                <w:noProof/>
                <w:webHidden/>
              </w:rPr>
              <w:fldChar w:fldCharType="end"/>
            </w:r>
          </w:hyperlink>
        </w:p>
        <w:p w14:paraId="48EAEAC9" w14:textId="44A7AB9D" w:rsidR="00B86239" w:rsidRDefault="00B86239">
          <w:pPr>
            <w:pStyle w:val="Obsah1"/>
            <w:tabs>
              <w:tab w:val="right" w:leader="dot" w:pos="9062"/>
            </w:tabs>
            <w:rPr>
              <w:rFonts w:asciiTheme="minorHAnsi" w:eastAsiaTheme="minorEastAsia" w:hAnsiTheme="minorHAnsi" w:cstheme="minorBidi"/>
              <w:noProof/>
              <w:sz w:val="22"/>
              <w:szCs w:val="22"/>
              <w:lang w:val="en-GB" w:eastAsia="en-GB"/>
            </w:rPr>
          </w:pPr>
          <w:hyperlink w:anchor="_Toc512687776" w:history="1">
            <w:r w:rsidRPr="00506631">
              <w:rPr>
                <w:rStyle w:val="Hypertextovodkaz"/>
                <w:noProof/>
                <w:lang w:val="en-GB" w:eastAsia="zh-CN"/>
              </w:rPr>
              <w:t>Chapter 6: Individual consequences of activities prescribed by active ageing and their differences based on value orientation</w:t>
            </w:r>
            <w:r>
              <w:rPr>
                <w:noProof/>
                <w:webHidden/>
              </w:rPr>
              <w:tab/>
            </w:r>
            <w:r>
              <w:rPr>
                <w:noProof/>
                <w:webHidden/>
              </w:rPr>
              <w:fldChar w:fldCharType="begin"/>
            </w:r>
            <w:r>
              <w:rPr>
                <w:noProof/>
                <w:webHidden/>
              </w:rPr>
              <w:instrText xml:space="preserve"> PAGEREF _Toc512687776 \h </w:instrText>
            </w:r>
            <w:r>
              <w:rPr>
                <w:noProof/>
                <w:webHidden/>
              </w:rPr>
            </w:r>
            <w:r>
              <w:rPr>
                <w:noProof/>
                <w:webHidden/>
              </w:rPr>
              <w:fldChar w:fldCharType="separate"/>
            </w:r>
            <w:r w:rsidR="00466C1F">
              <w:rPr>
                <w:noProof/>
                <w:webHidden/>
              </w:rPr>
              <w:t>106</w:t>
            </w:r>
            <w:r>
              <w:rPr>
                <w:noProof/>
                <w:webHidden/>
              </w:rPr>
              <w:fldChar w:fldCharType="end"/>
            </w:r>
          </w:hyperlink>
        </w:p>
        <w:p w14:paraId="773E0665" w14:textId="20A3E76A"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77" w:history="1">
            <w:r w:rsidRPr="00506631">
              <w:rPr>
                <w:rStyle w:val="Hypertextovodkaz"/>
                <w:noProof/>
                <w:lang w:val="en-GB"/>
              </w:rPr>
              <w:t>Introduction</w:t>
            </w:r>
            <w:r>
              <w:rPr>
                <w:noProof/>
                <w:webHidden/>
              </w:rPr>
              <w:tab/>
            </w:r>
            <w:r>
              <w:rPr>
                <w:noProof/>
                <w:webHidden/>
              </w:rPr>
              <w:fldChar w:fldCharType="begin"/>
            </w:r>
            <w:r>
              <w:rPr>
                <w:noProof/>
                <w:webHidden/>
              </w:rPr>
              <w:instrText xml:space="preserve"> PAGEREF _Toc512687777 \h </w:instrText>
            </w:r>
            <w:r>
              <w:rPr>
                <w:noProof/>
                <w:webHidden/>
              </w:rPr>
            </w:r>
            <w:r>
              <w:rPr>
                <w:noProof/>
                <w:webHidden/>
              </w:rPr>
              <w:fldChar w:fldCharType="separate"/>
            </w:r>
            <w:r w:rsidR="00466C1F">
              <w:rPr>
                <w:noProof/>
                <w:webHidden/>
              </w:rPr>
              <w:t>107</w:t>
            </w:r>
            <w:r>
              <w:rPr>
                <w:noProof/>
                <w:webHidden/>
              </w:rPr>
              <w:fldChar w:fldCharType="end"/>
            </w:r>
          </w:hyperlink>
        </w:p>
        <w:p w14:paraId="218847AE" w14:textId="31F8E6AA"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78" w:history="1">
            <w:r w:rsidRPr="00506631">
              <w:rPr>
                <w:rStyle w:val="Hypertextovodkaz"/>
                <w:noProof/>
                <w:lang w:val="en-GB"/>
              </w:rPr>
              <w:t>Literature review</w:t>
            </w:r>
            <w:r>
              <w:rPr>
                <w:noProof/>
                <w:webHidden/>
              </w:rPr>
              <w:tab/>
            </w:r>
            <w:r>
              <w:rPr>
                <w:noProof/>
                <w:webHidden/>
              </w:rPr>
              <w:fldChar w:fldCharType="begin"/>
            </w:r>
            <w:r>
              <w:rPr>
                <w:noProof/>
                <w:webHidden/>
              </w:rPr>
              <w:instrText xml:space="preserve"> PAGEREF _Toc512687778 \h </w:instrText>
            </w:r>
            <w:r>
              <w:rPr>
                <w:noProof/>
                <w:webHidden/>
              </w:rPr>
            </w:r>
            <w:r>
              <w:rPr>
                <w:noProof/>
                <w:webHidden/>
              </w:rPr>
              <w:fldChar w:fldCharType="separate"/>
            </w:r>
            <w:r w:rsidR="00466C1F">
              <w:rPr>
                <w:noProof/>
                <w:webHidden/>
              </w:rPr>
              <w:t>108</w:t>
            </w:r>
            <w:r>
              <w:rPr>
                <w:noProof/>
                <w:webHidden/>
              </w:rPr>
              <w:fldChar w:fldCharType="end"/>
            </w:r>
          </w:hyperlink>
        </w:p>
        <w:p w14:paraId="0432A2C6" w14:textId="3CAE6985"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79" w:history="1">
            <w:r w:rsidRPr="00506631">
              <w:rPr>
                <w:rStyle w:val="Hypertextovodkaz"/>
                <w:i/>
                <w:noProof/>
                <w:lang w:val="en-GB" w:eastAsia="zh-CN"/>
              </w:rPr>
              <w:t>Activities supported by active ageing approach and their measurement</w:t>
            </w:r>
            <w:r>
              <w:rPr>
                <w:noProof/>
                <w:webHidden/>
              </w:rPr>
              <w:tab/>
            </w:r>
            <w:r>
              <w:rPr>
                <w:noProof/>
                <w:webHidden/>
              </w:rPr>
              <w:fldChar w:fldCharType="begin"/>
            </w:r>
            <w:r>
              <w:rPr>
                <w:noProof/>
                <w:webHidden/>
              </w:rPr>
              <w:instrText xml:space="preserve"> PAGEREF _Toc512687779 \h </w:instrText>
            </w:r>
            <w:r>
              <w:rPr>
                <w:noProof/>
                <w:webHidden/>
              </w:rPr>
            </w:r>
            <w:r>
              <w:rPr>
                <w:noProof/>
                <w:webHidden/>
              </w:rPr>
              <w:fldChar w:fldCharType="separate"/>
            </w:r>
            <w:r w:rsidR="00466C1F">
              <w:rPr>
                <w:noProof/>
                <w:webHidden/>
              </w:rPr>
              <w:t>108</w:t>
            </w:r>
            <w:r>
              <w:rPr>
                <w:noProof/>
                <w:webHidden/>
              </w:rPr>
              <w:fldChar w:fldCharType="end"/>
            </w:r>
          </w:hyperlink>
        </w:p>
        <w:p w14:paraId="259B4120" w14:textId="10BF84A0"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80" w:history="1">
            <w:r w:rsidRPr="00506631">
              <w:rPr>
                <w:rStyle w:val="Hypertextovodkaz"/>
                <w:i/>
                <w:noProof/>
                <w:lang w:val="en-GB" w:eastAsia="zh-CN"/>
              </w:rPr>
              <w:t>Role complementarities and conflicts among supported activities</w:t>
            </w:r>
            <w:r>
              <w:rPr>
                <w:noProof/>
                <w:webHidden/>
              </w:rPr>
              <w:tab/>
            </w:r>
            <w:r>
              <w:rPr>
                <w:noProof/>
                <w:webHidden/>
              </w:rPr>
              <w:fldChar w:fldCharType="begin"/>
            </w:r>
            <w:r>
              <w:rPr>
                <w:noProof/>
                <w:webHidden/>
              </w:rPr>
              <w:instrText xml:space="preserve"> PAGEREF _Toc512687780 \h </w:instrText>
            </w:r>
            <w:r>
              <w:rPr>
                <w:noProof/>
                <w:webHidden/>
              </w:rPr>
            </w:r>
            <w:r>
              <w:rPr>
                <w:noProof/>
                <w:webHidden/>
              </w:rPr>
              <w:fldChar w:fldCharType="separate"/>
            </w:r>
            <w:r w:rsidR="00466C1F">
              <w:rPr>
                <w:noProof/>
                <w:webHidden/>
              </w:rPr>
              <w:t>110</w:t>
            </w:r>
            <w:r>
              <w:rPr>
                <w:noProof/>
                <w:webHidden/>
              </w:rPr>
              <w:fldChar w:fldCharType="end"/>
            </w:r>
          </w:hyperlink>
        </w:p>
        <w:p w14:paraId="501E2F22" w14:textId="6E98B264"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81" w:history="1">
            <w:r w:rsidRPr="00506631">
              <w:rPr>
                <w:rStyle w:val="Hypertextovodkaz"/>
                <w:i/>
                <w:noProof/>
                <w:lang w:val="en-GB" w:eastAsia="zh-CN"/>
              </w:rPr>
              <w:t>Meaning of activities based on social position</w:t>
            </w:r>
            <w:r>
              <w:rPr>
                <w:noProof/>
                <w:webHidden/>
              </w:rPr>
              <w:tab/>
            </w:r>
            <w:r>
              <w:rPr>
                <w:noProof/>
                <w:webHidden/>
              </w:rPr>
              <w:fldChar w:fldCharType="begin"/>
            </w:r>
            <w:r>
              <w:rPr>
                <w:noProof/>
                <w:webHidden/>
              </w:rPr>
              <w:instrText xml:space="preserve"> PAGEREF _Toc512687781 \h </w:instrText>
            </w:r>
            <w:r>
              <w:rPr>
                <w:noProof/>
                <w:webHidden/>
              </w:rPr>
            </w:r>
            <w:r>
              <w:rPr>
                <w:noProof/>
                <w:webHidden/>
              </w:rPr>
              <w:fldChar w:fldCharType="separate"/>
            </w:r>
            <w:r w:rsidR="00466C1F">
              <w:rPr>
                <w:noProof/>
                <w:webHidden/>
              </w:rPr>
              <w:t>112</w:t>
            </w:r>
            <w:r>
              <w:rPr>
                <w:noProof/>
                <w:webHidden/>
              </w:rPr>
              <w:fldChar w:fldCharType="end"/>
            </w:r>
          </w:hyperlink>
        </w:p>
        <w:p w14:paraId="31030245" w14:textId="7B8B7AF1"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82" w:history="1">
            <w:r w:rsidRPr="00506631">
              <w:rPr>
                <w:rStyle w:val="Hypertextovodkaz"/>
                <w:i/>
                <w:noProof/>
                <w:lang w:val="en-GB" w:eastAsia="zh-CN"/>
              </w:rPr>
              <w:t>Theory of postmaterialism and its assumptions about benefits of activities</w:t>
            </w:r>
            <w:r>
              <w:rPr>
                <w:noProof/>
                <w:webHidden/>
              </w:rPr>
              <w:tab/>
            </w:r>
            <w:r>
              <w:rPr>
                <w:noProof/>
                <w:webHidden/>
              </w:rPr>
              <w:fldChar w:fldCharType="begin"/>
            </w:r>
            <w:r>
              <w:rPr>
                <w:noProof/>
                <w:webHidden/>
              </w:rPr>
              <w:instrText xml:space="preserve"> PAGEREF _Toc512687782 \h </w:instrText>
            </w:r>
            <w:r>
              <w:rPr>
                <w:noProof/>
                <w:webHidden/>
              </w:rPr>
            </w:r>
            <w:r>
              <w:rPr>
                <w:noProof/>
                <w:webHidden/>
              </w:rPr>
              <w:fldChar w:fldCharType="separate"/>
            </w:r>
            <w:r w:rsidR="00466C1F">
              <w:rPr>
                <w:noProof/>
                <w:webHidden/>
              </w:rPr>
              <w:t>113</w:t>
            </w:r>
            <w:r>
              <w:rPr>
                <w:noProof/>
                <w:webHidden/>
              </w:rPr>
              <w:fldChar w:fldCharType="end"/>
            </w:r>
          </w:hyperlink>
        </w:p>
        <w:p w14:paraId="5B7ADF84" w14:textId="45FB0FD3"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83" w:history="1">
            <w:r w:rsidRPr="00506631">
              <w:rPr>
                <w:rStyle w:val="Hypertextovodkaz"/>
                <w:noProof/>
                <w:lang w:val="en-GB"/>
              </w:rPr>
              <w:t>Data, methods, and variables</w:t>
            </w:r>
            <w:r>
              <w:rPr>
                <w:noProof/>
                <w:webHidden/>
              </w:rPr>
              <w:tab/>
            </w:r>
            <w:r>
              <w:rPr>
                <w:noProof/>
                <w:webHidden/>
              </w:rPr>
              <w:fldChar w:fldCharType="begin"/>
            </w:r>
            <w:r>
              <w:rPr>
                <w:noProof/>
                <w:webHidden/>
              </w:rPr>
              <w:instrText xml:space="preserve"> PAGEREF _Toc512687783 \h </w:instrText>
            </w:r>
            <w:r>
              <w:rPr>
                <w:noProof/>
                <w:webHidden/>
              </w:rPr>
            </w:r>
            <w:r>
              <w:rPr>
                <w:noProof/>
                <w:webHidden/>
              </w:rPr>
              <w:fldChar w:fldCharType="separate"/>
            </w:r>
            <w:r w:rsidR="00466C1F">
              <w:rPr>
                <w:noProof/>
                <w:webHidden/>
              </w:rPr>
              <w:t>115</w:t>
            </w:r>
            <w:r>
              <w:rPr>
                <w:noProof/>
                <w:webHidden/>
              </w:rPr>
              <w:fldChar w:fldCharType="end"/>
            </w:r>
          </w:hyperlink>
        </w:p>
        <w:p w14:paraId="13DDAB9D" w14:textId="13121DE3"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84" w:history="1">
            <w:r w:rsidRPr="00506631">
              <w:rPr>
                <w:rStyle w:val="Hypertextovodkaz"/>
                <w:i/>
                <w:noProof/>
                <w:lang w:val="en-GB" w:eastAsia="zh-CN"/>
              </w:rPr>
              <w:t>Data and sample</w:t>
            </w:r>
            <w:r>
              <w:rPr>
                <w:noProof/>
                <w:webHidden/>
              </w:rPr>
              <w:tab/>
            </w:r>
            <w:r>
              <w:rPr>
                <w:noProof/>
                <w:webHidden/>
              </w:rPr>
              <w:fldChar w:fldCharType="begin"/>
            </w:r>
            <w:r>
              <w:rPr>
                <w:noProof/>
                <w:webHidden/>
              </w:rPr>
              <w:instrText xml:space="preserve"> PAGEREF _Toc512687784 \h </w:instrText>
            </w:r>
            <w:r>
              <w:rPr>
                <w:noProof/>
                <w:webHidden/>
              </w:rPr>
            </w:r>
            <w:r>
              <w:rPr>
                <w:noProof/>
                <w:webHidden/>
              </w:rPr>
              <w:fldChar w:fldCharType="separate"/>
            </w:r>
            <w:r w:rsidR="00466C1F">
              <w:rPr>
                <w:noProof/>
                <w:webHidden/>
              </w:rPr>
              <w:t>116</w:t>
            </w:r>
            <w:r>
              <w:rPr>
                <w:noProof/>
                <w:webHidden/>
              </w:rPr>
              <w:fldChar w:fldCharType="end"/>
            </w:r>
          </w:hyperlink>
        </w:p>
        <w:p w14:paraId="3A0D65A6" w14:textId="656E154D"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85" w:history="1">
            <w:r w:rsidRPr="00506631">
              <w:rPr>
                <w:rStyle w:val="Hypertextovodkaz"/>
                <w:i/>
                <w:noProof/>
                <w:lang w:val="en-GB" w:eastAsia="zh-CN"/>
              </w:rPr>
              <w:t>Method</w:t>
            </w:r>
            <w:r>
              <w:rPr>
                <w:noProof/>
                <w:webHidden/>
              </w:rPr>
              <w:tab/>
            </w:r>
            <w:r>
              <w:rPr>
                <w:noProof/>
                <w:webHidden/>
              </w:rPr>
              <w:fldChar w:fldCharType="begin"/>
            </w:r>
            <w:r>
              <w:rPr>
                <w:noProof/>
                <w:webHidden/>
              </w:rPr>
              <w:instrText xml:space="preserve"> PAGEREF _Toc512687785 \h </w:instrText>
            </w:r>
            <w:r>
              <w:rPr>
                <w:noProof/>
                <w:webHidden/>
              </w:rPr>
            </w:r>
            <w:r>
              <w:rPr>
                <w:noProof/>
                <w:webHidden/>
              </w:rPr>
              <w:fldChar w:fldCharType="separate"/>
            </w:r>
            <w:r w:rsidR="00466C1F">
              <w:rPr>
                <w:noProof/>
                <w:webHidden/>
              </w:rPr>
              <w:t>118</w:t>
            </w:r>
            <w:r>
              <w:rPr>
                <w:noProof/>
                <w:webHidden/>
              </w:rPr>
              <w:fldChar w:fldCharType="end"/>
            </w:r>
          </w:hyperlink>
        </w:p>
        <w:p w14:paraId="2F017350" w14:textId="25E00EC7"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86" w:history="1">
            <w:r w:rsidRPr="00506631">
              <w:rPr>
                <w:rStyle w:val="Hypertextovodkaz"/>
                <w:i/>
                <w:noProof/>
                <w:lang w:val="en-GB" w:eastAsia="zh-CN"/>
              </w:rPr>
              <w:t>Dependent variable</w:t>
            </w:r>
            <w:r>
              <w:rPr>
                <w:noProof/>
                <w:webHidden/>
              </w:rPr>
              <w:tab/>
            </w:r>
            <w:r>
              <w:rPr>
                <w:noProof/>
                <w:webHidden/>
              </w:rPr>
              <w:fldChar w:fldCharType="begin"/>
            </w:r>
            <w:r>
              <w:rPr>
                <w:noProof/>
                <w:webHidden/>
              </w:rPr>
              <w:instrText xml:space="preserve"> PAGEREF _Toc512687786 \h </w:instrText>
            </w:r>
            <w:r>
              <w:rPr>
                <w:noProof/>
                <w:webHidden/>
              </w:rPr>
            </w:r>
            <w:r>
              <w:rPr>
                <w:noProof/>
                <w:webHidden/>
              </w:rPr>
              <w:fldChar w:fldCharType="separate"/>
            </w:r>
            <w:r w:rsidR="00466C1F">
              <w:rPr>
                <w:noProof/>
                <w:webHidden/>
              </w:rPr>
              <w:t>119</w:t>
            </w:r>
            <w:r>
              <w:rPr>
                <w:noProof/>
                <w:webHidden/>
              </w:rPr>
              <w:fldChar w:fldCharType="end"/>
            </w:r>
          </w:hyperlink>
        </w:p>
        <w:p w14:paraId="65B18E04" w14:textId="680DC783"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87" w:history="1">
            <w:r w:rsidRPr="00506631">
              <w:rPr>
                <w:rStyle w:val="Hypertextovodkaz"/>
                <w:i/>
                <w:noProof/>
                <w:lang w:val="en-GB" w:eastAsia="zh-CN"/>
              </w:rPr>
              <w:t>Main explanatory variables</w:t>
            </w:r>
            <w:r>
              <w:rPr>
                <w:noProof/>
                <w:webHidden/>
              </w:rPr>
              <w:tab/>
            </w:r>
            <w:r>
              <w:rPr>
                <w:noProof/>
                <w:webHidden/>
              </w:rPr>
              <w:fldChar w:fldCharType="begin"/>
            </w:r>
            <w:r>
              <w:rPr>
                <w:noProof/>
                <w:webHidden/>
              </w:rPr>
              <w:instrText xml:space="preserve"> PAGEREF _Toc512687787 \h </w:instrText>
            </w:r>
            <w:r>
              <w:rPr>
                <w:noProof/>
                <w:webHidden/>
              </w:rPr>
            </w:r>
            <w:r>
              <w:rPr>
                <w:noProof/>
                <w:webHidden/>
              </w:rPr>
              <w:fldChar w:fldCharType="separate"/>
            </w:r>
            <w:r w:rsidR="00466C1F">
              <w:rPr>
                <w:noProof/>
                <w:webHidden/>
              </w:rPr>
              <w:t>119</w:t>
            </w:r>
            <w:r>
              <w:rPr>
                <w:noProof/>
                <w:webHidden/>
              </w:rPr>
              <w:fldChar w:fldCharType="end"/>
            </w:r>
          </w:hyperlink>
        </w:p>
        <w:p w14:paraId="67A21401" w14:textId="250420CB"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88" w:history="1">
            <w:r w:rsidRPr="00506631">
              <w:rPr>
                <w:rStyle w:val="Hypertextovodkaz"/>
                <w:i/>
                <w:noProof/>
                <w:lang w:val="en-GB" w:eastAsia="zh-CN"/>
              </w:rPr>
              <w:t>Control variables</w:t>
            </w:r>
            <w:r>
              <w:rPr>
                <w:noProof/>
                <w:webHidden/>
              </w:rPr>
              <w:tab/>
            </w:r>
            <w:r>
              <w:rPr>
                <w:noProof/>
                <w:webHidden/>
              </w:rPr>
              <w:fldChar w:fldCharType="begin"/>
            </w:r>
            <w:r>
              <w:rPr>
                <w:noProof/>
                <w:webHidden/>
              </w:rPr>
              <w:instrText xml:space="preserve"> PAGEREF _Toc512687788 \h </w:instrText>
            </w:r>
            <w:r>
              <w:rPr>
                <w:noProof/>
                <w:webHidden/>
              </w:rPr>
            </w:r>
            <w:r>
              <w:rPr>
                <w:noProof/>
                <w:webHidden/>
              </w:rPr>
              <w:fldChar w:fldCharType="separate"/>
            </w:r>
            <w:r w:rsidR="00466C1F">
              <w:rPr>
                <w:noProof/>
                <w:webHidden/>
              </w:rPr>
              <w:t>120</w:t>
            </w:r>
            <w:r>
              <w:rPr>
                <w:noProof/>
                <w:webHidden/>
              </w:rPr>
              <w:fldChar w:fldCharType="end"/>
            </w:r>
          </w:hyperlink>
        </w:p>
        <w:p w14:paraId="4FE6616C" w14:textId="5CDD77E0"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89" w:history="1">
            <w:r w:rsidRPr="00506631">
              <w:rPr>
                <w:rStyle w:val="Hypertextovodkaz"/>
                <w:noProof/>
                <w:lang w:val="en-GB"/>
              </w:rPr>
              <w:t>Results</w:t>
            </w:r>
            <w:r>
              <w:rPr>
                <w:noProof/>
                <w:webHidden/>
              </w:rPr>
              <w:tab/>
            </w:r>
            <w:r>
              <w:rPr>
                <w:noProof/>
                <w:webHidden/>
              </w:rPr>
              <w:fldChar w:fldCharType="begin"/>
            </w:r>
            <w:r>
              <w:rPr>
                <w:noProof/>
                <w:webHidden/>
              </w:rPr>
              <w:instrText xml:space="preserve"> PAGEREF _Toc512687789 \h </w:instrText>
            </w:r>
            <w:r>
              <w:rPr>
                <w:noProof/>
                <w:webHidden/>
              </w:rPr>
            </w:r>
            <w:r>
              <w:rPr>
                <w:noProof/>
                <w:webHidden/>
              </w:rPr>
              <w:fldChar w:fldCharType="separate"/>
            </w:r>
            <w:r w:rsidR="00466C1F">
              <w:rPr>
                <w:noProof/>
                <w:webHidden/>
              </w:rPr>
              <w:t>121</w:t>
            </w:r>
            <w:r>
              <w:rPr>
                <w:noProof/>
                <w:webHidden/>
              </w:rPr>
              <w:fldChar w:fldCharType="end"/>
            </w:r>
          </w:hyperlink>
        </w:p>
        <w:p w14:paraId="54345E20" w14:textId="16ECAB7A"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90" w:history="1">
            <w:r w:rsidRPr="00506631">
              <w:rPr>
                <w:rStyle w:val="Hypertextovodkaz"/>
                <w:i/>
                <w:noProof/>
                <w:lang w:val="en-GB" w:eastAsia="zh-CN"/>
              </w:rPr>
              <w:t>Comparison of REM and FEM</w:t>
            </w:r>
            <w:r>
              <w:rPr>
                <w:noProof/>
                <w:webHidden/>
              </w:rPr>
              <w:tab/>
            </w:r>
            <w:r>
              <w:rPr>
                <w:noProof/>
                <w:webHidden/>
              </w:rPr>
              <w:fldChar w:fldCharType="begin"/>
            </w:r>
            <w:r>
              <w:rPr>
                <w:noProof/>
                <w:webHidden/>
              </w:rPr>
              <w:instrText xml:space="preserve"> PAGEREF _Toc512687790 \h </w:instrText>
            </w:r>
            <w:r>
              <w:rPr>
                <w:noProof/>
                <w:webHidden/>
              </w:rPr>
            </w:r>
            <w:r>
              <w:rPr>
                <w:noProof/>
                <w:webHidden/>
              </w:rPr>
              <w:fldChar w:fldCharType="separate"/>
            </w:r>
            <w:r w:rsidR="00466C1F">
              <w:rPr>
                <w:noProof/>
                <w:webHidden/>
              </w:rPr>
              <w:t>121</w:t>
            </w:r>
            <w:r>
              <w:rPr>
                <w:noProof/>
                <w:webHidden/>
              </w:rPr>
              <w:fldChar w:fldCharType="end"/>
            </w:r>
          </w:hyperlink>
        </w:p>
        <w:p w14:paraId="780BCF0F" w14:textId="5F860159"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91" w:history="1">
            <w:r w:rsidRPr="00506631">
              <w:rPr>
                <w:rStyle w:val="Hypertextovodkaz"/>
                <w:i/>
                <w:noProof/>
                <w:lang w:val="en-GB" w:eastAsia="zh-CN"/>
              </w:rPr>
              <w:t>Differences in FEM between education groups</w:t>
            </w:r>
            <w:r>
              <w:rPr>
                <w:noProof/>
                <w:webHidden/>
              </w:rPr>
              <w:tab/>
            </w:r>
            <w:r>
              <w:rPr>
                <w:noProof/>
                <w:webHidden/>
              </w:rPr>
              <w:fldChar w:fldCharType="begin"/>
            </w:r>
            <w:r>
              <w:rPr>
                <w:noProof/>
                <w:webHidden/>
              </w:rPr>
              <w:instrText xml:space="preserve"> PAGEREF _Toc512687791 \h </w:instrText>
            </w:r>
            <w:r>
              <w:rPr>
                <w:noProof/>
                <w:webHidden/>
              </w:rPr>
            </w:r>
            <w:r>
              <w:rPr>
                <w:noProof/>
                <w:webHidden/>
              </w:rPr>
              <w:fldChar w:fldCharType="separate"/>
            </w:r>
            <w:r w:rsidR="00466C1F">
              <w:rPr>
                <w:noProof/>
                <w:webHidden/>
              </w:rPr>
              <w:t>122</w:t>
            </w:r>
            <w:r>
              <w:rPr>
                <w:noProof/>
                <w:webHidden/>
              </w:rPr>
              <w:fldChar w:fldCharType="end"/>
            </w:r>
          </w:hyperlink>
        </w:p>
        <w:p w14:paraId="78135FB1" w14:textId="04C1A1A0" w:rsidR="00B86239" w:rsidRDefault="00B86239">
          <w:pPr>
            <w:pStyle w:val="Obsah3"/>
            <w:tabs>
              <w:tab w:val="right" w:leader="dot" w:pos="9062"/>
            </w:tabs>
            <w:rPr>
              <w:rFonts w:asciiTheme="minorHAnsi" w:eastAsiaTheme="minorEastAsia" w:hAnsiTheme="minorHAnsi" w:cstheme="minorBidi"/>
              <w:noProof/>
              <w:sz w:val="22"/>
              <w:szCs w:val="22"/>
              <w:lang w:val="en-GB" w:eastAsia="en-GB"/>
            </w:rPr>
          </w:pPr>
          <w:hyperlink w:anchor="_Toc512687792" w:history="1">
            <w:r w:rsidRPr="00506631">
              <w:rPr>
                <w:rStyle w:val="Hypertextovodkaz"/>
                <w:i/>
                <w:noProof/>
                <w:lang w:val="en-GB" w:eastAsia="zh-CN"/>
              </w:rPr>
              <w:t>Differences in FEM across Europe</w:t>
            </w:r>
            <w:r>
              <w:rPr>
                <w:noProof/>
                <w:webHidden/>
              </w:rPr>
              <w:tab/>
            </w:r>
            <w:r>
              <w:rPr>
                <w:noProof/>
                <w:webHidden/>
              </w:rPr>
              <w:fldChar w:fldCharType="begin"/>
            </w:r>
            <w:r>
              <w:rPr>
                <w:noProof/>
                <w:webHidden/>
              </w:rPr>
              <w:instrText xml:space="preserve"> PAGEREF _Toc512687792 \h </w:instrText>
            </w:r>
            <w:r>
              <w:rPr>
                <w:noProof/>
                <w:webHidden/>
              </w:rPr>
            </w:r>
            <w:r>
              <w:rPr>
                <w:noProof/>
                <w:webHidden/>
              </w:rPr>
              <w:fldChar w:fldCharType="separate"/>
            </w:r>
            <w:r w:rsidR="00466C1F">
              <w:rPr>
                <w:noProof/>
                <w:webHidden/>
              </w:rPr>
              <w:t>124</w:t>
            </w:r>
            <w:r>
              <w:rPr>
                <w:noProof/>
                <w:webHidden/>
              </w:rPr>
              <w:fldChar w:fldCharType="end"/>
            </w:r>
          </w:hyperlink>
        </w:p>
        <w:p w14:paraId="1A4B0336" w14:textId="38C6DF15" w:rsidR="00B86239" w:rsidRDefault="00B86239">
          <w:pPr>
            <w:pStyle w:val="Obsah2"/>
            <w:tabs>
              <w:tab w:val="right" w:leader="dot" w:pos="9062"/>
            </w:tabs>
            <w:rPr>
              <w:rFonts w:asciiTheme="minorHAnsi" w:eastAsiaTheme="minorEastAsia" w:hAnsiTheme="minorHAnsi" w:cstheme="minorBidi"/>
              <w:noProof/>
              <w:sz w:val="22"/>
              <w:szCs w:val="22"/>
              <w:lang w:val="en-GB" w:eastAsia="en-GB"/>
            </w:rPr>
          </w:pPr>
          <w:hyperlink w:anchor="_Toc512687793" w:history="1">
            <w:r w:rsidRPr="00506631">
              <w:rPr>
                <w:rStyle w:val="Hypertextovodkaz"/>
                <w:noProof/>
                <w:lang w:val="en-GB"/>
              </w:rPr>
              <w:t>Conclusion and discussion</w:t>
            </w:r>
            <w:r>
              <w:rPr>
                <w:noProof/>
                <w:webHidden/>
              </w:rPr>
              <w:tab/>
            </w:r>
            <w:r>
              <w:rPr>
                <w:noProof/>
                <w:webHidden/>
              </w:rPr>
              <w:fldChar w:fldCharType="begin"/>
            </w:r>
            <w:r>
              <w:rPr>
                <w:noProof/>
                <w:webHidden/>
              </w:rPr>
              <w:instrText xml:space="preserve"> PAGEREF _Toc512687793 \h </w:instrText>
            </w:r>
            <w:r>
              <w:rPr>
                <w:noProof/>
                <w:webHidden/>
              </w:rPr>
            </w:r>
            <w:r>
              <w:rPr>
                <w:noProof/>
                <w:webHidden/>
              </w:rPr>
              <w:fldChar w:fldCharType="separate"/>
            </w:r>
            <w:r w:rsidR="00466C1F">
              <w:rPr>
                <w:noProof/>
                <w:webHidden/>
              </w:rPr>
              <w:t>125</w:t>
            </w:r>
            <w:r>
              <w:rPr>
                <w:noProof/>
                <w:webHidden/>
              </w:rPr>
              <w:fldChar w:fldCharType="end"/>
            </w:r>
          </w:hyperlink>
        </w:p>
        <w:p w14:paraId="4AC6F679" w14:textId="16FB0DFE" w:rsidR="00B86239" w:rsidRDefault="00B86239">
          <w:pPr>
            <w:pStyle w:val="Obsah1"/>
            <w:tabs>
              <w:tab w:val="right" w:leader="dot" w:pos="9062"/>
            </w:tabs>
            <w:rPr>
              <w:rFonts w:asciiTheme="minorHAnsi" w:eastAsiaTheme="minorEastAsia" w:hAnsiTheme="minorHAnsi" w:cstheme="minorBidi"/>
              <w:noProof/>
              <w:sz w:val="22"/>
              <w:szCs w:val="22"/>
              <w:lang w:val="en-GB" w:eastAsia="en-GB"/>
            </w:rPr>
          </w:pPr>
          <w:hyperlink w:anchor="_Toc512687794" w:history="1">
            <w:r w:rsidRPr="00506631">
              <w:rPr>
                <w:rStyle w:val="Hypertextovodkaz"/>
                <w:noProof/>
                <w:lang w:val="en-GB" w:eastAsia="zh-CN"/>
              </w:rPr>
              <w:t>Chapter 7: Conclusions and discussion</w:t>
            </w:r>
            <w:r>
              <w:rPr>
                <w:noProof/>
                <w:webHidden/>
              </w:rPr>
              <w:tab/>
            </w:r>
            <w:r>
              <w:rPr>
                <w:noProof/>
                <w:webHidden/>
              </w:rPr>
              <w:fldChar w:fldCharType="begin"/>
            </w:r>
            <w:r>
              <w:rPr>
                <w:noProof/>
                <w:webHidden/>
              </w:rPr>
              <w:instrText xml:space="preserve"> PAGEREF _Toc512687794 \h </w:instrText>
            </w:r>
            <w:r>
              <w:rPr>
                <w:noProof/>
                <w:webHidden/>
              </w:rPr>
            </w:r>
            <w:r>
              <w:rPr>
                <w:noProof/>
                <w:webHidden/>
              </w:rPr>
              <w:fldChar w:fldCharType="separate"/>
            </w:r>
            <w:r w:rsidR="00466C1F">
              <w:rPr>
                <w:noProof/>
                <w:webHidden/>
              </w:rPr>
              <w:t>128</w:t>
            </w:r>
            <w:r>
              <w:rPr>
                <w:noProof/>
                <w:webHidden/>
              </w:rPr>
              <w:fldChar w:fldCharType="end"/>
            </w:r>
          </w:hyperlink>
        </w:p>
        <w:p w14:paraId="4DEA6137" w14:textId="1F8FBD67" w:rsidR="00B86239" w:rsidRDefault="00B86239">
          <w:pPr>
            <w:pStyle w:val="Obsah1"/>
            <w:tabs>
              <w:tab w:val="right" w:leader="dot" w:pos="9062"/>
            </w:tabs>
            <w:rPr>
              <w:rFonts w:asciiTheme="minorHAnsi" w:eastAsiaTheme="minorEastAsia" w:hAnsiTheme="minorHAnsi" w:cstheme="minorBidi"/>
              <w:noProof/>
              <w:sz w:val="22"/>
              <w:szCs w:val="22"/>
              <w:lang w:val="en-GB" w:eastAsia="en-GB"/>
            </w:rPr>
          </w:pPr>
          <w:hyperlink w:anchor="_Toc512687795" w:history="1">
            <w:r w:rsidRPr="00506631">
              <w:rPr>
                <w:rStyle w:val="Hypertextovodkaz"/>
                <w:noProof/>
                <w:lang w:val="en-GB"/>
              </w:rPr>
              <w:t>Bibliography</w:t>
            </w:r>
            <w:r>
              <w:rPr>
                <w:noProof/>
                <w:webHidden/>
              </w:rPr>
              <w:tab/>
            </w:r>
            <w:r>
              <w:rPr>
                <w:noProof/>
                <w:webHidden/>
              </w:rPr>
              <w:fldChar w:fldCharType="begin"/>
            </w:r>
            <w:r>
              <w:rPr>
                <w:noProof/>
                <w:webHidden/>
              </w:rPr>
              <w:instrText xml:space="preserve"> PAGEREF _Toc512687795 \h </w:instrText>
            </w:r>
            <w:r>
              <w:rPr>
                <w:noProof/>
                <w:webHidden/>
              </w:rPr>
            </w:r>
            <w:r>
              <w:rPr>
                <w:noProof/>
                <w:webHidden/>
              </w:rPr>
              <w:fldChar w:fldCharType="separate"/>
            </w:r>
            <w:r w:rsidR="00466C1F">
              <w:rPr>
                <w:noProof/>
                <w:webHidden/>
              </w:rPr>
              <w:t>136</w:t>
            </w:r>
            <w:r>
              <w:rPr>
                <w:noProof/>
                <w:webHidden/>
              </w:rPr>
              <w:fldChar w:fldCharType="end"/>
            </w:r>
          </w:hyperlink>
        </w:p>
        <w:p w14:paraId="33A04BFB" w14:textId="0D2DC6F8" w:rsidR="00B86239" w:rsidRDefault="00B86239">
          <w:pPr>
            <w:pStyle w:val="Obsah1"/>
            <w:tabs>
              <w:tab w:val="right" w:leader="dot" w:pos="9062"/>
            </w:tabs>
            <w:rPr>
              <w:rFonts w:asciiTheme="minorHAnsi" w:eastAsiaTheme="minorEastAsia" w:hAnsiTheme="minorHAnsi" w:cstheme="minorBidi"/>
              <w:noProof/>
              <w:sz w:val="22"/>
              <w:szCs w:val="22"/>
              <w:lang w:val="en-GB" w:eastAsia="en-GB"/>
            </w:rPr>
          </w:pPr>
          <w:hyperlink w:anchor="_Toc512687796" w:history="1">
            <w:r w:rsidRPr="00506631">
              <w:rPr>
                <w:rStyle w:val="Hypertextovodkaz"/>
                <w:noProof/>
                <w:lang w:val="en-GB"/>
              </w:rPr>
              <w:t>List of tables and figures</w:t>
            </w:r>
            <w:r>
              <w:rPr>
                <w:noProof/>
                <w:webHidden/>
              </w:rPr>
              <w:tab/>
            </w:r>
            <w:r>
              <w:rPr>
                <w:noProof/>
                <w:webHidden/>
              </w:rPr>
              <w:fldChar w:fldCharType="begin"/>
            </w:r>
            <w:r>
              <w:rPr>
                <w:noProof/>
                <w:webHidden/>
              </w:rPr>
              <w:instrText xml:space="preserve"> PAGEREF _Toc512687796 \h </w:instrText>
            </w:r>
            <w:r>
              <w:rPr>
                <w:noProof/>
                <w:webHidden/>
              </w:rPr>
            </w:r>
            <w:r>
              <w:rPr>
                <w:noProof/>
                <w:webHidden/>
              </w:rPr>
              <w:fldChar w:fldCharType="separate"/>
            </w:r>
            <w:r w:rsidR="00466C1F">
              <w:rPr>
                <w:noProof/>
                <w:webHidden/>
              </w:rPr>
              <w:t>153</w:t>
            </w:r>
            <w:r>
              <w:rPr>
                <w:noProof/>
                <w:webHidden/>
              </w:rPr>
              <w:fldChar w:fldCharType="end"/>
            </w:r>
          </w:hyperlink>
        </w:p>
        <w:p w14:paraId="169E87A6" w14:textId="05E2CD64" w:rsidR="004B2236" w:rsidRPr="00C3671E" w:rsidRDefault="004B2236">
          <w:pPr>
            <w:rPr>
              <w:lang w:val="en-GB"/>
            </w:rPr>
          </w:pPr>
          <w:r w:rsidRPr="00C3671E">
            <w:rPr>
              <w:b/>
              <w:bCs/>
              <w:lang w:val="en-GB"/>
            </w:rPr>
            <w:fldChar w:fldCharType="end"/>
          </w:r>
        </w:p>
      </w:sdtContent>
    </w:sdt>
    <w:p w14:paraId="7907A453" w14:textId="35380208" w:rsidR="004B2236" w:rsidRPr="00C3671E" w:rsidRDefault="004B2236">
      <w:pPr>
        <w:spacing w:after="160" w:line="259" w:lineRule="auto"/>
        <w:rPr>
          <w:b/>
          <w:bCs/>
          <w:kern w:val="1"/>
          <w:szCs w:val="32"/>
          <w:lang w:val="en-GB" w:eastAsia="zh-CN"/>
        </w:rPr>
      </w:pPr>
      <w:r w:rsidRPr="00C3671E">
        <w:rPr>
          <w:kern w:val="1"/>
          <w:szCs w:val="32"/>
          <w:lang w:val="en-GB" w:eastAsia="zh-CN"/>
        </w:rPr>
        <w:br w:type="page"/>
      </w:r>
    </w:p>
    <w:p w14:paraId="39CBAB02" w14:textId="77777777" w:rsidR="00676326" w:rsidRPr="00C3671E" w:rsidRDefault="00676326" w:rsidP="00676326">
      <w:pPr>
        <w:pStyle w:val="Nadpis1"/>
        <w:spacing w:line="480" w:lineRule="auto"/>
        <w:rPr>
          <w:sz w:val="36"/>
          <w:szCs w:val="36"/>
          <w:lang w:val="en-GB" w:eastAsia="zh-CN"/>
        </w:rPr>
      </w:pPr>
      <w:bookmarkStart w:id="0" w:name="_Toc512687718"/>
      <w:r w:rsidRPr="00C3671E">
        <w:rPr>
          <w:sz w:val="36"/>
          <w:szCs w:val="36"/>
          <w:lang w:val="en-GB" w:eastAsia="zh-CN"/>
        </w:rPr>
        <w:lastRenderedPageBreak/>
        <w:t>Chapter 1: Introduction</w:t>
      </w:r>
      <w:bookmarkEnd w:id="0"/>
    </w:p>
    <w:p w14:paraId="556C46C3" w14:textId="77777777" w:rsidR="00676326" w:rsidRPr="00C3671E" w:rsidRDefault="00676326" w:rsidP="00676326">
      <w:pPr>
        <w:pStyle w:val="Nadpis2"/>
        <w:spacing w:line="480" w:lineRule="auto"/>
        <w:rPr>
          <w:sz w:val="26"/>
          <w:szCs w:val="26"/>
          <w:lang w:val="en-GB"/>
        </w:rPr>
      </w:pPr>
      <w:bookmarkStart w:id="1" w:name="_Toc512687719"/>
      <w:r w:rsidRPr="00C3671E">
        <w:rPr>
          <w:sz w:val="26"/>
          <w:szCs w:val="26"/>
          <w:lang w:val="en-GB"/>
        </w:rPr>
        <w:t>Demographic development in Europe</w:t>
      </w:r>
      <w:bookmarkEnd w:id="1"/>
    </w:p>
    <w:p w14:paraId="35E39B48" w14:textId="14F17598" w:rsidR="00676326" w:rsidRPr="00C3671E" w:rsidRDefault="00676326" w:rsidP="00676326">
      <w:pPr>
        <w:suppressAutoHyphens/>
        <w:spacing w:line="480" w:lineRule="auto"/>
        <w:jc w:val="both"/>
        <w:rPr>
          <w:lang w:val="en-GB"/>
        </w:rPr>
      </w:pPr>
      <w:r w:rsidRPr="00C3671E">
        <w:rPr>
          <w:lang w:val="en-GB"/>
        </w:rPr>
        <w:t xml:space="preserve">The whole world currently faces unprecedented demographic changes, which include raising longevity, dropping fertility </w:t>
      </w:r>
      <w:r w:rsidRPr="00C3671E">
        <w:rPr>
          <w:noProof/>
          <w:lang w:val="en-GB" w:eastAsia="zh-CN"/>
        </w:rPr>
        <w:t>levels</w:t>
      </w:r>
      <w:r w:rsidRPr="00C3671E">
        <w:rPr>
          <w:lang w:val="en-GB"/>
        </w:rPr>
        <w:t xml:space="preserve">, and subsequent changes in age structure. These changes are most profound in Europe as a frontrunner of demographic and cultural development in many areas </w:t>
      </w:r>
      <w:r w:rsidRPr="00C3671E">
        <w:rPr>
          <w:lang w:val="en-GB"/>
        </w:rPr>
        <w:fldChar w:fldCharType="begin" w:fldLock="1"/>
      </w:r>
      <w:r w:rsidR="001257AA" w:rsidRPr="00C3671E">
        <w:rPr>
          <w:lang w:val="en-GB"/>
        </w:rPr>
        <w:instrText>ADDIN CSL_CITATION { "citationItems" : [ { "id" : "ITEM-1", "itemData" : { "DOI" : "10.1016/j.ssci.2009.10.008", "ISBN" : "978-0-335-22269-8", "ISSN" : "1544-7529", "PMID" : "20762", "abstract" : "This book aims to convince readers that ageing is not boring, threatening or depressing, but that it has enormous relevance for the young and the old alike. Virpi Timonen provides an engaging introduction to the central social, economic and political aspects and impacts of ageing and makes the case for the importance of analysing ageing from a number of different perspectives. Using comparative international data, the author provides a detailed description of the process of population ageing, including increasing longevity, changes in fertility and variations in the health status of older populations", "author" : [ { "dropping-particle" : "", "family" : "Timonen", "given" : "Virpi", "non-dropping-particle" : "", "parse-names" : false, "suffix" : "" } ], "id" : "ITEM-1", "issued" : { "date-parts" : [ [ "2008" ] ] }, "publisher" : "Open University Press", "publisher-place" : "Maidenhead", "title" : "Ageing societies: A comparative introduction", "type" : "book" }, "uris" : [ "http://www.mendeley.com/documents/?uuid=62ec3e51-def8-4a0a-8206-06ee230cbb1a" ] }, { "id" : "ITEM-2", "itemData" : { "author" : [ { "dropping-particle" : "", "family" : "Sobotka", "given" : "Tom\u00e1\u0161", "non-dropping-particle" : "", "parse-names" : false, "suffix" : "" } ], "chapter-number" : "2", "container-title" : "Demographic Challenges for the 21st Century: A State of the Art in Demography", "editor" : [ { "dropping-particle" : "", "family" : "Surkyn", "given" : "Johan", "non-dropping-particle" : "", "parse-names" : false, "suffix" : "" }, { "dropping-particle" : "", "family" : "Deboosere", "given" : "Patrick", "non-dropping-particle" : "", "parse-names" : false, "suffix" : "" }, { "dropping-particle" : "", "family" : "Bavel", "given" : "Jan", "non-dropping-particle" : "Van", "parse-names" : false, "suffix" : "" } ], "id" : "ITEM-2", "issued" : { "date-parts" : [ [ "2008" ] ] }, "page" : "27-90", "publisher" : "VUBPRESS", "publisher-place" : "Brussels", "title" : "Does Persistent Low Fertility Threaten the Future of European Populations?", "type" : "chapter" }, "uris" : [ "http://www.mendeley.com/documents/?uuid=7c401ab6-8cb9-4643-99c1-3a0eea4e238b" ] } ], "mendeley" : { "formattedCitation" : "(Sobotka 2008a; Timonen 2008)", "plainTextFormattedCitation" : "(Sobotka 2008a; Timonen 2008)", "previouslyFormattedCitation" : "(Sobotka 2008a; Timonen 2008)" }, "properties" : { "noteIndex" : 0 }, "schema" : "https://github.com/citation-style-language/schema/raw/master/csl-citation.json" }</w:instrText>
      </w:r>
      <w:r w:rsidRPr="00C3671E">
        <w:rPr>
          <w:lang w:val="en-GB"/>
        </w:rPr>
        <w:fldChar w:fldCharType="separate"/>
      </w:r>
      <w:r w:rsidR="00A91559" w:rsidRPr="00C3671E">
        <w:rPr>
          <w:noProof/>
          <w:lang w:val="en-GB"/>
        </w:rPr>
        <w:t>(Sobotka 2008a; Timonen 2008)</w:t>
      </w:r>
      <w:r w:rsidRPr="00C3671E">
        <w:rPr>
          <w:lang w:val="en-GB"/>
        </w:rPr>
        <w:fldChar w:fldCharType="end"/>
      </w:r>
      <w:r w:rsidRPr="00C3671E">
        <w:rPr>
          <w:lang w:val="en-GB"/>
        </w:rPr>
        <w:t>. Since the central claim of modernization theory says that “economic, cultural, an</w:t>
      </w:r>
      <w:bookmarkStart w:id="2" w:name="_GoBack"/>
      <w:bookmarkEnd w:id="2"/>
      <w:r w:rsidRPr="00C3671E">
        <w:rPr>
          <w:lang w:val="en-GB"/>
        </w:rPr>
        <w:t xml:space="preserve">d political changes that go together in coherent patterns are changing the world in predictable ways” </w:t>
      </w:r>
      <w:r w:rsidRPr="00C3671E">
        <w:rPr>
          <w:lang w:val="en-GB"/>
        </w:rPr>
        <w:fldChar w:fldCharType="begin" w:fldLock="1"/>
      </w:r>
      <w:r w:rsidRPr="00C3671E">
        <w:rPr>
          <w:lang w:val="en-GB"/>
        </w:rPr>
        <w:instrText>ADDIN CSL_CITATION { "citationItems" : [ { "id" : "ITEM-1", "itemData" : { "author" : [ { "dropping-particle" : "", "family" : "Inglehart", "given" : "Ronald", "non-dropping-particle" : "", "parse-names" : false, "suffix" : "" } ], "id" : "ITEM-1", "issued" : { "date-parts" : [ [ "1997" ] ] }, "publisher" : "Princeton University Press", "publisher-place" : "Princeton", "title" : "Modernization and postmodernization: Cultural, economic, and political change in 43 societies", "type" : "book" }, "uris" : [ "http://www.mendeley.com/documents/?uuid=d9d09854-470b-4e95-9b3e-bf59c6eb759b" ] } ], "mendeley" : { "formattedCitation" : "(Inglehart 1997)", "manualFormatting" : "(Inglehart 1997", "plainTextFormattedCitation" : "(Inglehart 1997)", "previouslyFormattedCitation" : "(Inglehart 1997)" }, "properties" : { "noteIndex" : 0 }, "schema" : "https://github.com/citation-style-language/schema/raw/master/csl-citation.json" }</w:instrText>
      </w:r>
      <w:r w:rsidRPr="00C3671E">
        <w:rPr>
          <w:lang w:val="en-GB"/>
        </w:rPr>
        <w:fldChar w:fldCharType="separate"/>
      </w:r>
      <w:r w:rsidRPr="00C3671E">
        <w:rPr>
          <w:noProof/>
          <w:lang w:val="en-GB"/>
        </w:rPr>
        <w:t>(Inglehart 1997</w:t>
      </w:r>
      <w:r w:rsidRPr="00C3671E">
        <w:rPr>
          <w:lang w:val="en-GB"/>
        </w:rPr>
        <w:fldChar w:fldCharType="end"/>
      </w:r>
      <w:r w:rsidRPr="00C3671E">
        <w:rPr>
          <w:lang w:val="en-GB"/>
        </w:rPr>
        <w:t>: 7</w:t>
      </w:r>
      <w:r w:rsidRPr="00C3671E">
        <w:rPr>
          <w:noProof/>
          <w:lang w:val="en-GB"/>
        </w:rPr>
        <w:t>)</w:t>
      </w:r>
      <w:r w:rsidRPr="00C3671E">
        <w:rPr>
          <w:lang w:val="en-GB"/>
        </w:rPr>
        <w:t xml:space="preserve">, demographic development of European societies also shapes many types of societal changes. Many of contemporary economic, cultural, political and other changes connected to demographic development are outlined in theory of Second Demographic Transition </w:t>
      </w:r>
      <w:r w:rsidRPr="00C3671E">
        <w:rPr>
          <w:lang w:val="en-GB"/>
        </w:rPr>
        <w:fldChar w:fldCharType="begin" w:fldLock="1"/>
      </w:r>
      <w:r w:rsidR="001257AA" w:rsidRPr="00C3671E">
        <w:rPr>
          <w:lang w:val="en-GB"/>
        </w:rPr>
        <w:instrText>ADDIN CSL_CITATION { "citationItems" : [ { "id" : "ITEM-1", "itemData" : { "DOI" : "10.1007/BF03029484", "ISSN" : "14432447", "abstract" : "It is argued in this lecture that Ryder\u2019s approach to the study of the role of the cohort in social change is too narrow. Cohorts do not only permit change; they actively create the options succeeding cohorts have to choose from. Through its own choice from amongst the options perceived, each cohort both limits and enriches the options of the next. It is through the choice people make with regard to life shaping demographic events that they group themselves into \u2018mental\u2019 cohorts. The course of demographic events in Western Europe in the postwar period is difficult to understand if one does not appreciate that these events form a sequence. A sequence generated by the quite specific option(s) each \u2018mental\u2019 cohort, through its own choice, created for the next. Current demographic patterns in Europe have to be interpreted in terms of differences in social and cultural heritage of the countries concerned, and in terms of the differences in options perceived and selected.", "author" : [ { "dropping-particle" : "", "family" : "Kaa", "given" : "Dirk J.", "non-dropping-particle" : "van de", "parse-names" : false, "suffix" : "" } ], "container-title" : "Journal of the Australian Population Association", "id" : "ITEM-1", "issue" : "1", "issued" : { "date-parts" : [ [ "1997" ] ] }, "page" : "1-29", "title" : "Options and sequences: Europe's demographic patterns", "type" : "article-journal", "volume" : "14" }, "uris" : [ "http://www.mendeley.com/documents/?uuid=a75d9bf4-59d0-4373-9179-296d3feaa79a" ] }, { "id" : "ITEM-2", "itemData" : { "ISBN" : "0172 - 6404", "ISSN" : "0098-7921", "PMID" : "20734551",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Abstract: \u00bbDer \"zweite demo graphische \u00dcbergang\" ': Ein Orientierungskon-zept zum Verst\u00e4ndnis sp\u00e4tmoderner demographischer Entwicklungen von Fer-tilit\u00e4t und Familienbildung\u00ab. This article presents a narrative of the unfolding of the Second Demographic Transition (SDT) since the theory was first formu-lated in 1986. The first part recapitulates the foundations of the theory, and documents the spread of the SDT to the point that it now covers most European populations. Also for Europe, it focuses on the relationship between the SDT and the growing heterogeneity in period fertility levels. It is shown that the cur-rent positive relationship between SDT and TFR levels is not a violation of the SDT theory, but the outcome of a \"split correlation\" with different sub-narratives concerning the onset of fertility postponement and the degree of subsequent recuperation in two parts of Europe. The second part of the article addresses the issue of whether the SDT has spread or is currently spreading in industrialized Asian countries. Evidence gathered for Japan, South Korea, Hong Kong, Singapore, and Taiwan is presented. That evidence pertains to both the macro-level (national trends in postponement of marriage and parent-hood, rise of cohabitation) and the micro-level (connections between individual values orientations and postponement of parenthood). Strong similarities are found with SDT patterns in Southern Europe, except for the fact that parent-hood is still very rare among Asian cohabiting partners.", "author" : [ { "dropping-particle" : "", "family" : "Lesthaeghe", "given" : "Ron", "non-dropping-particle" : "", "parse-names" : false, "suffix" : "" } ], "container-title" : "Historical Social Research", "id" : "ITEM-2", "issue" : "2", "issued" : { "date-parts" : [ [ "2011" ] ] }, "page" : "179-218", "title" : "The \"Second Demographic Transition\": A Conceptual Map for the Understanding of Late Modern Demographic Developments in Fertility and Family Formation", "type" : "article-journal", "volume" : "36" }, "uris" : [ "http://www.mendeley.com/documents/?uuid=757c620b-b4d4-4ae9-8414-19e7467cdfb0" ] }, { "id" : "ITEM-3", "itemData" : { "DOI" : "10.1111/j.1728-4457.2010.00328.x", "ISBN" : "1728-4457", "ISSN" : "0098-7921", "PMID" : "20734551", "abstract" : "This article presents a narrative of the unfolding of the Second Demographic Transition (SDT) since the theory was first formulated in 1986. The first part recapitulates the foundations of the theory, and documents the spread of the SDT to the point that it now covers most European populations. Also for Europe, it focuses on the relationship between the SDT and the growing heterogeneity in period fertility levels. It is shown that the current positive relationship between SDT and TFR levels is not a violation of the SDT theory, but the outcome of a \" split correlation\" with different sub-narratives concerning the onset of fertility postponement and the degree of subsequent recuperation in two parts of Europe. The second part of the article addresses the issue of whether the SDT has spread or is currently spreading in industrialized Asian countries. Evidence gathered for Japan, South Korea, Hong Kong, Singapore, and Taiwan is presented. That evidence pertains to both the macro-level (national trends in postponement of marriage and parenthood, rise of cohabitation) and the micro-level (connections between individual values orientations and postponement of parenthood). Strong similarities are found with SDT patterns in Southern Europe, except for the fact that parenthood is still very rare among Asian cohabiting partners.", "author" : [ { "dropping-particle" : "", "family" : "Lesthaeghe", "given" : "Ron J.", "non-dropping-particle" : "", "parse-names" : false, "suffix" : "" } ], "container-title" : "Population and Development Review", "id" : "ITEM-3", "issue" : "2", "issued" : { "date-parts" : [ [ "2010" ] ] }, "page" : "211-251", "title" : "The Unfolding Story of the Second Demographic Transition", "type" : "article-journal", "volume" : "36" }, "uris" : [ "http://www.mendeley.com/documents/?uuid=93780951-a256-4841-8cc4-928586f4e0f4" ] }, { "id" : "ITEM-4", "itemData" : { "DOI" : "10.4054/DemRes.2008.19.8", "ISBN" : "1435-9871, 1435-9871", "ISSN" : "14359871", "PMID" : "16857664", "abstract" : "This chapter discusses the concept of the second demographic transition (SDT) and its relevance for explaining the ongoing changes in family and fertility patterns across Europe. It takes a closer look at the shifts in values and attitudes related to family, reproduction, and children, and their representation in different chapters in this collection. It re-examines the link between the second demographic transition and fertility, highlights its strong positive association with fertility at later childbearing ages, and suggests that the transition does not necessarily lead to sub- replacement fertility levels. Subsequently, it provides an extensive discussion on the progression of the SDT behind the former \u2018Iron Curtain.\u2019 To explain some apparent contradictions in this process, it employs a conceptual model of \u2018readiness, willingness, and ability\u2019 (RWA) advocated by Lesthaeghe and Vanderhoeft (2001). It also explores the multifaceted nature of the second demographic transition between different social groups, and points out an apparent paradox: whereas lower- educated individuals often embrace values that can be characterised as rather traditional, they also frequently manifest family behaviour associated with the transition, such as non-marital childbearing, high partnership instability, and high prevalence of long-term cohabitation. This suggests that there may be two different pathways of the progression of the second demographic transition. The concluding section points out the role of structural constraints for the diffusion of the transition among disadvantaged social strata, highlights the importance of the \u2018gender revolution\u2019 for the SDT trends, and discusses the usefulness of the SDT framework. 1 Vienna Institute of Demography. E-mail: tomas.sobotka@oeaw.ac.at http://www.demographic-research.org 171", "author" : [ { "dropping-particle" : "", "family" : "Sobotka", "given" : "Tom\u00e1\u0161", "non-dropping-particle" : "", "parse-names" : false, "suffix" : "" } ], "container-title" : "Demographic Research", "id" : "ITEM-4", "issued" : { "date-parts" : [ [ "2008" ] ] }, "page" : "171-224", "title" : "Overview chapter 6: The diverse faces of the second demographic transition in Europe", "type" : "article-journal", "volume" : "19" }, "uris" : [ "http://www.mendeley.com/documents/?uuid=d6555d06-baa3-4274-a422-b2b4899c446e" ] } ], "mendeley" : { "formattedCitation" : "(van de Kaa 1997; Lesthaeghe 2010, 2011; Sobotka 2008b)", "plainTextFormattedCitation" : "(van de Kaa 1997; Lesthaeghe 2010, 2011; Sobotka 2008b)", "previouslyFormattedCitation" : "(van de Kaa 1997; Lesthaeghe 2010, 2011; Sobotka 2008b)" }, "properties" : { "noteIndex" : 0 }, "schema" : "https://github.com/citation-style-language/schema/raw/master/csl-citation.json" }</w:instrText>
      </w:r>
      <w:r w:rsidRPr="00C3671E">
        <w:rPr>
          <w:lang w:val="en-GB"/>
        </w:rPr>
        <w:fldChar w:fldCharType="separate"/>
      </w:r>
      <w:r w:rsidR="00A91559" w:rsidRPr="00C3671E">
        <w:rPr>
          <w:noProof/>
          <w:lang w:val="en-GB"/>
        </w:rPr>
        <w:t>(van de Kaa 1997; Lesthaeghe 2010, 2011; Sobotka 2008b)</w:t>
      </w:r>
      <w:r w:rsidRPr="00C3671E">
        <w:rPr>
          <w:lang w:val="en-GB"/>
        </w:rPr>
        <w:fldChar w:fldCharType="end"/>
      </w:r>
      <w:r w:rsidRPr="00C3671E">
        <w:rPr>
          <w:lang w:val="en-GB"/>
        </w:rPr>
        <w:t xml:space="preserve"> and related theory of value change towards post-materialism </w:t>
      </w:r>
      <w:r w:rsidRPr="00C3671E">
        <w:rPr>
          <w:lang w:val="en-GB"/>
        </w:rPr>
        <w:fldChar w:fldCharType="begin" w:fldLock="1"/>
      </w:r>
      <w:r w:rsidRPr="00C3671E">
        <w:rPr>
          <w:lang w:val="en-GB"/>
        </w:rPr>
        <w:instrText>ADDIN CSL_CITATION { "citationItems" : [ { "id" : "ITEM-1", "itemData" : { "author" : [ { "dropping-particle" : "", "family" : "Inglehart", "given" : "Ronald", "non-dropping-particle" : "", "parse-names" : false, "suffix" : "" } ], "id" : "ITEM-1", "issued" : { "date-parts" : [ [ "1990" ] ] }, "publisher" : "Princeton University Press", "publisher-place" : "Princeton", "title" : "Culture Shift in Advanced Industrial Society", "type" : "book" }, "uris" : [ "http://www.mendeley.com/documents/?uuid=25dc8f63-d26d-432e-8cdc-a1a2c72d612c" ] }, { "id" : "ITEM-2", "itemData" : { "author" : [ { "dropping-particle" : "", "family" : "Inglehart", "given" : "Ronald", "non-dropping-particle" : "", "parse-names" : false, "suffix" : "" } ], "id" : "ITEM-2", "issued" : { "date-parts" : [ [ "1977" ] ] }, "publisher" : "Princeton University Press", "publisher-place" : "Princeton", "title" : "The Silent Revolution: Changing Values and Political Styles Among Western Publics", "type" : "book" }, "uris" : [ "http://www.mendeley.com/documents/?uuid=237848b7-5a83-4982-aba3-022ca1557adf" ] } ], "mendeley" : { "formattedCitation" : "(Inglehart 1977, 1990)", "plainTextFormattedCitation" : "(Inglehart 1977, 1990)", "previouslyFormattedCitation" : "(Inglehart 1977, 1990)" }, "properties" : { "noteIndex" : 0 }, "schema" : "https://github.com/citation-style-language/schema/raw/master/csl-citation.json" }</w:instrText>
      </w:r>
      <w:r w:rsidRPr="00C3671E">
        <w:rPr>
          <w:lang w:val="en-GB"/>
        </w:rPr>
        <w:fldChar w:fldCharType="separate"/>
      </w:r>
      <w:r w:rsidRPr="00C3671E">
        <w:rPr>
          <w:noProof/>
          <w:lang w:val="en-GB"/>
        </w:rPr>
        <w:t>(Inglehart 1977, 1990)</w:t>
      </w:r>
      <w:r w:rsidRPr="00C3671E">
        <w:rPr>
          <w:lang w:val="en-GB"/>
        </w:rPr>
        <w:fldChar w:fldCharType="end"/>
      </w:r>
      <w:r w:rsidRPr="00C3671E">
        <w:rPr>
          <w:lang w:val="en-GB"/>
        </w:rPr>
        <w:t>. However, many practical implications of demographic changes and newly developed discourses have not been conclusively determined. The thesis aims to examine these practical implications in area of ageing and changing roles in later life.</w:t>
      </w:r>
    </w:p>
    <w:p w14:paraId="77C8D6F8" w14:textId="241FE634" w:rsidR="00676326" w:rsidRPr="00C3671E" w:rsidRDefault="00676326" w:rsidP="00676326">
      <w:pPr>
        <w:pStyle w:val="Newparagraph"/>
        <w:jc w:val="both"/>
      </w:pPr>
      <w:r w:rsidRPr="00C3671E">
        <w:t xml:space="preserve">All demographic changes in Europe most often labelled as population ageing, demographically speaking, are a consequence of two interrelated processes – declining mortality followed by even more </w:t>
      </w:r>
      <w:r w:rsidRPr="00C3671E">
        <w:rPr>
          <w:lang w:eastAsia="zh-CN"/>
        </w:rPr>
        <w:t>profound</w:t>
      </w:r>
      <w:r w:rsidRPr="00C3671E">
        <w:t xml:space="preserve"> decline of fertility </w:t>
      </w:r>
      <w:r w:rsidRPr="00C3671E">
        <w:fldChar w:fldCharType="begin" w:fldLock="1"/>
      </w:r>
      <w:r w:rsidR="001257AA" w:rsidRPr="00C3671E">
        <w:instrText>ADDIN CSL_CITATION { "citationItems" : [ { "id" : "ITEM-1", "itemData" : { "DOI" : "10.1016/j.ssci.2009.10.008", "ISBN" : "978-0-335-22269-8", "ISSN" : "1544-7529", "PMID" : "20762", "abstract" : "This book aims to convince readers that ageing is not boring, threatening or depressing, but that it has enormous relevance for the young and the old alike. Virpi Timonen provides an engaging introduction to the central social, economic and political aspects and impacts of ageing and makes the case for the importance of analysing ageing from a number of different perspectives. Using comparative international data, the author provides a detailed description of the process of population ageing, including increasing longevity, changes in fertility and variations in the health status of older populations", "author" : [ { "dropping-particle" : "", "family" : "Timonen", "given" : "Virpi", "non-dropping-particle" : "", "parse-names" : false, "suffix" : "" } ], "id" : "ITEM-1", "issued" : { "date-parts" : [ [ "2008" ] ] }, "publisher" : "Open University Press", "publisher-place" : "Maidenhead", "title" : "Ageing societies: A comparative introduction", "type" : "book" }, "uris" : [ "http://www.mendeley.com/documents/?uuid=62ec3e51-def8-4a0a-8206-06ee230cbb1a" ] }, { "id" : "ITEM-2", "itemData" : { "author" : [ { "dropping-particle" : "", "family" : "Sobotka", "given" : "Tom\u00e1\u0161", "non-dropping-particle" : "", "parse-names" : false, "suffix" : "" } ], "chapter-number" : "2", "container-title" : "Demographic Challenges for the 21st Century: A State of the Art in Demography", "editor" : [ { "dropping-particle" : "", "family" : "Surkyn", "given" : "Johan", "non-dropping-particle" : "", "parse-names" : false, "suffix" : "" }, { "dropping-particle" : "", "family" : "Deboosere", "given" : "Patrick", "non-dropping-particle" : "", "parse-names" : false, "suffix" : "" }, { "dropping-particle" : "", "family" : "Bavel", "given" : "Jan", "non-dropping-particle" : "Van", "parse-names" : false, "suffix" : "" } ], "id" : "ITEM-2", "issued" : { "date-parts" : [ [ "2008" ] ] }, "page" : "27-90", "publisher" : "VUBPRESS", "publisher-place" : "Brussels", "title" : "Does Persistent Low Fertility Threaten the Future of European Populations?", "type" : "chapter" }, "uris" : [ "http://www.mendeley.com/documents/?uuid=7c401ab6-8cb9-4643-99c1-3a0eea4e238b" ] } ], "mendeley" : { "formattedCitation" : "(Sobotka 2008a; Timonen 2008)", "plainTextFormattedCitation" : "(Sobotka 2008a; Timonen 2008)", "previouslyFormattedCitation" : "(Sobotka 2008a; Timonen 2008)" }, "properties" : { "noteIndex" : 0 }, "schema" : "https://github.com/citation-style-language/schema/raw/master/csl-citation.json" }</w:instrText>
      </w:r>
      <w:r w:rsidRPr="00C3671E">
        <w:fldChar w:fldCharType="separate"/>
      </w:r>
      <w:r w:rsidR="00A91559" w:rsidRPr="00C3671E">
        <w:rPr>
          <w:noProof/>
        </w:rPr>
        <w:t>(Sobotka 2008a; Timonen 2008)</w:t>
      </w:r>
      <w:r w:rsidRPr="00C3671E">
        <w:fldChar w:fldCharType="end"/>
      </w:r>
      <w:r w:rsidRPr="00C3671E">
        <w:t xml:space="preserve">. One seems to be a consequence of the other – people invest more resources to fewer children under condition of their almost certain survival </w:t>
      </w:r>
      <w:r w:rsidRPr="00C3671E">
        <w:fldChar w:fldCharType="begin" w:fldLock="1"/>
      </w:r>
      <w:r w:rsidR="001257AA" w:rsidRPr="00C3671E">
        <w:instrText>ADDIN CSL_CITATION { "citationItems" : [ { "id" : "ITEM-1", "itemData" : { "author" : [ { "dropping-particle" : "", "family" : "Becker", "given" : "Gary S.", "non-dropping-particle" : "", "parse-names" : false, "suffix" : "" }, { "dropping-particle" : "", "family" : "Lewis", "given" : "Gregg H.", "non-dropping-particle" : "", "parse-names" : false, "suffix" : "" } ], "container-title" : "Economics of the family: Marriage, children, and human capital", "editor" : [ { "dropping-particle" : "", "family" : "Schultz", "given" : "Theodore William", "non-dropping-particle" : "", "parse-names" : false, "suffix" : "" } ], "id" : "ITEM-1", "issued" : { "date-parts" : [ [ "1974" ] ] }, "page" : "81-90", "publisher" : "University of Chicago Press", "publisher-place" : "Chicago", "title" : "Interaction between Quantity and Quality of children", "type" : "chapter" }, "uris" : [ "http://www.mendeley.com/documents/?uuid=86eeb6a4-cd22-4b23-b156-c54d6af70bc7" ] }, { "id" : "ITEM-2", "itemData" : { "DOI" : "10.1007/s13524-011-0034-3", "ISBN" : "1533-7790 (Electronic) 0070-3370 (Linking)", "ISSN" : "00703370", "PMID" : "21735305", "abstract" : "As college going among women has increased, more women are going to college from backgrounds that previously would have precluded their attendance and completion. This affords us the opportunity and motivation to look at the effects of college on fertility across a range of social backgrounds and levels of early achievement. Despite a substantial literature on the effects of education on women\u2019s fertility, researchers have not assessed variation in effects by selection into college. With data on U.S. women from the National Longitudinal Survey of Youth 1979, we examine effects of timely college attendance and completion on women\u2019s fertility by the propensity to attend and complete college, using multilevel Poisson and discrete-time eventhistory models. Disaggregating the effects of college by propensity score strata, we find that the fertility-decreasing college effect is concentrated among women from comparatively disadvantaged social backgrounds and low levels of early achievement. The effects of college on fertility attenuate as we observe women from backgrounds that are more predictive of college attendance and completion.", "author" : [ { "dropping-particle" : "", "family" : "Brand", "given" : "Jennie E.", "non-dropping-particle" : "", "parse-names" : false, "suffix" : "" }, { "dropping-particle" : "", "family" : "Davis", "given" : "Dwight", "non-dropping-particle" : "", "parse-names" : false, "suffix" : "" } ], "container-title" : "Demography", "id" : "ITEM-2", "issue" : "3", "issued" : { "date-parts" : [ [ "2011" ] ] }, "page" : "863-887", "title" : "The Impact of College Education on Fertility: Evidence for Heterogeneous Effects", "type" : "article-journal", "volume" : "48" }, "uris" : [ "http://www.mendeley.com/documents/?uuid=afb9f8b1-0916-40f1-ae5d-f0d54f1f37f1" ] } ], "mendeley" : { "formattedCitation" : "(Becker and Lewis 1974; Brand and Davis 2011)", "plainTextFormattedCitation" : "(Becker and Lewis 1974; Brand and Davis 2011)", "previouslyFormattedCitation" : "(Becker and Lewis 1974; Brand and Davis 2011)" }, "properties" : { "noteIndex" : 0 }, "schema" : "https://github.com/citation-style-language/schema/raw/master/csl-citation.json" }</w:instrText>
      </w:r>
      <w:r w:rsidRPr="00C3671E">
        <w:fldChar w:fldCharType="separate"/>
      </w:r>
      <w:r w:rsidR="00A91559" w:rsidRPr="00C3671E">
        <w:rPr>
          <w:noProof/>
        </w:rPr>
        <w:t>(Becker and Lewis 1974; Brand and Davis 2011)</w:t>
      </w:r>
      <w:r w:rsidRPr="00C3671E">
        <w:fldChar w:fldCharType="end"/>
      </w:r>
      <w:r w:rsidRPr="00C3671E">
        <w:t xml:space="preserve">. Reduced mortality and increasing longevity are one of the largest achievements of human kind </w:t>
      </w:r>
      <w:r w:rsidRPr="00C3671E">
        <w:fldChar w:fldCharType="begin" w:fldLock="1"/>
      </w:r>
      <w:r w:rsidRPr="00C3671E">
        <w:instrText>ADDIN CSL_CITATION { "citationItems" : [ { "id" : "ITEM-1", "itemData" : { "DOI" : "10.1016/j.ssci.2009.10.008", "ISBN" : "978-0-335-22269-8", "ISSN" : "1544-7529", "PMID" : "20762", "abstract" : "This book aims to convince readers that ageing is not boring, threatening or depressing, but that it has enormous relevance for the young and the old alike. Virpi Timonen provides an engaging introduction to the central social, economic and political aspects and impacts of ageing and makes the case for the importance of analysing ageing from a number of different perspectives. Using comparative international data, the author provides a detailed description of the process of population ageing, including increasing longevity, changes in fertility and variations in the health status of older populations", "author" : [ { "dropping-particle" : "", "family" : "Timonen", "given" : "Virpi", "non-dropping-particle" : "", "parse-names" : false, "suffix" : "" } ], "id" : "ITEM-1", "issued" : { "date-parts" : [ [ "2008" ] ] }, "publisher" : "Open University Press", "publisher-place" : "Maidenhead", "title" : "Ageing societies: A comparative introduction", "type" : "book" }, "uris" : [ "http://www.mendeley.com/documents/?uuid=62ec3e51-def8-4a0a-8206-06ee230cbb1a" ] } ], "mendeley" : { "formattedCitation" : "(Timonen 2008)", "plainTextFormattedCitation" : "(Timonen 2008)", "previouslyFormattedCitation" : "(Timonen 2008)" }, "properties" : { "noteIndex" : 0 }, "schema" : "https://github.com/citation-style-language/schema/raw/master/csl-citation.json" }</w:instrText>
      </w:r>
      <w:r w:rsidRPr="00C3671E">
        <w:fldChar w:fldCharType="separate"/>
      </w:r>
      <w:r w:rsidRPr="00C3671E">
        <w:rPr>
          <w:noProof/>
        </w:rPr>
        <w:t>(Timonen 2008)</w:t>
      </w:r>
      <w:r w:rsidRPr="00C3671E">
        <w:fldChar w:fldCharType="end"/>
      </w:r>
      <w:r w:rsidRPr="00C3671E">
        <w:t xml:space="preserve">, but resulting ageing of population is often interpreted as a large challenge or even a thread </w:t>
      </w:r>
      <w:r w:rsidRPr="00C3671E">
        <w:fldChar w:fldCharType="begin" w:fldLock="1"/>
      </w:r>
      <w:r w:rsidR="001257AA" w:rsidRPr="00C3671E">
        <w:instrText>ADDIN CSL_CITATION { "citationItems" : [ { "id" : "ITEM-1", "itemData" : { "author" : [ { "dropping-particle" : "", "family" : "Sobotka", "given" : "Tom\u00e1\u0161", "non-dropping-particle" : "", "parse-names" : false, "suffix" : "" } ], "chapter-number" : "2", "container-title" : "Demographic Challenges for the 21st Century: A State of the Art in Demography", "editor" : [ { "dropping-particle" : "", "family" : "Surkyn", "given" : "Johan", "non-dropping-particle" : "", "parse-names" : false, "suffix" : "" }, { "dropping-particle" : "", "family" : "Deboosere", "given" : "Patrick", "non-dropping-particle" : "", "parse-names" : false, "suffix" : "" }, { "dropping-particle" : "", "family" : "Bavel", "given" : "Jan", "non-dropping-particle" : "Van", "parse-names" : false, "suffix" : "" } ], "id" : "ITEM-1", "issued" : { "date-parts" : [ [ "2008" ] ] }, "page" : "27-90", "publisher" : "VUBPRESS", "publisher-place" : "Brussels", "title" : "Does Persistent Low Fertility Threaten the Future of European Populations?", "type" : "chapter" }, "uris" : [ "http://www.mendeley.com/documents/?uuid=7c401ab6-8cb9-4643-99c1-3a0eea4e238b" ] }, { "id" : "ITEM-2", "itemData" : { "author" : [ { "dropping-particle" : "", "family" : "Grundy", "given" : "Emily", "non-dropping-particle" : "", "parse-names" : false, "suffix" : "" } ], "chapter-number" : "8", "container-title" : "Demographic Challenges for the 21st Century: A State of the Art in Demography", "editor" : [ { "dropping-particle" : "", "family" : "Surkyn", "given" : "Johan", "non-dropping-particle" : "", "parse-names" : false, "suffix" : "" }, { "dropping-particle" : "", "family" : "Deboosere", "given" : "Patrick", "non-dropping-particle" : "", "parse-names" : false, "suffix" : "" }, { "dropping-particle" : "Van", "family" : "Bavel", "given" : "Jan", "non-dropping-particle" : "", "parse-names" : false, "suffix" : "" } ], "id" : "ITEM-2", "issued" : { "date-parts" : [ [ "2008" ] ] }, "page" : "223-248", "publisher" : "VUBPRESS", "publisher-place" : "Brussels", "title" : "The Challenges of Ageing: Prospects for the Family Support of Older People in 21st century Europe", "type" : "chapter" }, "uris" : [ "http://www.mendeley.com/documents/?uuid=60eb3a5c-3dc7-4369-b714-8d9908b4c806" ] } ], "mendeley" : { "formattedCitation" : "(Grundy 2008; Sobotka 2008a)", "plainTextFormattedCitation" : "(Grundy 2008; Sobotka 2008a)", "previouslyFormattedCitation" : "(Grundy 2008; Sobotka 2008a)" }, "properties" : { "noteIndex" : 0 }, "schema" : "https://github.com/citation-style-language/schema/raw/master/csl-citation.json" }</w:instrText>
      </w:r>
      <w:r w:rsidRPr="00C3671E">
        <w:fldChar w:fldCharType="separate"/>
      </w:r>
      <w:r w:rsidR="00A91559" w:rsidRPr="00C3671E">
        <w:rPr>
          <w:noProof/>
        </w:rPr>
        <w:t>(Grundy 2008; Sobotka 2008a)</w:t>
      </w:r>
      <w:r w:rsidRPr="00C3671E">
        <w:fldChar w:fldCharType="end"/>
      </w:r>
      <w:r w:rsidRPr="00C3671E">
        <w:t xml:space="preserve">. The risk of economic, welfare, and societal unsustainability is not formulated only in academic literature, but also in popularizing </w:t>
      </w:r>
      <w:r w:rsidRPr="00C3671E">
        <w:lastRenderedPageBreak/>
        <w:t xml:space="preserve">book </w:t>
      </w:r>
      <w:r w:rsidRPr="00C3671E">
        <w:rPr>
          <w:i/>
        </w:rPr>
        <w:t xml:space="preserve">The empty cradle: how falling birth rates threaten world prosperity </w:t>
      </w:r>
      <w:r w:rsidRPr="00C3671E">
        <w:t xml:space="preserve">by Phillip Longman. In contrast, Phil Mullan presents the same topic from different perspective in </w:t>
      </w:r>
      <w:r w:rsidRPr="00C3671E">
        <w:rPr>
          <w:i/>
        </w:rPr>
        <w:t>The imaginary time bomb: why an ageing population is not a social problem</w:t>
      </w:r>
      <w:r w:rsidRPr="00C3671E">
        <w:t xml:space="preserve"> </w:t>
      </w:r>
      <w:r w:rsidRPr="00C3671E">
        <w:fldChar w:fldCharType="begin" w:fldLock="1"/>
      </w:r>
      <w:r w:rsidRPr="00C3671E">
        <w:instrText>ADDIN CSL_CITATION { "citationItems" : [ { "id" : "ITEM-1", "itemData" : { "author" : [ { "dropping-particle" : "", "family" : "Grundy", "given" : "Emily", "non-dropping-particle" : "", "parse-names" : false, "suffix" : "" } ], "chapter-number" : "8", "container-title" : "Demographic Challenges for the 21st Century: A State of the Art in Demography", "editor" : [ { "dropping-particle" : "", "family" : "Surkyn", "given" : "Johan", "non-dropping-particle" : "", "parse-names" : false, "suffix" : "" }, { "dropping-particle" : "", "family" : "Deboosere", "given" : "Patrick", "non-dropping-particle" : "", "parse-names" : false, "suffix" : "" }, { "dropping-particle" : "Van", "family" : "Bavel", "given" : "Jan", "non-dropping-particle" : "", "parse-names" : false, "suffix" : "" } ], "id" : "ITEM-1", "issued" : { "date-parts" : [ [ "2008" ] ] }, "page" : "223-248", "publisher" : "VUBPRESS", "publisher-place" : "Brussels", "title" : "The Challenges of Ageing: Prospects for the Family Support of Older People in 21st century Europe", "type" : "chapter" }, "uris" : [ "http://www.mendeley.com/documents/?uuid=60eb3a5c-3dc7-4369-b714-8d9908b4c806" ] } ], "mendeley" : { "formattedCitation" : "(Grundy 2008)", "plainTextFormattedCitation" : "(Grundy 2008)", "previouslyFormattedCitation" : "(Grundy 2008)" }, "properties" : { "noteIndex" : 0 }, "schema" : "https://github.com/citation-style-language/schema/raw/master/csl-citation.json" }</w:instrText>
      </w:r>
      <w:r w:rsidRPr="00C3671E">
        <w:fldChar w:fldCharType="separate"/>
      </w:r>
      <w:r w:rsidRPr="00C3671E">
        <w:rPr>
          <w:noProof/>
        </w:rPr>
        <w:t>(Grundy 2008)</w:t>
      </w:r>
      <w:r w:rsidRPr="00C3671E">
        <w:fldChar w:fldCharType="end"/>
      </w:r>
      <w:r w:rsidRPr="00C3671E">
        <w:t xml:space="preserve">. In any case, population ageing in Europe brings many practical changes in workforce and welfare systems </w:t>
      </w:r>
      <w:r w:rsidRPr="00C3671E">
        <w:fldChar w:fldCharType="begin" w:fldLock="1"/>
      </w:r>
      <w:r w:rsidR="001257AA" w:rsidRPr="00C3671E">
        <w:instrText>ADDIN CSL_CITATION { "citationItems" : [ { "id" : "ITEM-1", "itemData" : { "author" : [ { "dropping-particle" : "", "family" : "Ebbinghaus", "given" : "Bernhard", "non-dropping-particle" : "", "parse-names" : false, "suffix" : "" } ], "chapter-number" : "9", "container-title" : "The politics of the New Welfare State", "editor" : [ { "dropping-particle" : "", "family" : "Bonoli", "given" : "Giuliano", "non-dropping-particle" : "", "parse-names" : false, "suffix" : "" } ], "id" : "ITEM-1", "issued" : { "date-parts" : [ [ "2012" ] ] }, "page" : "182-205", "publisher" : "Oxford University Press", "publisher-place" : "Oxford", "title" : "Europe\u2019s transformations towards a renewed pension system", "type" : "chapter" }, "uris" : [ "http://www.mendeley.com/documents/?uuid=5eb677ee-d907-44b8-a1ab-ea7c18ca7df3" ] }, { "id" : "ITEM-2", "itemData" : { "author" : [ { "dropping-particle" : "", "family" : "Maltby", "given" : "Tony", "non-dropping-particle" : "", "parse-names" : false, "suffix" : "" }, { "dropping-particle" : "", "family" : "Vroom", "given" : "Bert", "non-dropping-particle" : "de", "parse-names" : false, "suffix" : "" }, { "dropping-particle" : "", "family" : "Mirabile", "given" : "Maria Luisa", "non-dropping-particle" : "", "parse-names" : false, "suffix" : "" }, { "dropping-particle" : "", "family" : "\u00d8verbye", "given" : "Eynar", "non-dropping-particle" : "", "parse-names" : false, "suffix" : "" } ], "id" : "ITEM-2", "issued" : { "date-parts" : [ [ "2017" ] ] }, "publisher" : "Routledge", "publisher-place" : "Abingdon", "title" : "Ageing and the transition to retirement: A comparative analysis of European welfare states", "type" : "book" }, "uris" : [ "http://www.mendeley.com/documents/?uuid=f27a6c58-2d59-4aff-96a5-c2a0ac6c823d" ] } ], "mendeley" : { "formattedCitation" : "(Ebbinghaus 2012b; Maltby et al. 2017)", "plainTextFormattedCitation" : "(Ebbinghaus 2012b; Maltby et al. 2017)", "previouslyFormattedCitation" : "(Ebbinghaus 2012b; Maltby et al. 2017)" }, "properties" : { "noteIndex" : 0 }, "schema" : "https://github.com/citation-style-language/schema/raw/master/csl-citation.json" }</w:instrText>
      </w:r>
      <w:r w:rsidRPr="00C3671E">
        <w:fldChar w:fldCharType="separate"/>
      </w:r>
      <w:r w:rsidR="00A91559" w:rsidRPr="00C3671E">
        <w:rPr>
          <w:noProof/>
        </w:rPr>
        <w:t>(Ebbinghaus 2012b; Maltby et al. 2017)</w:t>
      </w:r>
      <w:r w:rsidRPr="00C3671E">
        <w:fldChar w:fldCharType="end"/>
      </w:r>
      <w:r w:rsidRPr="00C3671E">
        <w:t xml:space="preserve">, family structure, and availability of informal care </w:t>
      </w:r>
      <w:r w:rsidRPr="00C3671E">
        <w:fldChar w:fldCharType="begin" w:fldLock="1"/>
      </w:r>
      <w:r w:rsidR="001257AA" w:rsidRPr="00C3671E">
        <w:instrText>ADDIN CSL_CITATION { "citationItems" : [ { "id" : "ITEM-1", "itemData" : { "author" : [ { "dropping-particle" : "", "family" : "Grundy", "given" : "Emily", "non-dropping-particle" : "", "parse-names" : false, "suffix" : "" } ], "chapter-number" : "8", "container-title" : "Demographic Challenges for the 21st Century: A State of the Art in Demography", "editor" : [ { "dropping-particle" : "", "family" : "Surkyn", "given" : "Johan", "non-dropping-particle" : "", "parse-names" : false, "suffix" : "" }, { "dropping-particle" : "", "family" : "Deboosere", "given" : "Patrick", "non-dropping-particle" : "", "parse-names" : false, "suffix" : "" }, { "dropping-particle" : "Van", "family" : "Bavel", "given" : "Jan", "non-dropping-particle" : "", "parse-names" : false, "suffix" : "" } ], "id" : "ITEM-1", "issued" : { "date-parts" : [ [ "2008" ] ] }, "page" : "223-248", "publisher" : "VUBPRESS", "publisher-place" : "Brussels", "title" : "The Challenges of Ageing: Prospects for the Family Support of Older People in 21st century Europe", "type" : "chapter" }, "uris" : [ "http://www.mendeley.com/documents/?uuid=60eb3a5c-3dc7-4369-b714-8d9908b4c806" ] }, { "id" : "ITEM-2", "itemData" : { "DOI" : "10.1007/s003910170065", "ISBN" : "0948-6704", "ISSN" : "0948-6704", "PMID" : "11487963", "abstract" : "Industrialized nations have experienced many demographic changes favoring older adults during the last few decades of the 20th century. This article is a comparative examination of current and future trends in intergenerational relationships and aging in two societies: the United States and German-speaking countries. While comparing similarities and significant differences between the cultures, we examine five issues related to these trends for families and intergenerational relationships in the 21st century: (1) consequences of population aging for family structures and relationships--the emergence of the beanpole family structure and the longer years of linked lives across generations; (2) the debate about the decline of the family; (3) intergenerational solidarity over the life course; (4) intergenerational conflict across the life course; (5) prospects for solidarity and conflict between generations in the 21st century. Similarities between cultures include the demographic realities of population aging, the shift from pyramids to beanpoles, more years of shared lives between and across generations, more non-traditional family forms, and intergenerational conflicts in families. Differences include diverse replacement fertility rates, alternative approaches to governmental supports for families and aging members, and possible differences in cultural values regarding individualism.", "author" : [ { "dropping-particle" : "", "family" : "Bengtson", "given" : "Vern L", "non-dropping-particle" : "", "parse-names" : false, "suffix" : "" }, { "dropping-particle" : "", "family" : "Martin", "given" : "Peter", "non-dropping-particle" : "", "parse-names" : false, "suffix" : "" } ], "container-title" : "Zeitschrift f\u00fcr Gerontologie und Geriatrie", "id" : "ITEM-2", "issue" : "3", "issued" : { "date-parts" : [ [ "2001" ] ] }, "page" : "207-17", "title" : "Families and Intergenerational Relationships in Aging Societies: Comparing the United States with German-speaking Countries", "type" : "article-journal", "volume" : "34" }, "uris" : [ "http://www.mendeley.com/documents/?uuid=2ccd6e74-2e94-44e6-b60e-33ce40f77250" ] } ], "mendeley" : { "formattedCitation" : "(Bengtson and Martin 2001; Grundy 2008)", "plainTextFormattedCitation" : "(Bengtson and Martin 2001; Grundy 2008)", "previouslyFormattedCitation" : "(Bengtson and Martin 2001; Grundy 2008)" }, "properties" : { "noteIndex" : 0 }, "schema" : "https://github.com/citation-style-language/schema/raw/master/csl-citation.json" }</w:instrText>
      </w:r>
      <w:r w:rsidRPr="00C3671E">
        <w:fldChar w:fldCharType="separate"/>
      </w:r>
      <w:r w:rsidR="00A91559" w:rsidRPr="00C3671E">
        <w:rPr>
          <w:noProof/>
        </w:rPr>
        <w:t>(Bengtson and Martin 2001; Grundy 2008)</w:t>
      </w:r>
      <w:r w:rsidRPr="00C3671E">
        <w:fldChar w:fldCharType="end"/>
      </w:r>
      <w:r w:rsidRPr="00C3671E">
        <w:t xml:space="preserve">, but also changes of values and perceptions of ageing itself </w:t>
      </w:r>
      <w:r w:rsidRPr="00C3671E">
        <w:fldChar w:fldCharType="begin" w:fldLock="1"/>
      </w:r>
      <w:r w:rsidR="001257AA" w:rsidRPr="00C3671E">
        <w:instrText>ADDIN CSL_CITATION { "citationItems" : [ { "id" : "ITEM-1", "itemData" : { "author" : [ { "dropping-particle" : "", "family" : "Antonucci", "given" : "Toni C", "non-dropping-particle" : "", "parse-names" : false, "suffix" : "" }, { "dropping-particle" : "", "family" : "Jackson", "given" : "James S", "non-dropping-particle" : "", "parse-names" : false, "suffix" : "" }, { "dropping-particle" : "", "family" : "Biggs", "given" : "Simon", "non-dropping-particle" : "", "parse-names" : false, "suffix" : "" } ], "id" : "ITEM-1", "issue" : "4", "issued" : { "date-parts" : [ [ "2007" ] ] }, "page" : "679-694", "title" : "Intergenerational Relations : Theory , Research , and Policy", "type" : "article-journal", "volume" : "63" }, "uris" : [ "http://www.mendeley.com/documents/?uuid=1c653d5b-b0b1-4e10-9983-9a81b5036d9f" ] }, { "id" : "ITEM-2", "itemData" : { "author" : [ { "dropping-particle" : "", "family" : "Bengtson", "given" : "Vern L.", "non-dropping-particle" : "", "parse-names" : false, "suffix" : "" } ], "container-title" : "Journal of Marriage and Family", "id" : "ITEM-2", "issue" : "1", "issued" : { "date-parts" : [ [ "2001" ] ] }, "page" : "1-16", "title" : "Beyond the Nuclear Family: The increasing Importance of Multigenerational Bonds", "type" : "article-journal", "volume" : "63" }, "uris" : [ "http://www.mendeley.com/documents/?uuid=cc9cf9ab-2a03-40c0-8dd1-5ce78760865f" ] }, { "id" : "ITEM-3", "itemData" : { "DOI" : "10.1093/geront/gnu028", "ISBN" : "0016-9013", "ISSN" : "1758-5341", "PMID" : "24846882", "abstract" : "Over the past two decades, \"active aging\" has emerged in Europe as the foremost policy response to the challenges of population aging. This article examines the concept of active aging and how it differs from that of \"successful aging.\" In particular, it shows how active aging presents a more holistic, life course-oriented approach than successful aging. We provide a critical perspective on active aging too by, first, tracing its emergence in Europe and then showing how, in practice, it has been dominated by a narrow economic or productivist perspective that prioritizes the extension of working life. It has also been gender blind. Nonetheless, it is argued that an active aging approach has the potential to enable countries to respond successfully to the challenges of population aging because of its comprehensive focus and emphasis on societal as well as individual responsibility. Finally, we set out the basic principles that need to be followed if the full potential of active aging is to be achieved.", "author" : [ { "dropping-particle" : "", "family" : "Foster", "given" : "Liam", "non-dropping-particle" : "", "parse-names" : false, "suffix" : "" }, { "dropping-particle" : "", "family" : "Walker", "given" : "Alan", "non-dropping-particle" : "", "parse-names" : false, "suffix" : "" } ], "container-title" : "The Gerontologist", "id" : "ITEM-3", "issue" : "1", "issued" : { "date-parts" : [ [ "2015" ] ] }, "note" : "Foster, Walker 2014: Active and Successful Aging: A Euroepean Policy perspective\n\u201cactive aging\u201d has emerged in Europe as the foremost policy response to the challenges of population aging\nactive aging presents a more holistic, life course\u2013oriented approach than successful aging\ncritique of active aging perspective - emergence in Europe\n- dominated by a narrow economic perspective\n- gender blind\nall together, this approach has the potential to respond successfully to the challenges of population aging because of its comprehensive focus and emphasis on societal as well as individual responsibility\nAA should enable to create own forms of activity, instead of focusing on a predetermined, limited number of domains, usually developed from an \u2018expert\u2019 perspective\u201d (Boudiny &amp;amp; Mortelmans, 2011, p. 12)\nThere is also a danger that the \u201chealth and well-being\u201d narrative retreats to become the preserve of a \u201cfourth age\u201d charac- terized by biological decline and consumption of welfare resources\nstructural and economic barriers to active aging must be addressed for a comprehensive approach\n\u2192\nInternational and European policy on work and retirement: Reinventing critical perspectives\nA critical perspective: Towards a broader understanding of \u2018active ageing\u2019\nNarratives of (in)active age- ing in poor deprived areas of Liverpool", "page" : "83-90", "title" : "Active and Successful Aging: A European Policy Perspective", "type" : "article-journal", "volume" : "55" }, "uris" : [ "http://www.mendeley.com/documents/?uuid=6ef8c660-30ca-4a4a-80c6-6c24c5f5b99d" ] }, { "id" : "ITEM-4", "itemData" : { "DOI" : "10.1080/1360786031000101157", "ISBN" : "1360786031", "ISSN" : "13607863", "PMID" : "12775399", "abstract" : "Quality of life is the subject of much research. However it lacks an agreed theoretical basis. In studies with older populations(ill) health has been used as a proxy measure for quality of life (QoL). We have developed a needs satisfaction measure of QoL in early old age. Our measure has four ontologically grounded domains: conal, autonomy, pleasure, and self-realization. The measure was piloted with focus groups, a self-completion pilot, and cognitive interview testing. This produced a 22-item scale that was included in a postal questionnaire and sent to 286 people aged 65-75 years.A 92% response rate was achieved. The scale was reduced to 19 items on the basis of statistical analysis. The domains have Cronbach's alphas between 0.6 and 0.8. Correlations between the four domains range from 0.4 to 0.7. A second order factor analysis revealed a single latent QoL factor. The scores for the 19-item scale are well distributed along the range although they exhibit a slight negative skew. Concurrent validity was assessed using the Life Satisfaction Index-wellbeing. A strong and positive association was found between the two scales (r= 0.6, p = 0.01). The CASP-19 appears to be a useful scale for measuring QoL in older people.", "author" : [ { "dropping-particle" : "", "family" : "Hyde", "given" : "Martin", "non-dropping-particle" : "", "parse-names" : false, "suffix" : "" }, { "dropping-particle" : "", "family" : "Wiggins", "given" : "R. D.", "non-dropping-particle" : "", "parse-names" : false, "suffix" : "" }, { "dropping-particle" : "", "family" : "Higgs", "given" : "P.", "non-dropping-particle" : "", "parse-names" : false, "suffix" : "" }, { "dropping-particle" : "", "family" : "Blane", "given" : "D. B.", "non-dropping-particle" : "", "parse-names" : false, "suffix" : "" } ], "container-title" : "Aging and Mental Health", "id" : "ITEM-4", "issue" : "3", "issued" : { "date-parts" : [ [ "2003" ] ] }, "page" : "186-194", "title" : "A measure of quality of life in early old age: The theory, development and properties of a needs satisfaction model (CASP-19)", "type" : "article-journal", "volume" : "7" }, "uris" : [ "http://www.mendeley.com/documents/?uuid=7b6a4ce2-8ebe-4aef-a25a-ed5f720eefea" ] } ], "mendeley" : { "formattedCitation" : "(Antonucci, Jackson, and Biggs 2007; Bengtson 2001; Foster and Walker 2015; Hyde et al. 2003)", "plainTextFormattedCitation" : "(Antonucci, Jackson, and Biggs 2007; Bengtson 2001; Foster and Walker 2015; Hyde et al. 2003)", "previouslyFormattedCitation" : "(Antonucci, Jackson, and Biggs 2007; Bengtson 2001; Foster and Walker 2015; Hyde et al. 2003)" }, "properties" : { "noteIndex" : 0 }, "schema" : "https://github.com/citation-style-language/schema/raw/master/csl-citation.json" }</w:instrText>
      </w:r>
      <w:r w:rsidRPr="00C3671E">
        <w:fldChar w:fldCharType="separate"/>
      </w:r>
      <w:r w:rsidR="00A91559" w:rsidRPr="00C3671E">
        <w:rPr>
          <w:noProof/>
        </w:rPr>
        <w:t>(Antonucci, Jackson, and Biggs 2007; Bengtson 2001; Foster and Walker 2015; Hyde et al. 2003)</w:t>
      </w:r>
      <w:r w:rsidRPr="00C3671E">
        <w:fldChar w:fldCharType="end"/>
      </w:r>
      <w:r w:rsidRPr="00C3671E">
        <w:t>.</w:t>
      </w:r>
    </w:p>
    <w:p w14:paraId="6EEBE2AD" w14:textId="06F087A7" w:rsidR="00676326" w:rsidRPr="00C3671E" w:rsidRDefault="00676326" w:rsidP="00676326">
      <w:pPr>
        <w:pStyle w:val="Newparagraph"/>
        <w:jc w:val="both"/>
      </w:pPr>
      <w:r w:rsidRPr="00C3671E">
        <w:t xml:space="preserve">Importance of population ageing of European societies has been also reflected by many initiatives at a level of EU politics and political initiatives. EU labelled year 1993 as European Year of Older People and Solidarity between Generations </w:t>
      </w:r>
      <w:r w:rsidRPr="00C3671E">
        <w:fldChar w:fldCharType="begin" w:fldLock="1"/>
      </w:r>
      <w:r w:rsidRPr="00C3671E">
        <w:instrText>ADDIN CSL_CITATION { "citationItems" : [ { "id" : "ITEM-1", "itemData" : { "DOI" : "10.1007/BF03033465", "ISSN" : "01635158", "abstract" : "Presents a summary of the European Community's (EC) 1993 \"European Year of Older People and Solidarity between Generations.\" Provides the EC Council of Ministers' objectives for the year, including heightened social awareness of the situation of older people, the challenges resulting from present and future demographic developments, and the consequences of an aging population in all EC countries. Assesses the success of the year's events--7,000 in all--held throughout the EC. Mentions the \"Age and Attitudes\" survey carried out by the EC to understand the attitudes of people of all ages toward the elderly; the results showed overwhelming rejection of age discrimination and early retirement of older workers to create jobs for the young. Briefly describes two programs, one in France and one in Italy, that exemplify the contributions of elderly volunteers. (TS) (AgeLine Database, copyright 1994 EBSCO Publishing, Inc., all rights reserved)", "author" : [ { "dropping-particle" : "", "family" : "McInerney", "given" : "\u00c9amon", "non-dropping-particle" : "", "parse-names" : false, "suffix" : "" } ], "container-title" : "Ageing International", "id" : "ITEM-1", "issue" : "4", "issued" : { "date-parts" : [ [ "1993" ] ] }, "page" : "41-43", "title" : "European Year of Older People and Solidarity between Generations", "type" : "article-journal", "volume" : "20" }, "uris" : [ "http://www.mendeley.com/documents/?uuid=ea0e3323-97f3-4ae1-b4b2-e37192cab497" ] } ], "mendeley" : { "formattedCitation" : "(McInerney 1993)", "plainTextFormattedCitation" : "(McInerney 1993)", "previouslyFormattedCitation" : "(McInerney 1993)" }, "properties" : { "noteIndex" : 0 }, "schema" : "https://github.com/citation-style-language/schema/raw/master/csl-citation.json" }</w:instrText>
      </w:r>
      <w:r w:rsidRPr="00C3671E">
        <w:fldChar w:fldCharType="separate"/>
      </w:r>
      <w:r w:rsidRPr="00C3671E">
        <w:rPr>
          <w:noProof/>
        </w:rPr>
        <w:t>(McInerney 1993)</w:t>
      </w:r>
      <w:r w:rsidRPr="00C3671E">
        <w:fldChar w:fldCharType="end"/>
      </w:r>
      <w:r w:rsidRPr="00C3671E">
        <w:t xml:space="preserve"> and year 2012 as European Year for Active Ageing and Solidarity between Generations </w:t>
      </w:r>
      <w:r w:rsidRPr="00C3671E">
        <w:fldChar w:fldCharType="begin" w:fldLock="1"/>
      </w:r>
      <w:r w:rsidRPr="00C3671E">
        <w:instrText>ADDIN CSL_CITATION { "citationItems" : [ { "id" : "ITEM-1", "itemData" : { "author" : [ { "dropping-particle" : "", "family" : "EU Council", "given" : "", "non-dropping-particle" : "", "parse-names" : false, "suffix" : "" } ], "id" : "ITEM-1", "issued" : { "date-parts" : [ [ "2012" ] ] }, "publisher" : "EU Council", "publisher-place" : "Brussels", "title" : "Council Declaration on the European Year for Active Ageing and Solidarity between Generations (2012): The Way Forward", "type" : "book" }, "uris" : [ "http://www.mendeley.com/documents/?uuid=bc232528-fad4-4b15-bede-b113103dbe49" ] } ], "mendeley" : { "formattedCitation" : "(EU Council 2012)", "plainTextFormattedCitation" : "(EU Council 2012)", "previouslyFormattedCitation" : "(EU Council 2012)" }, "properties" : { "noteIndex" : 0 }, "schema" : "https://github.com/citation-style-language/schema/raw/master/csl-citation.json" }</w:instrText>
      </w:r>
      <w:r w:rsidRPr="00C3671E">
        <w:fldChar w:fldCharType="separate"/>
      </w:r>
      <w:r w:rsidRPr="00C3671E">
        <w:rPr>
          <w:noProof/>
        </w:rPr>
        <w:t>(EU Council 2012)</w:t>
      </w:r>
      <w:r w:rsidRPr="00C3671E">
        <w:fldChar w:fldCharType="end"/>
      </w:r>
      <w:r w:rsidRPr="00C3671E">
        <w:t xml:space="preserve"> to raise an issue of societal ageing and its sustainability. These initiatives contained many projects and innovations supporting active and healthy life style among older adults at supranational, national, regional, and local level </w:t>
      </w:r>
      <w:r w:rsidRPr="00C3671E">
        <w:fldChar w:fldCharType="begin" w:fldLock="1"/>
      </w:r>
      <w:r w:rsidR="001257AA" w:rsidRPr="00C3671E">
        <w:instrText>ADDIN CSL_CITATION { "citationItems" : [ { "id" : "ITEM-1", "itemData" : { "DOI" : "10.2767/67267", "ISBN" : "9789279251238", "abstract" : "This study is intended to improve and extend the available knowledge about learning for active ageing and the role of intergenerational learning in active ageing. It brings together key findings from academic and other literature on the subject identified up to the end of May 2012, primary and secondary sources collected for 22 case studies, and material created by activities and projects funded through the European Commission\u2019s Grundtvig programme actions. This report brings together and summarises the key findings of the literature review, case studies and analysis of Grundtvig programme funded projects to demonstrate the benefits of investing in and supporting learning for older people, how these benefits can be realised and what can be done to achieve them more widely", "author" : [ { "dropping-particle" : "", "family" : "European Union", "given" : "", "non-dropping-particle" : "", "parse-names" : false, "suffix" : "" } ], "id" : "ITEM-1", "issued" : { "date-parts" : [ [ "2012" ] ] }, "publisher" : "Publications Office of the European Union", "publisher-place" : "Luxembourg", "title" : "The EU Contribution to Active Ageing and Solidarity between Generations", "type" : "book" }, "uris" : [ "http://www.mendeley.com/documents/?uuid=c3161470-2983-4214-8711-93c687e3f758" ] }, { "id" : "ITEM-2", "itemData" : { "author" : [ { "dropping-particle" : "", "family" : "EU Council", "given" : "", "non-dropping-particle" : "", "parse-names" : false, "suffix" : "" } ], "id" : "ITEM-2", "issued" : { "date-parts" : [ [ "2012" ] ] }, "publisher" : "EU Council", "publisher-place" : "Brussels", "title" : "Council Declaration on the European Year for Active Ageing and Solidarity between Generations (2012): The Way Forward", "type" : "book" }, "uris" : [ "http://www.mendeley.com/documents/?uuid=bc232528-fad4-4b15-bede-b113103dbe49" ] }, { "id" : "ITEM-3", "itemData" : { "DOI" : "10.1080/13880290902938435", "author" : [ { "dropping-particle" : "", "family" : "Commission of the European Communities", "given" : "", "non-dropping-particle" : "", "parse-names" : false, "suffix" : "" } ], "id" : "ITEM-3", "issued" : { "date-parts" : [ [ "2002" ] ] }, "page" : "1-15", "publisher-place" : "Brussels", "title" : "Europe's response to World Ageing: Promoting economic and social progress in an ageing world", "type" : "article" }, "uris" : [ "http://www.mendeley.com/documents/?uuid=c682390e-0125-49b7-955f-2b0f9b56c771" ] }, { "id" : "ITEM-4", "itemData" : { "author" : [ { "dropping-particle" : "", "family" : "European Commission", "given" : "", "non-dropping-particle" : "", "parse-names" : false, "suffix" : "" } ], "id" : "ITEM-4", "issued" : { "date-parts" : [ [ "2013" ] ] }, "publisher" : "European Comission", "publisher-place" : "Brussels", "title" : "Introducing the Active Ageing Index. Policy brief", "type" : "book" }, "uris" : [ "http://www.mendeley.com/documents/?uuid=15ea840e-806d-4ce4-88d2-b847e7b3756b" ] } ], "mendeley" : { "formattedCitation" : "(Commission of the European Communities 2002; EU Council 2012; European Commission 2013; European Union 2012)", "plainTextFormattedCitation" : "(Commission of the European Communities 2002; EU Council 2012; European Commission 2013; European Union 2012)", "previouslyFormattedCitation" : "(Commission of the European Communities 2002; EU Council 2012; European Commission 2013; European Union 2012)" }, "properties" : { "noteIndex" : 0 }, "schema" : "https://github.com/citation-style-language/schema/raw/master/csl-citation.json" }</w:instrText>
      </w:r>
      <w:r w:rsidRPr="00C3671E">
        <w:fldChar w:fldCharType="separate"/>
      </w:r>
      <w:r w:rsidR="00A91559" w:rsidRPr="00C3671E">
        <w:rPr>
          <w:noProof/>
        </w:rPr>
        <w:t>(Commission of the European Communities 2002; EU Council 2012; European Commission 2013; European Union 2012)</w:t>
      </w:r>
      <w:r w:rsidRPr="00C3671E">
        <w:fldChar w:fldCharType="end"/>
      </w:r>
      <w:r w:rsidRPr="00C3671E">
        <w:t xml:space="preserve">. The main aims of the years devoted to ageing were “mobilising the full potential of people of all ages” </w:t>
      </w:r>
      <w:r w:rsidRPr="00C3671E">
        <w:fldChar w:fldCharType="begin" w:fldLock="1"/>
      </w:r>
      <w:r w:rsidRPr="00C3671E">
        <w:instrText>ADDIN CSL_CITATION { "citationItems" : [ { "id" : "ITEM-1", "itemData" : { "DOI" : "10.1080/13880290902938435", "author" : [ { "dropping-particle" : "", "family" : "Commission of the European Communities", "given" : "", "non-dropping-particle" : "", "parse-names" : false, "suffix" : "" } ], "id" : "ITEM-1", "issued" : { "date-parts" : [ [ "2002" ] ] }, "page" : "1-15", "publisher-place" : "Brussels", "title" : "Europe's response to World Ageing: Promoting economic and social progress in an ageing world", "type" : "article" }, "uris" : [ "http://www.mendeley.com/documents/?uuid=c682390e-0125-49b7-955f-2b0f9b56c771" ] } ], "mendeley" : { "formattedCitation" : "(Commission of the European Communities 2002)", "manualFormatting" : "(Commission of the European Communities 2002: 5)", "plainTextFormattedCitation" : "(Commission of the European Communities 2002)", "previouslyFormattedCitation" : "(Commission of the European Communities 2002)" }, "properties" : { "noteIndex" : 0 }, "schema" : "https://github.com/citation-style-language/schema/raw/master/csl-citation.json" }</w:instrText>
      </w:r>
      <w:r w:rsidRPr="00C3671E">
        <w:fldChar w:fldCharType="separate"/>
      </w:r>
      <w:r w:rsidRPr="00C3671E">
        <w:rPr>
          <w:noProof/>
        </w:rPr>
        <w:t>(Commission of the European Communities 2002: 5)</w:t>
      </w:r>
      <w:r w:rsidRPr="00C3671E">
        <w:fldChar w:fldCharType="end"/>
      </w:r>
      <w:r w:rsidRPr="00C3671E">
        <w:t xml:space="preserve">, respectively “Enhancing and highlighting the useful contributions that older people make to society and economy, improving their independence, as well as strengthening solidarity between generations” </w:t>
      </w:r>
      <w:r w:rsidRPr="00C3671E">
        <w:fldChar w:fldCharType="begin" w:fldLock="1"/>
      </w:r>
      <w:r w:rsidRPr="00C3671E">
        <w:instrText>ADDIN CSL_CITATION { "citationItems" : [ { "id" : "ITEM-1", "itemData" : { "author" : [ { "dropping-particle" : "", "family" : "EU Council", "given" : "", "non-dropping-particle" : "", "parse-names" : false, "suffix" : "" } ], "id" : "ITEM-1", "issued" : { "date-parts" : [ [ "2012" ] ] }, "publisher" : "EU Council", "publisher-place" : "Brussels", "title" : "Council Declaration on the European Year for Active Ageing and Solidarity between Generations (2012): The Way Forward", "type" : "book" }, "uris" : [ "http://www.mendeley.com/documents/?uuid=bc232528-fad4-4b15-bede-b113103dbe49" ] } ], "mendeley" : { "formattedCitation" : "(EU Council 2012)", "manualFormatting" : "(EU Council 2012: 2)", "plainTextFormattedCitation" : "(EU Council 2012)", "previouslyFormattedCitation" : "(EU Council 2012)" }, "properties" : { "noteIndex" : 0 }, "schema" : "https://github.com/citation-style-language/schema/raw/master/csl-citation.json" }</w:instrText>
      </w:r>
      <w:r w:rsidRPr="00C3671E">
        <w:fldChar w:fldCharType="separate"/>
      </w:r>
      <w:r w:rsidRPr="00C3671E">
        <w:rPr>
          <w:noProof/>
        </w:rPr>
        <w:t>(EU Council 2012: 2)</w:t>
      </w:r>
      <w:r w:rsidRPr="00C3671E">
        <w:fldChar w:fldCharType="end"/>
      </w:r>
      <w:r w:rsidRPr="00C3671E">
        <w:t xml:space="preserve">. Apart from these initiatives, the principle of solidarity between generations is even a part of Lisbon Treaty </w:t>
      </w:r>
      <w:r w:rsidRPr="00C3671E">
        <w:fldChar w:fldCharType="begin" w:fldLock="1"/>
      </w:r>
      <w:r w:rsidRPr="00C3671E">
        <w:instrText>ADDIN CSL_CITATION { "citationItems" : [ { "id" : "ITEM-1", "itemData" : { "URL" : "http://www.lisbon-treaty.org/wcm/the-lisbon-treaty/treaty-on-european-union-and-comments/title-1-common-provisions/4-article-3.html", "accessed" : { "date-parts" : [ [ "2018", "1", "30" ] ] }, "author" : [ { "dropping-particle" : "", "family" : "EEPA", "given" : "", "non-dropping-particle" : "", "parse-names" : false, "suffix" : "" } ], "id" : "ITEM-1", "issued" : { "date-parts" : [ [ "2013" ] ] }, "title" : "The Lisbon Treaty - Article 3", "type" : "webpage" }, "uris" : [ "http://www.mendeley.com/documents/?uuid=8a1563ea-31ea-422e-8307-e9293a599acd" ] } ], "mendeley" : { "formattedCitation" : "(EEPA 2013)", "plainTextFormattedCitation" : "(EEPA 2013)", "previouslyFormattedCitation" : "(EEPA 2013)" }, "properties" : { "noteIndex" : 0 }, "schema" : "https://github.com/citation-style-language/schema/raw/master/csl-citation.json" }</w:instrText>
      </w:r>
      <w:r w:rsidRPr="00C3671E">
        <w:fldChar w:fldCharType="separate"/>
      </w:r>
      <w:r w:rsidRPr="00C3671E">
        <w:rPr>
          <w:noProof/>
        </w:rPr>
        <w:t>(EEPA 2013)</w:t>
      </w:r>
      <w:r w:rsidRPr="00C3671E">
        <w:fldChar w:fldCharType="end"/>
      </w:r>
      <w:r w:rsidRPr="00C3671E">
        <w:t xml:space="preserve">. Finally, EU addresses population ageing in cooperation with other supranational organizations, such as World Health Organization </w:t>
      </w:r>
      <w:r w:rsidRPr="00C3671E">
        <w:fldChar w:fldCharType="begin" w:fldLock="1"/>
      </w:r>
      <w:r w:rsidRPr="00C3671E">
        <w:instrText>ADDIN CSL_CITATION { "citationItems" : [ { "id" : "ITEM-1", "itemData" : { "DOI" : "10.1080/713604647", "ISBN" : "1757-9139 (Print)\\r1757-9147 (Linking)", "ISSN" : "1368-5538", "PMID" : "21692392", "abstract" : "his Policy Framework is intended to inform discussion and the formulation of action plans that promote healthy and active ageing. It was developed by WHO\u2019s Ageing and Life Course Programme as a contribution to the Second United Nations World Assembly on Ageing, held in April 2002, in Madrid, Spain. The preliminary version, published in 2001 entitled Health and Ageing: A Discussion Paper, was translated into French and Spanish and widely circulated for feedback throughout 2001 (including at special workshops held in Brazil, Canada, the Netherlands, Spain and the United Kingdom). In January 2002, an expert group meeting was convened at the WHO Centre for Health Development (WKC) in Kobe, Japan, with 29 participants from 21 countries. De- tailed comments and recommendations from this meeting, as well as those received through the previous consultation process, were com- piled to complete this fi nal version. A complementary monograph entitled Active Ageing: From Evidence to Action is being prepared in collaboration with the Inter- national Association of Gerontology (IAG) and will be available at http://www.who.int/hpr/ ageing where more information about ageing from a life course perspective is also provided.", "author" : [ { "dropping-particle" : "", "family" : "WHO", "given" : "", "non-dropping-particle" : "", "parse-names" : false, "suffix" : "" } ], "id" : "ITEM-1", "issued" : { "date-parts" : [ [ "2002" ] ] }, "page" : "1-60", "publisher" : "World Health Organization", "publisher-place" : "Geneva", "title" : "Active Ageing: A Policy Framework", "type" : "article" }, "uris" : [ "http://www.mendeley.com/documents/?uuid=10ba559d-500f-4111-baae-06ebd9b96a0f" ] }, { "id" : "ITEM-2",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"WHO", "given" : "", "non-dropping-particle" : "", "parse-names" : false, "suffix" : "" } ], "id" : "ITEM-2", "issued" : { "date-parts" : [ [ "2012" ] ] }, "page" : "1- 30", "publisher" : "WHO Document Production Services", "publisher-place" : "Geneva", "title" : "Good Health Adds Life to Years: Global brief for World Health Day 2012", "type" : "article" }, "uris" : [ "http://www.mendeley.com/documents/?uuid=740a8865-7e41-4935-a7f2-ea9856c5c7bc" ] } ], "mendeley" : { "formattedCitation" : "(WHO 2002, 2012)", "plainTextFormattedCitation" : "(WHO 2002, 2012)", "previouslyFormattedCitation" : "(WHO 2002, 2012)" }, "properties" : { "noteIndex" : 0 }, "schema" : "https://github.com/citation-style-language/schema/raw/master/csl-citation.json" }</w:instrText>
      </w:r>
      <w:r w:rsidRPr="00C3671E">
        <w:fldChar w:fldCharType="separate"/>
      </w:r>
      <w:r w:rsidRPr="00C3671E">
        <w:rPr>
          <w:noProof/>
        </w:rPr>
        <w:t>(WHO 2002, 2012)</w:t>
      </w:r>
      <w:r w:rsidRPr="00C3671E">
        <w:fldChar w:fldCharType="end"/>
      </w:r>
      <w:r w:rsidRPr="00C3671E">
        <w:t xml:space="preserve"> or United Nations </w:t>
      </w:r>
      <w:r w:rsidRPr="00C3671E">
        <w:fldChar w:fldCharType="begin" w:fldLock="1"/>
      </w:r>
      <w:r w:rsidR="001257AA" w:rsidRPr="00C3671E">
        <w:instrText>ADDIN CSL_CITATION { "citationItems" : [ { "id" : "ITEM-1", "itemData" : { "DOI" : "10.1111/j.1468-2451.2008.00660.x", "ISSN" : "00208701", "abstract" : "The Second World Assembly on Ageing, which met in Madrid, Spain, in 2002, reviewed the opportunities and challenges of population ageing in the 21st century in light of the principles and recommendations for action of the International Plan of Action on Ageing, endorsed by the United Nations General Assembly in 1982, and the United Nations Principles for Older Persons, adopted by the General Assembly in 1991, which provided guidance in areas of independence, participation, care, self-fulfilment and dignity. As a result, the Assembly established both a political consensus and an action plan to promote the development of a society for all ages.", "author" : [ { "dropping-particle" : "", "family" : "UN", "given" : "", "non-dropping-particle" : "", "parse-names" : false, "suffix" : "" } ], "id" : "ITEM-1", "issued" : { "date-parts" : [ [ "2002" ] ] }, "number-of-pages" : "633-665", "publisher-place" : "New York", "title" : "Madrid international plan of action on ageing", "type" : "report" }, "uris" : [ "http://www.mendeley.com/documents/?uuid=367b588f-1d2c-4541-9f87-7036db5ceb02" ] }, { "id" : "ITEM-2", "itemData" : { "author" : [ { "dropping-particle" : "", "family" : "UNECE", "given" : "", "non-dropping-particle" : "", "parse-names" : false, "suffix" : "" } ], "container-title" : "2012 UNECE Ministerial Conference on Ageing", "id" : "ITEM-2", "issued" : { "date-parts" : [ [ "2013" ] ] }, "publisher" : "United Nations", "publisher-place" : "Geneva", "title" : "Ensuring a society for all ages: Promoting quality of life and active ageing", "type" : "paper-conference" }, "uris" : [ "http://www.mendeley.com/documents/?uuid=74671962-0114-42bf-a3e4-96babc7663c2" ] } ], "mendeley" : { "formattedCitation" : "(UN 2002; UNECE 2013)", "plainTextFormattedCitation" : "(UN 2002; UNECE 2013)", "previouslyFormattedCitation" : "(UN 2002; UNECE 2013)" }, "properties" : { "noteIndex" : 0 }, "schema" : "https://github.com/citation-style-language/schema/raw/master/csl-citation.json" }</w:instrText>
      </w:r>
      <w:r w:rsidRPr="00C3671E">
        <w:fldChar w:fldCharType="separate"/>
      </w:r>
      <w:r w:rsidR="00A91559" w:rsidRPr="00C3671E">
        <w:rPr>
          <w:noProof/>
        </w:rPr>
        <w:t>(UN 2002; UNECE 2013)</w:t>
      </w:r>
      <w:r w:rsidRPr="00C3671E">
        <w:fldChar w:fldCharType="end"/>
      </w:r>
      <w:r w:rsidRPr="00C3671E">
        <w:t xml:space="preserve">. For instance, Madrid International Plan of Action on Ageing has been developed by UN in cooperation with European Commission </w:t>
      </w:r>
      <w:r w:rsidRPr="00C3671E">
        <w:fldChar w:fldCharType="begin" w:fldLock="1"/>
      </w:r>
      <w:r w:rsidR="001257AA" w:rsidRPr="00C3671E">
        <w:instrText>ADDIN CSL_CITATION { "citationItems" : [ { "id" : "ITEM-1", "itemData" : { "DOI" : "10.1111/j.1468-2451.2008.00660.x", "ISSN" : "00208701", "abstract" : "The Second World Assembly on Ageing, which met in Madrid, Spain, in 2002, reviewed the opportunities and challenges of population ageing in the 21st century in light of the principles and recommendations for action of the International Plan of Action on Ageing, endorsed by the United Nations General Assembly in 1982, and the United Nations Principles for Older Persons, adopted by the General Assembly in 1991, which provided guidance in areas of independence, participation, care, self-fulfilment and dignity. As a result, the Assembly established both a political consensus and an action plan to promote the development of a society for all ages.", "author" : [ { "dropping-particle" : "", "family" : "UN", "given" : "", "non-dropping-particle" : "", "parse-names" : false, "suffix" : "" } ], "id" : "ITEM-1", "issued" : { "date-parts" : [ [ "2002" ] ] }, "number-of-pages" : "633-665", "publisher-place" : "New York", "title" : "Madrid international plan of action on ageing", "type" : "report" }, "uris" : [ "http://www.mendeley.com/documents/?uuid=367b588f-1d2c-4541-9f87-7036db5ceb02" ] }, { "id" : "ITEM-2", "itemData" : { "DOI" : "10.1080/13880290902938435", "author" : [ { "dropping-particle" : "", "family" : "Commission of the European Communities", "given" : "", "non-dropping-particle" : "", "parse-names" : false, "suffix" : "" } ], "id" : "ITEM-2", "issued" : { "date-parts" : [ [ "2002" ] ] }, "page" : "1-15", "publisher-place" : "Brussels", "title" : "Europe's response to World Ageing: Promoting economic and social progress in an ageing world", "type" : "article" }, "uris" : [ "http://www.mendeley.com/documents/?uuid=c682390e-0125-49b7-955f-2b0f9b56c771" ] } ], "mendeley" : { "formattedCitation" : "(Commission of the European Communities 2002; UN 2002)", "plainTextFormattedCitation" : "(Commission of the European Communities 2002; UN 2002)", "previouslyFormattedCitation" : "(Commission of the European Communities 2002; UN 2002)" }, "properties" : { "noteIndex" : 0 }, "schema" : "https://github.com/citation-style-language/schema/raw/master/csl-citation.json" }</w:instrText>
      </w:r>
      <w:r w:rsidRPr="00C3671E">
        <w:fldChar w:fldCharType="separate"/>
      </w:r>
      <w:r w:rsidR="00A91559" w:rsidRPr="00C3671E">
        <w:rPr>
          <w:noProof/>
        </w:rPr>
        <w:t xml:space="preserve">(Commission of the European </w:t>
      </w:r>
      <w:r w:rsidR="00A91559" w:rsidRPr="00C3671E">
        <w:rPr>
          <w:noProof/>
        </w:rPr>
        <w:lastRenderedPageBreak/>
        <w:t>Communities 2002; UN 2002)</w:t>
      </w:r>
      <w:r w:rsidRPr="00C3671E">
        <w:fldChar w:fldCharType="end"/>
      </w:r>
      <w:r w:rsidRPr="00C3671E">
        <w:t>. Nevertheless, this dissertation focuses solely on European context.</w:t>
      </w:r>
    </w:p>
    <w:p w14:paraId="6A63E6FA" w14:textId="3BE76B7D" w:rsidR="00676326" w:rsidRPr="00C3671E" w:rsidRDefault="00676326" w:rsidP="00676326">
      <w:pPr>
        <w:pStyle w:val="Newparagraph"/>
        <w:jc w:val="both"/>
      </w:pPr>
      <w:r w:rsidRPr="00C3671E">
        <w:t xml:space="preserve">Population ageing in Europe can be illustrated by a relative increase of older age groups or an increase of dependency ratio. </w:t>
      </w:r>
      <w:r w:rsidRPr="00C3671E">
        <w:rPr>
          <w:lang w:eastAsia="zh-CN"/>
        </w:rPr>
        <w:t>Population</w:t>
      </w:r>
      <w:r w:rsidRPr="00C3671E">
        <w:t xml:space="preserve"> over 65 years of age comprised about 19 percent of EU population in 2016, while the same indicator is projected to 29 percent in 2050. The group of people over 80 years would grow even faster – from 5.4 percent to 12.7 between 2016 and 2050 </w:t>
      </w:r>
      <w:r w:rsidRPr="00C3671E">
        <w:fldChar w:fldCharType="begin" w:fldLock="1"/>
      </w:r>
      <w:r w:rsidR="001257AA" w:rsidRPr="00C3671E">
        <w:instrText>ADDIN CSL_CITATION { "citationItems" : [ { "id" : "ITEM-1", "itemData" : { "URL" : "http://ec.europa.eu/eurostat/statistics-explained/index.php/Population_structure_and_ageing", "accessed" : { "date-parts" : [ [ "2018", "1", "29" ] ] }, "author" : [ { "dropping-particle" : "", "family" : "Eurostat", "given" : "", "non-dropping-particle" : "", "parse-names" : false, "suffix" : "" } ], "id" : "ITEM-1", "issued" : { "date-parts" : [ [ "2017" ] ] }, "title" : "Population structure and ageing", "type" : "webpage" }, "uris" : [ "http://www.mendeley.com/documents/?uuid=0c1c1a76-987d-44d4-9afa-6813e1460714" ] } ], "mendeley" : { "formattedCitation" : "(Eurostat 2017b)", "plainTextFormattedCitation" : "(Eurostat 2017b)", "previouslyFormattedCitation" : "(Eurostat 2017b)" }, "properties" : { "noteIndex" : 0 }, "schema" : "https://github.com/citation-style-language/schema/raw/master/csl-citation.json" }</w:instrText>
      </w:r>
      <w:r w:rsidRPr="00C3671E">
        <w:fldChar w:fldCharType="separate"/>
      </w:r>
      <w:r w:rsidR="00A91559" w:rsidRPr="00C3671E">
        <w:rPr>
          <w:noProof/>
        </w:rPr>
        <w:t>(Eurostat 2017b)</w:t>
      </w:r>
      <w:r w:rsidRPr="00C3671E">
        <w:fldChar w:fldCharType="end"/>
      </w:r>
      <w:r w:rsidRPr="00C3671E">
        <w:t xml:space="preserve">. Finally, the number of centenarians worldwide is even projected to increase from 167,000 in 2000 to 3.3 million in 2050 </w:t>
      </w:r>
      <w:r w:rsidRPr="00C3671E">
        <w:fldChar w:fldCharType="begin" w:fldLock="1"/>
      </w:r>
      <w:r w:rsidRPr="00C3671E">
        <w:instrText>ADDIN CSL_CITATION { "citationItems" : [ { "id" : "ITEM-1", "itemData" : { "DOI" : "10.1016/j.ssci.2009.10.008", "ISBN" : "978-0-335-22269-8", "ISSN" : "1544-7529", "PMID" : "20762", "abstract" : "This book aims to convince readers that ageing is not boring, threatening or depressing, but that it has enormous relevance for the young and the old alike. Virpi Timonen provides an engaging introduction to the central social, economic and political aspects and impacts of ageing and makes the case for the importance of analysing ageing from a number of different perspectives. Using comparative international data, the author provides a detailed description of the process of population ageing, including increasing longevity, changes in fertility and variations in the health status of older populations", "author" : [ { "dropping-particle" : "", "family" : "Timonen", "given" : "Virpi", "non-dropping-particle" : "", "parse-names" : false, "suffix" : "" } ], "id" : "ITEM-1", "issued" : { "date-parts" : [ [ "2008" ] ] }, "publisher" : "Open University Press", "publisher-place" : "Maidenhead", "title" : "Ageing societies: A comparative introduction", "type" : "book" }, "uris" : [ "http://www.mendeley.com/documents/?uuid=62ec3e51-def8-4a0a-8206-06ee230cbb1a" ] } ], "mendeley" : { "formattedCitation" : "(Timonen 2008)", "plainTextFormattedCitation" : "(Timonen 2008)", "previouslyFormattedCitation" : "(Timonen 2008)" }, "properties" : { "noteIndex" : 0 }, "schema" : "https://github.com/citation-style-language/schema/raw/master/csl-citation.json" }</w:instrText>
      </w:r>
      <w:r w:rsidRPr="00C3671E">
        <w:fldChar w:fldCharType="separate"/>
      </w:r>
      <w:r w:rsidRPr="00C3671E">
        <w:rPr>
          <w:noProof/>
        </w:rPr>
        <w:t>(Timonen 2008)</w:t>
      </w:r>
      <w:r w:rsidRPr="00C3671E">
        <w:fldChar w:fldCharType="end"/>
      </w:r>
      <w:r w:rsidRPr="00C3671E">
        <w:t xml:space="preserve">. The so-called Old-age Dependency Ratio is defined by the number of people 65+ divided by the number of people 18-65. The value of this indicator is expected to double until half of the century – today the income of one pensioner depend on four people in supposedly productive age, while it would be 1:2 in 2050 </w:t>
      </w:r>
      <w:r w:rsidRPr="00C3671E">
        <w:fldChar w:fldCharType="begin" w:fldLock="1"/>
      </w:r>
      <w:r w:rsidR="001257AA" w:rsidRPr="00C3671E">
        <w:instrText>ADDIN CSL_CITATION { "citationItems" : [ { "id" : "ITEM-1", "itemData" : { "author" : [ { "dropping-particle" : "", "family" : "Harper", "given" : "Sarah", "non-dropping-particle" : "", "parse-names" : false, "suffix" : "" } ], "chapter-number" : "1", "container-title" : "International handbook on ageing and social policy", "editor" : [ { "dropping-particle" : "", "family" : "Harper", "given" : "Sarah", "non-dropping-particle" : "", "parse-names" : false, "suffix" : "" }, { "dropping-particle" : "", "family" : "Hamblin", "given" : "Kate", "non-dropping-particle" : "", "parse-names" : false, "suffix" : "" } ], "id" : "ITEM-1", "issued" : { "date-parts" : [ [ "2014" ] ] }, "page" : "1-12", "publisher" : "Edward Elgar", "publisher-place" : "Cheltenham", "title" : "Introduction: conceptualizing social policy for the twenty-first-century demography", "type" : "chapter" }, "uris" : [ "http://www.mendeley.com/documents/?uuid=14c99432-0d9e-4034-a35f-ca84bcceaa27" ] }, { "id" : "ITEM-2", "itemData" : { "URL" : "http://ec.europa.eu/eurostat/statistics-explained/index.php/People_in_the_EU_\u2013_population_projections", "accessed" : { "date-parts" : [ [ "2018", "1", "29" ] ] }, "author" : [ { "dropping-particle" : "", "family" : "Eurostat", "given" : "", "non-dropping-particle" : "", "parse-names" : false, "suffix" : "" } ], "id" : "ITEM-2", "issued" : { "date-parts" : [ [ "2017" ] ] }, "title" : "People in the EU \u2013 population projections", "type" : "webpage" }, "uris" : [ "http://www.mendeley.com/documents/?uuid=578f750e-a5c9-4c84-8ae8-f44a8c35e33a" ] } ], "mendeley" : { "formattedCitation" : "(Eurostat 2017a; Harper 2014)", "plainTextFormattedCitation" : "(Eurostat 2017a; Harper 2014)", "previouslyFormattedCitation" : "(Eurostat 2017a; Harper 2014)" }, "properties" : { "noteIndex" : 0 }, "schema" : "https://github.com/citation-style-language/schema/raw/master/csl-citation.json" }</w:instrText>
      </w:r>
      <w:r w:rsidRPr="00C3671E">
        <w:fldChar w:fldCharType="separate"/>
      </w:r>
      <w:r w:rsidR="00A91559" w:rsidRPr="00C3671E">
        <w:rPr>
          <w:noProof/>
        </w:rPr>
        <w:t>(Eurostat 2017a; Harper 2014)</w:t>
      </w:r>
      <w:r w:rsidRPr="00C3671E">
        <w:fldChar w:fldCharType="end"/>
      </w:r>
      <w:r w:rsidRPr="00C3671E">
        <w:t>.</w:t>
      </w:r>
    </w:p>
    <w:p w14:paraId="15A106D3" w14:textId="77777777" w:rsidR="00676326" w:rsidRPr="00C3671E" w:rsidRDefault="00676326" w:rsidP="00676326">
      <w:pPr>
        <w:pStyle w:val="Nadpis2"/>
        <w:spacing w:line="480" w:lineRule="auto"/>
        <w:rPr>
          <w:sz w:val="26"/>
          <w:szCs w:val="26"/>
          <w:lang w:val="en-GB"/>
        </w:rPr>
      </w:pPr>
      <w:bookmarkStart w:id="3" w:name="_Toc512687720"/>
      <w:r w:rsidRPr="00C3671E">
        <w:rPr>
          <w:sz w:val="26"/>
          <w:szCs w:val="26"/>
          <w:lang w:val="en-GB"/>
        </w:rPr>
        <w:t>Concept and policy of active ageing</w:t>
      </w:r>
      <w:bookmarkEnd w:id="3"/>
    </w:p>
    <w:p w14:paraId="5D8F85BF" w14:textId="77777777" w:rsidR="00676326" w:rsidRPr="00C3671E" w:rsidRDefault="00676326" w:rsidP="00676326">
      <w:pPr>
        <w:pStyle w:val="Nadpis3"/>
        <w:spacing w:line="480" w:lineRule="auto"/>
        <w:rPr>
          <w:rFonts w:ascii="Times New Roman" w:hAnsi="Times New Roman" w:cs="Times New Roman"/>
          <w:b w:val="0"/>
          <w:i/>
          <w:lang w:val="en-GB" w:eastAsia="zh-CN"/>
        </w:rPr>
      </w:pPr>
      <w:bookmarkStart w:id="4" w:name="_Toc512687721"/>
      <w:r w:rsidRPr="00C3671E">
        <w:rPr>
          <w:rFonts w:ascii="Times New Roman" w:hAnsi="Times New Roman" w:cs="Times New Roman"/>
          <w:b w:val="0"/>
          <w:i/>
          <w:lang w:val="en-GB" w:eastAsia="zh-CN"/>
        </w:rPr>
        <w:t>Perspectives on ageing and inception of active ageing paradigm</w:t>
      </w:r>
      <w:bookmarkEnd w:id="4"/>
    </w:p>
    <w:p w14:paraId="660AD9F5" w14:textId="265AD08B" w:rsidR="00676326" w:rsidRPr="00C3671E" w:rsidRDefault="00676326" w:rsidP="00676326">
      <w:pPr>
        <w:suppressAutoHyphens/>
        <w:spacing w:line="480" w:lineRule="auto"/>
        <w:jc w:val="both"/>
        <w:rPr>
          <w:lang w:val="en-GB"/>
        </w:rPr>
      </w:pPr>
      <w:r w:rsidRPr="00C3671E">
        <w:rPr>
          <w:lang w:val="en-GB"/>
        </w:rPr>
        <w:t xml:space="preserve">Understanding of later life reflected in theories of ageing also substantially developed over the recent decades. The first major gerontological theory formulated by </w:t>
      </w:r>
      <w:r w:rsidRPr="00C3671E">
        <w:rPr>
          <w:lang w:val="en-GB"/>
        </w:rPr>
        <w:fldChar w:fldCharType="begin" w:fldLock="1"/>
      </w:r>
      <w:r w:rsidRPr="00C3671E">
        <w:rPr>
          <w:lang w:val="en-GB"/>
        </w:rPr>
        <w:instrText>ADDIN CSL_CITATION { "citationItems" : [ { "id" : "ITEM-1", "itemData" : { "author" : [ { "dropping-particle" : "", "family" : "Cumming", "given" : "Elaine", "non-dropping-particle" : "", "parse-names" : false, "suffix" : "" }, { "dropping-particle" : "", "family" : "Henry", "given" : "William Earl", "non-dropping-particle" : "", "parse-names" : false, "suffix" : "" } ], "id" : "ITEM-1", "issued" : { "date-parts" : [ [ "1961" ] ] }, "publisher" : "Basic Books", "publisher-place" : "New York", "title" : "Growing old, the process of disengagement", "type" : "book" }, "uris" : [ "http://www.mendeley.com/documents/?uuid=b7f05d8b-128f-4438-8949-5f168bee8bd7" ] } ], "mendeley" : { "formattedCitation" : "(Cumming and Henry 1961)", "manualFormatting" : "Cumming and Henry (1961)", "plainTextFormattedCitation" : "(Cumming and Henry 1961)", "previouslyFormattedCitation" : "(Cumming and Henry 1961)" }, "properties" : { "noteIndex" : 0 }, "schema" : "https://github.com/citation-style-language/schema/raw/master/csl-citation.json" }</w:instrText>
      </w:r>
      <w:r w:rsidRPr="00C3671E">
        <w:rPr>
          <w:lang w:val="en-GB"/>
        </w:rPr>
        <w:fldChar w:fldCharType="separate"/>
      </w:r>
      <w:r w:rsidRPr="00C3671E">
        <w:rPr>
          <w:noProof/>
          <w:lang w:val="en-GB"/>
        </w:rPr>
        <w:t>Cumming and Henry (1961)</w:t>
      </w:r>
      <w:r w:rsidRPr="00C3671E">
        <w:rPr>
          <w:lang w:val="en-GB"/>
        </w:rPr>
        <w:fldChar w:fldCharType="end"/>
      </w:r>
      <w:r w:rsidRPr="00C3671E">
        <w:rPr>
          <w:lang w:val="en-GB"/>
        </w:rPr>
        <w:t xml:space="preserve"> was called Theory of disengagement. This theory was driven by empirical findings and stated that “normal ageing is a mutual withdrawal or ‘disengagement’ between the ageing person and others in the social system” </w:t>
      </w:r>
      <w:r w:rsidRPr="00C3671E">
        <w:rPr>
          <w:lang w:val="en-GB"/>
        </w:rPr>
        <w:fldChar w:fldCharType="begin" w:fldLock="1"/>
      </w:r>
      <w:r w:rsidRPr="00C3671E">
        <w:rPr>
          <w:lang w:val="en-GB"/>
        </w:rPr>
        <w:instrText>ADDIN CSL_CITATION { "citationItems" : [ { "id" : "ITEM-1", "itemData" : { "DOI" : "10.1007/978-3-662-38534-0_1", "ISBN" : "978-3-662-38534-0", "ISSN" : "0020756X", "author" : [ { "dropping-particle" : "", "family" : "Cumming", "given" : "E", "non-dropping-particle" : "", "parse-names" : false, "suffix" : "" } ], "container-title" : "International Social Science Journal", "id" : "ITEM-1", "issue" : "3", "issued" : { "date-parts" : [ [ "1963" ] ] }, "page" : "377-393", "title" : "Further Thoughts on the Theory of Disengagement", "type" : "article", "volume" : "15" }, "uris" : [ "http://www.mendeley.com/documents/?uuid=b123e4b5-1efa-4690-8b00-e7a87b558968" ] } ], "mendeley" : { "formattedCitation" : "(Cumming 1963)", "manualFormatting" : "(Cumming 1963", "plainTextFormattedCitation" : "(Cumming 1963)", "previouslyFormattedCitation" : "(Cumming 1963)" }, "properties" : { "noteIndex" : 0 }, "schema" : "https://github.com/citation-style-language/schema/raw/master/csl-citation.json" }</w:instrText>
      </w:r>
      <w:r w:rsidRPr="00C3671E">
        <w:rPr>
          <w:lang w:val="en-GB"/>
        </w:rPr>
        <w:fldChar w:fldCharType="separate"/>
      </w:r>
      <w:r w:rsidRPr="00C3671E">
        <w:rPr>
          <w:noProof/>
          <w:lang w:val="en-GB"/>
        </w:rPr>
        <w:t>(Cumming 1963</w:t>
      </w:r>
      <w:r w:rsidRPr="00C3671E">
        <w:rPr>
          <w:lang w:val="en-GB"/>
        </w:rPr>
        <w:fldChar w:fldCharType="end"/>
      </w:r>
      <w:r w:rsidRPr="00C3671E">
        <w:rPr>
          <w:lang w:val="en-GB"/>
        </w:rPr>
        <w:t>: 377</w:t>
      </w:r>
      <w:r w:rsidRPr="00C3671E">
        <w:rPr>
          <w:noProof/>
          <w:lang w:val="en-GB"/>
        </w:rPr>
        <w:t>)</w:t>
      </w:r>
      <w:r w:rsidRPr="00C3671E">
        <w:rPr>
          <w:lang w:val="en-GB"/>
        </w:rPr>
        <w:t xml:space="preserve">. The theory of disengagement considered abandonment of social roles and relationships as functional for both older people and society – older adults adapt to their limited capacity and prepare for the end of their life this way, while the society provides productive roles to younger generations </w:t>
      </w:r>
      <w:r w:rsidRPr="00C3671E">
        <w:rPr>
          <w:lang w:val="en-GB"/>
        </w:rPr>
        <w:fldChar w:fldCharType="begin" w:fldLock="1"/>
      </w:r>
      <w:r w:rsidR="001257AA" w:rsidRPr="00C3671E">
        <w:rPr>
          <w:lang w:val="en-GB"/>
        </w:rPr>
        <w:instrText>ADDIN CSL_CITATION { "citationItems" : [ { "id" : "ITEM-1", "itemData" : { "author" : [ { "dropping-particle" : "", "family" : "Cumming", "given" : "Elaine", "non-dropping-particle" : "", "parse-names" : false, "suffix" : "" }, { "dropping-particle" : "", "family" : "Henry", "given" : "William Earl", "non-dropping-particle" : "", "parse-names" : false, "suffix" : "" } ], "id" : "ITEM-1", "issued" : { "date-parts" : [ [ "1961" ] ] }, "publisher" : "Basic Books", "publisher-place" : "New York", "title" : "Growing old, the process of disengagement", "type" : "book" }, "uris" : [ "http://www.mendeley.com/documents/?uuid=b7f05d8b-128f-4438-8949-5f168bee8bd7" ] }, { "id" : "ITEM-2", "itemData" : { "DOI" : "10.1007/978-3-662-38534-0_1", "ISBN" : "978-3-662-38534-0", "ISSN" : "0020756X", "author" : [ { "dropping-particle" : "", "family" : "Cumming", "given" : "E", "non-dropping-particle" : "", "parse-names" : false, "suffix" : "" } ], "container-title" : "International Social Science Journal", "id" : "ITEM-2", "issue" : "3", "issued" : { "date-parts" : [ [ "1963" ] ] }, "page" : "377-393", "title" : "Further Thoughts on the Theory of Disengagement", "type" : "article", "volume" : "15" }, "uris" : [ "http://www.mendeley.com/documents/?uuid=b123e4b5-1efa-4690-8b00-e7a87b558968" ] } ], "mendeley" : { "formattedCitation" : "(Cumming 1963; Cumming and Henry 1961)", "plainTextFormattedCitation" : "(Cumming 1963; Cumming and Henry 1961)", "previouslyFormattedCitation" : "(Cumming 1963; Cumming and Henry 1961)" }, "properties" : { "noteIndex" : 0 }, "schema" : "https://github.com/citation-style-language/schema/raw/master/csl-citation.json" }</w:instrText>
      </w:r>
      <w:r w:rsidRPr="00C3671E">
        <w:rPr>
          <w:lang w:val="en-GB"/>
        </w:rPr>
        <w:fldChar w:fldCharType="separate"/>
      </w:r>
      <w:r w:rsidR="00A91559" w:rsidRPr="00C3671E">
        <w:rPr>
          <w:noProof/>
          <w:lang w:val="en-GB"/>
        </w:rPr>
        <w:t>(Cumming 1963; Cumming and Henry 1961)</w:t>
      </w:r>
      <w:r w:rsidRPr="00C3671E">
        <w:rPr>
          <w:lang w:val="en-GB"/>
        </w:rPr>
        <w:fldChar w:fldCharType="end"/>
      </w:r>
      <w:r w:rsidRPr="00C3671E">
        <w:rPr>
          <w:lang w:val="en-GB"/>
        </w:rPr>
        <w:t>. These statements provoked immediate criticism and started debates about various ways of ageing that have not been finished yet.</w:t>
      </w:r>
    </w:p>
    <w:p w14:paraId="49588995" w14:textId="77777777" w:rsidR="00676326" w:rsidRPr="00C3671E" w:rsidRDefault="00676326" w:rsidP="00676326">
      <w:pPr>
        <w:pStyle w:val="Newparagraph"/>
        <w:jc w:val="both"/>
      </w:pPr>
      <w:r w:rsidRPr="00C3671E">
        <w:lastRenderedPageBreak/>
        <w:t xml:space="preserve">Robert </w:t>
      </w:r>
      <w:r w:rsidRPr="00C3671E">
        <w:fldChar w:fldCharType="begin" w:fldLock="1"/>
      </w:r>
      <w:r w:rsidRPr="00C3671E">
        <w:instrText>ADDIN CSL_CITATION { "citationItems" : [ { "id" : "ITEM-1", "itemData" : { "DOI" : "10.1093/geront/1.1.8", "abstract" : "Substantial increases in the relative and absolute number of older persons in our society pose a challenge for biology, social and behavioral science, and medicine. Successful aging is multidimensional, encompassing the avoidance of disease and disability, the maintenance of high physical and cognitive function, and sustained engagement in social and productive activities. Research has identified factors predictive of success in these critical domains. The stage is set for intervention studies to enhance the proportion of our population aging successfully.", "author" : [ { "dropping-particle" : "", "family" : "Havighurst", "given" : "Robert J", "non-dropping-particle" : "", "parse-names" : false, "suffix" : "" } ], "container-title" : "The Gerontologist", "id" : "ITEM-1", "issue" : "1", "issued" : { "date-parts" : [ [ "1961" ] ] }, "page" : "8-13", "title" : "Successful Aging", "type" : "article-journal", "volume" : "1" }, "uris" : [ "http://www.mendeley.com/documents/?uuid=67d7e72c-655e-4df5-8029-f3c1efddc5da" ] } ], "mendeley" : { "formattedCitation" : "(Havighurst 1961)", "manualFormatting" : "Havighurst (1961)", "plainTextFormattedCitation" : "(Havighurst 1961)", "previouslyFormattedCitation" : "(Havighurst 1961)" }, "properties" : { "noteIndex" : 0 }, "schema" : "https://github.com/citation-style-language/schema/raw/master/csl-citation.json" }</w:instrText>
      </w:r>
      <w:r w:rsidRPr="00C3671E">
        <w:fldChar w:fldCharType="separate"/>
      </w:r>
      <w:r w:rsidRPr="00C3671E">
        <w:rPr>
          <w:noProof/>
        </w:rPr>
        <w:t>Havighurst (1961)</w:t>
      </w:r>
      <w:r w:rsidRPr="00C3671E">
        <w:fldChar w:fldCharType="end"/>
      </w:r>
      <w:r w:rsidRPr="00C3671E">
        <w:t xml:space="preserve"> reacted on the formulation of </w:t>
      </w:r>
      <w:r w:rsidRPr="00C3671E">
        <w:rPr>
          <w:lang w:eastAsia="zh-CN"/>
        </w:rPr>
        <w:t>disengagement</w:t>
      </w:r>
      <w:r w:rsidRPr="00C3671E">
        <w:t xml:space="preserve"> theory by an essay on what does it mean to age successfully. He reflects the opposite views of successful ageing from the position of disengagement theory and newly formulated activity theory. The activity theory extends previous findings that some roles are reduced and some intensified in later life </w:t>
      </w:r>
      <w:r w:rsidRPr="00C3671E">
        <w:fldChar w:fldCharType="begin" w:fldLock="1"/>
      </w:r>
      <w:r w:rsidRPr="00C3671E">
        <w:instrText>ADDIN CSL_CITATION { "citationItems" : [ { "id" : "ITEM-1", "itemData" : { "author" : [ { "dropping-particle" : "", "family" : "Havighurst", "given" : "Robert J", "non-dropping-particle" : "", "parse-names" : false, "suffix" : "" } ], "container-title" : "American Journal of Sociology", "id" : "ITEM-1", "issue" : "4", "issued" : { "date-parts" : [ [ "1954" ] ] }, "page" : "309-311", "title" : "Flexibility and the Social Roles of the Retired", "type" : "article-journal", "volume" : "59" }, "uris" : [ "http://www.mendeley.com/documents/?uuid=869a1515-ec3d-4046-8259-572a9b441c21" ] } ], "mendeley" : { "formattedCitation" : "(Havighurst 1954)", "plainTextFormattedCitation" : "(Havighurst 1954)", "previouslyFormattedCitation" : "(Havighurst 1954)" }, "properties" : { "noteIndex" : 0 }, "schema" : "https://github.com/citation-style-language/schema/raw/master/csl-citation.json" }</w:instrText>
      </w:r>
      <w:r w:rsidRPr="00C3671E">
        <w:fldChar w:fldCharType="separate"/>
      </w:r>
      <w:r w:rsidRPr="00C3671E">
        <w:rPr>
          <w:noProof/>
        </w:rPr>
        <w:t>(Havighurst 1954)</w:t>
      </w:r>
      <w:r w:rsidRPr="00C3671E">
        <w:fldChar w:fldCharType="end"/>
      </w:r>
      <w:r w:rsidRPr="00C3671E">
        <w:t xml:space="preserve"> and define successful ageing as “the maintenance as far and as long as possible of the activities and attitudes of middle age”, while the disengagement theory defined successful ageing as “the acceptance and the desire for a process of disengagement from active life” </w:t>
      </w:r>
      <w:r w:rsidRPr="00C3671E">
        <w:fldChar w:fldCharType="begin" w:fldLock="1"/>
      </w:r>
      <w:r w:rsidRPr="00C3671E">
        <w:instrText>ADDIN CSL_CITATION { "citationItems" : [ { "id" : "ITEM-1", "itemData" : { "DOI" : "10.1093/geront/1.1.8", "abstract" : "Substantial increases in the relative and absolute number of older persons in our society pose a challenge for biology, social and behavioral science, and medicine. Successful aging is multidimensional, encompassing the avoidance of disease and disability, the maintenance of high physical and cognitive function, and sustained engagement in social and productive activities. Research has identified factors predictive of success in these critical domains. The stage is set for intervention studies to enhance the proportion of our population aging successfully.", "author" : [ { "dropping-particle" : "", "family" : "Havighurst", "given" : "Robert J", "non-dropping-particle" : "", "parse-names" : false, "suffix" : "" } ], "container-title" : "The Gerontologist", "id" : "ITEM-1", "issue" : "1", "issued" : { "date-parts" : [ [ "1961" ] ] }, "page" : "8-13", "title" : "Successful Aging", "type" : "article-journal", "volume" : "1" }, "uris" : [ "http://www.mendeley.com/documents/?uuid=67d7e72c-655e-4df5-8029-f3c1efddc5da" ] } ], "mendeley" : { "formattedCitation" : "(Havighurst 1961)", "manualFormatting" : "(Havighurst 1961", "plainTextFormattedCitation" : "(Havighurst 1961)", "previouslyFormattedCitation" : "(Havighurst 1961)" }, "properties" : { "noteIndex" : 0 }, "schema" : "https://github.com/citation-style-language/schema/raw/master/csl-citation.json" }</w:instrText>
      </w:r>
      <w:r w:rsidRPr="00C3671E">
        <w:fldChar w:fldCharType="separate"/>
      </w:r>
      <w:r w:rsidRPr="00C3671E">
        <w:rPr>
          <w:noProof/>
        </w:rPr>
        <w:t>(Havighurst 1961</w:t>
      </w:r>
      <w:r w:rsidRPr="00C3671E">
        <w:fldChar w:fldCharType="end"/>
      </w:r>
      <w:r w:rsidRPr="00C3671E">
        <w:t>: 8</w:t>
      </w:r>
      <w:r w:rsidRPr="00C3671E">
        <w:rPr>
          <w:noProof/>
        </w:rPr>
        <w:t>)</w:t>
      </w:r>
      <w:r w:rsidRPr="00C3671E">
        <w:t xml:space="preserve">. “The Activity Theory is favoured by most of the practical workers in the field of gerontology” </w:t>
      </w:r>
      <w:r w:rsidRPr="00C3671E">
        <w:fldChar w:fldCharType="begin" w:fldLock="1"/>
      </w:r>
      <w:r w:rsidRPr="00C3671E">
        <w:instrText>ADDIN CSL_CITATION { "citationItems" : [ { "id" : "ITEM-1", "itemData" : { "DOI" : "10.1093/geront/1.1.8", "abstract" : "Substantial increases in the relative and absolute number of older persons in our society pose a challenge for biology, social and behavioral science, and medicine. Successful aging is multidimensional, encompassing the avoidance of disease and disability, the maintenance of high physical and cognitive function, and sustained engagement in social and productive activities. Research has identified factors predictive of success in these critical domains. The stage is set for intervention studies to enhance the proportion of our population aging successfully.", "author" : [ { "dropping-particle" : "", "family" : "Havighurst", "given" : "Robert J", "non-dropping-particle" : "", "parse-names" : false, "suffix" : "" } ], "container-title" : "The Gerontologist", "id" : "ITEM-1", "issue" : "1", "issued" : { "date-parts" : [ [ "1961" ] ] }, "page" : "8-13", "title" : "Successful Aging", "type" : "article-journal", "volume" : "1" }, "uris" : [ "http://www.mendeley.com/documents/?uuid=67d7e72c-655e-4df5-8029-f3c1efddc5da" ] } ], "mendeley" : { "formattedCitation" : "(Havighurst 1961)", "manualFormatting" : "(Havighurst 1961: 8)", "plainTextFormattedCitation" : "(Havighurst 1961)", "previouslyFormattedCitation" : "(Havighurst 1961)" }, "properties" : { "noteIndex" : 0 }, "schema" : "https://github.com/citation-style-language/schema/raw/master/csl-citation.json" }</w:instrText>
      </w:r>
      <w:r w:rsidRPr="00C3671E">
        <w:fldChar w:fldCharType="separate"/>
      </w:r>
      <w:r w:rsidRPr="00C3671E">
        <w:rPr>
          <w:noProof/>
        </w:rPr>
        <w:t>(Havighurst 1961: 8)</w:t>
      </w:r>
      <w:r w:rsidRPr="00C3671E">
        <w:fldChar w:fldCharType="end"/>
      </w:r>
      <w:r w:rsidRPr="00C3671E">
        <w:t xml:space="preserve">, as maintaining or replacing roles makes later life enjoyable. This theory refers to empirical reality, but focuses more on ageing that is beneficial than ageing that is more prevalent. The notion of gerontology as a science “helping people to enjoy life” </w:t>
      </w:r>
      <w:r w:rsidRPr="00C3671E">
        <w:fldChar w:fldCharType="begin" w:fldLock="1"/>
      </w:r>
      <w:r w:rsidRPr="00C3671E">
        <w:instrText>ADDIN CSL_CITATION { "citationItems" : [ { "id" : "ITEM-1", "itemData" : { "DOI" : "10.1093/geront/1.1.8", "abstract" : "Substantial increases in the relative and absolute number of older persons in our society pose a challenge for biology, social and behavioral science, and medicine. Successful aging is multidimensional, encompassing the avoidance of disease and disability, the maintenance of high physical and cognitive function, and sustained engagement in social and productive activities. Research has identified factors predictive of success in these critical domains. The stage is set for intervention studies to enhance the proportion of our population aging successfully.", "author" : [ { "dropping-particle" : "", "family" : "Havighurst", "given" : "Robert J", "non-dropping-particle" : "", "parse-names" : false, "suffix" : "" } ], "container-title" : "The Gerontologist", "id" : "ITEM-1", "issue" : "1", "issued" : { "date-parts" : [ [ "1961" ] ] }, "page" : "8-13", "title" : "Successful Aging", "type" : "article-journal", "volume" : "1" }, "uris" : [ "http://www.mendeley.com/documents/?uuid=67d7e72c-655e-4df5-8029-f3c1efddc5da" ] } ], "mendeley" : { "formattedCitation" : "(Havighurst 1961)", "manualFormatting" : "(Havighurst 1961: 8)", "plainTextFormattedCitation" : "(Havighurst 1961)", "previouslyFormattedCitation" : "(Havighurst 1961)" }, "properties" : { "noteIndex" : 0 }, "schema" : "https://github.com/citation-style-language/schema/raw/master/csl-citation.json" }</w:instrText>
      </w:r>
      <w:r w:rsidRPr="00C3671E">
        <w:fldChar w:fldCharType="separate"/>
      </w:r>
      <w:r w:rsidRPr="00C3671E">
        <w:rPr>
          <w:noProof/>
        </w:rPr>
        <w:t>(Havighurst 1961: 8)</w:t>
      </w:r>
      <w:r w:rsidRPr="00C3671E">
        <w:fldChar w:fldCharType="end"/>
      </w:r>
      <w:r w:rsidRPr="00C3671E">
        <w:t xml:space="preserve"> contains normativity important for further discussion.</w:t>
      </w:r>
    </w:p>
    <w:p w14:paraId="64A30373" w14:textId="755BBD38" w:rsidR="00676326" w:rsidRPr="00C3671E" w:rsidRDefault="00676326" w:rsidP="00676326">
      <w:pPr>
        <w:pStyle w:val="Newparagraph"/>
        <w:jc w:val="both"/>
      </w:pPr>
      <w:r w:rsidRPr="00C3671E">
        <w:t xml:space="preserve">The activity theory as more positive alternative received the higher attention of academics and practitioners, even though it has not retained its dominant position and lead to several reformulations. Conceptual frameworks and approaches to social policy inspired by the activity theory contain positive, healthy, productive, optimal, successful, and active ageing among others. Each of these approaches has its specifics, but they are all intertwined using activity, health, resources, and quality of life as either determinants or outcomes </w:t>
      </w:r>
      <w:r w:rsidRPr="00C3671E">
        <w:fldChar w:fldCharType="begin" w:fldLock="1"/>
      </w:r>
      <w:r w:rsidR="001257AA" w:rsidRPr="00C3671E">
        <w:instrText>ADDIN CSL_CITATION { "citationItems" : [ { "id" : "ITEM-1", "itemData" : { "DOI" : "10.1177/0733464813481562", "ISBN" : "07334648 (ISSN)", "ISSN" : "07334648", "PMID" : "3862", "abstract" : "#", "author" : [ { "dropping-particle" : "", "family" : "Cosco", "given" : "Theodore D", "non-dropping-particle" : "", "parse-names" : false, "suffix" : "" }, { "dropping-particle" : "", "family" : "Stephan", "given" : "Blossom C M", "non-dropping-particle" : "", "parse-names" : false, "suffix" : "" }, { "dropping-particle" : "", "family" : "Brayne", "given" : "Carol", "non-dropping-particle" : "", "parse-names" : false, "suffix" : "" } ], "container-title" : "Journal of Applied Gerontology", "id" : "ITEM-1", "issue" : "3", "issued" : { "date-parts" : [ [ "2013" ] ] }, "page" : "275-276", "title" : "Letter to the editor: On the success of the successful aging paradigm", "type" : "article-journal", "volume" : "32" }, "uris" : [ "http://www.mendeley.com/documents/?uuid=539546d7-4d59-4488-a4ba-994df3dc28ae" ] }, { "id" : "ITEM-2", "itemData" : { "author" : [ { "dropping-particle" : "", "family" : "Timonen", "given" : "Virpi", "non-dropping-particle" : "", "parse-names" : false, "suffix" : "" } ], "id" : "ITEM-2", "issued" : { "date-parts" : [ [ "2016" ] ] }, "publisher" : "Policy Press Shorts Research", "publisher-place" : "Bristol", "title" : "Beyond successful and active ageing: A theory of model ageing", "type" : "book" }, "uris" : [ "http://www.mendeley.com/documents/?uuid=4c41af4a-05f8-46fd-bb8a-a893aaadda0a" ] }, { "id" : "ITEM-3", "itemData" : { "DOI" : "10.1093/geront/gnu028", "ISBN" : "0016-9013", "ISSN" : "1758-5341", "PMID" : "24846882", "abstract" : "Over the past two decades, \"active aging\" has emerged in Europe as the foremost policy response to the challenges of population aging. This article examines the concept of active aging and how it differs from that of \"successful aging.\" In particular, it shows how active aging presents a more holistic, life course-oriented approach than successful aging. We provide a critical perspective on active aging too by, first, tracing its emergence in Europe and then showing how, in practice, it has been dominated by a narrow economic or productivist perspective that prioritizes the extension of working life. It has also been gender blind. Nonetheless, it is argued that an active aging approach has the potential to enable countries to respond successfully to the challenges of population aging because of its comprehensive focus and emphasis on societal as well as individual responsibility. Finally, we set out the basic principles that need to be followed if the full potential of active aging is to be achieved.", "author" : [ { "dropping-particle" : "", "family" : "Foster", "given" : "Liam", "non-dropping-particle" : "", "parse-names" : false, "suffix" : "" }, { "dropping-particle" : "", "family" : "Walker", "given" : "Alan", "non-dropping-particle" : "", "parse-names" : false, "suffix" : "" } ], "container-title" : "The Gerontologist", "id" : "ITEM-3", "issue" : "1", "issued" : { "date-parts" : [ [ "2015" ] ] }, "note" : "Foster, Walker 2014: Active and Successful Aging: A Euroepean Policy perspective\n\u201cactive aging\u201d has emerged in Europe as the foremost policy response to the challenges of population aging\nactive aging presents a more holistic, life course\u2013oriented approach than successful aging\ncritique of active aging perspective - emergence in Europe\n- dominated by a narrow economic perspective\n- gender blind\nall together, this approach has the potential to respond successfully to the challenges of population aging because of its comprehensive focus and emphasis on societal as well as individual responsibility\nAA should enable to create own forms of activity, instead of focusing on a predetermined, limited number of domains, usually developed from an \u2018expert\u2019 perspective\u201d (Boudiny &amp;amp; Mortelmans, 2011, p. 12)\nThere is also a danger that the \u201chealth and well-being\u201d narrative retreats to become the preserve of a \u201cfourth age\u201d charac- terized by biological decline and consumption of welfare resources\nstructural and economic barriers to active aging must be addressed for a comprehensive approach\n\u2192\nInternational and European policy on work and retirement: Reinventing critical perspectives\nA critical perspective: Towards a broader understanding of \u2018active ageing\u2019\nNarratives of (in)active age- ing in poor deprived areas of Liverpool", "page" : "83-90", "title" : "Active and Successful Aging: A European Policy Perspective", "type" : "article-journal", "volume" : "55" }, "uris" : [ "http://www.mendeley.com/documents/?uuid=6ef8c660-30ca-4a4a-80c6-6c24c5f5b99d" ] } ], "mendeley" : { "formattedCitation" : "(Cosco, Stephan, and Brayne 2013; Foster and Walker 2015; Timonen 2016)", "plainTextFormattedCitation" : "(Cosco, Stephan, and Brayne 2013; Foster and Walker 2015; Timonen 2016)", "previouslyFormattedCitation" : "(Cosco, Stephan, and Brayne 2013; Foster and Walker 2015; Timonen 2016)" }, "properties" : { "noteIndex" : 0 }, "schema" : "https://github.com/citation-style-language/schema/raw/master/csl-citation.json" }</w:instrText>
      </w:r>
      <w:r w:rsidRPr="00C3671E">
        <w:fldChar w:fldCharType="separate"/>
      </w:r>
      <w:r w:rsidR="00A91559" w:rsidRPr="00C3671E">
        <w:rPr>
          <w:noProof/>
        </w:rPr>
        <w:t>(Cosco, Stephan, and Brayne 2013; Foster and Walker 2015; Timonen 2016)</w:t>
      </w:r>
      <w:r w:rsidRPr="00C3671E">
        <w:fldChar w:fldCharType="end"/>
      </w:r>
      <w:r w:rsidRPr="00C3671E">
        <w:t xml:space="preserve">. All of them also prescribe right or beneficial ways of ageing well. As </w:t>
      </w:r>
      <w:r w:rsidRPr="00C3671E">
        <w:fldChar w:fldCharType="begin" w:fldLock="1"/>
      </w:r>
      <w:r w:rsidRPr="00C3671E">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"mendeley" : { "formattedCitation" : "(Timonen 2016)", "manualFormatting" : "(Timonen 2016", "plainTextFormattedCitation" : "(Timonen 2016)", "previouslyFormattedCitation" : "(Timonen 2016)" }, "properties" : { "noteIndex" : 0 }, "schema" : "https://github.com/citation-style-language/schema/raw/master/csl-citation.json" }</w:instrText>
      </w:r>
      <w:r w:rsidRPr="00C3671E">
        <w:fldChar w:fldCharType="separate"/>
      </w:r>
      <w:r w:rsidRPr="00C3671E">
        <w:rPr>
          <w:noProof/>
        </w:rPr>
        <w:t>(Timonen 2016</w:t>
      </w:r>
      <w:r w:rsidRPr="00C3671E">
        <w:fldChar w:fldCharType="end"/>
      </w:r>
      <w:r w:rsidRPr="00C3671E">
        <w:t>: 87</w:t>
      </w:r>
      <w:r w:rsidRPr="00C3671E">
        <w:rPr>
          <w:noProof/>
        </w:rPr>
        <w:t>)</w:t>
      </w:r>
      <w:r w:rsidRPr="00C3671E">
        <w:t xml:space="preserve"> puts it, “all these concepts attempt to </w:t>
      </w:r>
      <w:r w:rsidRPr="00C3671E">
        <w:rPr>
          <w:i/>
        </w:rPr>
        <w:t>model</w:t>
      </w:r>
      <w:r w:rsidRPr="00C3671E">
        <w:t xml:space="preserve"> ageing as a phenomenon and a stage of life that is perceived to be in need of direction, reshaping and control”.</w:t>
      </w:r>
    </w:p>
    <w:p w14:paraId="5CC84950" w14:textId="5FC26A36" w:rsidR="00676326" w:rsidRPr="00C3671E" w:rsidRDefault="00676326" w:rsidP="00676326">
      <w:pPr>
        <w:pStyle w:val="Newparagraph"/>
        <w:jc w:val="both"/>
      </w:pPr>
      <w:r w:rsidRPr="00C3671E">
        <w:t xml:space="preserve">Successful ageing and active ageing are most influential concepts of all </w:t>
      </w:r>
      <w:r w:rsidRPr="00C3671E">
        <w:rPr>
          <w:lang w:eastAsia="zh-CN"/>
        </w:rPr>
        <w:t>approaches</w:t>
      </w:r>
      <w:r w:rsidRPr="00C3671E">
        <w:t xml:space="preserve"> modelling ageing, though each of them is applied in different context – successful ageing have </w:t>
      </w:r>
      <w:r w:rsidRPr="00C3671E">
        <w:lastRenderedPageBreak/>
        <w:t xml:space="preserve">become dominant in the US, while active ageing approach formerly developed by WHO has been an official approach to ageing in EU </w:t>
      </w:r>
      <w:r w:rsidRPr="00C3671E">
        <w:fldChar w:fldCharType="begin" w:fldLock="1"/>
      </w:r>
      <w:r w:rsidR="001257AA" w:rsidRPr="00C3671E">
        <w:instrText>ADDIN CSL_CITATION { "citationItems" : [ { "id" : "ITEM-1", "itemData" : { "DOI" : "10.1155/2012/382972", "ISBN" : "1687-7071 (Electronic)\\r1687-7063 (Linking)", "ISSN" : "16877063", "PMID" : "23193396", "abstract" : "Background. In the beginning of the 21st century, the world summit on population taking place in Madrid approved active ageing, WHO (2002) as the main objective of health and social policies for old people. Few studies have been done on the scientific validity of the construct. This study aims to validate the construct of active ageing and test empirically the WHO (2002) model of Active Ageing in a sample of community-dwelling seniors. Methods. 1322 old people living in the community were interviewed using an extensive assessment protocol to measure WHO's determinants of active ageing and performed an exploratory factor analysis followed by a confirmatory factor analyses. Results. We did not confirm the active ageing model, as most of the groups of determinants are either not independent or not significant. We got to a six-factor model (health, psychological component, cognitive performance, social relationships, biobehavioural component, and personality) explaining 54.6% of total variance. Conclusion. The present paper shows that there are objective as well as subjective variables contributing to active ageing and that psychological variables seem to give a very important contribute to the construct. The profile of active ageing is expected to vary between contexts and cultures and can be used to guide specific community and individually based interventions.", "author" : [ { "dropping-particle" : "", "family" : "Pa\u00fal", "given" : "Constan\u00e7a", "non-dropping-particle" : "", "parse-names" : false, "suffix" : "" }, { "dropping-particle" : "", "family" : "Ribeiro", "given" : "Oscar", "non-dropping-particle" : "", "parse-names" : false, "suffix" : "" }, { "dropping-particle" : "", "family" : "Teixeira", "given" : "Laetitia", "non-dropping-particle" : "", "parse-names" : false, "suffix" : "" } ], "container-title" : "Current Gerontology and Geriatrics Research", "id" : "ITEM-1", "issued" : { "date-parts" : [ [ "2012" ] ] }, "page" : "1435\u20131445", "title" : "Active ageing: An empirical approach to the WHO model", "type" : "article-journal", "volume" : "1" }, "uris" : [ "http://www.mendeley.com/documents/?uuid=73567974-9290-48dc-99c3-764e60b50855" ] }, { "id" : "ITEM-2", "itemData" : { "author" : [ { "dropping-particle" : "", "family" : "Timonen", "given" : "Virpi", "non-dropping-particle" : "", "parse-names" : false, "suffix" : "" } ], "id" : "ITEM-2", "issued" : { "date-parts" : [ [ "2016" ] ] }, "publisher" : "Policy Press Shorts Research", "publisher-place" : "Bristol", "title" : "Beyond successful and active ageing: A theory of model ageing", "type" : "book" }, "uris" : [ "http://www.mendeley.com/documents/?uuid=4c41af4a-05f8-46fd-bb8a-a893aaadda0a" ] }, { "id" : "ITEM-3", "itemData" : { "DOI" : "10.1093/geront/gnu028", "ISBN" : "0016-9013", "ISSN" : "1758-5341", "PMID" : "24846882", "abstract" : "Over the past two decades, \"active aging\" has emerged in Europe as the foremost policy response to the challenges of population aging. This article examines the concept of active aging and how it differs from that of \"successful aging.\" In particular, it shows how active aging presents a more holistic, life course-oriented approach than successful aging. We provide a critical perspective on active aging too by, first, tracing its emergence in Europe and then showing how, in practice, it has been dominated by a narrow economic or productivist perspective that prioritizes the extension of working life. It has also been gender blind. Nonetheless, it is argued that an active aging approach has the potential to enable countries to respond successfully to the challenges of population aging because of its comprehensive focus and emphasis on societal as well as individual responsibility. Finally, we set out the basic principles that need to be followed if the full potential of active aging is to be achieved.", "author" : [ { "dropping-particle" : "", "family" : "Foster", "given" : "Liam", "non-dropping-particle" : "", "parse-names" : false, "suffix" : "" }, { "dropping-particle" : "", "family" : "Walker", "given" : "Alan", "non-dropping-particle" : "", "parse-names" : false, "suffix" : "" } ], "container-title" : "The Gerontologist", "id" : "ITEM-3", "issue" : "1", "issued" : { "date-parts" : [ [ "2015" ] ] }, "note" : "Foster, Walker 2014: Active and Successful Aging: A Euroepean Policy perspective\n\u201cactive aging\u201d has emerged in Europe as the foremost policy response to the challenges of population aging\nactive aging presents a more holistic, life course\u2013oriented approach than successful aging\ncritique of active aging perspective - emergence in Europe\n- dominated by a narrow economic perspective\n- gender blind\nall together, this approach has the potential to respond successfully to the challenges of population aging because of its comprehensive focus and emphasis on societal as well as individual responsibility\nAA should enable to create own forms of activity, instead of focusing on a predetermined, limited number of domains, usually developed from an \u2018expert\u2019 perspective\u201d (Boudiny &amp;amp; Mortelmans, 2011, p. 12)\nThere is also a danger that the \u201chealth and well-being\u201d narrative retreats to become the preserve of a \u201cfourth age\u201d charac- terized by biological decline and consumption of welfare resources\nstructural and economic barriers to active aging must be addressed for a comprehensive approach\n\u2192\nInternational and European policy on work and retirement: Reinventing critical perspectives\nA critical perspective: Towards a broader understanding of \u2018active ageing\u2019\nNarratives of (in)active age- ing in poor deprived areas of Liverpool", "page" : "83-90", "title" : "Active and Successful Aging: A European Policy Perspective", "type" : "article-journal", "volume" : "55" }, "uris" : [ "http://www.mendeley.com/documents/?uuid=6ef8c660-30ca-4a4a-80c6-6c24c5f5b99d" ] } ], "mendeley" : { "formattedCitation" : "(Foster and Walker 2015; Pa\u00fal, Ribeiro, and Teixeira 2012; Timonen 2016)", "plainTextFormattedCitation" : "(Foster and Walker 2015; Pa\u00fal, Ribeiro, and Teixeira 2012; Timonen 2016)", "previouslyFormattedCitation" : "(Foster and Walker 2015; Pa\u00fal, Ribeiro, and Teixeira 2012; Timonen 2016)" }, "properties" : { "noteIndex" : 0 }, "schema" : "https://github.com/citation-style-language/schema/raw/master/csl-citation.json" }</w:instrText>
      </w:r>
      <w:r w:rsidRPr="00C3671E">
        <w:fldChar w:fldCharType="separate"/>
      </w:r>
      <w:r w:rsidR="00A91559" w:rsidRPr="00C3671E">
        <w:rPr>
          <w:noProof/>
        </w:rPr>
        <w:t>(Foster and Walker 2015; Paúl, Ribeiro, and Teixeira 2012; Timonen 2016)</w:t>
      </w:r>
      <w:r w:rsidRPr="00C3671E">
        <w:fldChar w:fldCharType="end"/>
      </w:r>
      <w:r w:rsidRPr="00C3671E">
        <w:t>.</w:t>
      </w:r>
    </w:p>
    <w:p w14:paraId="0AB1698B" w14:textId="4BD10179" w:rsidR="00676326" w:rsidRPr="00C3671E" w:rsidRDefault="00676326" w:rsidP="00676326">
      <w:pPr>
        <w:pStyle w:val="Newparagraph"/>
        <w:jc w:val="both"/>
      </w:pPr>
      <w:r w:rsidRPr="00C3671E">
        <w:t xml:space="preserve">Successful ageing formulated by Rowe and Kahn (1987) was a reaction to notions of ageing as a process connected to losses and health problems. In opposition to this, successful ageing reflects the heterogeneity of older adults and their agency in achieving more </w:t>
      </w:r>
      <w:r w:rsidRPr="00C3671E">
        <w:rPr>
          <w:lang w:eastAsia="zh-CN"/>
        </w:rPr>
        <w:t>positive</w:t>
      </w:r>
      <w:r w:rsidRPr="00C3671E">
        <w:t xml:space="preserve"> outcomes. Model of successful ageing contains three components of this concept: “low probability of disease and disease-related disability, high cognitive and physical functional capacity, and active engagement with life” </w:t>
      </w:r>
      <w:r w:rsidRPr="00C3671E">
        <w:fldChar w:fldCharType="begin" w:fldLock="1"/>
      </w:r>
      <w:r w:rsidRPr="00C3671E">
        <w:instrText>ADDIN CSL_CITATION { "citationItems" : [ { "id" : "ITEM-1", "itemData" : { "DOI" : "10.1080/02604027.1969.9971680", "ISSN" : "15561844", "author" : [ { "dropping-particle" : "", "family" : "Rowe", "given" : "John W", "non-dropping-particle" : "", "parse-names" : false, "suffix" : "" }, { "dropping-particle" : "", "family" : "Kahn", "given" : "Robert L", "non-dropping-particle" : "", "parse-names" : false, "suffix" : "" } ], "container-title" : "America", "id" : "ITEM-1", "issue" : "4", "issued" : { "date-parts" : [ [ "1997" ] ] }, "page" : "433-440", "title" : "The Forum", "type" : "article-journal", "volume" : "37" }, "uris" : [ "http://www.mendeley.com/documents/?uuid=36420767-9fee-4a57-9c22-469aa9d375be" ] } ], "mendeley" : { "formattedCitation" : "(Rowe and Kahn 1997)", "manualFormatting" : "(Rowe and Kahn 1997", "plainTextFormattedCitation" : "(Rowe and Kahn 1997)", "previouslyFormattedCitation" : "(Rowe and Kahn 1997)" }, "properties" : { "noteIndex" : 0 }, "schema" : "https://github.com/citation-style-language/schema/raw/master/csl-citation.json" }</w:instrText>
      </w:r>
      <w:r w:rsidRPr="00C3671E">
        <w:fldChar w:fldCharType="separate"/>
      </w:r>
      <w:r w:rsidRPr="00C3671E">
        <w:rPr>
          <w:noProof/>
        </w:rPr>
        <w:t>(Rowe and Kahn 1997</w:t>
      </w:r>
      <w:r w:rsidRPr="00C3671E">
        <w:fldChar w:fldCharType="end"/>
      </w:r>
      <w:r w:rsidRPr="00C3671E">
        <w:t>: 433</w:t>
      </w:r>
      <w:r w:rsidRPr="00C3671E">
        <w:rPr>
          <w:noProof/>
        </w:rPr>
        <w:t>)</w:t>
      </w:r>
      <w:r w:rsidRPr="00C3671E">
        <w:t xml:space="preserve"> – the last item is composed of intergenerational relationships and productive activities. This definition of the model has been holding and receiving institutional support until the present, though the authors reflect a large amount of critique the model has received </w:t>
      </w:r>
      <w:r w:rsidRPr="00C3671E">
        <w:fldChar w:fldCharType="begin" w:fldLock="1"/>
      </w:r>
      <w:r w:rsidRPr="00C3671E">
        <w:instrText>ADDIN CSL_CITATION { "citationItems" : [ { "id" : "ITEM-1", "itemData" : { "DOI" : "10.1093/geronb/gbv025.", "ISBN" : "9788776814687", "author" : [ { "dropping-particle" : "", "family" : "Rowe", "given" : "John W", "non-dropping-particle" : "", "parse-names" : false, "suffix" : "" }, { "dropping-particle" : "", "family" : "Kahn", "given" : "Robert L", "non-dropping-particle" : "", "parse-names" : false, "suffix" : "" } ], "container-title" : "Journals of Gerontology, Series B: Psychological Sciences and Social Sciences", "id" : "ITEM-1", "issue" : "4", "issued" : { "date-parts" : [ [ "2015" ] ] }, "page" : "593-596", "title" : "Successful Aging 2.0: Conceptual Expansions for the 21st Century John", "type" : "article-journal", "volume" : "70" }, "uris" : [ "http://www.mendeley.com/documents/?uuid=a8a1b990-ce9e-4028-9788-d864de0fa2ff" ] } ], "mendeley" : { "formattedCitation" : "(Rowe and Kahn 2015)", "plainTextFormattedCitation" : "(Rowe and Kahn 2015)", "previouslyFormattedCitation" : "(Rowe and Kahn 2015)" }, "properties" : { "noteIndex" : 0 }, "schema" : "https://github.com/citation-style-language/schema/raw/master/csl-citation.json" }</w:instrText>
      </w:r>
      <w:r w:rsidRPr="00C3671E">
        <w:fldChar w:fldCharType="separate"/>
      </w:r>
      <w:r w:rsidRPr="00C3671E">
        <w:rPr>
          <w:noProof/>
        </w:rPr>
        <w:t>(Rowe and Kahn 2015)</w:t>
      </w:r>
      <w:r w:rsidRPr="00C3671E">
        <w:fldChar w:fldCharType="end"/>
      </w:r>
      <w:r w:rsidRPr="00C3671E">
        <w:t xml:space="preserve">. </w:t>
      </w:r>
      <w:r w:rsidRPr="00C3671E">
        <w:fldChar w:fldCharType="begin" w:fldLock="1"/>
      </w:r>
      <w:r w:rsidRPr="00C3671E">
        <w:instrText>ADDIN CSL_CITATION { "citationItems" : [ { "id" : "ITEM-1", "itemData" : { "DOI" : "10.1093/geronb/gbv025.", "ISBN" : "9788776814687", "author" : [ { "dropping-particle" : "", "family" : "Rowe", "given" : "John W", "non-dropping-particle" : "", "parse-names" : false, "suffix" : "" }, { "dropping-particle" : "", "family" : "Kahn", "given" : "Robert L", "non-dropping-particle" : "", "parse-names" : false, "suffix" : "" } ], "container-title" : "Journals of Gerontology, Series B: Psychological Sciences and Social Sciences", "id" : "ITEM-1", "issue" : "4", "issued" : { "date-parts" : [ [ "2015" ] ] }, "page" : "593-596", "title" : "Successful Aging 2.0: Conceptual Expansions for the 21st Century John", "type" : "article-journal", "volume" : "70" }, "uris" : [ "http://www.mendeley.com/documents/?uuid=a8a1b990-ce9e-4028-9788-d864de0fa2ff" ] } ], "mendeley" : { "formattedCitation" : "(Rowe and Kahn 2015)", "manualFormatting" : "Rowe and Kahn (2015", "plainTextFormattedCitation" : "(Rowe and Kahn 2015)", "previouslyFormattedCitation" : "(Rowe and Kahn 2015)" }, "properties" : { "noteIndex" : 0 }, "schema" : "https://github.com/citation-style-language/schema/raw/master/csl-citation.json" }</w:instrText>
      </w:r>
      <w:r w:rsidRPr="00C3671E">
        <w:fldChar w:fldCharType="separate"/>
      </w:r>
      <w:r w:rsidRPr="00C3671E">
        <w:rPr>
          <w:noProof/>
        </w:rPr>
        <w:t>Rowe and Kahn (2015</w:t>
      </w:r>
      <w:r w:rsidRPr="00C3671E">
        <w:fldChar w:fldCharType="end"/>
      </w:r>
      <w:r w:rsidRPr="00C3671E">
        <w:t>: 593</w:t>
      </w:r>
      <w:r w:rsidRPr="00C3671E">
        <w:rPr>
          <w:noProof/>
        </w:rPr>
        <w:t>)</w:t>
      </w:r>
      <w:r w:rsidRPr="00C3671E">
        <w:t xml:space="preserve"> perceive the critique in calling for “greater consideration of subjective components (…), other expansions to the model, (…and) a more inclusive definition of successful aging”. While the authors this that successful ageing can oppose the criticism or incorporate it to the model, some authors believe the drawbacks of this concept are too serious </w:t>
      </w:r>
      <w:r w:rsidRPr="00C3671E">
        <w:fldChar w:fldCharType="begin" w:fldLock="1"/>
      </w:r>
      <w:r w:rsidR="001257AA" w:rsidRPr="00C3671E">
        <w:instrText>ADDIN CSL_CITATION { "citationItems" : [ { "id" : "ITEM-1", "itemData" : { "author" : [ { "dropping-particle" : "", "family" : "Holstein", "given" : "Martha B.", "non-dropping-particle" : "", "parse-names" : false, "suffix" : "" }, { "dropping-particle" : "", "family" : "Minkler", "given" : "Meredith", "non-dropping-particle" : "", "parse-names" : false, "suffix" : "" } ], "container-title" : "The Gerontologist", "id" : "ITEM-1", "issue" : "6", "issued" : { "date-parts" : [ [ "2003" ] ] }, "page" : "787-796", "title" : "Self, Society, and the \u2018\u2018New Gerontology\u2019\u2019", "type" : "article-journal", "volume" : "43" }, "uris" : [ "http://www.mendeley.com/documents/?uuid=7cd41c86-4367-404d-98af-62e6a77581cf" ] }, { "id" : "ITEM-2", "itemData" : { "author" : [ { "dropping-particle" : "", "family" : "Bowling", "given" : "Ann", "non-dropping-particle" : "", "parse-names" : false, "suffix" : "" } ], "container-title" : "International journal of aging &amp; human development", "id" : "ITEM-2", "issue" : "3", "issued" : { "date-parts" : [ [ "2007" ] ] }, "page" : "263-297", "title" : "21st Century: What Is Successful Aging?", "type" : "article-journal", "volume" : "64" }, "uris" : [ "http://www.mendeley.com/documents/?uuid=dcbdf5d8-a8bf-47e5-b95a-cb8808955ce9" ] }, { "id" : "ITEM-3", "itemData" : { "DOI" : "10.1016/j.jaging.2012.03.001", "ISBN" : "0890-4065", "ISSN" : "08904065", "abstract" : "Successful aging, though controversial, is used as an overarching conceptual framework in social gerontology. In this theory critique, the discourse of successful aging is identified as problematic with respect to four dimensions. First, successful aging is ageist in nature, and it produces a disharmony between body and mind. Second, successful aging, with the emphasis on quantifiable activities driven by the \"busy ethic,\" overlooks the deeper concern of quality experience. Third, the capitalist and consumerist components of successful aging are under-addressed. Fourth, successful aging is a discourse developed upon Western (specifically American) values and thus may not readily apply to other cultures.Harmonious aging, as proposed, is inspired by the Yin-Yang philosophy. Harmony refers to the balance based on differences instead of uniformity. This new discourse aims to recognize the challenges and opportunities of old age itself, ease the tension between activity and disengagement theories, heal the integrity of body and mind, and emphasize the interdependent nature of human beings. The call for the discourse shift attempts to promote intellectual exploration of what constitutes a good old age and to capture more cross-cultural diversities in the context of global aging. This theoretical endeavor is important to change the status quo of gerontology as being \"data rich but theory poor,\" and to contribute to cross-cultural gerontological research, education and communication. \u00a9 2012 Elsevier Inc.", "author" : [ { "dropping-particle" : "", "family" : "Liang", "given" : "Jiayin", "non-dropping-particle" : "", "parse-names" : false, "suffix" : "" }, { "dropping-particle" : "", "family" : "Luo", "given" : "Baozhen", "non-dropping-particle" : "", "parse-names" : false, "suffix" : "" } ], "container-title" : "Journal of Aging Studies", "id" : "ITEM-3", "issue" : "3", "issued" : { "date-parts" : [ [ "2012" ] ] }, "page" : "327-334", "publisher" : "Elsevier Inc.", "title" : "Toward a discourse shift in social gerontology: From successful aging to harmonious aging", "type" : "article-journal", "volume" : "26" }, "uris" : [ "http://www.mendeley.com/documents/?uuid=08afaa39-ae59-4672-895e-ad0644408e11" ] }, { "id" : "ITEM-4", "itemData" : { "DOI" : "10.1007/s10433-005-0015-8", "ISBN" : "1613-9372", "ISSN" : "16139372", "abstract" : "This article focuses on the scientific study of quality of life in old age and summarises, on the one hand, what we know and, on the other, what further research is needed. It consists of three main parts, with an extended introduction charting the recent evolution of a European perspective on ageing. First of all, it emphasises the amorphous, multidimensional and complex nature of quality of life and the high level of inconsistency between scientists in their approach to this subject. Secondly, the article summarises the main areas of consensus about quality of life in old age - its dynamic multifaceted nature, the combination of life course and immediate influences, the similarities and differences in the factors determining quality of life between younger and older people, the most common associations with quality of life and the likely variations between groups, and the powerful role of subjective self-assessment. Thirdly, the main research priorities and gaps in knowledge are outlined, together with the key methodological issues which must be tackled if comparative, interdisciplinary research on quality of life is to develop further. The main sources for the article are two European Framework Programme projects-the one a small five-country comparison and the other a large multidimensional project which, among other things, has been developing recommendations for research on quality of life in old age and included an extensive literature review on this topic. The article also draws on the recently completed UK Growing Older Programme of research on extending quality of life. \u00a9 Springer-Verlag 2005.", "author" : [ { "dropping-particle" : "", "family" : "Walker", "given" : "Alan", "non-dropping-particle" : "", "parse-names" : false, "suffix" : "" } ], "container-title" : "European Journal of Ageing", "id" : "ITEM-4", "issue" : "1", "issued" : { "date-parts" : [ [ "2005" ] ] }, "page" : "2-12", "title" : "A European perspective on quality of life in old age", "type" : "article-journal", "volume" : "2" }, "uris" : [ "http://www.mendeley.com/documents/?uuid=cf601aee-0bb9-4c93-8902-46ae526562ed" ] }, { "id" : "ITEM-5", "itemData" : { "DOI" : "10.1093/geront/gnu028", "ISBN" : "0016-9013", "ISSN" : "1758-5341", "PMID" : "24846882", "abstract" : "Over the past two decades, \"active aging\" has emerged in Europe as the foremost policy response to the challenges of population aging. This article examines the concept of active aging and how it differs from that of \"successful aging.\" In particular, it shows how active aging presents a more holistic, life course-oriented approach than successful aging. We provide a critical perspective on active aging too by, first, tracing its emergence in Europe and then showing how, in practice, it has been dominated by a narrow economic or productivist perspective that prioritizes the extension of working life. It has also been gender blind. Nonetheless, it is argued that an active aging approach has the potential to enable countries to respond successfully to the challenges of population aging because of its comprehensive focus and emphasis on societal as well as individual responsibility. Finally, we set out the basic principles that need to be followed if the full potential of active aging is to be achieved.", "author" : [ { "dropping-particle" : "", "family" : "Foster", "given" : "Liam", "non-dropping-particle" : "", "parse-names" : false, "suffix" : "" }, { "dropping-particle" : "", "family" : "Walker", "given" : "Alan", "non-dropping-particle" : "", "parse-names" : false, "suffix" : "" } ], "container-title" : "The Gerontologist", "id" : "ITEM-5", "issue" : "1", "issued" : { "date-parts" : [ [ "2015" ] ] }, "note" : "Foster, Walker 2014: Active and Successful Aging: A Euroepean Policy perspective\n\u201cactive aging\u201d has emerged in Europe as the foremost policy response to the challenges of population aging\nactive aging presents a more holistic, life course\u2013oriented approach than successful aging\ncritique of active aging perspective - emergence in Europe\n- dominated by a narrow economic perspective\n- gender blind\nall together, this approach has the potential to respond successfully to the challenges of population aging because of its comprehensive focus and emphasis on societal as well as individual responsibility\nAA should enable to create own forms of activity, instead of focusing on a predetermined, limited number of domains, usually developed from an \u2018expert\u2019 perspective\u201d (Boudiny &amp;amp; Mortelmans, 2011, p. 12)\nThere is also a danger that the \u201chealth and well-being\u201d narrative retreats to become the preserve of a \u201cfourth age\u201d charac- terized by biological decline and consumption of welfare resources\nstructural and economic barriers to active aging must be addressed for a comprehensive approach\n\u2192\nInternational and European policy on work and retirement: Reinventing critical perspectives\nA critical perspective: Towards a broader understanding of \u2018active ageing\u2019\nNarratives of (in)active age- ing in poor deprived areas of Liverpool", "page" : "83-90", "title" : "Active and Successful Aging: A European Policy Perspective", "type" : "article-journal", "volume" : "55" }, "uris" : [ "http://www.mendeley.com/documents/?uuid=6ef8c660-30ca-4a4a-80c6-6c24c5f5b99d" ] }, { "id" : "ITEM-6", "itemData" : { "author" : [ { "dropping-particle" : "", "family" : "Timonen", "given" : "Virpi", "non-dropping-particle" : "", "parse-names" : false, "suffix" : "" } ], "id" : "ITEM-6", "issued" : { "date-parts" : [ [ "2016" ] ] }, "publisher" : "Policy Press Shorts Research", "publisher-place" : "Bristol", "title" : "Beyond successful and active ageing: A theory of model ageing", "type" : "book" }, "uris" : [ "http://www.mendeley.com/documents/?uuid=4c41af4a-05f8-46fd-bb8a-a893aaadda0a" ] } ], "mendeley" : { "formattedCitation" : "(Bowling 2007; Foster and Walker 2015; Holstein and Minkler 2003; Liang and Luo 2012; Timonen 2016; Walker 2005a)", "plainTextFormattedCitation" : "(Bowling 2007; Foster and Walker 2015; Holstein and Minkler 2003; Liang and Luo 2012; Timonen 2016; Walker 2005a)", "previouslyFormattedCitation" : "(Bowling 2007; Foster and Walker 2015; Holstein and Minkler 2003; Liang and Luo 2012; Timonen 2016; Walker 2005a)" }, "properties" : { "noteIndex" : 0 }, "schema" : "https://github.com/citation-style-language/schema/raw/master/csl-citation.json" }</w:instrText>
      </w:r>
      <w:r w:rsidRPr="00C3671E">
        <w:fldChar w:fldCharType="separate"/>
      </w:r>
      <w:r w:rsidR="00A91559" w:rsidRPr="00C3671E">
        <w:rPr>
          <w:noProof/>
        </w:rPr>
        <w:t>(Bowling 2007; Foster and Walker 2015; Holstein and Minkler 2003; Liang and Luo 2012; Timonen 2016; Walker 2005a)</w:t>
      </w:r>
      <w:r w:rsidRPr="00C3671E">
        <w:fldChar w:fldCharType="end"/>
      </w:r>
      <w:r w:rsidRPr="00C3671E">
        <w:t xml:space="preserve">. This critique addresses normativity, individualism, and ethnocentrism of this concept, its objective conceptualization based on outcomes beyond individual control, or ignorance towards a context in terms of “gender, class, ethnicity, neighbourhood and other social location” </w:t>
      </w:r>
      <w:r w:rsidRPr="00C3671E">
        <w:fldChar w:fldCharType="begin" w:fldLock="1"/>
      </w:r>
      <w:r w:rsidRPr="00C3671E">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"mendeley" : { "formattedCitation" : "(Timonen 2016)", "manualFormatting" : "(Timonen 2016", "plainTextFormattedCitation" : "(Timonen 2016)", "previouslyFormattedCitation" : "(Timonen 2016)" }, "properties" : { "noteIndex" : 0 }, "schema" : "https://github.com/citation-style-language/schema/raw/master/csl-citation.json" }</w:instrText>
      </w:r>
      <w:r w:rsidRPr="00C3671E">
        <w:fldChar w:fldCharType="separate"/>
      </w:r>
      <w:r w:rsidRPr="00C3671E">
        <w:rPr>
          <w:noProof/>
        </w:rPr>
        <w:t>(Timonen 2016</w:t>
      </w:r>
      <w:r w:rsidRPr="00C3671E">
        <w:fldChar w:fldCharType="end"/>
      </w:r>
      <w:r w:rsidRPr="00C3671E">
        <w:t>: 17</w:t>
      </w:r>
      <w:r w:rsidRPr="00C3671E">
        <w:rPr>
          <w:noProof/>
        </w:rPr>
        <w:t>)</w:t>
      </w:r>
      <w:r w:rsidRPr="00C3671E">
        <w:t>.</w:t>
      </w:r>
    </w:p>
    <w:p w14:paraId="532AA70D" w14:textId="77777777" w:rsidR="00676326" w:rsidRPr="00C3671E" w:rsidRDefault="00676326" w:rsidP="00676326">
      <w:pPr>
        <w:pStyle w:val="Newparagraph"/>
        <w:jc w:val="both"/>
      </w:pPr>
      <w:r w:rsidRPr="00C3671E">
        <w:t xml:space="preserve">Active ageing is a proclaimed successor of successful ageing, which “presents a more holistic, life course–oriented approach than successful aging” </w:t>
      </w:r>
      <w:r w:rsidRPr="00C3671E">
        <w:fldChar w:fldCharType="begin" w:fldLock="1"/>
      </w:r>
      <w:r w:rsidRPr="00C3671E">
        <w:instrText>ADDIN CSL_CITATION { "citationItems" : [ { "id" : "ITEM-1", "itemData" : { "DOI" : "10.1093/geront/gnu028", "ISBN" : "0016-9013", "ISSN" : "1758-5341", "PMID" : "24846882", "abstract" : "Over the past two decades, \"active aging\" has emerged in Europe as the foremost policy response to the challenges of population aging. This article examines the concept of active aging and how it differs from that of \"successful aging.\" In particular, it shows how active aging presents a more holistic, life course-oriented approach than successful aging. We provide a critical perspective on active aging too by, first, tracing its emergence in Europe and then showing how, in practice, it has been dominated by a narrow economic or productivist perspective that prioritizes the extension of working life. It has also been gender blind. Nonetheless, it is argued that an active aging approach has the potential to enable countries to respond successfully to the challenges of population aging because of its comprehensive focus and emphasis on societal as well as individual responsibility. Finally, we set out the basic principles that need to be followed if the full potential of active aging is to be achieved.", "author" : [ { "dropping-particle" : "", "family" : "Foster", "given" : "Liam", "non-dropping-particle" : "", "parse-names" : false, "suffix" : "" }, { "dropping-particle" : "", "family" : "Walker", "given" : "Alan", "non-dropping-particle" : "", "parse-names" : false, "suffix" : "" } ], "container-title" : "The Gerontologist", "id" : "ITEM-1", "issue" : "1", "issued" : { "date-parts" : [ [ "2015" ] ] }, "note" : "Foster, Walker 2014: Active and Successful Aging: A Euroepean Policy perspective\n\u201cactive aging\u201d has emerged in Europe as the foremost policy response to the challenges of population aging\nactive aging presents a more holistic, life course\u2013oriented approach than successful aging\ncritique of active aging perspective - emergence in Europe\n- dominated by a narrow economic perspective\n- gender blind\nall together, this approach has the potential to respond successfully to the challenges of population aging because of its comprehensive focus and emphasis on societal as well as individual responsibility\nAA should enable to create own forms of activity, instead of focusing on a predetermined, limited number of domains, usually developed from an \u2018expert\u2019 perspective\u201d (Boudiny &amp;amp; Mortelmans, 2011, p. 12)\nThere is also a danger that the \u201chealth and well-being\u201d narrative retreats to become the preserve of a \u201cfourth age\u201d charac- terized by biological decline and consumption of welfare resources\nstructural and economic barriers to active aging must be addressed for a comprehensive approach\n\u2192\nInternational and European policy on work and retirement: Reinventing critical perspectives\nA critical perspective: Towards a broader understanding of \u2018active ageing\u2019\nNarratives of (in)active age- ing in poor deprived areas of Liverpool", "page" : "83-90", "title" : "Active and Successful Aging: A European Policy Perspective", "type" : "article-journal", "volume" : "55" }, "uris" : [ "http://www.mendeley.com/documents/?uuid=6ef8c660-30ca-4a4a-80c6-6c24c5f5b99d" ] } ], "mendeley" : { "formattedCitation" : "(Foster and Walker 2015)", "manualFormatting" : "(Foster and Walker 2015b", "plainTextFormattedCitation" : "(Foster and Walker 2015)", "previouslyFormattedCitation" : "(Foster and Walker 2015)" }, "properties" : { "noteIndex" : 0 }, "schema" : "https://github.com/citation-style-language/schema/raw/master/csl-citation.json" }</w:instrText>
      </w:r>
      <w:r w:rsidRPr="00C3671E">
        <w:fldChar w:fldCharType="separate"/>
      </w:r>
      <w:r w:rsidRPr="00C3671E">
        <w:rPr>
          <w:noProof/>
        </w:rPr>
        <w:t>(Foster and Walker 2015b</w:t>
      </w:r>
      <w:r w:rsidRPr="00C3671E">
        <w:fldChar w:fldCharType="end"/>
      </w:r>
      <w:r w:rsidRPr="00C3671E">
        <w:t>: 83</w:t>
      </w:r>
      <w:r w:rsidRPr="00C3671E">
        <w:rPr>
          <w:noProof/>
        </w:rPr>
        <w:t xml:space="preserve">) now representing “a multi-layered policy-oriented model with a strong </w:t>
      </w:r>
      <w:r w:rsidRPr="00C3671E">
        <w:rPr>
          <w:lang w:eastAsia="zh-CN"/>
        </w:rPr>
        <w:t>life</w:t>
      </w:r>
      <w:r w:rsidRPr="00C3671E">
        <w:rPr>
          <w:noProof/>
        </w:rPr>
        <w:t xml:space="preserve"> course perspective” </w:t>
      </w:r>
      <w:r w:rsidRPr="00C3671E">
        <w:rPr>
          <w:noProof/>
        </w:rPr>
        <w:fldChar w:fldCharType="begin" w:fldLock="1"/>
      </w:r>
      <w:r w:rsidRPr="00C3671E">
        <w:rPr>
          <w:noProof/>
        </w:rPr>
        <w:instrText>ADDIN CSL_CITATION { "citationItems" : [ { "id" : "ITEM-1", "itemData" : { "DOI" : "10.1007/s12062-017-9174-6", "ISSN" : "1874-7884", "abstract" : "Why Active Ageing Matters\\r\\nBy the end of the first half of the twentieth century most European states had introduced public pension schemes of one sort or another. In doing so they were affirming the role of the state in providing individuals with a form of support that all but a few would struggle to provide for themselves. The objectives of these schemes were generally quite limited: to reduce the risk of poverty in old age by facilitating savings during working life. The rationale was simple: to provide access to financial support - a regular and reliable income \u2013 for a time of life when the ability to work was increasingly impaired by loss of health or functional ability. In the second half of the century, after the second world war, increasing affluence combined with a more demanding view of the responsibilities of government to improve the generosity of pensions and to expand welfare systems in ways that conferred other benefits on their older populations besides a basic pension income, including the provision of social care (e.g. care homes for older people who had no family and were unable to look after themselves in their own homes). Policy was still broadly conceived as a collective response to age-related losses that undermined independence.", "author" : [ { "dropping-particle" : "", "family" : "Zaidi", "given" : "Asghar", "non-dropping-particle" : "", "parse-names" : false, "suffix" : "" }, { "dropping-particle" : "", "family" : "Howse", "given" : "Kenneth", "non-dropping-particle" : "", "parse-names" : false, "suffix" : "" } ], "container-title" : "Journal of Population Ageing", "id" : "ITEM-1", "issue" : "1", "issued" : { "date-parts" : [ [ "2017" ] ] }, "page" : "1-10", "publisher" : "Journal of Population Ageing", "title" : "The Policy Discourse of Active Ageing: Some Reflections", "type" : "article-journal", "volume" : "10" }, "uris" : [ "http://www.mendeley.com/documents/?uuid=badd02a6-0ba4-4766-b6a7-a04a46414a57" ] } ], "mendeley" : { "formattedCitation" : "(Zaidi and Howse 2017)", "manualFormatting" : "(Zaidi and Howse 2017: 7)", "plainTextFormattedCitation" : "(Zaidi and Howse 2017)", "previouslyFormattedCitation" : "(Zaidi and Howse 2017)" }, "properties" : { "noteIndex" : 0 }, "schema" : "https://github.com/citation-style-language/schema/raw/master/csl-citation.json" }</w:instrText>
      </w:r>
      <w:r w:rsidRPr="00C3671E">
        <w:rPr>
          <w:noProof/>
        </w:rPr>
        <w:fldChar w:fldCharType="separate"/>
      </w:r>
      <w:r w:rsidRPr="00C3671E">
        <w:rPr>
          <w:noProof/>
        </w:rPr>
        <w:t>(Zaidi and Howse 2017: 7)</w:t>
      </w:r>
      <w:r w:rsidRPr="00C3671E">
        <w:rPr>
          <w:noProof/>
        </w:rPr>
        <w:fldChar w:fldCharType="end"/>
      </w:r>
      <w:r w:rsidRPr="00C3671E">
        <w:t xml:space="preserve">. The active ageing approach focuses both on the promotion of </w:t>
      </w:r>
      <w:r w:rsidRPr="00C3671E">
        <w:lastRenderedPageBreak/>
        <w:t xml:space="preserve">employment in the third age and health and community participation prioritized in the fourth age </w:t>
      </w:r>
      <w:r w:rsidRPr="00C3671E">
        <w:fldChar w:fldCharType="begin" w:fldLock="1"/>
      </w:r>
      <w:r w:rsidRPr="00C3671E">
        <w:instrText>ADDIN CSL_CITATION { "citationItems" : [ { "id" : "ITEM-1", "itemData" : { "DOI" : "10.1007/s10433-005-0015-8", "ISBN" : "1613-9372", "ISSN" : "16139372", "abstract" : "This article focuses on the scientific study of quality of life in old age and summarises, on the one hand, what we know and, on the other, what further research is needed. It consists of three main parts, with an extended introduction charting the recent evolution of a European perspective on ageing. First of all, it emphasises the amorphous, multidimensional and complex nature of quality of life and the high level of inconsistency between scientists in their approach to this subject. Secondly, the article summarises the main areas of consensus about quality of life in old age - its dynamic multifaceted nature, the combination of life course and immediate influences, the similarities and differences in the factors determining quality of life between younger and older people, the most common associations with quality of life and the likely variations between groups, and the powerful role of subjective self-assessment. Thirdly, the main research priorities and gaps in knowledge are outlined, together with the key methodological issues which must be tackled if comparative, interdisciplinary research on quality of life is to develop further. The main sources for the article are two European Framework Programme projects-the one a small five-country comparison and the other a large multidimensional project which, among other things, has been developing recommendations for research on quality of life in old age and included an extensive literature review on this topic. The article also draws on the recently completed UK Growing Older Programme of research on extending quality of life. \u00a9 Springer-Verlag 2005.", "author" : [ { "dropping-particle" : "", "family" : "Walker", "given" : "Alan", "non-dropping-particle" : "", "parse-names" : false, "suffix" : "" } ], "container-title" : "European Journal of Ageing", "id" : "ITEM-1", "issue" : "1", "issued" : { "date-parts" : [ [ "2005" ] ] }, "page" : "2-12", "title" : "A European perspective on quality of life in old age", "type" : "article-journal", "volume" : "2" }, "uris" : [ "http://www.mendeley.com/documents/?uuid=cf601aee-0bb9-4c93-8902-46ae526562ed" ] } ], "mendeley" : { "formattedCitation" : "(Walker 2005a)", "plainTextFormattedCitation" : "(Walker 2005a)", "previouslyFormattedCitation" : "(Walker 2005a)" }, "properties" : { "noteIndex" : 0 }, "schema" : "https://github.com/citation-style-language/schema/raw/master/csl-citation.json" }</w:instrText>
      </w:r>
      <w:r w:rsidRPr="00C3671E">
        <w:fldChar w:fldCharType="separate"/>
      </w:r>
      <w:r w:rsidRPr="00C3671E">
        <w:rPr>
          <w:noProof/>
        </w:rPr>
        <w:t>(Walker 2005a)</w:t>
      </w:r>
      <w:r w:rsidRPr="00C3671E">
        <w:fldChar w:fldCharType="end"/>
      </w:r>
      <w:r w:rsidRPr="00C3671E">
        <w:t xml:space="preserve">. From this point of view, active ageing is much more inclusive and sensitive to diverse needs of the older adults, though this potential of active ageing is usually not successfully translated to particular social policies </w:t>
      </w:r>
      <w:r w:rsidRPr="00C3671E">
        <w:fldChar w:fldCharType="begin" w:fldLock="1"/>
      </w:r>
      <w:r w:rsidRPr="00C3671E">
        <w:instrText>ADDIN CSL_CITATION { "citationItems" : [ { "id" : "ITEM-1", "itemData" : { "DOI" : "10.1093/geront/gnu028", "ISBN" : "0016-9013", "ISSN" : "1758-5341", "PMID" : "24846882", "abstract" : "Over the past two decades, \"active aging\" has emerged in Europe as the foremost policy response to the challenges of population aging. This article examines the concept of active aging and how it differs from that of \"successful aging.\" In particular, it shows how active aging presents a more holistic, life course-oriented approach than successful aging. We provide a critical perspective on active aging too by, first, tracing its emergence in Europe and then showing how, in practice, it has been dominated by a narrow economic or productivist perspective that prioritizes the extension of working life. It has also been gender blind. Nonetheless, it is argued that an active aging approach has the potential to enable countries to respond successfully to the challenges of population aging because of its comprehensive focus and emphasis on societal as well as individual responsibility. Finally, we set out the basic principles that need to be followed if the full potential of active aging is to be achieved.", "author" : [ { "dropping-particle" : "", "family" : "Foster", "given" : "Liam", "non-dropping-particle" : "", "parse-names" : false, "suffix" : "" }, { "dropping-particle" : "", "family" : "Walker", "given" : "Alan", "non-dropping-particle" : "", "parse-names" : false, "suffix" : "" } ], "container-title" : "The Gerontologist", "id" : "ITEM-1", "issue" : "1", "issued" : { "date-parts" : [ [ "2015" ] ] }, "note" : "Foster, Walker 2014: Active and Successful Aging: A Euroepean Policy perspective\n\u201cactive aging\u201d has emerged in Europe as the foremost policy response to the challenges of population aging\nactive aging presents a more holistic, life course\u2013oriented approach than successful aging\ncritique of active aging perspective - emergence in Europe\n- dominated by a narrow economic perspective\n- gender blind\nall together, this approach has the potential to respond successfully to the challenges of population aging because of its comprehensive focus and emphasis on societal as well as individual responsibility\nAA should enable to create own forms of activity, instead of focusing on a predetermined, limited number of domains, usually developed from an \u2018expert\u2019 perspective\u201d (Boudiny &amp;amp; Mortelmans, 2011, p. 12)\nThere is also a danger that the \u201chealth and well-being\u201d narrative retreats to become the preserve of a \u201cfourth age\u201d charac- terized by biological decline and consumption of welfare resources\nstructural and economic barriers to active aging must be addressed for a comprehensive approach\n\u2192\nInternational and European policy on work and retirement: Reinventing critical perspectives\nA critical perspective: Towards a broader understanding of \u2018active ageing\u2019\nNarratives of (in)active age- ing in poor deprived areas of Liverpool", "page" : "83-90", "title" : "Active and Successful Aging: A European Policy Perspective", "type" : "article-journal", "volume" : "55" }, "uris" : [ "http://www.mendeley.com/documents/?uuid=6ef8c660-30ca-4a4a-80c6-6c24c5f5b99d" ] } ], "mendeley" : { "formattedCitation" : "(Foster and Walker 2015)", "plainTextFormattedCitation" : "(Foster and Walker 2015)", "previouslyFormattedCitation" : "(Foster and Walker 2015)" }, "properties" : { "noteIndex" : 0 }, "schema" : "https://github.com/citation-style-language/schema/raw/master/csl-citation.json" }</w:instrText>
      </w:r>
      <w:r w:rsidRPr="00C3671E">
        <w:fldChar w:fldCharType="separate"/>
      </w:r>
      <w:r w:rsidRPr="00C3671E">
        <w:rPr>
          <w:noProof/>
        </w:rPr>
        <w:t>(Foster and Walker 2015)</w:t>
      </w:r>
      <w:r w:rsidRPr="00C3671E">
        <w:fldChar w:fldCharType="end"/>
      </w:r>
      <w:r w:rsidRPr="00C3671E">
        <w:t xml:space="preserve">. In contrast, </w:t>
      </w:r>
      <w:r w:rsidRPr="00C3671E">
        <w:fldChar w:fldCharType="begin" w:fldLock="1"/>
      </w:r>
      <w:r w:rsidRPr="00C3671E">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"mendeley" : { "formattedCitation" : "(Timonen 2016)", "manualFormatting" : "Timonen (2016)", "plainTextFormattedCitation" : "(Timonen 2016)", "previouslyFormattedCitation" : "(Timonen 2016)" }, "properties" : { "noteIndex" : 0 }, "schema" : "https://github.com/citation-style-language/schema/raw/master/csl-citation.json" }</w:instrText>
      </w:r>
      <w:r w:rsidRPr="00C3671E">
        <w:fldChar w:fldCharType="separate"/>
      </w:r>
      <w:r w:rsidRPr="00C3671E">
        <w:rPr>
          <w:noProof/>
        </w:rPr>
        <w:t>Timonen (2016)</w:t>
      </w:r>
      <w:r w:rsidRPr="00C3671E">
        <w:fldChar w:fldCharType="end"/>
      </w:r>
      <w:r w:rsidRPr="00C3671E">
        <w:t xml:space="preserve"> claims that active ageing is successful ageing translated into the policy sphere and share the same drawbacks and unintended consequences – in other words, these approaches are just two examples of model ageing. Therefore, active ageing and successful ageing are similar approaches, but the first has much more profound implications in the ageing experience of European older adults.</w:t>
      </w:r>
    </w:p>
    <w:p w14:paraId="26578859" w14:textId="77777777" w:rsidR="00676326" w:rsidRPr="00C3671E" w:rsidRDefault="00676326" w:rsidP="00676326">
      <w:pPr>
        <w:pStyle w:val="Nadpis3"/>
        <w:spacing w:line="480" w:lineRule="auto"/>
        <w:rPr>
          <w:rFonts w:ascii="Times New Roman" w:hAnsi="Times New Roman" w:cs="Times New Roman"/>
          <w:b w:val="0"/>
          <w:i/>
          <w:lang w:val="en-GB" w:eastAsia="zh-CN"/>
        </w:rPr>
      </w:pPr>
      <w:bookmarkStart w:id="5" w:name="_Toc512687722"/>
      <w:r w:rsidRPr="00C3671E">
        <w:rPr>
          <w:rFonts w:ascii="Times New Roman" w:hAnsi="Times New Roman" w:cs="Times New Roman"/>
          <w:b w:val="0"/>
          <w:i/>
          <w:lang w:val="en-GB" w:eastAsia="zh-CN"/>
        </w:rPr>
        <w:t>Development of active ageing and activities promoted by this approach</w:t>
      </w:r>
      <w:bookmarkEnd w:id="5"/>
    </w:p>
    <w:p w14:paraId="07168405" w14:textId="3A4CA4F8" w:rsidR="00676326" w:rsidRPr="00C3671E" w:rsidRDefault="00676326" w:rsidP="00676326">
      <w:pPr>
        <w:suppressAutoHyphens/>
        <w:spacing w:line="480" w:lineRule="auto"/>
        <w:jc w:val="both"/>
        <w:rPr>
          <w:lang w:val="en-GB"/>
        </w:rPr>
      </w:pPr>
      <w:r w:rsidRPr="00C3671E">
        <w:rPr>
          <w:lang w:val="en-GB"/>
        </w:rPr>
        <w:t xml:space="preserve">Active ageing as an approach addressing ageing has been developed within cooperation of United Nations </w:t>
      </w:r>
      <w:r w:rsidRPr="00C3671E">
        <w:rPr>
          <w:lang w:val="en-GB"/>
        </w:rPr>
        <w:fldChar w:fldCharType="begin" w:fldLock="1"/>
      </w:r>
      <w:r w:rsidR="001257AA" w:rsidRPr="00C3671E">
        <w:rPr>
          <w:lang w:val="en-GB"/>
        </w:rPr>
        <w:instrText>ADDIN CSL_CITATION { "citationItems" : [ { "id" : "ITEM-1", "itemData" : { "DOI" : "10.1111/j.1468-2451.2008.00660.x", "ISSN" : "00208701", "abstract" : "The Second World Assembly on Ageing, which met in Madrid, Spain, in 2002, reviewed the opportunities and challenges of population ageing in the 21st century in light of the principles and recommendations for action of the International Plan of Action on Ageing, endorsed by the United Nations General Assembly in 1982, and the United Nations Principles for Older Persons, adopted by the General Assembly in 1991, which provided guidance in areas of independence, participation, care, self-fulfilment and dignity. As a result, the Assembly established both a political consensus and an action plan to promote the development of a society for all ages.", "author" : [ { "dropping-particle" : "", "family" : "UN", "given" : "", "non-dropping-particle" : "", "parse-names" : false, "suffix" : "" } ], "id" : "ITEM-1", "issued" : { "date-parts" : [ [ "2002" ] ] }, "number-of-pages" : "633-665", "publisher-place" : "New York", "title" : "Madrid international plan of action on ageing", "type" : "report" }, "uris" : [ "http://www.mendeley.com/documents/?uuid=367b588f-1d2c-4541-9f87-7036db5ceb02" ] }, { "id" : "ITEM-2", "itemData" : { "author" : [ { "dropping-particle" : "", "family" : "UNECE", "given" : "", "non-dropping-particle" : "", "parse-names" : false, "suffix" : "" } ], "container-title" : "2012 UNECE Ministerial Conference on Ageing", "id" : "ITEM-2", "issued" : { "date-parts" : [ [ "2013" ] ] }, "publisher" : "United Nations", "publisher-place" : "Geneva", "title" : "Ensuring a society for all ages: Promoting quality of life and active ageing", "type" : "paper-conference" }, "uris" : [ "http://www.mendeley.com/documents/?uuid=74671962-0114-42bf-a3e4-96babc7663c2" ] } ], "mendeley" : { "formattedCitation" : "(UN 2002; UNECE 2013)", "plainTextFormattedCitation" : "(UN 2002; UNECE 2013)", "previouslyFormattedCitation" : "(UN 2002; UNECE 2013)" }, "properties" : { "noteIndex" : 0 }, "schema" : "https://github.com/citation-style-language/schema/raw/master/csl-citation.json" }</w:instrText>
      </w:r>
      <w:r w:rsidRPr="00C3671E">
        <w:rPr>
          <w:lang w:val="en-GB"/>
        </w:rPr>
        <w:fldChar w:fldCharType="separate"/>
      </w:r>
      <w:r w:rsidR="00A91559" w:rsidRPr="00C3671E">
        <w:rPr>
          <w:noProof/>
          <w:lang w:val="en-GB"/>
        </w:rPr>
        <w:t>(UN 2002; UNECE 2013)</w:t>
      </w:r>
      <w:r w:rsidRPr="00C3671E">
        <w:rPr>
          <w:lang w:val="en-GB"/>
        </w:rPr>
        <w:fldChar w:fldCharType="end"/>
      </w:r>
      <w:r w:rsidRPr="00C3671E">
        <w:rPr>
          <w:lang w:val="en-GB"/>
        </w:rPr>
        <w:t xml:space="preserve">, World Health Organization </w:t>
      </w:r>
      <w:r w:rsidRPr="00C3671E">
        <w:rPr>
          <w:lang w:val="en-GB"/>
        </w:rPr>
        <w:fldChar w:fldCharType="begin" w:fldLock="1"/>
      </w:r>
      <w:r w:rsidRPr="00C3671E">
        <w:rPr>
          <w:lang w:val="en-GB"/>
        </w:rPr>
        <w:instrText>ADDIN CSL_CITATION { "citationItems" : [ { "id" : "ITEM-1", "itemData" : { "abstract" : "Do you want to know more about Active Ageing? Are you interested in the latest research results or in what your colleagues \u2014 researchers, practitioners and community activists \u2014 are doing in various parts of the world? The Ageing and Health Programme of WHO maintains a database of organisations interested in promoting information on Active Ageing programmes. It is also collecting information about project outcomes, new research and innovative policies on Active Ageing. The data will be made available on the Website.", "author" : [ { "dropping-particle" : "", "family" : "WHO", "given" : "", "non-dropping-particle" : "", "parse-names" : false, "suffix" : "" } ], "container-title" : "WHO &amp; Global Movement for Active Ageing", "id" : "ITEM-1", "issued" : { "date-parts" : [ [ "1999" ] ] }, "page" : "2", "title" : "Active Ageing makes the difference", "type" : "article" }, "uris" : [ "http://www.mendeley.com/documents/?uuid=b705c9ff-59cb-4bf5-b973-f71ca72de547" ] }, { "id" : "ITEM-2", "itemData" : { "DOI" : "10.1080/713604647", "ISBN" : "1757-9139 (Print)\\r1757-9147 (Linking)", "ISSN" : "1368-5538", "PMID" : "21692392", "abstract" : "his Policy Framework is intended to inform discussion and the formulation of action plans that promote healthy and active ageing. It was developed by WHO\u2019s Ageing and Life Course Programme as a contribution to the Second United Nations World Assembly on Ageing, held in April 2002, in Madrid, Spain. The preliminary version, published in 2001 entitled Health and Ageing: A Discussion Paper, was translated into French and Spanish and widely circulated for feedback throughout 2001 (including at special workshops held in Brazil, Canada, the Netherlands, Spain and the United Kingdom). In January 2002, an expert group meeting was convened at the WHO Centre for Health Development (WKC) in Kobe, Japan, with 29 participants from 21 countries. De- tailed comments and recommendations from this meeting, as well as those received through the previous consultation process, were com- piled to complete this fi nal version. A complementary monograph entitled Active Ageing: From Evidence to Action is being prepared in collaboration with the Inter- national Association of Gerontology (IAG) and will be available at http://www.who.int/hpr/ ageing where more information about ageing from a life course perspective is also provided.", "author" : [ { "dropping-particle" : "", "family" : "WHO", "given" : "", "non-dropping-particle" : "", "parse-names" : false, "suffix" : "" } ], "id" : "ITEM-2", "issued" : { "date-parts" : [ [ "2002" ] ] }, "page" : "1-60", "publisher" : "World Health Organization", "publisher-place" : "Geneva", "title" : "Active Ageing: A Policy Framework", "type" : "article" }, "uris" : [ "http://www.mendeley.com/documents/?uuid=10ba559d-500f-4111-baae-06ebd9b96a0f" ] } ], "mendeley" : { "formattedCitation" : "(WHO 1999, 2002)", "plainTextFormattedCitation" : "(WHO 1999, 2002)", "previouslyFormattedCitation" : "(WHO 1999, 2002)" }, "properties" : { "noteIndex" : 0 }, "schema" : "https://github.com/citation-style-language/schema/raw/master/csl-citation.json" }</w:instrText>
      </w:r>
      <w:r w:rsidRPr="00C3671E">
        <w:rPr>
          <w:lang w:val="en-GB"/>
        </w:rPr>
        <w:fldChar w:fldCharType="separate"/>
      </w:r>
      <w:r w:rsidRPr="00C3671E">
        <w:rPr>
          <w:noProof/>
          <w:lang w:val="en-GB"/>
        </w:rPr>
        <w:t>(WHO 1999, 2002)</w:t>
      </w:r>
      <w:r w:rsidRPr="00C3671E">
        <w:rPr>
          <w:lang w:val="en-GB"/>
        </w:rPr>
        <w:fldChar w:fldCharType="end"/>
      </w:r>
      <w:r w:rsidRPr="00C3671E">
        <w:rPr>
          <w:lang w:val="en-GB"/>
        </w:rPr>
        <w:t xml:space="preserve">, and EU </w:t>
      </w:r>
      <w:r w:rsidRPr="00C3671E">
        <w:rPr>
          <w:lang w:val="en-GB"/>
        </w:rPr>
        <w:fldChar w:fldCharType="begin" w:fldLock="1"/>
      </w:r>
      <w:r w:rsidR="001257AA" w:rsidRPr="00C3671E">
        <w:rPr>
          <w:lang w:val="en-GB"/>
        </w:rPr>
        <w:instrText>ADDIN CSL_CITATION { "citationItems" : [ { "id" : "ITEM-1", "itemData" : { "DOI" : "10.1080/13880290902938435", "author" : [ { "dropping-particle" : "", "family" : "Commission of the European Communities", "given" : "", "non-dropping-particle" : "", "parse-names" : false, "suffix" : "" } ], "id" : "ITEM-1", "issued" : { "date-parts" : [ [ "2002" ] ] }, "page" : "1-15", "publisher-place" : "Brussels", "title" : "Europe's response to World Ageing: Promoting economic and social progress in an ageing world", "type" : "article" }, "uris" : [ "http://www.mendeley.com/documents/?uuid=c682390e-0125-49b7-955f-2b0f9b56c771" ] }, { "id" : "ITEM-2", "itemData" : { "author" : [ { "dropping-particle" : "", "family" : "EU Council", "given" : "", "non-dropping-particle" : "", "parse-names" : false, "suffix" : "" } ], "id" : "ITEM-2", "issued" : { "date-parts" : [ [ "2012" ] ] }, "publisher" : "EU Council", "publisher-place" : "Brussels", "title" : "Council Declaration on the European Year for Active Ageing and Solidarity between Generations (2012): The Way Forward", "type" : "book" }, "uris" : [ "http://www.mendeley.com/documents/?uuid=bc232528-fad4-4b15-bede-b113103dbe49" ] }, { "id" : "ITEM-3", "itemData" : { "author" : [ { "dropping-particle" : "", "family" : "European Commission", "given" : "", "non-dropping-particle" : "", "parse-names" : false, "suffix" : "" } ], "id" : "ITEM-3", "issued" : { "date-parts" : [ [ "2013" ] ] }, "publisher" : "European Comission", "publisher-place" : "Brussels", "title" : "Introducing the Active Ageing Index. Policy brief", "type" : "book" }, "uris" : [ "http://www.mendeley.com/documents/?uuid=15ea840e-806d-4ce4-88d2-b847e7b3756b" ] } ], "mendeley" : { "formattedCitation" : "(Commission of the European Communities 2002; EU Council 2012; European Commission 2013)", "plainTextFormattedCitation" : "(Commission of the European Communities 2002; EU Council 2012; European Commission 2013)", "previouslyFormattedCitation" : "(Commission of the European Communities 2002; EU Council 2012; European Commission 2013)" }, "properties" : { "noteIndex" : 0 }, "schema" : "https://github.com/citation-style-language/schema/raw/master/csl-citation.json" }</w:instrText>
      </w:r>
      <w:r w:rsidRPr="00C3671E">
        <w:rPr>
          <w:lang w:val="en-GB"/>
        </w:rPr>
        <w:fldChar w:fldCharType="separate"/>
      </w:r>
      <w:r w:rsidR="00A91559" w:rsidRPr="00C3671E">
        <w:rPr>
          <w:noProof/>
          <w:lang w:val="en-GB"/>
        </w:rPr>
        <w:t>(Commission of the European Communities 2002; EU Council 2012; European Commission 2013)</w:t>
      </w:r>
      <w:r w:rsidRPr="00C3671E">
        <w:rPr>
          <w:lang w:val="en-GB"/>
        </w:rPr>
        <w:fldChar w:fldCharType="end"/>
      </w:r>
      <w:r w:rsidRPr="00C3671E">
        <w:rPr>
          <w:lang w:val="en-GB"/>
        </w:rPr>
        <w:t xml:space="preserve"> – all these supranational bodies develop active ageing framework as their official approach to population </w:t>
      </w:r>
      <w:r w:rsidRPr="00C3671E">
        <w:rPr>
          <w:noProof/>
          <w:lang w:val="en-GB" w:eastAsia="zh-CN"/>
        </w:rPr>
        <w:t>ageing</w:t>
      </w:r>
      <w:r w:rsidRPr="00C3671E">
        <w:rPr>
          <w:lang w:val="en-GB"/>
        </w:rPr>
        <w:t xml:space="preserve">. The EU have gone further in cross-national measurement </w:t>
      </w:r>
      <w:r w:rsidRPr="00C3671E">
        <w:rPr>
          <w:lang w:val="en-GB"/>
        </w:rPr>
        <w:fldChar w:fldCharType="begin" w:fldLock="1"/>
      </w:r>
      <w:r w:rsidR="001257AA" w:rsidRPr="00C3671E">
        <w:rPr>
          <w:lang w:val="en-GB"/>
        </w:rPr>
        <w:instrText>ADDIN CSL_CITATION { "citationItems" : [ { "id" : "ITEM-1", "itemData" : { "DOI" : "10.1108/qaoa.2012.55913baa.007", "ISBN" : "9788569483007", "ISSN" : "1471-7794", "author" : [ { "dropping-particle" : "", "family" : "Eurobarometer", "given" : "", "non-dropping-particle" : "", "parse-names" : false, "suffix" : "" } ], "id" : "ITEM-1", "issued" : { "date-parts" : [ [ "2012" ] ] }, "publisher" : "European Commission", "publisher-place" : "Brussels", "title" : "Active Ageing", "type" : "article" }, "uris" : [ "http://www.mendeley.com/documents/?uuid=624369ac-10d9-43e8-a439-e87ddea7f4c7" ] }, { "id" : "ITEM-2", "itemData" : { "author" : [ { "dropping-particle" : "", "family" : "European Commission", "given" : "", "non-dropping-particle" : "", "parse-names" : false, "suffix" : "" } ], "id" : "ITEM-2", "issued" : { "date-parts" : [ [ "2013" ] ] }, "publisher" : "European Comission", "publisher-place" : "Brussels", "title" : "Introducing the Active Ageing Index. Policy brief", "type" : "book" }, "uris" : [ "http://www.mendeley.com/documents/?uuid=15ea840e-806d-4ce4-88d2-b847e7b3756b" ] }, { "id" : "ITEM-3", "itemData" : { "abstract" : "The report should be referred to as: UNECE/ European Commission (2015) \u201cActive Ageing Index 2014: Analytical Report\u201d, Report prepared by Asghar Zaidi of Centre for Research on Ageing, University of Southampton and David Stanton, under contract with United Nations Economic Commission for Europe (Geneva), co-funded by the European Commission\u2019s Directorate General for Employment, Social Affairs and Inclusion (Brussels).", "author" : [ { "dropping-particle" : "", "family" : "Zaidi", "given" : "Asghar", "non-dropping-particle" : "", "parse-names" : false, "suffix" : "" } ], "id" : "ITEM-3", "issue" : "April", "issued" : { "date-parts" : [ [ "2015" ] ] }, "number-of-pages" : "1-9", "publisher" : "UNECE", "publisher-place" : "Geneva", "title" : "Active Ageing Index 2014 Analytical Report", "type" : "book" }, "uris" : [ "http://www.mendeley.com/documents/?uuid=e5502369-34dc-4c1e-ad2d-b04716a04efe" ] } ], "mendeley" : { "formattedCitation" : "(Eurobarometer 2012; European Commission 2013; Zaidi 2015)", "plainTextFormattedCitation" : "(Eurobarometer 2012; European Commission 2013; Zaidi 2015)", "previouslyFormattedCitation" : "(Eurobarometer 2012; European Commission 2013; Zaidi 2015)" }, "properties" : { "noteIndex" : 0 }, "schema" : "https://github.com/citation-style-language/schema/raw/master/csl-citation.json" }</w:instrText>
      </w:r>
      <w:r w:rsidRPr="00C3671E">
        <w:rPr>
          <w:lang w:val="en-GB"/>
        </w:rPr>
        <w:fldChar w:fldCharType="separate"/>
      </w:r>
      <w:r w:rsidR="00A91559" w:rsidRPr="00C3671E">
        <w:rPr>
          <w:noProof/>
          <w:lang w:val="en-GB"/>
        </w:rPr>
        <w:t>(Eurobarometer 2012; European Commission 2013; Zaidi 2015)</w:t>
      </w:r>
      <w:r w:rsidRPr="00C3671E">
        <w:rPr>
          <w:lang w:val="en-GB"/>
        </w:rPr>
        <w:fldChar w:fldCharType="end"/>
      </w:r>
      <w:r w:rsidRPr="00C3671E">
        <w:rPr>
          <w:lang w:val="en-GB"/>
        </w:rPr>
        <w:t xml:space="preserve"> and implementation </w:t>
      </w:r>
      <w:r w:rsidRPr="00C3671E">
        <w:rPr>
          <w:lang w:val="en-GB"/>
        </w:rPr>
        <w:fldChar w:fldCharType="begin" w:fldLock="1"/>
      </w:r>
      <w:r w:rsidR="001257AA" w:rsidRPr="00C3671E">
        <w:rPr>
          <w:lang w:val="en-GB"/>
        </w:rPr>
        <w:instrText>ADDIN CSL_CITATION { "citationItems" : [ { "id" : "ITEM-1", "itemData" : { "author" : [ { "dropping-particle" : "", "family" : "Ebbinghaus", "given" : "Bernhard", "non-dropping-particle" : "", "parse-names" : false, "suffix" : "" } ], "chapter-number" : "9", "container-title" : "The politics of the New Welfare State", "editor" : [ { "dropping-particle" : "", "family" : "Bonoli", "given" : "Giuliano", "non-dropping-particle" : "", "parse-names" : false, "suffix" : "" } ], "id" : "ITEM-1", "issued" : { "date-parts" : [ [ "2012" ] ] }, "page" : "182-205", "publisher" : "Oxford University Press", "publisher-place" : "Oxford", "title" : "Europe\u2019s transformations towards a renewed pension system", "type" : "chapter" }, "uris" : [ "http://www.mendeley.com/documents/?uuid=5eb677ee-d907-44b8-a1ab-ea7c18ca7df3" ] }, { "id" : "ITEM-2", "itemData" : { "DOI" : "10.1093/geront/gnu028", "ISBN" : "0016-9013", "ISSN" : "1758-5341", "PMID" : "24846882", "abstract" : "Over the past two decades, \"active aging\" has emerged in Europe as the foremost policy response to the challenges of population aging. This article examines the concept of active aging and how it differs from that of \"successful aging.\" In particular, it shows how active aging presents a more holistic, life course-oriented approach than successful aging. We provide a critical perspective on active aging too by, first, tracing its emergence in Europe and then showing how, in practice, it has been dominated by a narrow economic or productivist perspective that prioritizes the extension of working life. It has also been gender blind. Nonetheless, it is argued that an active aging approach has the potential to enable countries to respond successfully to the challenges of population aging because of its comprehensive focus and emphasis on societal as well as individual responsibility. Finally, we set out the basic principles that need to be followed if the full potential of active aging is to be achieved.", "author" : [ { "dropping-particle" : "", "family" : "Foster", "given" : "Liam", "non-dropping-particle" : "", "parse-names" : false, "suffix" : "" }, { "dropping-particle" : "", "family" : "Walker", "given" : "Alan", "non-dropping-particle" : "", "parse-names" : false, "suffix" : "" } ], "container-title" : "The Gerontologist", "id" : "ITEM-2", "issue" : "1", "issued" : { "date-parts" : [ [ "2015" ] ] }, "note" : "Foster, Walker 2014: Active and Successful Aging: A Euroepean Policy perspective\n\u201cactive aging\u201d has emerged in Europe as the foremost policy response to the challenges of population aging\nactive aging presents a more holistic, life course\u2013oriented approach than successful aging\ncritique of active aging perspective - emergence in Europe\n- dominated by a narrow economic perspective\n- gender blind\nall together, this approach has the potential to respond successfully to the challenges of population aging because of its comprehensive focus and emphasis on societal as well as individual responsibility\nAA should enable to create own forms of activity, instead of focusing on a predetermined, limited number of domains, usually developed from an \u2018expert\u2019 perspective\u201d (Boudiny &amp;amp; Mortelmans, 2011, p. 12)\nThere is also a danger that the \u201chealth and well-being\u201d narrative retreats to become the preserve of a \u201cfourth age\u201d charac- terized by biological decline and consumption of welfare resources\nstructural and economic barriers to active aging must be addressed for a comprehensive approach\n\u2192\nInternational and European policy on work and retirement: Reinventing critical perspectives\nA critical perspective: Towards a broader understanding of \u2018active ageing\u2019\nNarratives of (in)active age- ing in poor deprived areas of Liverpool", "page" : "83-90", "title" : "Active and Successful Aging: A European Policy Perspective", "type" : "article-journal", "volume" : "55" }, "uris" : [ "http://www.mendeley.com/documents/?uuid=6ef8c660-30ca-4a4a-80c6-6c24c5f5b99d" ] }, { "id" : "ITEM-3", "itemData" : { "author" : [ { "dropping-particle" : "", "family" : "EU Council", "given" : "", "non-dropping-particle" : "", "parse-names" : false, "suffix" : "" } ], "id" : "ITEM-3", "issued" : { "date-parts" : [ [ "2012" ] ] }, "publisher" : "EU Council", "publisher-place" : "Brussels", "title" : "Council Declaration on the European Year for Active Ageing and Solidarity between Generations (2012): The Way Forward", "type" : "book" }, "uris" : [ "http://www.mendeley.com/documents/?uuid=bc232528-fad4-4b15-bede-b113103dbe49" ] } ], "mendeley" : { "formattedCitation" : "(Ebbinghaus 2012b; EU Council 2012; Foster and Walker 2015)", "plainTextFormattedCitation" : "(Ebbinghaus 2012b; EU Council 2012; Foster and Walker 2015)", "previouslyFormattedCitation" : "(Ebbinghaus 2012b; EU Council 2012; Foster and Walker 2015)" }, "properties" : { "noteIndex" : 0 }, "schema" : "https://github.com/citation-style-language/schema/raw/master/csl-citation.json" }</w:instrText>
      </w:r>
      <w:r w:rsidRPr="00C3671E">
        <w:rPr>
          <w:lang w:val="en-GB"/>
        </w:rPr>
        <w:fldChar w:fldCharType="separate"/>
      </w:r>
      <w:r w:rsidR="00A91559" w:rsidRPr="00C3671E">
        <w:rPr>
          <w:noProof/>
          <w:lang w:val="en-GB"/>
        </w:rPr>
        <w:t>(Ebbinghaus 2012b; EU Council 2012; Foster and Walker 2015)</w:t>
      </w:r>
      <w:r w:rsidRPr="00C3671E">
        <w:rPr>
          <w:lang w:val="en-GB"/>
        </w:rPr>
        <w:fldChar w:fldCharType="end"/>
      </w:r>
      <w:r w:rsidRPr="00C3671E">
        <w:rPr>
          <w:lang w:val="en-GB"/>
        </w:rPr>
        <w:t xml:space="preserve"> of active ageing practices since it possesses a real executive power amid the continent with the oldest demographic structure.</w:t>
      </w:r>
    </w:p>
    <w:p w14:paraId="05D36473" w14:textId="47110E0E" w:rsidR="00676326" w:rsidRPr="00C3671E" w:rsidRDefault="00676326" w:rsidP="00676326">
      <w:pPr>
        <w:pStyle w:val="Newparagraph"/>
        <w:jc w:val="both"/>
      </w:pPr>
      <w:r w:rsidRPr="00C3671E">
        <w:t xml:space="preserve">Active ageing in EU consists of three main pillars – employment, social participation, and independent living – as defined in the Guiding Principles for Active Ageing and Solidarity between Generations </w:t>
      </w:r>
      <w:r w:rsidRPr="00C3671E">
        <w:fldChar w:fldCharType="begin" w:fldLock="1"/>
      </w:r>
      <w:r w:rsidRPr="00C3671E">
        <w:instrText>ADDIN CSL_CITATION { "citationItems" : [ { "id" : "ITEM-1", "itemData" : { "author" : [ { "dropping-particle" : "", "family" : "EU Council", "given" : "", "non-dropping-particle" : "", "parse-names" : false, "suffix" : "" } ], "id" : "ITEM-1", "issued" : { "date-parts" : [ [ "2012" ] ] }, "publisher" : "EU Council", "publisher-place" : "Brussels", "title" : "Council Declaration on the European Year for Active Ageing and Solidarity between Generations (2012): The Way Forward", "type" : "book" }, "uris" : [ "http://www.mendeley.com/documents/?uuid=bc232528-fad4-4b15-bede-b113103dbe49" ] } ], "mendeley" : { "formattedCitation" : "(EU Council 2012)", "plainTextFormattedCitation" : "(EU Council 2012)", "previouslyFormattedCitation" : "(EU Council 2012)" }, "properties" : { "noteIndex" : 0 }, "schema" : "https://github.com/citation-style-language/schema/raw/master/csl-citation.json" }</w:instrText>
      </w:r>
      <w:r w:rsidRPr="00C3671E">
        <w:fldChar w:fldCharType="separate"/>
      </w:r>
      <w:r w:rsidRPr="00C3671E">
        <w:rPr>
          <w:noProof/>
        </w:rPr>
        <w:t>(EU Council 2012)</w:t>
      </w:r>
      <w:r w:rsidRPr="00C3671E">
        <w:fldChar w:fldCharType="end"/>
      </w:r>
      <w:r w:rsidRPr="00C3671E">
        <w:t xml:space="preserve"> or other official documents </w:t>
      </w:r>
      <w:r w:rsidRPr="00C3671E">
        <w:fldChar w:fldCharType="begin" w:fldLock="1"/>
      </w:r>
      <w:r w:rsidR="001257AA" w:rsidRPr="00C3671E">
        <w:instrText>ADDIN CSL_CITATION { "citationItems" : [ { "id" : "ITEM-1", "itemData" : { "DOI" : "10.2767/67267", "ISBN" : "9789279251238", "abstract" : "This study is intended to improve and extend the available knowledge about learning for active ageing and the role of intergenerational learning in active ageing. It brings together key findings from academic and other literature on the subject identified up to the end of May 2012, primary and secondary sources collected for 22 case studies, and material created by activities and projects funded through the European Commission\u2019s Grundtvig programme actions. This report brings together and summarises the key findings of the literature review, case studies and analysis of Grundtvig programme funded projects to demonstrate the benefits of investing in and supporting learning for older people, how these benefits can be realised and what can be done to achieve them more widely", "author" : [ { "dropping-particle" : "", "family" : "European Union", "given" : "", "non-dropping-particle" : "", "parse-names" : false, "suffix" : "" } ], "id" : "ITEM-1", "issued" : { "date-parts" : [ [ "2012" ] ] }, "publisher" : "Publications Office of the European Union", "publisher-place" : "Luxembourg", "title" : "The EU Contribution to Active Ageing and Solidarity between Generations", "type" : "book" }, "uris" : [ "http://www.mendeley.com/documents/?uuid=c3161470-2983-4214-8711-93c687e3f758" ] }, { "id" : "ITEM-2", "itemData" : { "DOI" : "10.4017/gt.2011.10.01.014.00", "ISBN" : "9789279215070", "ISSN" : "1569-111X", "abstract" : "In response to the demographic challenge which all EU Member States are facing, the European Union has designated 2012 as the European Year for Active Ageing and Solidarity between Generations. Active ageing is defined by the World Health Organisation as the process of optimising opportunities for health, participation and security in order to enhance quality of life as people age. Eurostat is marking the European Year 2012 by presenting in this book statistics on topics related to Active Ageing and Solidarity between Generations, such as demography, healthcare, pensions, volunteering and adult learning. Tis publication has been produced in collaboration with the Directorate-General for Employment, Social Affairs and Inclusion and Eurofound, the European Foundation for the Improvement of Living and Working Conditions.", "author" : [ { "dropping-particle" : "", "family" : "Eurostat", "given" : "", "non-dropping-particle" : "", "parse-names" : false, "suffix" : "" } ], "id" : "ITEM-2", "issued" : { "date-parts" : [ [ "2012" ] ] }, "number-of-pages" : "147", "title" : "Active ageing and solidarity between generations", "type" : "book" }, "uris" : [ "http://www.mendeley.com/documents/?uuid=1dd08e23-fc88-436d-8418-971846dbc156" ] }, { "id" : "ITEM-3", "itemData" : { "abstract" : "This brochure is a fresh and updated version of an earlier publication by the Committee of the Regions and AGE published in October 2009: \u201cHow to promote ageing well in Europe\u201d. The original brochure evidently responded to an unmet need for clear and concise information on what local and regional actors can do to promote ageing well with European support. The success and excellent reception of this document convinced of the necessity to produce an updated version to mark 2012 the European Year for Active Ageing and Solidarity between Generations.", "author" : [ { "dropping-particle" : "", "family" : "AGE platform Europe", "given" : "", "non-dropping-particle" : "", "parse-names" : false, "suffix" : "" } ], "id" : "ITEM-3", "issued" : { "date-parts" : [ [ "2011" ] ] }, "page" : "56", "publisher" : "EU Committee of the Regions", "publisher-place" : "Brussels", "title" : "How to promote active ageing in Europe: EU support to local and regional actors", "type" : "article" }, "uris" : [ "http://www.mendeley.com/documents/?uuid=9a357c69-acaf-4b41-b03c-b9e561632feb" ] }, { "id" : "ITEM-4", "itemData" : { "author" : [ { "dropping-particle" : "", "family" : "European Commission", "given" : "", "non-dropping-particle" : "", "parse-names" : false, "suffix" : "" } ], "id" : "ITEM-4", "issued" : { "date-parts" : [ [ "2013" ] ] }, "publisher" : "European Comission", "publisher-place" : "Brussels", "title" : "Introducing the Active Ageing Index. Policy brief", "type" : "book" }, "uris" : [ "http://www.mendeley.com/documents/?uuid=15ea840e-806d-4ce4-88d2-b847e7b3756b" ] } ], "mendeley" : { "formattedCitation" : "(AGE platform Europe 2011; European Commission 2013; European Union 2012; Eurostat 2012)", "plainTextFormattedCitation" : "(AGE platform Europe 2011; European Commission 2013; European Union 2012; Eurostat 2012)", "previouslyFormattedCitation" : "(AGE platform Europe 2011; European Commission 2013; European Union 2012; Eurostat 2012)" }, "properties" : { "noteIndex" : 0 }, "schema" : "https://github.com/citation-style-language/schema/raw/master/csl-citation.json" }</w:instrText>
      </w:r>
      <w:r w:rsidRPr="00C3671E">
        <w:fldChar w:fldCharType="separate"/>
      </w:r>
      <w:r w:rsidR="00A91559" w:rsidRPr="00C3671E">
        <w:rPr>
          <w:noProof/>
        </w:rPr>
        <w:t>(AGE platform Europe 2011; European Commission 2013; European Union 2012; Eurostat 2012)</w:t>
      </w:r>
      <w:r w:rsidRPr="00C3671E">
        <w:fldChar w:fldCharType="end"/>
      </w:r>
      <w:r w:rsidRPr="00C3671E">
        <w:t xml:space="preserve">. The pillar of employment contains support of older people in labour market via increasing the retirement age, fighting age discrimination, and providing education and training. This domain of active </w:t>
      </w:r>
      <w:r w:rsidRPr="00C3671E">
        <w:lastRenderedPageBreak/>
        <w:t xml:space="preserve">ageing aiming for economic </w:t>
      </w:r>
      <w:r w:rsidRPr="00C3671E">
        <w:rPr>
          <w:lang w:eastAsia="zh-CN"/>
        </w:rPr>
        <w:t>sustainability</w:t>
      </w:r>
      <w:r w:rsidRPr="00C3671E">
        <w:t xml:space="preserve"> of population ageing is often criticized for domination over the whole discourse </w:t>
      </w:r>
      <w:r w:rsidRPr="00C3671E">
        <w:fldChar w:fldCharType="begin" w:fldLock="1"/>
      </w:r>
      <w:r w:rsidR="001257AA" w:rsidRPr="00C3671E">
        <w:instrText>ADDIN CSL_CITATION { "citationItems" : [ { "id" : "ITEM-1", "itemData" : { "DOI" : "10.1017/S0144686X1200030X", "ISBN" : "0144-686X (Print)\\r0144-686X (Linking)", "ISSN" : "0144-686X", "PMID" : "23913994", "abstract" : "\u2018Active ageing\u2019 is a topic of increasing attention in scientific and policy discussions on ageing, yet there is no consensus on its actual meaning. The current paper proposes a detailed classification of various definitions that have been used since its introduction. These definitions are subjected to critical investigation, and subtle differences with regard to such terms as \u2018healthy ageing\u2019 and \u2018productive ageing\u2019 are clarified. Bearing the hazards of previous definitions in mind, a comprehensive strategy is initiated. Given that earlier definitions have tended to exclude frail older adults, this strategy pays particular attention to the translation of the active-ageing concept to situations of dependency by centring on three key principles: fostering adaptability, supporting the maintenance of emotionally close relationships and removing structural barriers related to age or dependency.", "author" : [ { "dropping-particle" : "", "family" : "Boudiny", "given" : "K I M", "non-dropping-particle" : "", "parse-names" : false, "suffix" : "" } ], "container-title" : "Ageing &amp; Society", "id" : "ITEM-1", "issue" : "6", "issued" : { "date-parts" : [ [ "2013" ] ] }, "page" : "1077-1098", "title" : "\u2018Active ageing\u2019: from empty rhetoric to effective policy tool", "type" : "article-journal", "volume" : "33" }, "uris" : [ "http://www.mendeley.com/documents/?uuid=51ddee1f-9273-4bcd-8c5d-5c01e98c615c" ] }, { "id" : "ITEM-2", "itemData" : { "DOI" : "10.1093/geront/gnu028", "ISBN" : "0016-9013", "ISSN" : "1758-5341", "PMID" : "24846882", "abstract" : "Over the past two decades, \"active aging\" has emerged in Europe as the foremost policy response to the challenges of population aging. This article examines the concept of active aging and how it differs from that of \"successful aging.\" In particular, it shows how active aging presents a more holistic, life course-oriented approach than successful aging. We provide a critical perspective on active aging too by, first, tracing its emergence in Europe and then showing how, in practice, it has been dominated by a narrow economic or productivist perspective that prioritizes the extension of working life. It has also been gender blind. Nonetheless, it is argued that an active aging approach has the potential to enable countries to respond successfully to the challenges of population aging because of its comprehensive focus and emphasis on societal as well as individual responsibility. Finally, we set out the basic principles that need to be followed if the full potential of active aging is to be achieved.", "author" : [ { "dropping-particle" : "", "family" : "Foster", "given" : "Liam", "non-dropping-particle" : "", "parse-names" : false, "suffix" : "" }, { "dropping-particle" : "", "family" : "Walker", "given" : "Alan", "non-dropping-particle" : "", "parse-names" : false, "suffix" : "" } ], "container-title" : "The Gerontologist", "id" : "ITEM-2", "issue" : "1", "issued" : { "date-parts" : [ [ "2015" ] ] }, "note" : "Foster, Walker 2014: Active and Successful Aging: A Euroepean Policy perspective\n\u201cactive aging\u201d has emerged in Europe as the foremost policy response to the challenges of population aging\nactive aging presents a more holistic, life course\u2013oriented approach than successful aging\ncritique of active aging perspective - emergence in Europe\n- dominated by a narrow economic perspective\n- gender blind\nall together, this approach has the potential to respond successfully to the challenges of population aging because of its comprehensive focus and emphasis on societal as well as individual responsibility\nAA should enable to create own forms of activity, instead of focusing on a predetermined, limited number of domains, usually developed from an \u2018expert\u2019 perspective\u201d (Boudiny &amp;amp; Mortelmans, 2011, p. 12)\nThere is also a danger that the \u201chealth and well-being\u201d narrative retreats to become the preserve of a \u201cfourth age\u201d charac- terized by biological decline and consumption of welfare resources\nstructural and economic barriers to active aging must be addressed for a comprehensive approach\n\u2192\nInternational and European policy on work and retirement: Reinventing critical perspectives\nA critical perspective: Towards a broader understanding of \u2018active ageing\u2019\nNarratives of (in)active age- ing in poor deprived areas of Liverpool", "page" : "83-90", "title" : "Active and Successful Aging: A European Policy Perspective", "type" : "article-journal", "volume" : "55" }, "uris" : [ "http://www.mendeley.com/documents/?uuid=6ef8c660-30ca-4a4a-80c6-6c24c5f5b99d" ] } ], "mendeley" : { "formattedCitation" : "(Boudiny 2013; Foster and Walker 2015)", "plainTextFormattedCitation" : "(Boudiny 2013; Foster and Walker 2015)", "previouslyFormattedCitation" : "(Boudiny 2013; Foster and Walker 2015)" }, "properties" : { "noteIndex" : 0 }, "schema" : "https://github.com/citation-style-language/schema/raw/master/csl-citation.json" }</w:instrText>
      </w:r>
      <w:r w:rsidRPr="00C3671E">
        <w:fldChar w:fldCharType="separate"/>
      </w:r>
      <w:r w:rsidR="00A91559" w:rsidRPr="00C3671E">
        <w:rPr>
          <w:noProof/>
        </w:rPr>
        <w:t>(Boudiny 2013; Foster and Walker 2015)</w:t>
      </w:r>
      <w:r w:rsidRPr="00C3671E">
        <w:fldChar w:fldCharType="end"/>
      </w:r>
      <w:r w:rsidRPr="00C3671E">
        <w:t xml:space="preserve">. The pillar of social participation consists of various activities (volunteering, lifelong learning, caregiving, political participation, and networking generally) and the pillar of independent living of health, autonomy, consumption, housing, transportation, and house-friendly environment </w:t>
      </w:r>
      <w:r w:rsidRPr="00C3671E">
        <w:fldChar w:fldCharType="begin" w:fldLock="1"/>
      </w:r>
      <w:r w:rsidR="001257AA" w:rsidRPr="00C3671E">
        <w:instrText>ADDIN CSL_CITATION { "citationItems" : [ { "id" : "ITEM-1", "itemData" : { "abstract" : "This brochure is a fresh and updated version of an earlier publication by the Committee of the Regions and AGE published in October 2009: \u201cHow to promote ageing well in Europe\u201d. The original brochure evidently responded to an unmet need for clear and concise information on what local and regional actors can do to promote ageing well with European support. The success and excellent reception of this document convinced of the necessity to produce an updated version to mark 2012 the European Year for Active Ageing and Solidarity between Generations.", "author" : [ { "dropping-particle" : "", "family" : "AGE platform Europe", "given" : "", "non-dropping-particle" : "", "parse-names" : false, "suffix" : "" } ], "id" : "ITEM-1", "issued" : { "date-parts" : [ [ "2011" ] ] }, "page" : "56", "publisher" : "EU Committee of the Regions", "publisher-place" : "Brussels", "title" : "How to promote active ageing in Europe: EU support to local and regional actors", "type" : "article" }, "uris" : [ "http://www.mendeley.com/documents/?uuid=9a357c69-acaf-4b41-b03c-b9e561632feb" ] }, { "id" : "ITEM-2", "itemData" : { "author" : [ { "dropping-particle" : "", "family" : "EU Council", "given" : "", "non-dropping-particle" : "", "parse-names" : false, "suffix" : "" } ], "id" : "ITEM-2", "issued" : { "date-parts" : [ [ "2012" ] ] }, "publisher" : "EU Council", "publisher-place" : "Brussels", "title" : "Council Declaration on the European Year for Active Ageing and Solidarity between Generations (2012): The Way Forward", "type" : "book" }, "uris" : [ "http://www.mendeley.com/documents/?uuid=bc232528-fad4-4b15-bede-b113103dbe49" ] }, { "id" : "ITEM-3", "itemData" : { "DOI" : "10.4017/gt.2011.10.01.014.00", "ISBN" : "9789279215070", "ISSN" : "1569-111X", "abstract" : "In response to the demographic challenge which all EU Member States are facing, the European Union has designated 2012 as the European Year for Active Ageing and Solidarity between Generations. Active ageing is defined by the World Health Organisation as the process of optimising opportunities for health, participation and security in order to enhance quality of life as people age. Eurostat is marking the European Year 2012 by presenting in this book statistics on topics related to Active Ageing and Solidarity between Generations, such as demography, healthcare, pensions, volunteering and adult learning. Tis publication has been produced in collaboration with the Directorate-General for Employment, Social Affairs and Inclusion and Eurofound, the European Foundation for the Improvement of Living and Working Conditions.", "author" : [ { "dropping-particle" : "", "family" : "Eurostat", "given" : "", "non-dropping-particle" : "", "parse-names" : false, "suffix" : "" } ], "id" : "ITEM-3", "issued" : { "date-parts" : [ [ "2012" ] ] }, "number-of-pages" : "147", "title" : "Active ageing and solidarity between generations", "type" : "book" }, "uris" : [ "http://www.mendeley.com/documents/?uuid=1dd08e23-fc88-436d-8418-971846dbc156" ] } ], "mendeley" : { "formattedCitation" : "(AGE platform Europe 2011; EU Council 2012; Eurostat 2012)", "plainTextFormattedCitation" : "(AGE platform Europe 2011; EU Council 2012; Eurostat 2012)", "previouslyFormattedCitation" : "(AGE platform Europe 2011; EU Council 2012; Eurostat 2012)" }, "properties" : { "noteIndex" : 0 }, "schema" : "https://github.com/citation-style-language/schema/raw/master/csl-citation.json" }</w:instrText>
      </w:r>
      <w:r w:rsidRPr="00C3671E">
        <w:fldChar w:fldCharType="separate"/>
      </w:r>
      <w:r w:rsidR="00A91559" w:rsidRPr="00C3671E">
        <w:rPr>
          <w:noProof/>
        </w:rPr>
        <w:t>(AGE platform Europe 2011; EU Council 2012; Eurostat 2012)</w:t>
      </w:r>
      <w:r w:rsidRPr="00C3671E">
        <w:fldChar w:fldCharType="end"/>
      </w:r>
      <w:r w:rsidRPr="00C3671E">
        <w:t xml:space="preserve">. The EU supports these three dimensions of active ageing by various means at different geographical levels of the country members </w:t>
      </w:r>
      <w:r w:rsidRPr="00C3671E">
        <w:fldChar w:fldCharType="begin" w:fldLock="1"/>
      </w:r>
      <w:r w:rsidR="001257AA" w:rsidRPr="00C3671E">
        <w:instrText>ADDIN CSL_CITATION { "citationItems" : [ { "id" : "ITEM-1", "itemData" : { "abstract" : "This brochure is a fresh and updated version of an earlier publication by the Committee of the Regions and AGE published in October 2009: \u201cHow to promote ageing well in Europe\u201d. The original brochure evidently responded to an unmet need for clear and concise information on what local and regional actors can do to promote ageing well with European support. The success and excellent reception of this document convinced of the necessity to produce an updated version to mark 2012 the European Year for Active Ageing and Solidarity between Generations.", "author" : [ { "dropping-particle" : "", "family" : "AGE platform Europe", "given" : "", "non-dropping-particle" : "", "parse-names" : false, "suffix" : "" } ], "id" : "ITEM-1", "issued" : { "date-parts" : [ [ "2011" ] ] }, "page" : "56", "publisher" : "EU Committee of the Regions", "publisher-place" : "Brussels", "title" : "How to promote active ageing in Europe: EU support to local and regional actors", "type" : "article" }, "uris" : [ "http://www.mendeley.com/documents/?uuid=9a357c69-acaf-4b41-b03c-b9e561632feb" ] }, { "id" : "ITEM-2", "itemData" : { "DOI" : "10.2767/67267", "ISBN" : "9789279251238", "abstract" : "This study is intended to improve and extend the available knowledge about learning for active ageing and the role of intergenerational learning in active ageing. It brings together key findings from academic and other literature on the subject identified up to the end of May 2012, primary and secondary sources collected for 22 case studies, and material created by activities and projects funded through the European Commission\u2019s Grundtvig programme actions. This report brings together and summarises the key findings of the literature review, case studies and analysis of Grundtvig programme funded projects to demonstrate the benefits of investing in and supporting learning for older people, how these benefits can be realised and what can be done to achieve them more widely", "author" : [ { "dropping-particle" : "", "family" : "European Union", "given" : "", "non-dropping-particle" : "", "parse-names" : false, "suffix" : "" } ], "id" : "ITEM-2", "issued" : { "date-parts" : [ [ "2012" ] ] }, "publisher" : "Publications Office of the European Union", "publisher-place" : "Luxembourg", "title" : "The EU Contribution to Active Ageing and Solidarity between Generations", "type" : "book" }, "uris" : [ "http://www.mendeley.com/documents/?uuid=c3161470-2983-4214-8711-93c687e3f758" ] }, { "id" : "ITEM-3", "itemData" : { "DOI" : "10.1007/s12062-017-9174-6", "ISSN" : "1874-7884", "abstract" : "Why Active Ageing Matters\\r\\nBy the end of the first half of the twentieth century most European states had introduced public pension schemes of one sort or another. In doing so they were affirming the role of the state in providing individuals with a form of support that all but a few would struggle to provide for themselves. The objectives of these schemes were generally quite limited: to reduce the risk of poverty in old age by facilitating savings during working life. The rationale was simple: to provide access to financial support - a regular and reliable income \u2013 for a time of life when the ability to work was increasingly impaired by loss of health or functional ability. In the second half of the century, after the second world war, increasing affluence combined with a more demanding view of the responsibilities of government to improve the generosity of pensions and to expand welfare systems in ways that conferred other benefits on their older populations besides a basic pension income, including the provision of social care (e.g. care homes for older people who had no family and were unable to look after themselves in their own homes). Policy was still broadly conceived as a collective response to age-related losses that undermined independence.", "author" : [ { "dropping-particle" : "", "family" : "Zaidi", "given" : "Asghar", "non-dropping-particle" : "", "parse-names" : false, "suffix" : "" }, { "dropping-particle" : "", "family" : "Howse", "given" : "Kenneth", "non-dropping-particle" : "", "parse-names" : false, "suffix" : "" } ], "container-title" : "Journal of Population Ageing", "id" : "ITEM-3", "issue" : "1", "issued" : { "date-parts" : [ [ "2017" ] ] }, "page" : "1-10", "publisher" : "Journal of Population Ageing", "title" : "The Policy Discourse of Active Ageing: Some Reflections", "type" : "article-journal", "volume" : "10" }, "uris" : [ "http://www.mendeley.com/documents/?uuid=badd02a6-0ba4-4766-b6a7-a04a46414a57" ] } ], "mendeley" : { "formattedCitation" : "(AGE platform Europe 2011; European Union 2012; Zaidi and Howse 2017)", "plainTextFormattedCitation" : "(AGE platform Europe 2011; European Union 2012; Zaidi and Howse 2017)", "previouslyFormattedCitation" : "(AGE platform Europe 2011; European Union 2012; Zaidi and Howse 2017)" }, "properties" : { "noteIndex" : 0 }, "schema" : "https://github.com/citation-style-language/schema/raw/master/csl-citation.json" }</w:instrText>
      </w:r>
      <w:r w:rsidRPr="00C3671E">
        <w:fldChar w:fldCharType="separate"/>
      </w:r>
      <w:r w:rsidR="00A91559" w:rsidRPr="00C3671E">
        <w:rPr>
          <w:noProof/>
        </w:rPr>
        <w:t>(AGE platform Europe 2011; European Union 2012; Zaidi and Howse 2017)</w:t>
      </w:r>
      <w:r w:rsidRPr="00C3671E">
        <w:fldChar w:fldCharType="end"/>
      </w:r>
      <w:r w:rsidRPr="00C3671E">
        <w:t>.</w:t>
      </w:r>
    </w:p>
    <w:p w14:paraId="19C13ED6" w14:textId="24E55DBA" w:rsidR="00676326" w:rsidRPr="00C3671E" w:rsidRDefault="00676326" w:rsidP="00676326">
      <w:pPr>
        <w:pStyle w:val="Newparagraph"/>
        <w:jc w:val="both"/>
      </w:pPr>
      <w:r w:rsidRPr="00C3671E">
        <w:t xml:space="preserve">The EU regularly evaluates a fulfilment of the active ageing goals and the recent progress in its countries via Active Ageing Index (AAI). The AAI, which is one of the outcomes of the European Year for Active Ageing and Solidarity between Generations in 2012, consists of quantitative indicators from several sources representing main three domains and subdomains of active ageing </w:t>
      </w:r>
      <w:r w:rsidRPr="00C3671E">
        <w:fldChar w:fldCharType="begin" w:fldLock="1"/>
      </w:r>
      <w:r w:rsidR="001257AA" w:rsidRPr="00C3671E">
        <w:instrText>ADDIN CSL_CITATION { "citationItems" : [ { "id" : "ITEM-1", "itemData" : { "author" : [ { "dropping-particle" : "", "family" : "European Commission", "given" : "", "non-dropping-particle" : "", "parse-names" : false, "suffix" : "" } ], "id" : "ITEM-1", "issued" : { "date-parts" : [ [ "2013" ] ] }, "publisher" : "European Comission", "publisher-place" : "Brussels", "title" : "Introducing the Active Ageing Index. Policy brief", "type" : "book" }, "uris" : [ "http://www.mendeley.com/documents/?uuid=15ea840e-806d-4ce4-88d2-b847e7b3756b" ] }, { "id" : "ITEM-2", "itemData" : { "abstract" : "The report should be referred to as: UNECE/ European Commission (2015) \u201cActive Ageing Index 2014: Analytical Report\u201d, Report prepared by Asghar Zaidi of Centre for Research on Ageing, University of Southampton and David Stanton, under contract with United Nations Economic Commission for Europe (Geneva), co-funded by the European Commission\u2019s Directorate General for Employment, Social Affairs and Inclusion (Brussels).", "author" : [ { "dropping-particle" : "", "family" : "Zaidi", "given" : "Asghar", "non-dropping-particle" : "", "parse-names" : false, "suffix" : "" } ], "id" : "ITEM-2", "issue" : "April", "issued" : { "date-parts" : [ [ "2015" ] ] }, "number-of-pages" : "1-9", "publisher" : "UNECE", "publisher-place" : "Geneva", "title" : "Active Ageing Index 2014 Analytical Report", "type" : "book" }, "uris" : [ "http://www.mendeley.com/documents/?uuid=e5502369-34dc-4c1e-ad2d-b04716a04efe" ] } ], "mendeley" : { "formattedCitation" : "(European Commission 2013; Zaidi 2015)", "plainTextFormattedCitation" : "(European Commission 2013; Zaidi 2015)", "previouslyFormattedCitation" : "(European Commission 2013; Zaidi 2015)" }, "properties" : { "noteIndex" : 0 }, "schema" : "https://github.com/citation-style-language/schema/raw/master/csl-citation.json" }</w:instrText>
      </w:r>
      <w:r w:rsidRPr="00C3671E">
        <w:fldChar w:fldCharType="separate"/>
      </w:r>
      <w:r w:rsidR="00A91559" w:rsidRPr="00C3671E">
        <w:rPr>
          <w:noProof/>
        </w:rPr>
        <w:t>(European Commission 2013; Zaidi 2015)</w:t>
      </w:r>
      <w:r w:rsidRPr="00C3671E">
        <w:fldChar w:fldCharType="end"/>
      </w:r>
      <w:r w:rsidRPr="00C3671E">
        <w:t xml:space="preserve">. Hence, the overview of the AAI can show which specific outcomes at the country-level are desirable amid this social policy approach. The indicators are employment levels for four older age groups in the area of employment, volunteering, two types of caregiving, and political participation representing social participation, and physical exercise, lifelong learning, access to health services and independent living, and physical and financial security in a group of independent living. Additionally, the AAI has a fourth dimension – capacity and enabling environment – indicating a capacity to age actively through indicators of life expectancy, well-being, use of ICT, social connectedness, or educational attainment </w:t>
      </w:r>
      <w:r w:rsidRPr="00C3671E">
        <w:fldChar w:fldCharType="begin" w:fldLock="1"/>
      </w:r>
      <w:r w:rsidRPr="00C3671E">
        <w:instrText>ADDIN CSL_CITATION { "citationItems" : [ { "id" : "ITEM-1", "itemData" : { "author" : [ { "dropping-particle" : "", "family" : "European Commission", "given" : "", "non-dropping-particle" : "", "parse-names" : false, "suffix" : "" } ], "id" : "ITEM-1", "issued" : { "date-parts" : [ [ "2013" ] ] }, "publisher" : "European Comission", "publisher-place" : "Brussels", "title" : "Introducing the Active Ageing Index. Policy brief", "type" : "book" }, "uris" : [ "http://www.mendeley.com/documents/?uuid=15ea840e-806d-4ce4-88d2-b847e7b3756b" ] } ], "mendeley" : { "formattedCitation" : "(European Commission 2013)", "plainTextFormattedCitation" : "(European Commission 2013)", "previouslyFormattedCitation" : "(European Commission 2013)" }, "properties" : { "noteIndex" : 0 }, "schema" : "https://github.com/citation-style-language/schema/raw/master/csl-citation.json" }</w:instrText>
      </w:r>
      <w:r w:rsidRPr="00C3671E">
        <w:fldChar w:fldCharType="separate"/>
      </w:r>
      <w:r w:rsidRPr="00C3671E">
        <w:rPr>
          <w:noProof/>
        </w:rPr>
        <w:t>(European Commission 2013)</w:t>
      </w:r>
      <w:r w:rsidRPr="00C3671E">
        <w:fldChar w:fldCharType="end"/>
      </w:r>
      <w:r w:rsidRPr="00C3671E">
        <w:t>.</w:t>
      </w:r>
    </w:p>
    <w:p w14:paraId="25944DEB" w14:textId="19C19E5C" w:rsidR="00676326" w:rsidRPr="00C3671E" w:rsidRDefault="00676326" w:rsidP="00676326">
      <w:pPr>
        <w:pStyle w:val="Newparagraph"/>
        <w:jc w:val="both"/>
      </w:pPr>
      <w:r w:rsidRPr="00C3671E">
        <w:t xml:space="preserve">The AAI is used extensively in areas of research and social policy </w:t>
      </w:r>
      <w:r w:rsidRPr="00C3671E">
        <w:fldChar w:fldCharType="begin" w:fldLock="1"/>
      </w:r>
      <w:r w:rsidR="001257AA" w:rsidRPr="00C3671E">
        <w:instrText>ADDIN CSL_CITATION { "citationItems" : [ { "id" : "ITEM-1", "itemData" : { "abstract" : "The report should be referred to as: UNECE/ European Commission (2015) \u201cActive Ageing Index 2014: Analytical Report\u201d, Report prepared by Asghar Zaidi of Centre for Research on Ageing, University of Southampton and David Stanton, under contract with United Nations Economic Commission for Europe (Geneva), co-funded by the European Commission\u2019s Directorate General for Employment, Social Affairs and Inclusion (Brussels).", "author" : [ { "dropping-particle" : "", "family" : "Zaidi", "given" : "Asghar", "non-dropping-particle" : "", "parse-names" : false, "suffix" : "" } ], "id" : "ITEM-1", "issue" : "April", "issued" : { "date-parts" : [ [ "2015" ] ] }, "number-of-pages" : "1-9", "publisher" : "UNECE", "publisher-place" : "Geneva", "title" : "Active Ageing Index 2014 Analytical Report", "type" : "book" }, "uris" : [ "http://www.mendeley.com/documents/?uuid=e5502369-34dc-4c1e-ad2d-b04716a04efe" ] }, { "id" : "ITEM-2", "itemData" : { "DOI" : "10.1007/s12062-017-9174-6", "ISSN" : "1874-7884", "abstract" : "Why Active Ageing Matters\\r\\nBy the end of the first half of the twentieth century most European states had introduced public pension schemes of one sort or another. In doing so they were affirming the role of the state in providing individuals with a form of support that all but a few would struggle to provide for themselves. The objectives of these schemes were generally quite limited: to reduce the risk of poverty in old age by facilitating savings during working life. The rationale was simple: to provide access to financial support - a regular and reliable income \u2013 for a time of life when the ability to work was increasingly impaired by loss of health or functional ability. In the second half of the century, after the second world war, increasing affluence combined with a more demanding view of the responsibilities of government to improve the generosity of pensions and to expand welfare systems in ways that conferred other benefits on their older populations besides a basic pension income, including the provision of social care (e.g. care homes for older people who had no family and were unable to look after themselves in their own homes). Policy was still broadly conceived as a collective response to age-related losses that undermined independence.", "author" : [ { "dropping-particle" : "", "family" : "Zaidi", "given" : "Asghar", "non-dropping-particle" : "", "parse-names" : false, "suffix" : "" }, { "dropping-particle" : "", "family" : "Howse", "given" : "Kenneth", "non-dropping-particle" : "", "parse-names" : false, "suffix" : "" } ], "container-title" : "Journal of Population Ageing", "id" : "ITEM-2", "issue" : "1", "issued" : { "date-parts" : [ [ "2017" ] ] }, "page" : "1-10", "publisher" : "Journal of Population Ageing", "title" : "The Policy Discourse of Active Ageing: Some Reflections", "type" : "article-journal", "volume" : "10" }, "uris" : [ "http://www.mendeley.com/documents/?uuid=badd02a6-0ba4-4766-b6a7-a04a46414a57" ] }, { "id" : "ITEM-3", "itemData" : { "DOI" : "10.1007/s12062-016-9161-3", "ISBN" : "1206201691613", "ISSN" : "1874-7884", "abstract" : "In the scientific and the public debate demographic ageing is sometimes perceived as an unstoppable \u201cgrey tide\u201d which will inevitably lead to a conflict between the old and young generation. In this paper we empirically evaluate whether we find any evidence for an intergenerational conflict in Europe and which factors might influence its severity. In particular, we answer the following questions. (1) Is there a conflict between the interests of the younger and the older generation? (2) Does the strength of the conflict increase with population ageing? And finally, (3) can a policy of Active Ageing, i.e. better integrating older generations into society, moderate the conflict? We answer these questions in a comparative study of 27 European countries using data from the Eurobarometer 2009. Our results show a moderate conflict between generations. Compared to spending preferences of the younger generation, older people are more likely to support increased spending for old age at the expense of educational spending. Contrary to expectation, generational conflict does not increase with population ageing. Linking country differences in the strength of the generational conflict to the degree of population ageing with multilevel regression techniques we do not find any evidence that the conflict is increasing In a final step of our analysis we evaluate the potential of generational policies - measured with the Active Aging Index - to mitigate the generational conflict. Intergenerational conflict is weaker when older people actively participate in the political life and are visible in society, suggesting Active Aging policies as a means to mitigate intergenerational conflict", "author" : [ { "dropping-particle" : "", "family" : "Hess", "given" : "Moritz", "non-dropping-particle" : "", "parse-names" : false, "suffix" : "" }, { "dropping-particle" : "", "family" : "Nauman", "given" : "Elias", "non-dropping-particle" : "", "parse-names" : false, "suffix" : "" }, { "dropping-particle" : "", "family" : "Steinkopf", "given" : "Leander", "non-dropping-particle" : "", "parse-names" : false, "suffix" : "" } ], "container-title" : "Journal of Population Ageing", "id" : "ITEM-3", "issue" : "1", "issued" : { "date-parts" : [ [ "2017" ] ] }, "page" : "11-23", "publisher" : "Journal of Population Ageing", "title" : "Population Ageing, the Intergenerational Conflict, and Active Ageing Policies \u2013 a Multilevel Study of 27 European Countries", "type" : "article-journal", "volume" : "10" }, "uris" : [ "http://www.mendeley.com/documents/?uuid=a3d21860-6e40-463f-8c34-a0a44e92a4d0" ] }, { "id" : "ITEM-4", "itemData" : { "author" : [ { "dropping-particle" : "", "family" : "Perek-Bia\u0142as", "given" : "Jolanta", "non-dropping-particle" : "", "parse-names" : false, "suffix" : "" }, { "dropping-particle" : "", "family" : "Zwierzchowski", "given" : "Jan", "non-dropping-particle" : "", "parse-names" : false, "suffix" : "" }, { "dropping-particle" : "", "family" : "Antczak", "given" : "Rados\u0142av", "non-dropping-particle" : "", "parse-names" : false, "suffix" : "" }, { "dropping-particle" : "", "family" : "Panek", "given" : "Tomasz", "non-dropping-particle" : "", "parse-names" : false, "suffix" : "" } ], "id" : "ITEM-4", "issue" : "September", "issued" : { "date-parts" : [ [ "2017" ] ] }, "number-of-pages" : "1-93", "publisher-place" : "Geneva", "title" : "Criteria specific analysis of the Active Ageing Index (AAI) at national level in Poland: 2007-2015", "type" : "report" }, "uris" : [ "http://www.mendeley.com/documents/?uuid=80d90096-bb93-42d8-a210-665b0f2012d7" ] } ], "mendeley" : { "formattedCitation" : "(Hess, Nauman, and Steinkopf 2017; Perek-Bia\u0142as et al. 2017; Zaidi 2015; Zaidi and Howse 2017)", "plainTextFormattedCitation" : "(Hess, Nauman, and Steinkopf 2017; Perek-Bia\u0142as et al. 2017; Zaidi 2015; Zaidi and Howse 2017)", "previouslyFormattedCitation" : "(Hess, Nauman, and Steinkopf 2017; Perek-Bia\u0142as et al. 2017; Zaidi 2015; Zaidi and Howse 2017)" }, "properties" : { "noteIndex" : 0 }, "schema" : "https://github.com/citation-style-language/schema/raw/master/csl-citation.json" }</w:instrText>
      </w:r>
      <w:r w:rsidRPr="00C3671E">
        <w:fldChar w:fldCharType="separate"/>
      </w:r>
      <w:r w:rsidR="00A91559" w:rsidRPr="00C3671E">
        <w:rPr>
          <w:noProof/>
        </w:rPr>
        <w:t>(Hess, Nauman, and Steinkopf 2017; Perek-Białas et al. 2017; Zaidi 2015; Zaidi and Howse 2017)</w:t>
      </w:r>
      <w:r w:rsidRPr="00C3671E">
        <w:fldChar w:fldCharType="end"/>
      </w:r>
      <w:r w:rsidRPr="00C3671E">
        <w:t xml:space="preserve">, while its content is criticized from several points of view. The critique addresses </w:t>
      </w:r>
      <w:r w:rsidRPr="00C3671E">
        <w:rPr>
          <w:lang w:eastAsia="zh-CN"/>
        </w:rPr>
        <w:t>methodological</w:t>
      </w:r>
      <w:r w:rsidRPr="00C3671E">
        <w:t xml:space="preserve"> and statistical issues of AAI, its applicability to regional levels, fit to specific subpopulations, its mix of </w:t>
      </w:r>
      <w:r w:rsidRPr="00C3671E">
        <w:lastRenderedPageBreak/>
        <w:t xml:space="preserve">conditions and outcomes, desirability of and potential conflict between some promoted activities, and its too narrow conceptualization </w:t>
      </w:r>
      <w:r w:rsidRPr="00C3671E">
        <w:fldChar w:fldCharType="begin" w:fldLock="1"/>
      </w:r>
      <w:r w:rsidR="004F5010" w:rsidRPr="00C3671E">
        <w:instrText>ADDIN CSL_CITATION { "citationItems" : [ { "id" : "ITEM-1", "itemData" : { "author" : [ { "dropping-particle" : "", "family" : "Petrov\u00e1 Kafkov\u00e1", "given" : "Marcela", "non-dropping-particle" : "", "parse-names" : false, "suffix" : "" } ], "chapter-number" : "4", "container-title" : "Building evidence for active ageing policies: Active ageing index and its potential", "editor" : [ { "dropping-particle" : "", "family" : "Zaidi", "given" : "Ashgar", "non-dropping-particle" : "", "parse-names" : false, "suffix" : "" }, { "dropping-particle" : "", "family" : "Harper", "given" : "Sarah", "non-dropping-particle" : "", "parse-names" : false, "suffix" : "" }, { "dropping-particle" : "", "family" : "Howse", "given" : "Kenneth", "non-dropping-particle" : "", "parse-names" : false, "suffix" : "" }, { "dropping-particle" : "", "family" : "Lamura", "given" : "Giovanni", "non-dropping-particle" : "", "parse-names" : false, "suffix" : "" }, { "dropping-particle" : "", "family" : "Perek-Bia\u0142as", "given" : "Jolanta", "non-dropping-particle" : "", "parse-names" : false, "suffix" : "" } ], "id" : "ITEM-1", "issued" : { "date-parts" : [ [ "2016" ] ] }, "page" : "55-74", "publisher" : "Palgrave Macmillan", "publisher-place" : "Singapore", "title" : "The Active Ageing Index (AAI) and its Relation to the Quality of Life of Older Adults", "type" : "chapter" }, "uris" : [ "http://www.mendeley.com/documents/?uuid=627e4fa5-d45b-42e6-968d-7309c9813402" ] }, { "id" : "ITEM-2", "itemData" : { "ISBN" : "9789279458590", "author" : [ { "dropping-particle" : "", "family" : "Karpinska", "given" : "Kasia", "non-dropping-particle" : "", "parse-names" : false, "suffix" : "" }, { "dropping-particle" : "", "family" : "Dykstra", "given" : "Pearl", "non-dropping-particle" : "", "parse-names" : false, "suffix" : "" } ], "container-title" : "Peer Review on the Active Ageing Index", "id" : "ITEM-2", "issue" : "15-16 October", "issued" : { "date-parts" : [ [ "2014" ] ] }, "page" : "1-40", "publisher-place" : "Cracow", "title" : "The Active Ageing Index and its extension to the regional level", "type" : "paper-conference" }, "uris" : [ "http://www.mendeley.com/documents/?uuid=679d0341-1b56-43f5-a340-4315f24ebbb0" ] }, { "id" : "ITEM-3", "itemData" : { "abstract" : "Combining round four data from the European Social Survey (ESS) with indicators of Active Ageing, we examine conditions conducive to age integration. We use both a behavioural and an attitudinal measure of age integration: the prevalence of cross-age friendships and low levels of ageism. The analyses focus on both \u201cyoung\u201d (age 18 to 30) and \u201cold\u201d (ages 70 to 90). Interestingly, high levels of independence, health and security in late life, and greater capacity to actively age rather than high levels of working, volunteering, caring and political engagement among the old create the greatest opportunities for meaningful cross-age interactions. These findings suggest that quality of life, well-being and autonomy contribute to a general atmosphere facilitating sustained familiarity of the old with the young. Caution is advised in equating high levels of active engagement among the elderly with conditions enabling durable interactions between young and old, thereby promoting a better understanding of people of different ages. \u201cProductive ageing\u201d will in and of itself not lead to greater age integration.", "author" : [ { "dropping-particle" : "", "family" : "Dykstra", "given" : "Pearl A", "non-dropping-particle" : "", "parse-names" : false, "suffix" : "" }, { "dropping-particle" : "", "family" : "Fleischmann", "given" : "Maria", "non-dropping-particle" : "", "parse-names" : false, "suffix" : "" } ], "chapter-number" : "2", "container-title" : "Building evidence for active ageing policies: Active ageing index and its potential", "editor" : [ { "dropping-particle" : "", "family" : "Ashgar Zaidi", "given" : "", "non-dropping-particle" : "", "parse-names" : false, "suffix" : "" }, { "dropping-particle" : "", "family" : "Sarah Harper", "given" : "", "non-dropping-particle" : "", "parse-names" : false, "suffix" : "" }, { "dropping-particle" : "", "family" : "Howse", "given" : "Kenneth", "non-dropping-particle" : "", "parse-names" : false, "suffix" : "" }, { "dropping-particle" : "", "family" : "Lamura", "given" : "Giovanni", "non-dropping-particle" : "", "parse-names" : false, "suffix" : "" }, { "dropping-particle" : "", "family" : "Perek-Bia\u0142as", "given" : "Jolanta", "non-dropping-particle" : "", "parse-names" : false, "suffix" : "" } ], "id" : "ITEM-3", "issued" : { "date-parts" : [ [ "2016" ] ] }, "page" : "19-39", "publisher" : "Palgrave Macmillan", "publisher-place" : "Singapore", "title" : "Are societies with a high value on the Active Ageing Index more age-integrated?", "type" : "chapter" }, "uris" : [ "http://www.mendeley.com/documents/?uuid=490f4590-de44-45dd-bb51-fdc13f23f2be" ] }, { "id" : "ITEM-4", "itemData" : { "DOI" : "10.1007/s12062-017-9174-6", "ISSN" : "1874-7884", "abstract" : "Why Active Ageing Matters\\r\\nBy the end of the first half of the twentieth century most European states had introduced public pension schemes of one sort or another. In doing so they were affirming the role of the state in providing individuals with a form of support that all but a few would struggle to provide for themselves. The objectives of these schemes were generally quite limited: to reduce the risk of poverty in old age by facilitating savings during working life. The rationale was simple: to provide access to financial support - a regular and reliable income \u2013 for a time of life when the ability to work was increasingly impaired by loss of health or functional ability. In the second half of the century, after the second world war, increasing affluence combined with a more demanding view of the responsibilities of government to improve the generosity of pensions and to expand welfare systems in ways that conferred other benefits on their older populations besides a basic pension income, including the provision of social care (e.g. care homes for older people who had no family and were unable to look after themselves in their own homes). Policy was still broadly conceived as a collective response to age-related losses that undermined independence.", "author" : [ { "dropping-particle" : "", "family" : "Zaidi", "given" : "Asghar", "non-dropping-particle" : "", "parse-names" : false, "suffix" : "" }, { "dropping-particle" : "", "family" : "Howse", "given" : "Kenneth", "non-dropping-particle" : "", "parse-names" : false, "suffix" : "" } ], "container-title" : "Journal of Population Ageing", "id" : "ITEM-4", "issue" : "1", "issued" : { "date-parts" : [ [ "2017" ] ] }, "page" : "1-10", "publisher" : "Journal of Population Ageing", "title" : "The Policy Discourse of Active Ageing: Some Reflections", "type" : "article-journal", "volume" : "10" }, "uris" : [ "http://www.mendeley.com/documents/?uuid=badd02a6-0ba4-4766-b6a7-a04a46414a57" ] }, { "id" : "ITEM-5", "itemData" : { "DOI" : "10.1016/j.jaging.2017.01.001", "ISSN" : "08904065", "PMID" : "28215756", "abstract" : "Active ageing and successful ageing are ubiquitous concepts in contemporary societies. In the European Union, active ageing is monitored and promoted chiefly by the Active Ageing Index, a policy tool in use since 2012. We acknowledge that the AAI may contribute to sensitizing people, including policymakers, to the multidimensionality and complexity of the process of \u201cageing well\u201d. However, we note that despite being widely used and promoted, the Active Ageing Index remains under-scrutinized. In this article, we undertake a comprehensive critical analysis of the Active Ageing Index. This critical analysis is supported by the Theory of Model Ageing, the Capability Approach and, to a lesser extent, by relevant literature on composite indices. We conclude that the Active Ageing Index was developed with the paradoxical aim of deriving \u201cthe solution\u201d from \u201cthe problem\u201d. It is an under-theorized and narrowly conceptualized index that contributes to the process of Model Ageing, as its conceptual foundation, and its domains and indicators, convey a certain model of active ageing. This model is expert-based and ingrained with a priori assumptions about the potential of older people, the domains of life and activities they value and how strongly they value them. Finally, the Active Ageing Index measures current achievements, not capabilities (i.e. the opportunity set of achievable \u201cdoings\u201d and \u201cbeings\u201d), resulting in a valuable but incomplete tool for policymaking purposes. We hope that this critical analysis will initiate a debate on the Active Ageing Index that, in our view, is overdue.", "author" : [ { "dropping-particle" : "de", "family" : "S\u00e3o Jos\u00e9", "given" : "Jos\u00e9 Manuel", "non-dropping-particle" : "", "parse-names" : false, "suffix" : "" }, { "dropping-particle" : "", "family" : "Timonen", "given" : "Virpi", "non-dropping-particle" : "", "parse-names" : false, "suffix" : "" }, { "dropping-particle" : "", "family" : "Amado", "given" : "Carla Alexandra Filipe", "non-dropping-particle" : "", "parse-names" : false, "suffix" : "" }, { "dropping-particle" : "", "family" : "Santos", "given" : "S\u00e9rgio Pereira", "non-dropping-particle" : "", "parse-names" : false, "suffix" : "" } ], "container-title" : "Journal of Aging Studies", "id" : "ITEM-5", "issued" : { "date-parts" : [ [ "2017" ] ] }, "page" : "49-56", "title" : "A critique of the Active Ageing Index", "type" : "article-journal", "volume" : "40" }, "uris" : [ "http://www.mendeley.com/documents/?uuid=adb7b4e2-3be9-40b8-bb66-bcc3b09bc440" ] } ], "mendeley" : { "formattedCitation" : "(Dykstra and Fleischmann 2016; Karpinska and Dykstra 2014; Petrov\u00e1 Kafkov\u00e1 2016a; S\u00e3o Jos\u00e9 et al. 2017; Zaidi and Howse 2017)", "plainTextFormattedCitation" : "(Dykstra and Fleischmann 2016; Karpinska and Dykstra 2014; Petrov\u00e1 Kafkov\u00e1 2016a; S\u00e3o Jos\u00e9 et al. 2017; Zaidi and Howse 2017)", "previouslyFormattedCitation" : "(Dykstra and Fleischmann 2016; Karpinska and Dykstra 2014; Petrov\u00e1 Kafkov\u00e1 2016; S\u00e3o Jos\u00e9 et al. 2017; Zaidi and Howse 2017)" }, "properties" : { "noteIndex" : 0 }, "schema" : "https://github.com/citation-style-language/schema/raw/master/csl-citation.json" }</w:instrText>
      </w:r>
      <w:r w:rsidRPr="00C3671E">
        <w:fldChar w:fldCharType="separate"/>
      </w:r>
      <w:r w:rsidR="004F5010" w:rsidRPr="00C3671E">
        <w:rPr>
          <w:noProof/>
        </w:rPr>
        <w:t>(Dykstra and Fleischmann 2016; Karpinska and Dykstra 2014; Petrová Kafková 2016a; São José et al. 2017; Zaidi and Howse 2017)</w:t>
      </w:r>
      <w:r w:rsidRPr="00C3671E">
        <w:fldChar w:fldCharType="end"/>
      </w:r>
      <w:r w:rsidRPr="00C3671E">
        <w:t xml:space="preserve">. Irrespective of validity and usefulness of the AAI, this tool shows what outcomes of active ageing are assessed at the national level. The most emphasized is employment, caregiving, and financial security (each represented by more indicators) followed by several activities, individual outcomes, and environmental factors </w:t>
      </w:r>
      <w:r w:rsidRPr="00C3671E">
        <w:fldChar w:fldCharType="begin" w:fldLock="1"/>
      </w:r>
      <w:r w:rsidRPr="00C3671E">
        <w:instrText>ADDIN CSL_CITATION { "citationItems" : [ { "id" : "ITEM-1", "itemData" : { "author" : [ { "dropping-particle" : "", "family" : "European Commission", "given" : "", "non-dropping-particle" : "", "parse-names" : false, "suffix" : "" } ], "id" : "ITEM-1", "issued" : { "date-parts" : [ [ "2013" ] ] }, "publisher" : "European Comission", "publisher-place" : "Brussels", "title" : "Introducing the Active Ageing Index. Policy brief", "type" : "book" }, "uris" : [ "http://www.mendeley.com/documents/?uuid=15ea840e-806d-4ce4-88d2-b847e7b3756b" ] } ], "mendeley" : { "formattedCitation" : "(European Commission 2013)", "plainTextFormattedCitation" : "(European Commission 2013)", "previouslyFormattedCitation" : "(European Commission 2013)" }, "properties" : { "noteIndex" : 0 }, "schema" : "https://github.com/citation-style-language/schema/raw/master/csl-citation.json" }</w:instrText>
      </w:r>
      <w:r w:rsidRPr="00C3671E">
        <w:fldChar w:fldCharType="separate"/>
      </w:r>
      <w:r w:rsidRPr="00C3671E">
        <w:rPr>
          <w:noProof/>
        </w:rPr>
        <w:t>(European Commission 2013)</w:t>
      </w:r>
      <w:r w:rsidRPr="00C3671E">
        <w:fldChar w:fldCharType="end"/>
      </w:r>
      <w:r w:rsidRPr="00C3671E">
        <w:t>. This composition implies that social policies should to these outcomes in any country-specific ways, while the availability of these outcomes or their contribution to older adults is often not considered. Nevertheless, these are some of the drawbacks of the active ageing approach generally, which are reflected after the presentation of its main statements.</w:t>
      </w:r>
    </w:p>
    <w:p w14:paraId="457DF05C" w14:textId="217914EB" w:rsidR="00676326" w:rsidRPr="00C3671E" w:rsidRDefault="00676326" w:rsidP="00676326">
      <w:pPr>
        <w:pStyle w:val="Newparagraph"/>
        <w:jc w:val="both"/>
      </w:pPr>
      <w:r w:rsidRPr="00C3671E">
        <w:t xml:space="preserve">The main claims of the active ageing concept overlap with assumptions of </w:t>
      </w:r>
      <w:r w:rsidRPr="00C3671E">
        <w:rPr>
          <w:lang w:eastAsia="zh-CN"/>
        </w:rPr>
        <w:t>activity</w:t>
      </w:r>
      <w:r w:rsidRPr="00C3671E">
        <w:t xml:space="preserve"> theory and successful ageing approach. The basic statement is that creating opportunities for continuing engagement and preventing dependence in later life is beneficial both for older adults and the society. Older people can improve health and quality of life through keeping themselves active, while the society profit from their paid and unpaid work in a form of an additional workforce and lower burden for social and health systems </w:t>
      </w:r>
      <w:r w:rsidRPr="00C3671E">
        <w:fldChar w:fldCharType="begin" w:fldLock="1"/>
      </w:r>
      <w:r w:rsidR="001257AA" w:rsidRPr="00C3671E">
        <w:instrText>ADDIN CSL_CITATION { "citationItems" : [ { "id" : "ITEM-1", "itemData" : { "DOI" : "10.1007/s12062-017-9174-6", "ISSN" : "1874-7884", "abstract" : "Why Active Ageing Matters\\r\\nBy the end of the first half of the twentieth century most European states had introduced public pension schemes of one sort or another. In doing so they were affirming the role of the state in providing individuals with a form of support that all but a few would struggle to provide for themselves. The objectives of these schemes were generally quite limited: to reduce the risk of poverty in old age by facilitating savings during working life. The rationale was simple: to provide access to financial support - a regular and reliable income \u2013 for a time of life when the ability to work was increasingly impaired by loss of health or functional ability. In the second half of the century, after the second world war, increasing affluence combined with a more demanding view of the responsibilities of government to improve the generosity of pensions and to expand welfare systems in ways that conferred other benefits on their older populations besides a basic pension income, including the provision of social care (e.g. care homes for older people who had no family and were unable to look after themselves in their own homes). Policy was still broadly conceived as a collective response to age-related losses that undermined independence.", "author" : [ { "dropping-particle" : "", "family" : "Zaidi", "given" : "Asghar", "non-dropping-particle" : "", "parse-names" : false, "suffix" : "" }, { "dropping-particle" : "", "family" : "Howse", "given" : "Kenneth", "non-dropping-particle" : "", "parse-names" : false, "suffix" : "" } ], "container-title" : "Journal of Population Ageing", "id" : "ITEM-1", "issue" : "1", "issued" : { "date-parts" : [ [ "2017" ] ] }, "page" : "1-10", "publisher" : "Journal of Population Ageing", "title" : "The Policy Discourse of Active Ageing: Some Reflections", "type" : "article-journal", "volume" : "10" }, "uris" : [ "http://www.mendeley.com/documents/?uuid=badd02a6-0ba4-4766-b6a7-a04a46414a57" ] }, { "id" : "ITEM-2", "itemData" : { "DOI" : "10.1111/j.1468-2397.2012.00871.x", "ISBN" : "1468-2397", "ISSN" : "13696866", "abstract" : "The ageing of European countries has widespread implications for current and future social and economic policies across the region.The major policy response to demographic ageing that has emerged over the past 10 years is called \u2018active ageing\u2019, yet there is little clarity in practice about what it means for individuals and society beyond a crude economic reduction in terms of working longer.The main purposes of this article are to explain why this strategy has emerged and its impor- tance. Despite a great deal of positive political rhetoric, the response at all levels of policy making has been rather limited. An active social and public policy is required to mainstream active ageing as the leading paradigm for ageing policy across the European Union (EU). The designation of 2012 as the EuropeanYear of Active Ageing offers a potential focus for renewed policy action in the EU and is discussed in the context of our conclusions", "author" : [ { "dropping-particle" : "", "family" : "Walker", "given" : "Alan", "non-dropping-particle" : "", "parse-names" : false, "suffix" : "" }, { "dropping-particle" : "", "family" : "Maltby", "given" : "Tony", "non-dropping-particle" : "", "parse-names" : false, "suffix" : "" } ], "container-title" : "International Journal of Social Welfare", "id" : "ITEM-2", "issue" : "SUPPL.1", "issued" : { "date-parts" : [ [ "2012" ] ] }, "page" : "117-130", "title" : "Active ageing: A strategic policy solution to demographic ageing in the European Union", "type" : "article-journal", "volume" : "21" }, "uris" : [ "http://www.mendeley.com/documents/?uuid=2008f46f-ead4-4add-94cf-578cdbb7c3dc" ] }, { "id" : "ITEM-3", "itemData" : { "DOI" : "10.1093/geront/gnu028", "ISBN" : "0016-9013", "ISSN" : "1758-5341", "PMID" : "24846882", "abstract" : "Over the past two decades, \"active aging\" has emerged in Europe as the foremost policy response to the challenges of population aging. This article examines the concept of active aging and how it differs from that of \"successful aging.\" In particular, it shows how active aging presents a more holistic, life course-oriented approach than successful aging. We provide a critical perspective on active aging too by, first, tracing its emergence in Europe and then showing how, in practice, it has been dominated by a narrow economic or productivist perspective that prioritizes the extension of working life. It has also been gender blind. Nonetheless, it is argued that an active aging approach has the potential to enable countries to respond successfully to the challenges of population aging because of its comprehensive focus and emphasis on societal as well as individual responsibility. Finally, we set out the basic principles that need to be followed if the full potential of active aging is to be achieved.", "author" : [ { "dropping-particle" : "", "family" : "Foster", "given" : "Liam", "non-dropping-particle" : "", "parse-names" : false, "suffix" : "" }, { "dropping-particle" : "", "family" : "Walker", "given" : "Alan", "non-dropping-particle" : "", "parse-names" : false, "suffix" : "" } ], "container-title" : "The Gerontologist", "id" : "ITEM-3", "issue" : "1", "issued" : { "date-parts" : [ [ "2015" ] ] }, "note" : "Foster, Walker 2014: Active and Successful Aging: A Euroepean Policy perspective\n\u201cactive aging\u201d has emerged in Europe as the foremost policy response to the challenges of population aging\nactive aging presents a more holistic, life course\u2013oriented approach than successful aging\ncritique of active aging perspective - emergence in Europe\n- dominated by a narrow economic perspective\n- gender blind\nall together, this approach has the potential to respond successfully to the challenges of population aging because of its comprehensive focus and emphasis on societal as well as individual responsibility\nAA should enable to create own forms of activity, instead of focusing on a predetermined, limited number of domains, usually developed from an \u2018expert\u2019 perspective\u201d (Boudiny &amp;amp; Mortelmans, 2011, p. 12)\nThere is also a danger that the \u201chealth and well-being\u201d narrative retreats to become the preserve of a \u201cfourth age\u201d charac- terized by biological decline and consumption of welfare resources\nstructural and economic barriers to active aging must be addressed for a comprehensive approach\n\u2192\nInternational and European policy on work and retirement: Reinventing critical perspectives\nA critical perspective: Towards a broader understanding of \u2018active ageing\u2019\nNarratives of (in)active age- ing in poor deprived areas of Liverpool", "page" : "83-90", "title" : "Active and Successful Aging: A European Policy Perspective", "type" : "article-journal", "volume" : "55" }, "uris" : [ "http://www.mendeley.com/documents/?uuid=6ef8c660-30ca-4a4a-80c6-6c24c5f5b99d" ] } ], "mendeley" : { "formattedCitation" : "(Foster and Walker 2015; Walker and Maltby 2012; Zaidi and Howse 2017)", "plainTextFormattedCitation" : "(Foster and Walker 2015; Walker and Maltby 2012; Zaidi and Howse 2017)", "previouslyFormattedCitation" : "(Foster and Walker 2015; Walker and Maltby 2012; Zaidi and Howse 2017)" }, "properties" : { "noteIndex" : 0 }, "schema" : "https://github.com/citation-style-language/schema/raw/master/csl-citation.json" }</w:instrText>
      </w:r>
      <w:r w:rsidRPr="00C3671E">
        <w:fldChar w:fldCharType="separate"/>
      </w:r>
      <w:r w:rsidR="00A91559" w:rsidRPr="00C3671E">
        <w:rPr>
          <w:noProof/>
        </w:rPr>
        <w:t>(Foster and Walker 2015; Walker and Maltby 2012; Zaidi and Howse 2017)</w:t>
      </w:r>
      <w:r w:rsidRPr="00C3671E">
        <w:fldChar w:fldCharType="end"/>
      </w:r>
      <w:r w:rsidRPr="00C3671E">
        <w:t xml:space="preserve">. The beneficial effect of activities in later life is not doubted within the active ageing paradigm, while an agreement upon promoted activities does not exist </w:t>
      </w:r>
      <w:r w:rsidRPr="00C3671E">
        <w:fldChar w:fldCharType="begin" w:fldLock="1"/>
      </w:r>
      <w:r w:rsidRPr="00C3671E">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"mendeley" : { "formattedCitation" : "(Timonen 2016)", "plainTextFormattedCitation" : "(Timonen 2016)", "previouslyFormattedCitation" : "(Timonen 2016)" }, "properties" : { "noteIndex" : 0 }, "schema" : "https://github.com/citation-style-language/schema/raw/master/csl-citation.json" }</w:instrText>
      </w:r>
      <w:r w:rsidRPr="00C3671E">
        <w:fldChar w:fldCharType="separate"/>
      </w:r>
      <w:r w:rsidRPr="00C3671E">
        <w:rPr>
          <w:noProof/>
        </w:rPr>
        <w:t>(Timonen 2016)</w:t>
      </w:r>
      <w:r w:rsidRPr="00C3671E">
        <w:fldChar w:fldCharType="end"/>
      </w:r>
      <w:r w:rsidRPr="00C3671E">
        <w:t xml:space="preserve">. On the one hand, more subjectivist approach is presented by </w:t>
      </w:r>
      <w:r w:rsidRPr="00C3671E">
        <w:fldChar w:fldCharType="begin" w:fldLock="1"/>
      </w:r>
      <w:r w:rsidRPr="00C3671E">
        <w:instrText>ADDIN CSL_CITATION { "citationItems" : [ { "id" : "ITEM-1", "itemData" : { "DOI" : "10.1080/13607860802120979", "ISBN" : "13607863", "ISSN" : "1360-7863", "PMID" : "18728941", "abstract" : "OBJECTIVE: To identify older people's perceptions of active ageing, and to compare them with the literature, and with older people's perceptions of successful ageing and quality of life. DESIGN: Face-to-face interview survey with 337 people aged 65+ living at home in Britain. RESULTS: The most common perceptions of active ageing were having/maintaining physical health and functioning (43%), leisure and social activities (34%), mental functioning and activity (18%) and social relationships and contacts (15%). A third rated themselves as ageing 'Very actively', and almost half as 'Fairly actively'. Independent predictors of positive self-rated active ageing were optimum health and quality of life. DISCUSSION: Main sub-themes of active ageing included exercising the body and mind in order to maintain health and functioning. People's views focussed on basic definitions such as social, physical and mental health and activity, probably reflecting the novelty of the concept to them, thereby excluding frail older people from active ageing. Comparisons with definitions of successful ageing and quality of life showed overlap, but the latter were portrayed as 'states of being'. This is consistent with models which propose quality of life as the end-point of active ageing.", "author" : [ { "dropping-particle" : "", "family" : "Bowling", "given" : "Ann", "non-dropping-particle" : "", "parse-names" : false, "suffix" : "" } ], "container-title" : "Aging &amp; Mental Health", "id" : "ITEM-1", "issue" : "3", "issued" : { "date-parts" : [ [ "2008" ] ] }, "page" : "293-301", "title" : "Enhancing later life: How older people perceive active ageing?", "type" : "article-journal", "volume" : "12" }, "uris" : [ "http://www.mendeley.com/documents/?uuid=b6382bf3-15c8-420f-88c4-2ae47b434407" ] }, { "id" : "ITEM-2", "itemData" : { "DOI" : "10.1093/ageing/afp175", "ISBN" : "0002-0729", "ISSN" : "00020729", "PMID" : "19779054", "abstract" : "OBJECTIVE: to identify perceptions of, and associations with, active ageing among ethnically diverse and homogeneous samples of older people in Britain. DESIGN AND SETTING: cross-sectional and longitudinal surveys of older people living at home in Britain. MEASURES: active ageing, health, psych-social, socio-economic circumstances, and indicators of quality of life. RESULTS: respondents defined active ageing as having health, fitness, and exercise; psychological factors; social roles and activities; independence, neighbourhood and enablers. The ethnically diverse sample respondents were less likely to define active ageing as having physical health and fitness, and were less likely to rate themselves as ageing actively, than more homogeneous sample respondents. The lay-based measure of quality of life used was independently and consistently associated with self-rated active ageing in each sample CONCLUSION: Policy models of active ageing were reflected in lay views, although the latter had a more multidimensional focus. Lay definitions of active ageing were also more dynamic, compared with definitions of quality of life and successful ageing. Differences in self-rated active ageing and perceptions of this concept by ethnic group need further exploration.", "author" : [ { "dropping-particle" : "", "family" : "Bowling", "given" : "Ann", "non-dropping-particle" : "", "parse-names" : false, "suffix" : "" } ], "container-title" : "Age and Ageing", "id" : "ITEM-2", "issue" : "6", "issued" : { "date-parts" : [ [ "2009" ] ] }, "page" : "703-710", "title" : "Perceptions of active ageing in Britain: Divergences between minority ethnic and whole population samples", "type" : "article-journal", "volume" : "38" }, "uris" : [ "http://www.mendeley.com/documents/?uuid=19d1ca3b-c9f6-4854-b66b-c447c49e4ee2" ] } ], "mendeley" : { "formattedCitation" : "(Bowling 2008, 2009)", "manualFormatting" : "Bowling (2008, 2009)", "plainTextFormattedCitation" : "(Bowling 2008, 2009)", "previouslyFormattedCitation" : "(Bowling 2008, 2009)" }, "properties" : { "noteIndex" : 0 }, "schema" : "https://github.com/citation-style-language/schema/raw/master/csl-citation.json" }</w:instrText>
      </w:r>
      <w:r w:rsidRPr="00C3671E">
        <w:fldChar w:fldCharType="separate"/>
      </w:r>
      <w:r w:rsidRPr="00C3671E">
        <w:rPr>
          <w:noProof/>
        </w:rPr>
        <w:t>Bowling (2008, 2009)</w:t>
      </w:r>
      <w:r w:rsidRPr="00C3671E">
        <w:fldChar w:fldCharType="end"/>
      </w:r>
      <w:r w:rsidRPr="00C3671E">
        <w:t xml:space="preserve"> or </w:t>
      </w:r>
      <w:r w:rsidRPr="00C3671E">
        <w:fldChar w:fldCharType="begin" w:fldLock="1"/>
      </w:r>
      <w:r w:rsidRPr="00C3671E">
        <w:instrText>ADDIN CSL_CITATION { "citationItems" : [ { "id" : "ITEM-1", "itemData" : { "DOI" : "10.1111/j.1468-2397.2012.00871.x", "ISBN" : "1468-2397", "ISSN" : "13696866", "abstract" : "The ageing of European countries has widespread implications for current and future social and economic policies across the region.The major policy response to demographic ageing that has emerged over the past 10 years is called \u2018active ageing\u2019, yet there is little clarity in practice about what it means for individuals and society beyond a crude economic reduction in terms of working longer.The main purposes of this article are to explain why this strategy has emerged and its impor- tance. Despite a great deal of positive political rhetoric, the response at all levels of policy making has been rather limited. An active social and public policy is required to mainstream active ageing as the leading paradigm for ageing policy across the European Union (EU). The designation of 2012 as the EuropeanYear of Active Ageing offers a potential focus for renewed policy action in the EU and is discussed in the context of our conclusions", "author" : [ { "dropping-particle" : "", "family" : "Walker", "given" : "Alan", "non-dropping-particle" : "", "parse-names" : false, "suffix" : "" }, { "dropping-particle" : "", "family" : "Maltby", "given" : "Tony", "non-dropping-particle" : "", "parse-names" : false, "suffix" : "" } ], "container-title" : "International Journal of Social Welfare", "id" : "ITEM-1", "issue" : "SUPPL.1", "issued" : { "date-parts" : [ [ "2012" ] ] }, "page" : "117-130", "title" : "Active ageing: A strategic policy solution to demographic ageing in the European Union", "type" : "article-journal", "volume" : "21" }, "uris" : [ "http://www.mendeley.com/documents/?uuid=2008f46f-ead4-4add-94cf-578cdbb7c3dc" ] } ], "mendeley" : { "formattedCitation" : "(Walker and Maltby 2012)", "manualFormatting" : "Walker and Maltby (2012: S126)", "plainTextFormattedCitation" : "(Walker and Maltby 2012)", "previouslyFormattedCitation" : "(Walker and Maltby 2012)" }, "properties" : { "noteIndex" : 0 }, "schema" : "https://github.com/citation-style-language/schema/raw/master/csl-citation.json" }</w:instrText>
      </w:r>
      <w:r w:rsidRPr="00C3671E">
        <w:fldChar w:fldCharType="separate"/>
      </w:r>
      <w:r w:rsidRPr="00C3671E">
        <w:rPr>
          <w:noProof/>
        </w:rPr>
        <w:t>Walker and Maltby (2012: S126)</w:t>
      </w:r>
      <w:r w:rsidRPr="00C3671E">
        <w:fldChar w:fldCharType="end"/>
      </w:r>
      <w:r w:rsidRPr="00C3671E">
        <w:t xml:space="preserve"> stating “that ‘activity’ should comprise all meaningful pursuits that contribute to the well-being of the individual concerned, his or her family, local community or society at large”, which is repeated by </w:t>
      </w:r>
      <w:r w:rsidRPr="00C3671E">
        <w:fldChar w:fldCharType="begin" w:fldLock="1"/>
      </w:r>
      <w:r w:rsidRPr="00C3671E">
        <w:instrText>ADDIN CSL_CITATION { "citationItems" : [ { "id" : "ITEM-1", "itemData" : { "DOI" : "10.1093/geront/gnu028", "ISBN" : "0016-9013", "ISSN" : "1758-5341", "PMID" : "24846882", "abstract" : "Over the past two decades, \"active aging\" has emerged in Europe as the foremost policy response to the challenges of population aging. This article examines the concept of active aging and how it differs from that of \"successful aging.\" In particular, it shows how active aging presents a more holistic, life course-oriented approach than successful aging. We provide a critical perspective on active aging too by, first, tracing its emergence in Europe and then showing how, in practice, it has been dominated by a narrow economic or productivist perspective that prioritizes the extension of working life. It has also been gender blind. Nonetheless, it is argued that an active aging approach has the potential to enable countries to respond successfully to the challenges of population aging because of its comprehensive focus and emphasis on societal as well as individual responsibility. Finally, we set out the basic principles that need to be followed if the full potential of active aging is to be achieved.", "author" : [ { "dropping-particle" : "", "family" : "Foster", "given" : "Liam", "non-dropping-particle" : "", "parse-names" : false, "suffix" : "" }, { "dropping-particle" : "", "family" : "Walker", "given" : "Alan", "non-dropping-particle" : "", "parse-names" : false, "suffix" : "" } ], "container-title" : "The Gerontologist", "id" : "ITEM-1", "issue" : "1", "issued" : { "date-parts" : [ [ "2015" ] ] }, "note" : "Foster, Walker 2014: Active and Successful Aging: A Euroepean Policy perspective\n\u201cactive aging\u201d has emerged in Europe as the foremost policy response to the challenges of population aging\nactive aging presents a more holistic, life course\u2013oriented approach than successful aging\ncritique of active aging perspective - emergence in Europe\n- dominated by a narrow economic perspective\n- gender blind\nall together, this approach has the potential to respond successfully to the challenges of population aging because of its comprehensive focus and emphasis on societal as well as individual responsibility\nAA should enable to create own forms of activity, instead of focusing on a predetermined, limited number of domains, usually developed from an \u2018expert\u2019 perspective\u201d (Boudiny &amp;amp; Mortelmans, 2011, p. 12)\nThere is also a danger that the \u201chealth and well-being\u201d narrative retreats to become the preserve of a \u201cfourth age\u201d charac- terized by biological decline and consumption of welfare resources\nstructural and economic barriers to active aging must be addressed for a comprehensive approach\n\u2192\nInternational and European policy on work and retirement: Reinventing critical perspectives\nA critical perspective: Towards a broader understanding of \u2018active ageing\u2019\nNarratives of (in)active age- ing in poor deprived areas of Liverpool", "page" : "83-90", "title" : "Active and Successful Aging: A European Policy Perspective", "type" : "article-journal", "volume" : "55" }, "uris" : [ "http://www.mendeley.com/documents/?uuid=6ef8c660-30ca-4a4a-80c6-6c24c5f5b99d" ] } ], "mendeley" : { "formattedCitation" : "(Foster and Walker 2015)", "manualFormatting" : "Foster and Walker (2015)", "plainTextFormattedCitation" : "(Foster and Walker 2015)", "previouslyFormattedCitation" : "(Foster and Walker 2015)" }, "properties" : { "noteIndex" : 0 }, "schema" : "https://github.com/citation-style-language/schema/raw/master/csl-citation.json" }</w:instrText>
      </w:r>
      <w:r w:rsidRPr="00C3671E">
        <w:fldChar w:fldCharType="separate"/>
      </w:r>
      <w:r w:rsidRPr="00C3671E">
        <w:rPr>
          <w:noProof/>
        </w:rPr>
        <w:t>Foster and Walker (2015)</w:t>
      </w:r>
      <w:r w:rsidRPr="00C3671E">
        <w:fldChar w:fldCharType="end"/>
      </w:r>
      <w:r w:rsidRPr="00C3671E">
        <w:t xml:space="preserve">. On the other hand, other resources (some of them more connected to social policy) elaborated earlier provide a list of supported activities and </w:t>
      </w:r>
      <w:r w:rsidRPr="00C3671E">
        <w:fldChar w:fldCharType="begin" w:fldLock="1"/>
      </w:r>
      <w:r w:rsidRPr="00C3671E">
        <w:instrText>ADDIN CSL_CITATION { "citationItems" : [ { "id" : "ITEM-1", "itemData" : { "DOI" : "10.1093/geront/gnu028", "ISBN" : "0016-9013", "ISSN" : "1758-5341", "PMID" : "24846882", "abstract" : "Over the past two decades, \"active aging\" has emerged in Europe as the foremost policy response to the challenges of population aging. This article examines the concept of active aging and how it differs from that of \"successful aging.\" In particular, it shows how active aging presents a more holistic, life course-oriented approach than successful aging. We provide a critical perspective on active aging too by, first, tracing its emergence in Europe and then showing how, in practice, it has been dominated by a narrow economic or productivist perspective that prioritizes the extension of working life. It has also been gender blind. Nonetheless, it is argued that an active aging approach has the potential to enable countries to respond successfully to the challenges of population aging because of its comprehensive focus and emphasis on societal as well as individual responsibility. Finally, we set out the basic principles that need to be followed if the full potential of active aging is to be achieved.", "author" : [ { "dropping-particle" : "", "family" : "Foster", "given" : "Liam", "non-dropping-particle" : "", "parse-names" : false, "suffix" : "" }, { "dropping-particle" : "", "family" : "Walker", "given" : "Alan", "non-dropping-particle" : "", "parse-names" : false, "suffix" : "" } ], "container-title" : "The Gerontologist", "id" : "ITEM-1", "issue" : "1", "issued" : { "date-parts" : [ [ "2015" ] ] }, "note" : "Foster, Walker 2014: Active and Successful Aging: A Euroepean Policy perspective\n\u201cactive aging\u201d has emerged in Europe as the foremost policy response to the challenges of population aging\nactive aging presents a more holistic, life course\u2013oriented approach than successful aging\ncritique of active aging perspective - emergence in Europe\n- dominated by a narrow economic perspective\n- gender blind\nall together, this approach has the potential to respond successfully to the challenges of population aging because of its comprehensive focus and emphasis on societal as well as individual responsibility\nAA should enable to create own forms of activity, instead of focusing on a predetermined, limited number of domains, usually developed from an \u2018expert\u2019 perspective\u201d (Boudiny &amp;amp; Mortelmans, 2011, p. 12)\nThere is also a danger that the \u201chealth and well-being\u201d narrative retreats to become the preserve of a \u201cfourth age\u201d charac- terized by biological decline and consumption of welfare resources\nstructural and economic barriers to active aging must be addressed for a comprehensive approach\n\u2192\nInternational and European policy on work and retirement: Reinventing critical perspectives\nA critical perspective: Towards a broader understanding of \u2018active ageing\u2019\nNarratives of (in)active age- ing in poor deprived areas of Liverpool", "page" : "83-90", "title" : "Active and Successful Aging: A European Policy Perspective", "type" : "article-journal", "volume" : "55" }, "uris" : [ "http://www.mendeley.com/documents/?uuid=6ef8c660-30ca-4a4a-80c6-6c24c5f5b99d" ] } ], "mendeley" : { "formattedCitation" : "(Foster and Walker 2015)", "manualFormatting" : "Foster and Walker (2015: 87)", "plainTextFormattedCitation" : "(Foster and Walker 2015)", "previouslyFormattedCitation" : "(Foster and Walker 2015)" }, "properties" : { "noteIndex" : 0 }, "schema" : "https://github.com/citation-style-language/schema/raw/master/csl-citation.json" }</w:instrText>
      </w:r>
      <w:r w:rsidRPr="00C3671E">
        <w:fldChar w:fldCharType="separate"/>
      </w:r>
      <w:r w:rsidRPr="00C3671E">
        <w:rPr>
          <w:noProof/>
        </w:rPr>
        <w:t>Foster and Walker (2015: 87)</w:t>
      </w:r>
      <w:r w:rsidRPr="00C3671E">
        <w:fldChar w:fldCharType="end"/>
      </w:r>
      <w:r w:rsidRPr="00C3671E">
        <w:t xml:space="preserve"> </w:t>
      </w:r>
      <w:r w:rsidRPr="00C3671E">
        <w:lastRenderedPageBreak/>
        <w:t>themselves write about “obligations to take advantage of education and training opportunities and, wherever possible, to remain active in other ways”. Therefore, this dissertation works with a set of activities supported rhetorically and via various programmes, initiatives, and legislation, which has a real impact on the citizens of the EU.</w:t>
      </w:r>
    </w:p>
    <w:p w14:paraId="0B7AD7E9" w14:textId="77777777" w:rsidR="00676326" w:rsidRPr="00C3671E" w:rsidRDefault="00676326" w:rsidP="00676326">
      <w:pPr>
        <w:pStyle w:val="Nadpis3"/>
        <w:spacing w:line="480" w:lineRule="auto"/>
        <w:rPr>
          <w:rFonts w:ascii="Times New Roman" w:hAnsi="Times New Roman" w:cs="Times New Roman"/>
          <w:b w:val="0"/>
          <w:i/>
          <w:lang w:val="en-GB" w:eastAsia="zh-CN"/>
        </w:rPr>
      </w:pPr>
      <w:bookmarkStart w:id="6" w:name="_Toc512687723"/>
      <w:r w:rsidRPr="00C3671E">
        <w:rPr>
          <w:rFonts w:ascii="Times New Roman" w:hAnsi="Times New Roman" w:cs="Times New Roman"/>
          <w:b w:val="0"/>
          <w:i/>
          <w:lang w:val="en-GB" w:eastAsia="zh-CN"/>
        </w:rPr>
        <w:t>Prevalence of activities in the data</w:t>
      </w:r>
      <w:bookmarkEnd w:id="6"/>
    </w:p>
    <w:p w14:paraId="02B9BAFF" w14:textId="31DA4DB2" w:rsidR="00676326" w:rsidRPr="00C3671E" w:rsidRDefault="00676326" w:rsidP="00676326">
      <w:pPr>
        <w:suppressAutoHyphens/>
        <w:spacing w:line="480" w:lineRule="auto"/>
        <w:jc w:val="both"/>
        <w:rPr>
          <w:lang w:val="en-GB"/>
        </w:rPr>
      </w:pPr>
      <w:r w:rsidRPr="00C3671E">
        <w:rPr>
          <w:lang w:val="en-GB"/>
        </w:rPr>
        <w:t xml:space="preserve">A description of the prevalence of activities among older adults in respective countries provides an important outlook to the topic. How often are activities supported by active ageing performed within the target </w:t>
      </w:r>
      <w:r w:rsidRPr="00C3671E">
        <w:rPr>
          <w:noProof/>
          <w:lang w:val="en-GB" w:eastAsia="zh-CN"/>
        </w:rPr>
        <w:t>population</w:t>
      </w:r>
      <w:r w:rsidRPr="00C3671E">
        <w:rPr>
          <w:lang w:val="en-GB"/>
        </w:rPr>
        <w:t xml:space="preserve">? The question should be answered on the same data used by other parts of the dissertation. Thus, the following tables use data from wave 6 of the Survey of Health, Ageing and Retirement in Europe (SHARE) collected in 2015 </w:t>
      </w:r>
      <w:r w:rsidRPr="00C3671E">
        <w:rPr>
          <w:lang w:val="en-GB"/>
        </w:rPr>
        <w:fldChar w:fldCharType="begin" w:fldLock="1"/>
      </w:r>
      <w:r w:rsidR="004F5010" w:rsidRPr="00C3671E">
        <w:rPr>
          <w:lang w:val="en-GB"/>
        </w:rPr>
        <w:instrText>ADDIN CSL_CITATION { "citationItems" : [ { "id" : "ITEM-1", "itemData" : { "DOI" : "10.1093/ije/dyt088", "ISBN" : "0300-5771", "ISSN" : "03005771", "PMID" : "23778574", "abstract" : "SHARE is a unique panel database of micro data on health, socio-economic status and social and family networks covering most of the European Union and Israel. To date, SHARE has collected three panel waves (2004, 2006, 2010) of current living circumstances and retrospective life histories (2008, SHARELIFE); 6 additional waves are planned until 2024. The more than 150 000 interviews give a broad picture of life after the age of 50 years, measuring physical and mental health, economic and non-economic activities, income and wealth, transfers of time and money within and outside the family as well as life satisfaction and well-being. The data are available to the scientific community free of charge at www.share-project.org after registration. SHARE is harmonized with the US Health and Retirement Study (HRS) and the English Longitudinal Study of Ageing (ELSA) and has become a role model for several ageing surveys worldwide. SHARE's scientific power is based on its panel design that grasps the dynamic character of the ageing process, its multidisciplinary approach that delivers the full picture of individual and societal ageing, and its cross-nationally ex-ante harmonized design that permits international comparisons of health, economic and social outcomes in Europe and the USA.", "author" : [ { "dropping-particle" : "", "family" : "B\u00f6rsch-Supan", "given" : "Axel", "non-dropping-particle" : "", "parse-names" : false, "suffix" : "" }, { "dropping-particle" : "", "family" : "Brandt", "given" : "Martina", "non-dropping-particle" : "", "parse-names" : false, "suffix" : "" }, { "dropping-particle" : "", "family" : "Hunkler", "given" : "Christian", "non-dropping-particle" : "", "parse-names" : false, "suffix" : "" }, { "dropping-particle" : "", "family" : "Kneip", "given" : "Thorsten", "non-dropping-particle" : "", "parse-names" : false, "suffix" : "" }, { "dropping-particle" : "", "family" : "Korbmacher", "given" : "Julie", "non-dropping-particle" : "", "parse-names" : false, "suffix" : "" }, { "dropping-particle" : "", "family" : "Malter", "given" : "Frederic", "non-dropping-particle" : "", "parse-names" : false, "suffix" : "" }, { "dropping-particle" : "", "family" : "Schaan", "given" : "Barbara", "non-dropping-particle" : "", "parse-names" : false, "suffix" : "" }, { "dropping-particle" : "", "family" : "Stuck", "given" : "Stephanie", "non-dropping-particle" : "", "parse-names" : false, "suffix" : "" }, { "dropping-particle" : "", "family" : "Zuber", "given" : "Sabrina", "non-dropping-particle" : "", "parse-names" : false, "suffix" : "" } ], "container-title" : "International Journal of Epidemiology", "id" : "ITEM-1", "issue" : "4", "issued" : { "date-parts" : [ [ "2013" ] ] }, "page" : "992-1001", "title" : "Data resource profile: The Survey of Health, Ageing and Retirement in Europe (SHARE)", "type" : "article-journal", "volume" : "42" }, "uris" : [ "http://www.mendeley.com/documents/?uuid=a62ea0f6-9469-4439-98a6-a5f414d5782a" ] }, { "id" : "ITEM-2", "itemData" : { "DOI" : "10.6103/SHARE.w6.600", "author" : [ { "dropping-particle" : "", "family" : "B\u00f6rsch-Supan", "given" : "Axel", "non-dropping-particle" : "", "parse-names" : false, "suffix" : "" } ], "id" : "ITEM-2", "issued" : { "date-parts" : [ [ "2017" ] ] }, "title" : "Survey of Health, Ageing and Retirement in Europe (SHARE) Wave 6. Release version: 6.0.0. SHARE-ERIC. Data set.", "type" : "article" }, "uris" : [ "http://www.mendeley.com/documents/?uuid=509eb8ec-6e26-4145-8fe8-95bd3ced9407" ] } ], "mendeley" : { "formattedCitation" : "(B\u00f6rsch-Supan et al. 2013; B\u00f6rsch-Supan 2017e)", "plainTextFormattedCitation" : "(B\u00f6rsch-Supan et al. 2013; B\u00f6rsch-Supan 2017e)", "previouslyFormattedCitation" : "(B\u00f6rsch-Supan 2017e; B\u00f6rsch-Supan et al. 2013)" }, "properties" : { "noteIndex" : 0 }, "schema" : "https://github.com/citation-style-language/schema/raw/master/csl-citation.json" }</w:instrText>
      </w:r>
      <w:r w:rsidRPr="00C3671E">
        <w:rPr>
          <w:lang w:val="en-GB"/>
        </w:rPr>
        <w:fldChar w:fldCharType="separate"/>
      </w:r>
      <w:r w:rsidR="004F5010" w:rsidRPr="00C3671E">
        <w:rPr>
          <w:noProof/>
          <w:lang w:val="en-GB"/>
        </w:rPr>
        <w:t>(Börsch-Supan et al. 2013; Börsch-Supan 2017e)</w:t>
      </w:r>
      <w:r w:rsidRPr="00C3671E">
        <w:rPr>
          <w:lang w:val="en-GB"/>
        </w:rPr>
        <w:fldChar w:fldCharType="end"/>
      </w:r>
      <w:r w:rsidRPr="00C3671E">
        <w:rPr>
          <w:lang w:val="en-GB"/>
        </w:rPr>
        <w:t xml:space="preserve"> – data source described more in the methodological chapter. The sample from wave 6 consists of 65,036 respondents from 17 countries over 50 years of age with the mean age 68.0 and median age 67 years and prevalence of women with a ratio 55:45. The mean age moderately varies across countries from 65.4 (Croatia) and 70.4 (Spain) due to differences in demographic structure and sampling methods. Thus, the figures provide more general tendencies than precise information for the whole populations – in fact, this is true for the whole dissertation. Countries in all figures are sorted into four regions used later in the thesis. These regions are Nordic countries (Denmark and Sweden), Western Europe (Austria, Belgium, France, Germany, Luxembourg, and Switzerland), Southern Europe (Greece, Italy, Portugal, and Spain), and Post-communist countries (Croatia, Czechia, Estonia, Poland, and Slovenia). The regions are most of all defined geographically, but also based on a typology of European welfare regimes </w:t>
      </w:r>
      <w:r w:rsidRPr="00C3671E">
        <w:rPr>
          <w:lang w:val="en-GB"/>
        </w:rPr>
        <w:fldChar w:fldCharType="begin" w:fldLock="1"/>
      </w:r>
      <w:r w:rsidR="001257AA" w:rsidRPr="00C3671E">
        <w:rPr>
          <w:lang w:val="en-GB"/>
        </w:rPr>
        <w:instrText>ADDIN CSL_CITATION { "citationItems" : [ { "id" : "ITEM-1", "itemData" : { "author" : [ { "dropping-particle" : "", "family" : "Esping-Andersen", "given" : "G\u00f8sta", "non-dropping-particle" : "", "parse-names" : false, "suffix" : "" } ], "id" : "ITEM-1", "issued" : { "date-parts" : [ [ "1990" ] ] }, "publisher" : "Princeton University Press", "publisher-place" : "Princeton", "title" : "Three worlds of welfare capitalism", "type" : "book" }, "uris" : [ "http://www.mendeley.com/documents/?uuid=c50cbab9-24c1-47b9-9489-01afe4d84202" ] }, { "id" : "ITEM-2", "itemData" : { "ISSN" : "1817-4604", "abstract" : "This article uses hierarchical cluster analysis to empirically assess if the postcommunist welfare states of Central and Eastern Europe can be classified according to any of Esping-Andersen\u2019s well-known welfare types, or if they form a distinct group of their own. It shows that at the start of the twenty-first century, there are clear differences in the governmental programmes and the social situation between traditional Western welfare states and post-communist welfare states. The article argues that the welfare states in post-communist countries might be subdivided into three groups: (1) a group of former-USSR countries, including Russia and Belarus; (2) a group of rather successful Central and Eastern European countries including Poland and the Czech Republic, and (3) a group of developing welfare states, consisting of Romania, Moldova and Georgia.", "author" : [ { "dropping-particle" : "", "family" : "Fenger", "given" : "Menno", "non-dropping-particle" : "", "parse-names" : false, "suffix" : "" } ], "container-title" : "Contemporary Issues and Ideas in Social Sciences", "id" : "ITEM-2", "issue" : "August", "issued" : { "date-parts" : [ [ "2007" ] ] }, "page" : "3-30", "title" : "Welfare regimes in Central and Eastern Europe: incorporating post-communist countries in a welfare regime typology", "type" : "article-journal" }, "uris" : [ "http://www.mendeley.com/documents/?uuid=b950b9ba-55d0-4ecf-a47c-fa8c4f0c76cb" ] }, { "id" : "ITEM-3", "itemData" : { "author" : [ { "dropping-particle" : "", "family" : "Ebbinghaus", "given" : "Bernhard", "non-dropping-particle" : "", "parse-names" : false, "suffix" : "" } ], "chapter-number" : "9", "container-title" : "The politics of the New Welfare State", "editor" : [ { "dropping-particle" : "", "family" : "Bonoli", "given" : "Giuliano", "non-dropping-particle" : "", "parse-names" : false, "suffix" : "" } ], "id" : "ITEM-3", "issued" : { "date-parts" : [ [ "2012" ] ] }, "page" : "182-205", "publisher" : "Oxford University Press", "publisher-place" : "Oxford", "title" : "Europe\u2019s transformations towards a renewed pension system", "type" : "chapter" }, "uris" : [ "http://www.mendeley.com/documents/?uuid=5eb677ee-d907-44b8-a1ab-ea7c18ca7df3" ] }, { "id" : "ITEM-4", "itemData" : { "abstract" : "Comparative welfare state research has been largely based on using typologies to summarize commonalities and differences across few cases. Often these were quantitative analyses of about ten to twenty EU or OECD countries, or a selection of few case studies from these \u201csamples\u201d which explored the peculiarities of a/typical cases. Overcoming linear correlation analysis, configurational regime typologies became the major tool to generalize across the wide variations of advanced welfare states. Most famously Esping\u2010Andersen\u2019s \u201cThree Worlds of Welfare Capitalism\u201d (1990) led to a research industry on the merits of fitting real welfare states across Europe and beyond into the three or more ideal\u2010type categories. The paper will discuss the methodological problems in comparing macro\u2010regime configurations in a medium\u2010N research design, using the substantial comparative research on welfare state regime typologies. The paper will deal with the following methodological questions: To what degree is the comparative analysis already biased through the selection of cases restricted to existing advanced welfare states? Are typologies ideal\u2010type constructs based on analytical concepts or are these only real\u2010type categorizations that summarize cross\u2010national variation of a selected group of countries? Are regime typologies too holistic and too static to provide a realistic account of social policy programme differences and their ongoing restructuration? Are quantitative methods (such as Cluster or Principal Component Analysis) or Qualitative Comparative Analysis (QCA or Fuzzy Set Analysis) more appropriate to deal with the problems of medium\u2010N comparative analysis in welfare state research? The paper will review the literature on comparing welfare state regimes over the last two decades;", "author" : [ { "dropping-particle" : "", "family" : "Ebbinghaus", "given" : "Bernhard", "non-dropping-particle" : "", "parse-names" : false, "suffix" : "" } ], "container-title" : "ESPAnet Conference", "id" : "ITEM-4", "issued" : { "date-parts" : [ [ "2012" ] ] }, "page" : "1-20", "publisher-place" : "Edinburg", "title" : "Comparing Welfare State Regimes: Are Typologies an Ideal or Realistic Strategy?", "type" : "paper-conference" }, "uris" : [ "http://www.mendeley.com/documents/?uuid=77f1c800-497f-46fb-a3a7-5d80209f760b" ] } ], "mendeley" : { "formattedCitation" : "(Ebbinghaus 2012b, 2012a; Esping-Andersen 1990; Fenger 2007)", "plainTextFormattedCitation" : "(Ebbinghaus 2012b, 2012a; Esping-Andersen 1990; Fenger 2007)", "previouslyFormattedCitation" : "(Ebbinghaus 2012b, 2012a; Esping-Andersen 1990; Fenger 2007)" }, "properties" : { "noteIndex" : 0 }, "schema" : "https://github.com/citation-style-language/schema/raw/master/csl-citation.json" }</w:instrText>
      </w:r>
      <w:r w:rsidRPr="00C3671E">
        <w:rPr>
          <w:lang w:val="en-GB"/>
        </w:rPr>
        <w:fldChar w:fldCharType="separate"/>
      </w:r>
      <w:r w:rsidR="00A91559" w:rsidRPr="00C3671E">
        <w:rPr>
          <w:noProof/>
          <w:lang w:val="en-GB"/>
        </w:rPr>
        <w:t>(Ebbinghaus 2012b, 2012a; Esping-Andersen 1990; Fenger 2007)</w:t>
      </w:r>
      <w:r w:rsidRPr="00C3671E">
        <w:rPr>
          <w:lang w:val="en-GB"/>
        </w:rPr>
        <w:fldChar w:fldCharType="end"/>
      </w:r>
      <w:r w:rsidRPr="00C3671E">
        <w:rPr>
          <w:lang w:val="en-GB"/>
        </w:rPr>
        <w:t xml:space="preserve"> and empirical similarities and differences in contextual factors and individual behaviours of older adults </w:t>
      </w:r>
      <w:r w:rsidRPr="00C3671E">
        <w:rPr>
          <w:lang w:val="en-GB"/>
        </w:rPr>
        <w:fldChar w:fldCharType="begin" w:fldLock="1"/>
      </w:r>
      <w:r w:rsidR="001257AA" w:rsidRPr="00C3671E">
        <w:rPr>
          <w:lang w:val="en-GB"/>
        </w:rPr>
        <w:instrText>ADDIN CSL_CITATION { "citationItems" : [ { "id" : "ITEM-1", "itemData" : { "DOI" : "10.1007/s10680-014-9336-7", "ISBN" : "1068001493367", "ISSN" : "15729885", "abstract" : "We analyse the impact of the provision of care on the health and quality of life (QoL) of adult female informal caregivers using a representative sample drawn from the survey of health, ageing and retirement in Europe (SHARE). We match each informal caregiver with a non-carer using propensity score matching and test whether matched individuals differ on self-assessed health and a functional indicator of QoL and whether this relationship differs across European regions. We find a North-South gradient both for self-assessed health and QoL, and our results show that the provision of caregiving to close relatives in Europe impacts on the caregivers' QoL and health in a way that depends on their geographical location, the degree of formal care and specific cultural and social factors of the area. We find that informal caregiving is a complex phenomenon which may bring both psychological rewards and distress to providers of care and this complexity, along with the geographical gradient highlight the importance of ensuring that policies match the needs of individual carers in their own geographical areas and cultural contexts. [ABSTRACT FROM AUTHOR] Copyright of European Journal of Population is the property of Springer Science &amp; Business Media B.V.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"Novi", "given" : "Cinzia", "non-dropping-particle" : "Di", "parse-names" : false, "suffix" : "" }, { "dropping-particle" : "", "family" : "Jacobs", "given" : "Rowena", "non-dropping-particle" : "", "parse-names" : false, "suffix" : "" }, { "dropping-particle" : "", "family" : "Migheli", "given" : "Matteo", "non-dropping-particle" : "", "parse-names" : false, "suffix" : "" } ], "container-title" : "European Journal of Population", "id" : "ITEM-1", "issue" : "3", "issued" : { "date-parts" : [ [ "2015" ] ] }, "page" : "309-333", "publisher" : "Springer Netherlands", "title" : "The Quality of Life of Female Informal Caregivers: From Scandinavia to the Mediterranean Sea", "type" : "article-journal", "volume" : "31" }, "uris" : [ "http://www.mendeley.com/documents/?uuid=1ccc65b6-fa56-4844-8194-2bfe00ef56d5" ] }, { "id" : "ITEM-2", "itemData" : { "DOI" : "10.1093/esr/jcq023", "ISBN" : "0266-7215", "ISSN" : "02667215", "abstract" : "This article aims to improve our understanding of the societal determinants of older people\u2019s participation in non-market productive activities. Based on micro-data from the Survey of Health, Ageing and Retirement in Europe, we estimate logistic multilevel models for individuals\u2019 engagement in formal volunteering, informal helping, and caring across 11 countries. The results partially support hypotheses regarding the relationship between specific macro-level variables and individuals\u2019 productive engagement at older ages. While our measure of societal images of aging does not exhibit statistically significant associations with any of the activities considered here, our hypotheses concerning a positive relationship between greater political and religious freedom as well as the provision of welfare state services and older individuals\u2019 propensity to engage in productive aging are largely confirmed. We interpret these findings as evidence suggesting that both longstanding cultural elements of a society as well as contemporary welfare state interventions constitute reference frames and opportunity structures which older individuals perceive as relevant for their decision whether to participate in volunteering, helping, or caring.", "author" : [ { "dropping-particle" : "", "family" : "Hank", "given" : "Karsten", "non-dropping-particle" : "", "parse-names" : false, "suffix" : "" } ], "container-title" : "European Sociological Review", "id" : "ITEM-2", "issue" : "4", "issued" : { "date-parts" : [ [ "2011" ] ] }, "page" : "526-541", "title" : "Societal determinants of productive aging: A multilevel analysis across 11 European Countries", "type" : "article-journal", "volume" : "27" }, "uris" : [ "http://www.mendeley.com/documents/?uuid=fbcecccf-f864-4ae9-9b90-33a7d02f7393" ] }, { "id" : "ITEM-3", "itemData" : { "DOI" : "10.1177/0958928711401766", "ISBN" : "0958928711", "ISSN" : "0958-9287", "abstract" : "As a consequence of increased life expectancies and the overall improved health status of elderly people in industrialized countries, grandparents and grandchildren are now sharing a longer period of their lives together, from which they can both actively benefit. In addition, grandparents help their children by looking after their grandchildren and are consequently an important service provider in the domain of childcare, especially for mothers active in the labour market. The analyses, which are based on the Survey of Health, Aging and Retirement in Europe (Austria, Belgium, Denmark, France, Germany, Greece, Italy, the Netherlands, Spain, Sweden and Switzerland), show significant country differences in the occurrence and intensity of grandchild care in Europe: whereas grandparents in southern Europe engage less often but more intensively in childcare, grandchild care is provided more often but much less intensively in northern Europe. Multilevel logistic regression models show that country-specific differences are associated with welfare state arrangements and, specifically, with public investments in childcare infrastructures. Public investments \u2018crowd in\u2019 grand- parental willingness to engage in childcare but \u2018crowd out\u2019 the intensity of this intergenerational time transfer. Family and state thus complement one another, with grandparents taking over sporadic, less time-intensive care while public institutions provide regular, time-consuming childcare services.", "author" : [ { "dropping-particle" : "", "family" : "Igel", "given" : "Corinne", "non-dropping-particle" : "", "parse-names" : false, "suffix" : "" }, { "dropping-particle" : "", "family" : "Szydlik", "given" : "Marc", "non-dropping-particle" : "", "parse-names" : false, "suffix" : "" } ], "container-title" : "Journal of European Social Policy", "id" : "ITEM-3", "issue" : "3", "issued" : { "date-parts" : [ [ "2011" ] ] }, "page" : "210-224", "title" : "Grandchild care and welfare state arrangements in Europe", "type" : "article-journal", "volume" : "21" }, "uris" : [ "http://www.mendeley.com/documents/?uuid=369c8a7e-8edd-4b60-93f4-c27b504df0cc" ] }, { "id" : "ITEM-4", "itemData" : { "DOI" : "10.1007/s10433-012-0248-2", "ISBN" : "1043301202482", "author" : [ { "dropping-particle" : "", "family" : "Gierveld", "given" : "Jenny De Jong", "non-dropping-particle" : "", "parse-names" : false, "suffix" : "" }, { "dropping-particle" : "", "family" : "Tesch-R\u00f6mer", "given" : "Clemens", "non-dropping-particle" : "", "parse-names" : false, "suffix" : "" } ], "container-title" : "European Journal of Ageing", "id" : "ITEM-4", "issue" : "1", "issued" : { "date-parts" : [ [ "2012" ] ] }, "page" : "285-295", "title" : "Loneliness in old age in Eastern and Western European societies: theoretical perspectives", "type" : "article-journal", "volume" : "9" }, "uris" : [ "http://www.mendeley.com/documents/?uuid=1c4cbbf0-9b70-4665-936d-1be2d6cb6039" ] }, { "id" : "ITEM-5", "itemData" : { "ISBN" : "9783110295467", "author" : [ { "dropping-particle" : "", "family" : "Borges Neves", "given" : "Rita", "non-dropping-particle" : "", "parse-names" : false, "suffix" : "" }, { "dropping-particle" : "", "family" : "Barbosa", "given" : "F\u00e1tima", "non-dropping-particle" : "", "parse-names" : false, "suffix" : "" }, { "dropping-particle" : "", "family" : "Matos", "given" : "Alice Delerue", "non-dropping-particle" : "", "parse-names" : false, "suffix" : "" }, { "dropping-particle" : "", "family" : "Rodrigues", "given" : "Victor", "non-dropping-particle" : "", "parse-names" : false, "suffix" : "" }, { "dropping-particle" : "", "family" : "Machado", "given" : "Jos\u00e9", "non-dropping-particle" : "", "parse-names" : false, "suffix" : "" } ], "chapter-number" : "8", "container-title" : "Active ageing and solidarity between generations in Europe: first results from SHARE after the economic crisis", "editor" : [ { "dropping-particle" : "", "family" : "B\u00f6rsch-Supan", "given" : "Axel", "non-dropping-particle" : "", "parse-names" : false, "suffix" : "" }, { "dropping-particle" : "", "family" : "Brandt", "given" : "Martina", "non-dropping-particle" : "", "parse-names" : false, "suffix" : "" }, { "dropping-particle" : "", "family" : "Litwin", "given" : "Howard", "non-dropping-particle" : "", "parse-names" : false, "suffix" : "" }, { "dropping-particle" : "", "family" : "Weber", "given" : "Guglielmo", "non-dropping-particle" : "", "parse-names" : false, "suffix" : "" } ], "id" : "ITEM-5", "issued" : { "date-parts" : [ [ "2013" ] ] }, "page" : "91-100", "publisher" : "De Gruyter", "publisher-place" : "Berlin", "title" : "Unemployed 50+: exploring risk factors for depression in Europe", "type" : "chapter" }, "uris" : [ "http://www.mendeley.com/documents/?uuid=4c05bf1f-3887-461f-bfcf-4489bfcc36c8" ] }, { "id" : "ITEM-6", "itemData" : { "DOI" : "10.1093/esr/jcs061", "author" : [ { "dropping-particle" : "", "family" : "Albertini", "given" : "Marco", "non-dropping-particle" : "", "parse-names" : false, "suffix" : "" }, { "dropping-particle" : "", "family" : "Kohli", "given" : "Martin", "non-dropping-particle" : "", "parse-names" : false, "suffix" : "" } ], "container-title" : "European Sociological Review", "id" : "ITEM-6", "issue" : "4", "issued" : { "date-parts" : [ [ "2013" ] ] }, "page" : "828-841", "title" : "The Generational Contract in the Family: An Analysis of Transfer Regimes in Europe", "type" : "article-journal", "volume" : "29" }, "uris" : [ "http://www.mendeley.com/documents/?uuid=d1a8bb96-dce9-4330-867c-ab7800a62505" ] }, { "id" : "ITEM-7", "itemData" : { "DOI" : "10.1017/S0144686X1400035X", "ISBN" : "0144-686X", "ISSN" : "0144-686X", "PMID" : "103631598", "abstract" : "Faced with demographic ageing, European policy makers since the mid-1990s have taken a turn from fostering early retirement to promoting longer working life by reducing early exit incentives and facilitating work continuation. However, it remains open whether these reforms are yet reflected in the retirement plans and preferences of future pensioners\u2019 cohorts. Using most recent data on desired retirement ages from the fifth wave of the European Social Survey (2010/11 wave), this paper empirically investigates how far current policy reforms are in line with the retirement age preferences of older workers aged 45 and over. Results show that older workers approaching retirement ages still intend to retire before the politically envisioned age of 65, and in many cases also before nationally defined standard retirement ages. Despite visible progress in implementing active ageing measures, the challenge of motivating older workers to continue working until or even beyond retirement ages thus remains. At the same time, there are regime-specific problem groups that face difficulties in adjusting to the active ageing paradigm of longer working life. Especially in countries with little employment support, those with unstable work careers, employment interruptions and few financial resources are at a high risk of being crowded out from late career employment and thus from the possibility of ensuring a decent standard of living in old age.", "author" : [ { "dropping-particle" : "", "family" : "Hof\u00e4cker", "given" : "Dirk", "non-dropping-particle" : "", "parse-names" : false, "suffix" : "" } ], "container-title" : "Ageing &amp; Society", "id" : "ITEM-7", "issue" : "07", "issued" : { "date-parts" : [ [ "2015" ] ] }, "page" : "1529-1556", "title" : "In line or at odds with active ageing policies? Exploring patterns of retirement preferences in Europe", "type" : "article-journal", "volume" : "35" }, "uris" : [ "http://www.mendeley.com/documents/?uuid=4475c386-f8dc-4818-8918-2dd7e514f58a" ] } ], "mendeley" : { "formattedCitation" : "(Albertini and Kohli 2013; Borges Neves et al. 2013; Gierveld and Tesch-R\u00f6mer 2012; Hank 2011; Hof\u00e4cker 2015; Igel and Szydlik 2011; Di Novi, Jacobs, and Migheli 2015)", "plainTextFormattedCitation" : "(Albertini and Kohli 2013; Borges Neves et al. 2013; Gierveld and Tesch-R\u00f6mer 2012; Hank 2011; Hof\u00e4cker 2015; Igel and Szydlik 2011; Di Novi, Jacobs, and Migheli 2015)", "previouslyFormattedCitation" : "(Albertini and Kohli 2013; Borges Neves et al. 2013; Gierveld and Tesch-R\u00f6mer 2012; Hank 2011; Hof\u00e4cker 2015; Igel and Szydlik 2011; Di Novi, Jacobs, and Migheli 2015)" }, "properties" : { "noteIndex" : 0 }, "schema" : "https://github.com/citation-style-language/schema/raw/master/csl-citation.json" }</w:instrText>
      </w:r>
      <w:r w:rsidRPr="00C3671E">
        <w:rPr>
          <w:lang w:val="en-GB"/>
        </w:rPr>
        <w:fldChar w:fldCharType="separate"/>
      </w:r>
      <w:r w:rsidR="00A91559" w:rsidRPr="00C3671E">
        <w:rPr>
          <w:noProof/>
          <w:lang w:val="en-GB"/>
        </w:rPr>
        <w:t>(Albertini and Kohli 2013; Borges Neves et al. 2013; Gierveld and Tesch-Römer 2012; Hank 2011; Hofäcker 2015; Igel and Szydlik 2011; Di Novi, Jacobs, and Migheli 2015)</w:t>
      </w:r>
      <w:r w:rsidRPr="00C3671E">
        <w:rPr>
          <w:lang w:val="en-GB"/>
        </w:rPr>
        <w:fldChar w:fldCharType="end"/>
      </w:r>
      <w:r w:rsidRPr="00C3671E">
        <w:rPr>
          <w:lang w:val="en-GB"/>
        </w:rPr>
        <w:t>.</w:t>
      </w:r>
    </w:p>
    <w:p w14:paraId="2A4788B4" w14:textId="6D6A10D8" w:rsidR="00676326" w:rsidRPr="00C3671E" w:rsidRDefault="00676326" w:rsidP="00676326">
      <w:pPr>
        <w:pStyle w:val="Newparagraph"/>
        <w:jc w:val="both"/>
      </w:pPr>
      <w:r w:rsidRPr="00C3671E">
        <w:lastRenderedPageBreak/>
        <w:t xml:space="preserve">All following statistics use sample weights correcting for both nonresponse factor and sampling procedure, and thus the results can be generalized to regional and national populations. Figure 1 shows the share of respondents participating in a labour market. Orange colour illustrates that older adults work most often in Nordic countries (34 percent of people over 50 years of age), while their unemployment is the lowest in the same region (about 2 percent from all of them, respectively 5 percent those economically active). While the ratio of permanently sick or disabled is similar across regions, the category of homemakers is by far most prevalent (20 percent compared to 0, 8, and 3 percent) in Southern Europe with more traditional gender norms. The differences in current working status across European regions could be attributed to pension systems, economic situation, the health status of older adults, values connected to work or ageism on the labour market </w:t>
      </w:r>
      <w:r w:rsidRPr="00C3671E">
        <w:fldChar w:fldCharType="begin" w:fldLock="1"/>
      </w:r>
      <w:r w:rsidR="001257AA" w:rsidRPr="00C3671E">
        <w:instrText>ADDIN CSL_CITATION { "citationItems" : [ { "id" : "ITEM-1", "itemData" : { "DOI" : "10.1093/esr/jcs045", "ISBN" : "0266-7215, 1468-2672", "ISSN" : "02667215", "abstract" : "This article analyses social variability in retirement timing. It draws on a social stratification perspective, which arguably provides a richer theoretical framework than one-dimensional pull or push approaches. The first objective is to establish how class membership influences both the timing of retirement as well as the degree of accessibility to different pathways to retirement. The second objective is to elucidate the interplay of gender and class in work-exit dynamics. The empirical analysis uses data from the Survey of Health, Ageing and Retirement in Europe (SHARE) to estimate a series of event-history models for a sample of respondents from 11 Western European countries. The results show that social class exerts a strong influence on retirement processes, over and beyond other socio-economic characteristics, and especially on the risk of involuntary retirement. Employment constraints (push factors) and economic incentives (pull factors) affect workers in different class positions in markedly different ways. While there exist significant gender differences in retirement behaviour, these appear to be largely driven by women's lower class positions. The article concludes that ill health and unemployment remain heavy obstacles to prolonging working life in contemporary Western Europe.", "author" : [ { "dropping-particle" : "", "family" : "Radl", "given" : "Jonas", "non-dropping-particle" : "", "parse-names" : false, "suffix" : "" } ], "container-title" : "European Sociological Review", "id" : "ITEM-1", "issue" : "3", "issued" : { "date-parts" : [ [ "2013" ] ] }, "page" : "654-668", "title" : "Labour market exit and social stratification in western europe: The effects of social class and gender on the timing of retirement", "type" : "article-journal", "volume" : "29" }, "uris" : [ "http://www.mendeley.com/documents/?uuid=5f761fa6-f66b-499e-958b-383788cd8643" ] }, { "id" : "ITEM-2", "itemData" : { "ISSN" : "13368613", "author" : [ { "dropping-particle" : "", "family" : "Petrov\u00e1 Kafkov\u00e1", "given" : "Marcela", "non-dropping-particle" : "", "parse-names" : false, "suffix" : "" }, { "dropping-particle" : "", "family" : "Rabu\u0161ic", "given" : "Ladislav", "non-dropping-particle" : "", "parse-names" : false, "suffix" : "" } ], "container-title" : "Sociol\u00f3gia", "id" : "ITEM-2", "issue" : "4", "issued" : { "date-parts" : [ [ "2010" ] ] }, "page" : "316-338", "title" : "V\u00fdznam pr\u00e1ce v \u017eivote \u010desk\u00fdch a slovensk\u00fdch star\u0161\u00edch pracovn\u00edk\u016f", "type" : "article-journal", "volume" : "42" }, "uris" : [ "http://www.mendeley.com/documents/?uuid=32398214-ed39-43a7-8663-66785ff3dce7" ] }, { "id" : "ITEM-3", "itemData" : { "DOI" : "10.1017/S0144686X1400035X", "ISBN" : "0144-686X", "ISSN" : "0144-686X", "PMID" : "103631598", "abstract" : "Faced with demographic ageing, European policy makers since the mid-1990s have taken a turn from fostering early retirement to promoting longer working life by reducing early exit incentives and facilitating work continuation. However, it remains open whether these reforms are yet reflected in the retirement plans and preferences of future pensioners\u2019 cohorts. Using most recent data on desired retirement ages from the fifth wave of the European Social Survey (2010/11 wave), this paper empirically investigates how far current policy reforms are in line with the retirement age preferences of older workers aged 45 and over. Results show that older workers approaching retirement ages still intend to retire before the politically envisioned age of 65, and in many cases also before nationally defined standard retirement ages. Despite visible progress in implementing active ageing measures, the challenge of motivating older workers to continue working until or even beyond retirement ages thus remains. At the same time, there are regime-specific problem groups that face difficulties in adjusting to the active ageing paradigm of longer working life. Especially in countries with little employment support, those with unstable work careers, employment interruptions and few financial resources are at a high risk of being crowded out from late career employment and thus from the possibility of ensuring a decent standard of living in old age.", "author" : [ { "dropping-particle" : "", "family" : "Hof\u00e4cker", "given" : "Dirk", "non-dropping-particle" : "", "parse-names" : false, "suffix" : "" } ], "container-title" : "Ageing &amp; Society", "id" : "ITEM-3", "issue" : "07", "issued" : { "date-parts" : [ [ "2015" ] ] }, "page" : "1529-1556", "title" : "In line or at odds with active ageing policies? Exploring patterns of retirement preferences in Europe", "type" : "article-journal", "volume" : "35" }, "uris" : [ "http://www.mendeley.com/documents/?uuid=4475c386-f8dc-4818-8918-2dd7e514f58a" ] }, { "id" : "ITEM-4", "itemData" : { "DOI" : "10.1136/jech-2013-202820", "ISBN" : "0143-005x", "ISSN" : "1470-2738", "PMID" : "22156662", "abstract" : "BACKGROUND: 'Active ageing' has been promoted as a strategy for extending quality of life and healthy life expectancy. However, there is limited evidence from nationally representative longitudinal studies on whether engagement among older adults is associated with better outcomes and few studies have considered possible bias arising from differential study attrition. METHODS: We investigate associations between the engagement of people aged 50-69 in three types of activity with self-rated health and depression 2 years later using nationally representative longitudinal data from four European countries (Denmark, France, Italy and England). Data were drawn from waves 1 and 2 of the Survey of Health, Ageing and Retirement in Europe and the English Longitudinal Study of Ageing. Multivariable analysis was used to analyse associations between baseline activity and outcomes at follow-up controlling for socioeconomic, demographic and health-related variables at baseline. Multiple imputation techniques and sensitivity analyses were undertaken to investigate possible bias arising from sample attrition. RESULTS: Respondents in paid work at baseline were less likely to be depressed or to report poor or fair health at follow-up than those who were 'inactive', although not in Italy. Engagement in formal and informal activities was not significantly associated with health at follow-up. Sensitivity analyses showed that assuming that those in bad health were over-represented among study attritors weakened the association between work at baseline and health at follow-up. CONCLUSIONS: Engagement in paid work may help maintain health in later life, although mechanisms and contextual influences need further investigation.", "author" : [ { "dropping-particle" : "", "family" : "Gessa", "given" : "Giorgio", "non-dropping-particle" : "Di", "parse-names" : false, "suffix" : "" }, { "dropping-particle" : "", "family" : "Grundy", "given" : "Emily", "non-dropping-particle" : "", "parse-names" : false, "suffix" : "" } ], "container-title" : "Journal of Epidemiology and Community Health", "id" : "ITEM-4", "issue" : "3", "issued" : { "date-parts" : [ [ "2013" ] ] }, "note" : "Gessa, Grundy 2013: The relationship between active ageing and health using longitudinal data from Denmark, France, Italy and England\n\u2018Active ageing\u2019 has been promoted as a strategy for extending quality of life and healthy life expectancy\nEngagement of older people occurs within a socio-political context and may be influenced by the provision of services and generosity of benefits, pension schemes and labour, retirement and early retirement policies, as well as norms and values.14 15 It is well recognised that these contextual factors vary within Europe, and typologies have been developed that group together countries with similar policies\nEngagement in formal and informal activities was not significantly associated with health at follow-up - higher attrition\nof ill respondents\npossitive impact of work in three countries except Italy\npaid work - prestige, power, status + physical activity + economic resources\nNo associations were found between engagement in the other types of activity considered and either depression or SRH\nEngagement in paid work may help maintain health in later life, although mechanisms and contextual influences need further investigation\n\u2192\nIndividual consequences of volunteer and paid work in old age: health and mortality\nIs work good for your health and well-being?\nPolicy and practices relating to the active engagement of older people in the community\nVariations in older people\u2019s social and productive ageing activities across different social welfare regimes", "page" : "261-267", "title" : "The relationship between active ageing and health using longitudinal data from Denmark, France, Italy and England", "type" : "article-journal", "volume" : "68" }, "uris" : [ "http://www.mendeley.com/documents/?uuid=099505a4-8bdf-490c-ae2d-b130a8bcf814" ] }, { "id" : "ITEM-5", "itemData" : { "DOI" : "10.1007/s10433-013-0294-4", "ISBN" : "1613-9372", "ISSN" : "1613-9372", "abstract" : "This study employs the concept of structured ambivalence to analyse the effect of grandchild care on quality of life (QoL) in different cultural contexts. We define structured ambivalence as the contradiction between behaviour and cultural norms. The analysis is based on the Survey of Health, Ageing and Retirement in Europe with 14 countries in the sample. We focus on grandparents aged 50 and over with at least one grandchild 12 years old or younger (n = 12,740). In countries with high grandparent obligations, grandparents who did not look after their grandchildren reported a lower quality of life. Compliance with such grandparental obligations (e.g. providing grandchild care in a country with high grandparent obligations) was found to increase the QoL of grandparents. Family policy should consider family practices that better match the realities of current grandparents\u2019 lives in order to reduce structured ambivalence and increase the QoL of grandparents.", "author" : [ { "dropping-particle" : "", "family" : "Neuberger", "given" : "Franz S.", "non-dropping-particle" : "", "parse-names" : false, "suffix" : "" }, { "dropping-particle" : "", "family" : "Haberkern", "given" : "Klaus", "non-dropping-particle" : "", "parse-names" : false, "suffix" : "" } ], "container-title" : "European Journal of Ageing", "id" : "ITEM-5", "issue" : "2", "issued" : { "date-parts" : [ [ "2014" ] ] }, "page" : "171-181", "title" : "Structured ambivalence in grandchild care and the quality of life among European grandparents", "type" : "article-journal", "volume" : "11" }, "uris" : [ "http://www.mendeley.com/documents/?uuid=f5b5cac1-e999-4c39-a97d-1363ab276312" ] } ], "mendeley" : { "formattedCitation" : "(Di Gessa and Grundy 2013; Hof\u00e4cker 2015; Neuberger and Haberkern 2014; Petrov\u00e1 Kafkov\u00e1 and Rabu\u0161ic 2010; Radl 2013)", "plainTextFormattedCitation" : "(Di Gessa and Grundy 2013; Hof\u00e4cker 2015; Neuberger and Haberkern 2014; Petrov\u00e1 Kafkov\u00e1 and Rabu\u0161ic 2010; Radl 2013)", "previouslyFormattedCitation" : "(Di Gessa and Grundy 2013; Hof\u00e4cker 2015; Neuberger and Haberkern 2014; Petrov\u00e1 Kafkov\u00e1 and Rabu\u0161ic 2010; Radl 2013)" }, "properties" : { "noteIndex" : 0 }, "schema" : "https://github.com/citation-style-language/schema/raw/master/csl-citation.json" }</w:instrText>
      </w:r>
      <w:r w:rsidRPr="00C3671E">
        <w:fldChar w:fldCharType="separate"/>
      </w:r>
      <w:r w:rsidR="00A91559" w:rsidRPr="00C3671E">
        <w:rPr>
          <w:noProof/>
        </w:rPr>
        <w:t>(Di Gessa and Grundy 2013; Hofäcker 2015; Neuberger and Haberkern 2014; Petrová Kafková and Rabušic 2010; Radl 2013)</w:t>
      </w:r>
      <w:r w:rsidRPr="00C3671E">
        <w:fldChar w:fldCharType="end"/>
      </w:r>
      <w:r w:rsidRPr="00C3671E">
        <w:t>. In any case, these differences are nonnegligible.</w:t>
      </w:r>
    </w:p>
    <w:p w14:paraId="1554207C" w14:textId="1BD15FBE" w:rsidR="00676326" w:rsidRPr="00C3671E" w:rsidRDefault="00676326" w:rsidP="00676326">
      <w:pPr>
        <w:spacing w:before="100" w:beforeAutospacing="1"/>
        <w:jc w:val="both"/>
        <w:rPr>
          <w:b/>
          <w:lang w:val="en-GB"/>
        </w:rPr>
      </w:pPr>
      <w:bookmarkStart w:id="7" w:name="_Toc512687433"/>
      <w:r w:rsidRPr="00C3671E">
        <w:rPr>
          <w:b/>
          <w:lang w:val="en-GB"/>
        </w:rPr>
        <w:t xml:space="preserve">Figure </w:t>
      </w:r>
      <w:r w:rsidRPr="00C3671E">
        <w:rPr>
          <w:b/>
          <w:lang w:val="en-GB"/>
        </w:rPr>
        <w:fldChar w:fldCharType="begin"/>
      </w:r>
      <w:r w:rsidRPr="00C3671E">
        <w:rPr>
          <w:b/>
          <w:lang w:val="en-GB"/>
        </w:rPr>
        <w:instrText xml:space="preserve"> SEQ Figure \* ARABIC </w:instrText>
      </w:r>
      <w:r w:rsidRPr="00C3671E">
        <w:rPr>
          <w:b/>
          <w:lang w:val="en-GB"/>
        </w:rPr>
        <w:fldChar w:fldCharType="separate"/>
      </w:r>
      <w:r w:rsidR="00A95FE5" w:rsidRPr="00C3671E">
        <w:rPr>
          <w:b/>
          <w:noProof/>
          <w:lang w:val="en-GB"/>
        </w:rPr>
        <w:t>1</w:t>
      </w:r>
      <w:r w:rsidRPr="00C3671E">
        <w:rPr>
          <w:b/>
          <w:lang w:val="en-GB"/>
        </w:rPr>
        <w:fldChar w:fldCharType="end"/>
      </w:r>
      <w:r w:rsidRPr="00C3671E">
        <w:rPr>
          <w:b/>
          <w:lang w:val="en-GB"/>
        </w:rPr>
        <w:t>: Distribution of population 50+ by current working status in four European regions</w:t>
      </w:r>
      <w:bookmarkEnd w:id="7"/>
    </w:p>
    <w:p w14:paraId="576EFD47" w14:textId="065FF44E" w:rsidR="00676326" w:rsidRPr="00C3671E" w:rsidRDefault="00676326" w:rsidP="00676326">
      <w:pPr>
        <w:rPr>
          <w:noProof/>
          <w:lang w:val="en-GB"/>
        </w:rPr>
      </w:pPr>
      <w:r w:rsidRPr="00C3671E">
        <w:rPr>
          <w:noProof/>
          <w:lang w:val="en-GB"/>
        </w:rPr>
        <w:drawing>
          <wp:inline distT="0" distB="0" distL="0" distR="0" wp14:anchorId="3F764B0C" wp14:editId="50953004">
            <wp:extent cx="5623560" cy="3233420"/>
            <wp:effectExtent l="0" t="0" r="15240" b="5080"/>
            <wp:docPr id="22" name="Graf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7F76A87" w14:textId="77777777" w:rsidR="00676326" w:rsidRPr="00C3671E" w:rsidRDefault="00676326" w:rsidP="00676326">
      <w:pPr>
        <w:rPr>
          <w:sz w:val="20"/>
          <w:szCs w:val="20"/>
          <w:lang w:val="en-GB"/>
        </w:rPr>
      </w:pPr>
      <w:r w:rsidRPr="00C3671E">
        <w:rPr>
          <w:i/>
          <w:sz w:val="20"/>
          <w:szCs w:val="20"/>
          <w:lang w:val="en-GB"/>
        </w:rPr>
        <w:t xml:space="preserve">Source: </w:t>
      </w:r>
      <w:r w:rsidRPr="00C3671E">
        <w:rPr>
          <w:sz w:val="20"/>
          <w:szCs w:val="20"/>
          <w:lang w:val="en-GB"/>
        </w:rPr>
        <w:t>These calculations use data from SHARE, wave 6.</w:t>
      </w:r>
    </w:p>
    <w:p w14:paraId="49BE9FCC" w14:textId="77777777" w:rsidR="00676326" w:rsidRPr="00C3671E" w:rsidRDefault="00676326" w:rsidP="00676326">
      <w:pPr>
        <w:suppressAutoHyphens/>
        <w:spacing w:line="480" w:lineRule="auto"/>
        <w:jc w:val="both"/>
        <w:rPr>
          <w:lang w:val="en-GB"/>
        </w:rPr>
      </w:pPr>
    </w:p>
    <w:p w14:paraId="31053E63" w14:textId="77777777" w:rsidR="00676326" w:rsidRPr="00C3671E" w:rsidRDefault="00676326" w:rsidP="00676326">
      <w:pPr>
        <w:suppressAutoHyphens/>
        <w:spacing w:line="480" w:lineRule="auto"/>
        <w:jc w:val="both"/>
        <w:rPr>
          <w:lang w:val="en-GB"/>
        </w:rPr>
      </w:pPr>
      <w:r w:rsidRPr="00C3671E">
        <w:rPr>
          <w:lang w:val="en-GB"/>
        </w:rPr>
        <w:lastRenderedPageBreak/>
        <w:t xml:space="preserve">Figure 2 displays </w:t>
      </w:r>
      <w:r w:rsidRPr="00C3671E">
        <w:rPr>
          <w:noProof/>
          <w:lang w:val="en-GB" w:eastAsia="zh-CN"/>
        </w:rPr>
        <w:t>prevalence</w:t>
      </w:r>
      <w:r w:rsidRPr="00C3671E">
        <w:rPr>
          <w:lang w:val="en-GB"/>
        </w:rPr>
        <w:t xml:space="preserve"> of three types of care provided by older adults. The first type is caregiving for grandchildren without a presence of parents provided monthly or more often. This indicator varies between 17 and 23 percent among regions for all older adults including those without children or grandchildren and is slightly higher in Nordic and Post-communist countries. The second type is care provided monthly to any person outside household except grandchildren. This type of caregiving is more prevalent in Northern and Western Europe. The third type of care is a more personal daily care for a person within a household – typically spouse or parent with limitations in daily life. Caregiving within a household is in contrast more prevalent in Southern Europe and Post-communist counties, though this prevalence is only between 3 and 7 percent.</w:t>
      </w:r>
    </w:p>
    <w:p w14:paraId="3137174F" w14:textId="43DD92BD" w:rsidR="00676326" w:rsidRPr="00C3671E" w:rsidRDefault="00676326" w:rsidP="00676326">
      <w:pPr>
        <w:pStyle w:val="Newparagraph"/>
        <w:jc w:val="both"/>
      </w:pPr>
      <w:r w:rsidRPr="00C3671E">
        <w:t xml:space="preserve">Overall, the patterns of care </w:t>
      </w:r>
      <w:r w:rsidRPr="00C3671E">
        <w:rPr>
          <w:lang w:eastAsia="zh-CN"/>
        </w:rPr>
        <w:t>provision</w:t>
      </w:r>
      <w:r w:rsidRPr="00C3671E">
        <w:t xml:space="preserve"> across Europe seems inconsistent, but they are congruent with the previous </w:t>
      </w:r>
      <w:r w:rsidRPr="00C3671E">
        <w:rPr>
          <w:noProof/>
          <w:lang w:eastAsia="zh-CN"/>
        </w:rPr>
        <w:t>research</w:t>
      </w:r>
      <w:r w:rsidRPr="00C3671E">
        <w:t xml:space="preserve"> usually comparing Northern and Southern Europe </w:t>
      </w:r>
      <w:r w:rsidRPr="00C3671E">
        <w:fldChar w:fldCharType="begin" w:fldLock="1"/>
      </w:r>
      <w:r w:rsidR="001257AA" w:rsidRPr="00C3671E">
        <w:instrText>ADDIN CSL_CITATION { "citationItems" : [ { "id" : "ITEM-1", "itemData" : { "DOI" : "10.1093/esr/jcq023", "ISBN" : "0266-7215", "ISSN" : "02667215", "abstract" : "This article aims to improve our understanding of the societal determinants of older people\u2019s participation in non-market productive activities. Based on micro-data from the Survey of Health, Ageing and Retirement in Europe, we estimate logistic multilevel models for individuals\u2019 engagement in formal volunteering, informal helping, and caring across 11 countries. The results partially support hypotheses regarding the relationship between specific macro-level variables and individuals\u2019 productive engagement at older ages. While our measure of societal images of aging does not exhibit statistically significant associations with any of the activities considered here, our hypotheses concerning a positive relationship between greater political and religious freedom as well as the provision of welfare state services and older individuals\u2019 propensity to engage in productive aging are largely confirmed. We interpret these findings as evidence suggesting that both longstanding cultural elements of a society as well as contemporary welfare state interventions constitute reference frames and opportunity structures which older individuals perceive as relevant for their decision whether to participate in volunteering, helping, or caring.", "author" : [ { "dropping-particle" : "", "family" : "Hank", "given" : "Karsten", "non-dropping-particle" : "", "parse-names" : false, "suffix" : "" } ], "container-title" : "European Sociological Review", "id" : "ITEM-1", "issue" : "4", "issued" : { "date-parts" : [ [ "2011" ] ] }, "page" : "526-541", "title" : "Societal determinants of productive aging: A multilevel analysis across 11 European Countries", "type" : "article-journal", "volume" : "27" }, "uris" : [ "http://www.mendeley.com/documents/?uuid=fbcecccf-f864-4ae9-9b90-33a7d02f7393" ] }, { "id" : "ITEM-2", "itemData" : { "DOI" : "10.1177/0192513X08322627", "ISBN" : "300015812X", "ISSN" : "0192-513X", "abstract" : "Introducing findings from the 2004 Survey of Health, Ageing, and Retirement in Europe (SHARE), this research complements the large number of recent U.S. studies on the role of grandparents in caring for their grandchildren. For 10 continental European countries, the authors investigate cross-national variations in grandparent-provided child care as well as differences in characteristics of the providers and recipients of care. Although they find strong involvement of grandparents in their grandchildren's care across all countries, they also identify significant variations in the prevalence and intensity of care along the geographic lines of different child care and (maternal or female) employment regimes in Europe. Rooted in long-standing family cultures, the observed patterns suggest a complex interaction between welfare state\u2014provided services and intergenerational family support in shaping the work\u2014family nexus for younger parents. The authors conclude with a brief discussion of possible consequences o...", "author" : [ { "dropping-particle" : "", "family" : "Hank", "given" : "Karsten", "non-dropping-particle" : "", "parse-names" : false, "suffix" : "" }, { "dropping-particle" : "", "family" : "Buber", "given" : "Isabella", "non-dropping-particle" : "", "parse-names" : false, "suffix" : "" } ], "container-title" : "Journal of Family Issues", "id" : "ITEM-2", "issue" : "1", "issued" : { "date-parts" : [ [ "2009" ] ] }, "page" : "53-73", "title" : "Grandparents Caring for their Grandchildren", "type" : "article-journal", "volume" : "30" }, "uris" : [ "http://www.mendeley.com/documents/?uuid=f4e51519-a2ec-48e5-bb6d-101676a656ea" ] }, { "id" : "ITEM-3", "itemData" : { "DOI" : "10.1177/0958928711401766", "ISBN" : "0958928711", "ISSN" : "0958-9287", "abstract" : "As a consequence of increased life expectancies and the overall improved health status of elderly people in industrialized countries, grandparents and grandchildren are now sharing a longer period of their lives together, from which they can both actively benefit. In addition, grandparents help their children by looking after their grandchildren and are consequently an important service provider in the domain of childcare, especially for mothers active in the labour market. The analyses, which are based on the Survey of Health, Aging and Retirement in Europe (Austria, Belgium, Denmark, France, Germany, Greece, Italy, the Netherlands, Spain, Sweden and Switzerland), show significant country differences in the occurrence and intensity of grandchild care in Europe: whereas grandparents in southern Europe engage less often but more intensively in childcare, grandchild care is provided more often but much less intensively in northern Europe. Multilevel logistic regression models show that country-specific differences are associated with welfare state arrangements and, specifically, with public investments in childcare infrastructures. Public investments \u2018crowd in\u2019 grand- parental willingness to engage in childcare but \u2018crowd out\u2019 the intensity of this intergenerational time transfer. Family and state thus complement one another, with grandparents taking over sporadic, less time-intensive care while public institutions provide regular, time-consuming childcare services.", "author" : [ { "dropping-particle" : "", "family" : "Igel", "given" : "Corinne", "non-dropping-particle" : "", "parse-names" : false, "suffix" : "" }, { "dropping-particle" : "", "family" : "Szydlik", "given" : "Marc", "non-dropping-particle" : "", "parse-names" : false, "suffix" : "" } ], "container-title" : "Journal of European Social Policy", "id" : "ITEM-3", "issue" : "3", "issued" : { "date-parts" : [ [ "2011" ] ] }, "page" : "210-224", "title" : "Grandchild care and welfare state arrangements in Europe", "type" : "article-journal", "volume" : "21" }, "uris" : [ "http://www.mendeley.com/documents/?uuid=369c8a7e-8edd-4b60-93f4-c27b504df0cc" ] }, { "id" : "ITEM-4", "itemData" : { "DOI" : "10.1177/0958928707081068", "ISBN" : "0958-9287", "ISSN" : "0958-9287", "abstract" : "The `generational contract' is the most important and also the most contentious dimension of contemporary welfare systems. Much of the debate on how to reform it is still truncated, however, by focusing on its public dimension only, especially on pensions and health-care provisions. For a full account, the transfer of resources between adult generations in the family needs to be included as well. So far, research on family transfers has almost exclusively been limited to single-country studies. In this article, we present a comparative study of financial transfers and social support in ten Western European countries based on the Survey of Health, Ageing and Retirement in Europe (SHARE) conducted in 2004. Our results confirm, at the European level, the existence of a common transfer pattern. There is a net downward flow from the older to the younger generations, both by inter vivos financial transfers and by social support. Transfers from the elderly parents to their children are much more frequent and also usually much more intense than those in the opposite direction. The positive balance decreases with age but even those over the age of 70 clearly remain net givers. Our results also demonstrate that country-specific transfer patterns follow the typology of welfare regimes. Transfers from parents to children are less frequent but more intense in the Southern European countries than in the Nordic ones, with the Continental European countries being somewhere in between the two. This welfare regime effect still holds after controlling for the most relevant characteristics of the parents. ", "author" : [ { "dropping-particle" : "", "family" : "Albertini", "given" : "Marco", "non-dropping-particle" : "", "parse-names" : false, "suffix" : "" }, { "dropping-particle" : "", "family" : "Kohli", "given" : "Martin", "non-dropping-particle" : "", "parse-names" : false, "suffix" : "" }, { "dropping-particle" : "", "family" : "Vogel", "given" : "Claudia", "non-dropping-particle" : "", "parse-names" : false, "suffix" : "" } ], "container-title" : "Journal of European Social Policy", "id" : "ITEM-4", "issue" : "4", "issued" : { "date-parts" : [ [ "2007" ] ] }, "page" : "319-334", "title" : "Intergenerational transfers of time and money in European families: common patterns \u2014 different regimes?", "type" : "article-journal", "volume" : "17" }, "uris" : [ "http://www.mendeley.com/documents/?uuid=cc4646ac-1002-4223-90c1-04adb8a7f3d3" ] }, { "id" : "ITEM-5", "itemData" : { "DOI" : "10.1093/esr/jcs061", "author" : [ { "dropping-particle" : "", "family" : "Albertini", "given" : "Marco", "non-dropping-particle" : "", "parse-names" : false, "suffix" : "" }, { "dropping-particle" : "", "family" : "Kohli", "given" : "Martin", "non-dropping-particle" : "", "parse-names" : false, "suffix" : "" } ], "container-title" : "European Sociological Review", "id" : "ITEM-5", "issue" : "4", "issued" : { "date-parts" : [ [ "2013" ] ] }, "page" : "828-841", "title" : "The Generational Contract in the Family: An Analysis of Transfer Regimes in Europe", "type" : "article-journal", "volume" : "29" }, "uris" : [ "http://www.mendeley.com/documents/?uuid=d1a8bb96-dce9-4330-867c-ab7800a62505" ] }, { "id" : "ITEM-6", "itemData" : { "ISSN" : "00472328", "abstract" : "Intergenerational time transfers can be differentiated and divided\\ninto two support forms: help and care activities. Adult children\\nsupport their elderly parents with more or less intensive and widely\\ndiffering transfers ranging from help with household chores and paperwork\\nto personal care. However, elderly people are also an important source\\nof intergenerational support, as they help their children by looking\\nafter the grandchildren for example. In general intergenerational\\nsolidarity patterns are influenced by opportunity, need, family and\\ncultural-contextual structures, which have differing impacts on help\\nand care: Care is mainly depending on the need structures of the\\nreceiver while help activities to parents and children are primarily\\ninfluenced by the opportunity structures of the giver. Additionally,\\nusing the SHARE data, logistic multilevel modeling allows national\\nhelp and care levels to be traced back to the provision of public\\nservices. The empirical findings support the ``specialization hypothesis{''}:\\nA higher national level of social services coincides with less intensive\\nhelp and more demanding care. Well-developed welfare states thus\\nlower the risk of an overburdening of the family and secure the overall\\nsupport of older people and young families through efficient collaboration\\nbetween family and state.", "author" : [ { "dropping-particle" : "", "family" : "Igel", "given" : "Corinne", "non-dropping-particle" : "", "parse-names" : false, "suffix" : "" }, { "dropping-particle" : "", "family" : "Brandt", "given" : "Martina", "non-dropping-particle" : "", "parse-names" : false, "suffix" : "" }, { "dropping-particle" : "", "family" : "Haberkern", "given" : "Klaus", "non-dropping-particle" : "", "parse-names" : false, "suffix" : "" }, { "dropping-particle" : "", "family" : "Szydlik", "given" : "Marc", "non-dropping-particle" : "", "parse-names" : false, "suffix" : "" } ], "container-title" : "Journal of Comparative Family Studies", "id" : "ITEM-6", "issue" : "2", "issued" : { "date-parts" : [ [ "2009" ] ] }, "page" : "203-224", "title" : "Specialization between family and state intergenerational time transfers in Western Europe", "type" : "article-journal", "volume" : "40" }, "uris" : [ "http://www.mendeley.com/documents/?uuid=6a7ba839-ceb4-4cec-83cd-d7e5b4c92ae4" ] } ], "mendeley" : { "formattedCitation" : "(Albertini and Kohli 2013; Albertini, Kohli, and Vogel 2007; Hank 2011; Hank and Buber 2009; Igel et al. 2009; Igel and Szydlik 2011)", "plainTextFormattedCitation" : "(Albertini and Kohli 2013; Albertini, Kohli, and Vogel 2007; Hank 2011; Hank and Buber 2009; Igel et al. 2009; Igel and Szydlik 2011)", "previouslyFormattedCitation" : "(Albertini and Kohli 2013; Albertini, Kohli, and Vogel 2007; Hank 2011; Hank and Buber 2009; Igel et al. 2009; Igel and Szydlik 2011)" }, "properties" : { "noteIndex" : 0 }, "schema" : "https://github.com/citation-style-language/schema/raw/master/csl-citation.json" }</w:instrText>
      </w:r>
      <w:r w:rsidRPr="00C3671E">
        <w:fldChar w:fldCharType="separate"/>
      </w:r>
      <w:r w:rsidR="00A91559" w:rsidRPr="00C3671E">
        <w:rPr>
          <w:noProof/>
        </w:rPr>
        <w:t>(Albertini and Kohli 2013; Albertini, Kohli, and Vogel 2007; Hank 2011; Hank and Buber 2009; Igel et al. 2009; Igel and Szydlik 2011)</w:t>
      </w:r>
      <w:r w:rsidRPr="00C3671E">
        <w:fldChar w:fldCharType="end"/>
      </w:r>
      <w:r w:rsidRPr="00C3671E">
        <w:t xml:space="preserve">. On the one hand, Southern Europe evinces low prevalence of occasional care and high prevalence of regular care due to strong familial norms and intergenerational transfers based on co-residence, which lead to intensive interactions based on functional dependence without motivating towards more casual and voluntary interactions. On the other hand, strong welfare states and weak familial norms in Nordic countries reduce a burden of caregiving and create an environment enabling occasional interactions including a provision of care. Western countries are somewhere between these ideal types and a situation in Post-communist countries has not been examined much so far </w:t>
      </w:r>
      <w:r w:rsidRPr="00C3671E">
        <w:fldChar w:fldCharType="begin" w:fldLock="1"/>
      </w:r>
      <w:r w:rsidR="001257AA" w:rsidRPr="00C3671E">
        <w:instrText>ADDIN CSL_CITATION { "citationItems" : [ { "id" : "ITEM-1", "itemData" : { "DOI" : "10.1093/esr/jcq023", "ISBN" : "0266-7215", "ISSN" : "02667215", "abstract" : "This article aims to improve our understanding of the societal determinants of older people\u2019s participation in non-market productive activities. Based on micro-data from the Survey of Health, Ageing and Retirement in Europe, we estimate logistic multilevel models for individuals\u2019 engagement in formal volunteering, informal helping, and caring across 11 countries. The results partially support hypotheses regarding the relationship between specific macro-level variables and individuals\u2019 productive engagement at older ages. While our measure of societal images of aging does not exhibit statistically significant associations with any of the activities considered here, our hypotheses concerning a positive relationship between greater political and religious freedom as well as the provision of welfare state services and older individuals\u2019 propensity to engage in productive aging are largely confirmed. We interpret these findings as evidence suggesting that both longstanding cultural elements of a society as well as contemporary welfare state interventions constitute reference frames and opportunity structures which older individuals perceive as relevant for their decision whether to participate in volunteering, helping, or caring.", "author" : [ { "dropping-particle" : "", "family" : "Hank", "given" : "Karsten", "non-dropping-particle" : "", "parse-names" : false, "suffix" : "" } ], "container-title" : "European Sociological Review", "id" : "ITEM-1", "issue" : "4", "issued" : { "date-parts" : [ [ "2011" ] ] }, "page" : "526-541", "title" : "Societal determinants of productive aging: A multilevel analysis across 11 European Countries", "type" : "article-journal", "volume" : "27" }, "uris" : [ "http://www.mendeley.com/documents/?uuid=fbcecccf-f864-4ae9-9b90-33a7d02f7393" ] }, { "id" : "ITEM-2", "itemData" : { "DOI" : "10.1177/0192513X08322627", "ISBN" : "300015812X", "ISSN" : "0192-513X", "abstract" : "Introducing findings from the 2004 Survey of Health, Ageing, and Retirement in Europe (SHARE), this research complements the large number of recent U.S. studies on the role of grandparents in caring for their grandchildren. For 10 continental European countries, the authors investigate cross-national variations in grandparent-provided child care as well as differences in characteristics of the providers and recipients of care. Although they find strong involvement of grandparents in their grandchildren's care across all countries, they also identify significant variations in the prevalence and intensity of care along the geographic lines of different child care and (maternal or female) employment regimes in Europe. Rooted in long-standing family cultures, the observed patterns suggest a complex interaction between welfare state\u2014provided services and intergenerational family support in shaping the work\u2014family nexus for younger parents. The authors conclude with a brief discussion of possible consequences o...", "author" : [ { "dropping-particle" : "", "family" : "Hank", "given" : "Karsten", "non-dropping-particle" : "", "parse-names" : false, "suffix" : "" }, { "dropping-particle" : "", "family" : "Buber", "given" : "Isabella", "non-dropping-particle" : "", "parse-names" : false, "suffix" : "" } ], "container-title" : "Journal of Family Issues", "id" : "ITEM-2", "issue" : "1", "issued" : { "date-parts" : [ [ "2009" ] ] }, "page" : "53-73", "title" : "Grandparents Caring for their Grandchildren", "type" : "article-journal", "volume" : "30" }, "uris" : [ "http://www.mendeley.com/documents/?uuid=f4e51519-a2ec-48e5-bb6d-101676a656ea" ] }, { "id" : "ITEM-3", "itemData" : { "DOI" : "10.1177/0958928711401766", "ISBN" : "0958928711", "ISSN" : "0958-9287", "abstract" : "As a consequence of increased life expectancies and the overall improved health status of elderly people in industrialized countries, grandparents and grandchildren are now sharing a longer period of their lives together, from which they can both actively benefit. In addition, grandparents help their children by looking after their grandchildren and are consequently an important service provider in the domain of childcare, especially for mothers active in the labour market. The analyses, which are based on the Survey of Health, Aging and Retirement in Europe (Austria, Belgium, Denmark, France, Germany, Greece, Italy, the Netherlands, Spain, Sweden and Switzerland), show significant country differences in the occurrence and intensity of grandchild care in Europe: whereas grandparents in southern Europe engage less often but more intensively in childcare, grandchild care is provided more often but much less intensively in northern Europe. Multilevel logistic regression models show that country-specific differences are associated with welfare state arrangements and, specifically, with public investments in childcare infrastructures. Public investments \u2018crowd in\u2019 grand- parental willingness to engage in childcare but \u2018crowd out\u2019 the intensity of this intergenerational time transfer. Family and state thus complement one another, with grandparents taking over sporadic, less time-intensive care while public institutions provide regular, time-consuming childcare services.", "author" : [ { "dropping-particle" : "", "family" : "Igel", "given" : "Corinne", "non-dropping-particle" : "", "parse-names" : false, "suffix" : "" }, { "dropping-particle" : "", "family" : "Szydlik", "given" : "Marc", "non-dropping-particle" : "", "parse-names" : false, "suffix" : "" } ], "container-title" : "Journal of European Social Policy", "id" : "ITEM-3", "issue" : "3", "issued" : { "date-parts" : [ [ "2011" ] ] }, "page" : "210-224", "title" : "Grandchild care and welfare state arrangements in Europe", "type" : "article-journal", "volume" : "21" }, "uris" : [ "http://www.mendeley.com/documents/?uuid=369c8a7e-8edd-4b60-93f4-c27b504df0cc" ] }, { "id" : "ITEM-4", "itemData" : { "DOI" : "10.1177/0958928707081068", "ISBN" : "0958-9287", "ISSN" : "0958-9287", "abstract" : "The `generational contract' is the most important and also the most contentious dimension of contemporary welfare systems. Much of the debate on how to reform it is still truncated, however, by focusing on its public dimension only, especially on pensions and health-care provisions. For a full account, the transfer of resources between adult generations in the family needs to be included as well. So far, research on family transfers has almost exclusively been limited to single-country studies. In this article, we present a comparative study of financial transfers and social support in ten Western European countries based on the Survey of Health, Ageing and Retirement in Europe (SHARE) conducted in 2004. Our results confirm, at the European level, the existence of a common transfer pattern. There is a net downward flow from the older to the younger generations, both by inter vivos financial transfers and by social support. Transfers from the elderly parents to their children are much more frequent and also usually much more intense than those in the opposite direction. The positive balance decreases with age but even those over the age of 70 clearly remain net givers. Our results also demonstrate that country-specific transfer patterns follow the typology of welfare regimes. Transfers from parents to children are less frequent but more intense in the Southern European countries than in the Nordic ones, with the Continental European countries being somewhere in between the two. This welfare regime effect still holds after controlling for the most relevant characteristics of the parents. ", "author" : [ { "dropping-particle" : "", "family" : "Albertini", "given" : "Marco", "non-dropping-particle" : "", "parse-names" : false, "suffix" : "" }, { "dropping-particle" : "", "family" : "Kohli", "given" : "Martin", "non-dropping-particle" : "", "parse-names" : false, "suffix" : "" }, { "dropping-particle" : "", "family" : "Vogel", "given" : "Claudia", "non-dropping-particle" : "", "parse-names" : false, "suffix" : "" } ], "container-title" : "Journal of European Social Policy", "id" : "ITEM-4", "issue" : "4", "issued" : { "date-parts" : [ [ "2007" ] ] }, "page" : "319-334", "title" : "Intergenerational transfers of time and money in European families: common patterns \u2014 different regimes?", "type" : "article-journal", "volume" : "17" }, "uris" : [ "http://www.mendeley.com/documents/?uuid=cc4646ac-1002-4223-90c1-04adb8a7f3d3" ] }, { "id" : "ITEM-5", "itemData" : { "DOI" : "10.1093/esr/jcs061", "author" : [ { "dropping-particle" : "", "family" : "Albertini", "given" : "Marco", "non-dropping-particle" : "", "parse-names" : false, "suffix" : "" }, { "dropping-particle" : "", "family" : "Kohli", "given" : "Martin", "non-dropping-particle" : "", "parse-names" : false, "suffix" : "" } ], "container-title" : "European Sociological Review", "id" : "ITEM-5", "issue" : "4", "issued" : { "date-parts" : [ [ "2013" ] ] }, "page" : "828-841", "title" : "The Generational Contract in the Family: An Analysis of Transfer Regimes in Europe", "type" : "article-journal", "volume" : "29" }, "uris" : [ "http://www.mendeley.com/documents/?uuid=d1a8bb96-dce9-4330-867c-ab7800a62505" ] }, { "id" : "ITEM-6", "itemData" : { "ISSN" : "00472328", "abstract" : "Intergenerational time transfers can be differentiated and divided\\ninto two support forms: help and care activities. Adult children\\nsupport their elderly parents with more or less intensive and widely\\ndiffering transfers ranging from help with household chores and paperwork\\nto personal care. However, elderly people are also an important source\\nof intergenerational support, as they help their children by looking\\nafter the grandchildren for example. In general intergenerational\\nsolidarity patterns are influenced by opportunity, need, family and\\ncultural-contextual structures, which have differing impacts on help\\nand care: Care is mainly depending on the need structures of the\\nreceiver while help activities to parents and children are primarily\\ninfluenced by the opportunity structures of the giver. Additionally,\\nusing the SHARE data, logistic multilevel modeling allows national\\nhelp and care levels to be traced back to the provision of public\\nservices. The empirical findings support the ``specialization hypothesis{''}:\\nA higher national level of social services coincides with less intensive\\nhelp and more demanding care. Well-developed welfare states thus\\nlower the risk of an overburdening of the family and secure the overall\\nsupport of older people and young families through efficient collaboration\\nbetween family and state.", "author" : [ { "dropping-particle" : "", "family" : "Igel", "given" : "Corinne", "non-dropping-particle" : "", "parse-names" : false, "suffix" : "" }, { "dropping-particle" : "", "family" : "Brandt", "given" : "Martina", "non-dropping-particle" : "", "parse-names" : false, "suffix" : "" }, { "dropping-particle" : "", "family" : "Haberkern", "given" : "Klaus", "non-dropping-particle" : "", "parse-names" : false, "suffix" : "" }, { "dropping-particle" : "", "family" : "Szydlik", "given" : "Marc", "non-dropping-particle" : "", "parse-names" : false, "suffix" : "" } ], "container-title" : "Journal of Comparative Family Studies", "id" : "ITEM-6", "issue" : "2", "issued" : { "date-parts" : [ [ "2009" ] ] }, "page" : "203-224", "title" : "Specialization between family and state intergenerational time transfers in Western Europe", "type" : "article-journal", "volume" : "40" }, "uris" : [ "http://www.mendeley.com/documents/?uuid=6a7ba839-ceb4-4cec-83cd-d7e5b4c92ae4" ] } ], "mendeley" : { "formattedCitation" : "(Albertini and Kohli 2013; Albertini et al. 2007; Hank 2011; Hank and Buber 2009; Igel et al. 2009; Igel and Szydlik 2011)", "plainTextFormattedCitation" : "(Albertini and Kohli 2013; Albertini et al. 2007; Hank 2011; Hank and Buber 2009; Igel et al. 2009; Igel and Szydlik 2011)", "previouslyFormattedCitation" : "(Albertini and Kohli 2013; Albertini et al. 2007; Hank 2011; Hank and Buber 2009; Igel et al. 2009; Igel and Szydlik 2011)" }, "properties" : { "noteIndex" : 0 }, "schema" : "https://github.com/citation-style-language/schema/raw/master/csl-citation.json" }</w:instrText>
      </w:r>
      <w:r w:rsidRPr="00C3671E">
        <w:fldChar w:fldCharType="separate"/>
      </w:r>
      <w:r w:rsidR="00A91559" w:rsidRPr="00C3671E">
        <w:rPr>
          <w:noProof/>
        </w:rPr>
        <w:t>(Albertini and Kohli 2013; Albertini et al. 2007; Hank 2011; Hank and Buber 2009; Igel et al. 2009; Igel and Szydlik 2011)</w:t>
      </w:r>
      <w:r w:rsidRPr="00C3671E">
        <w:fldChar w:fldCharType="end"/>
      </w:r>
      <w:r w:rsidRPr="00C3671E">
        <w:t>. Nevertheless, Figure 2 suggests that Western Europe is closer to Nordic countries and Post-communist countries to Southern Europe in this regard.</w:t>
      </w:r>
    </w:p>
    <w:p w14:paraId="29860625" w14:textId="113FB953" w:rsidR="00676326" w:rsidRPr="00C3671E" w:rsidRDefault="00676326" w:rsidP="00676326">
      <w:pPr>
        <w:spacing w:before="100" w:beforeAutospacing="1"/>
        <w:jc w:val="both"/>
        <w:rPr>
          <w:b/>
          <w:lang w:val="en-GB"/>
        </w:rPr>
      </w:pPr>
      <w:bookmarkStart w:id="8" w:name="_Toc512687434"/>
      <w:r w:rsidRPr="00C3671E">
        <w:rPr>
          <w:b/>
          <w:lang w:val="en-GB"/>
        </w:rPr>
        <w:lastRenderedPageBreak/>
        <w:t xml:space="preserve">Figure </w:t>
      </w:r>
      <w:r w:rsidRPr="00C3671E">
        <w:rPr>
          <w:b/>
          <w:lang w:val="en-GB"/>
        </w:rPr>
        <w:fldChar w:fldCharType="begin"/>
      </w:r>
      <w:r w:rsidRPr="00C3671E">
        <w:rPr>
          <w:b/>
          <w:lang w:val="en-GB"/>
        </w:rPr>
        <w:instrText xml:space="preserve"> SEQ Figure \* ARABIC </w:instrText>
      </w:r>
      <w:r w:rsidRPr="00C3671E">
        <w:rPr>
          <w:b/>
          <w:lang w:val="en-GB"/>
        </w:rPr>
        <w:fldChar w:fldCharType="separate"/>
      </w:r>
      <w:r w:rsidR="00A95FE5" w:rsidRPr="00C3671E">
        <w:rPr>
          <w:b/>
          <w:noProof/>
          <w:lang w:val="en-GB"/>
        </w:rPr>
        <w:t>2</w:t>
      </w:r>
      <w:r w:rsidRPr="00C3671E">
        <w:rPr>
          <w:b/>
          <w:lang w:val="en-GB"/>
        </w:rPr>
        <w:fldChar w:fldCharType="end"/>
      </w:r>
      <w:r w:rsidRPr="00C3671E">
        <w:rPr>
          <w:b/>
          <w:lang w:val="en-GB"/>
        </w:rPr>
        <w:t>: Prevalence of three types of care provided by population 50+ in four European regions</w:t>
      </w:r>
      <w:bookmarkEnd w:id="8"/>
    </w:p>
    <w:p w14:paraId="15A6881E" w14:textId="57796CD6" w:rsidR="00676326" w:rsidRPr="00C3671E" w:rsidRDefault="00676326" w:rsidP="00676326">
      <w:pPr>
        <w:rPr>
          <w:noProof/>
          <w:lang w:val="en-GB"/>
        </w:rPr>
      </w:pPr>
      <w:r w:rsidRPr="00C3671E">
        <w:rPr>
          <w:noProof/>
          <w:lang w:val="en-GB"/>
        </w:rPr>
        <w:drawing>
          <wp:inline distT="0" distB="0" distL="0" distR="0" wp14:anchorId="3829DBC2" wp14:editId="25F8DE6B">
            <wp:extent cx="5633085" cy="3299460"/>
            <wp:effectExtent l="0" t="0" r="5715" b="15240"/>
            <wp:docPr id="21" name="Graf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C0B619" w14:textId="77777777" w:rsidR="00676326" w:rsidRPr="00C3671E" w:rsidRDefault="00676326" w:rsidP="00676326">
      <w:pPr>
        <w:rPr>
          <w:sz w:val="20"/>
          <w:szCs w:val="20"/>
          <w:lang w:val="en-GB"/>
        </w:rPr>
      </w:pPr>
      <w:r w:rsidRPr="00C3671E">
        <w:rPr>
          <w:i/>
          <w:sz w:val="20"/>
          <w:szCs w:val="20"/>
          <w:lang w:val="en-GB"/>
        </w:rPr>
        <w:t xml:space="preserve">Source: </w:t>
      </w:r>
      <w:r w:rsidRPr="00C3671E">
        <w:rPr>
          <w:sz w:val="20"/>
          <w:szCs w:val="20"/>
          <w:lang w:val="en-GB"/>
        </w:rPr>
        <w:t>These calculations use data from SHARE, wave 6.</w:t>
      </w:r>
    </w:p>
    <w:p w14:paraId="6C16B6B2" w14:textId="77777777" w:rsidR="00676326" w:rsidRPr="00C3671E" w:rsidRDefault="00676326" w:rsidP="00676326">
      <w:pPr>
        <w:rPr>
          <w:lang w:val="en-GB"/>
        </w:rPr>
      </w:pPr>
    </w:p>
    <w:p w14:paraId="3E6BADCB" w14:textId="77777777" w:rsidR="00676326" w:rsidRPr="00C3671E" w:rsidRDefault="00676326" w:rsidP="00676326">
      <w:pPr>
        <w:suppressAutoHyphens/>
        <w:spacing w:line="480" w:lineRule="auto"/>
        <w:jc w:val="both"/>
        <w:rPr>
          <w:lang w:val="en-GB"/>
        </w:rPr>
      </w:pPr>
      <w:r w:rsidRPr="00C3671E">
        <w:rPr>
          <w:lang w:val="en-GB"/>
        </w:rPr>
        <w:t xml:space="preserve">The active ageing policy supports </w:t>
      </w:r>
      <w:r w:rsidRPr="00C3671E">
        <w:rPr>
          <w:noProof/>
          <w:lang w:val="en-GB" w:eastAsia="zh-CN"/>
        </w:rPr>
        <w:t>also</w:t>
      </w:r>
      <w:r w:rsidRPr="00C3671E">
        <w:rPr>
          <w:lang w:val="en-GB"/>
        </w:rPr>
        <w:t xml:space="preserve"> other activities than work and caregiving. This concerns most of all physical and social activities; the prevalence of the most important examples is displayed in Figure 3. SHARE contains questions ‘Which of the activities (…) have you done in the last twelve months?’ and ‘How often do you engage in vigorous physical activity, such as sports, heavy housework, or a job that involves physical labour?’. The question on the activities is followed by the items ‘Done voluntary or charity work’, ‘Attended an educational or training course’, ‘Gone to a sport, social or other kind of club’, and ‘Taken part in a political or community-related organization’, which are the only options present in all waves. Figure 3 contains only activities performed at least monthly as positive answers. Clearly, vigorous physical activity is the most prevalent of the five activities among older adults, as it includes demanding sports, labour, and housework. Prevalence of participation in sport or social club together with volunteering are also not negligible, while taking educational courses and active political participation are rare.</w:t>
      </w:r>
    </w:p>
    <w:p w14:paraId="43F72A93" w14:textId="5EEDCAE0" w:rsidR="00676326" w:rsidRPr="00C3671E" w:rsidRDefault="00676326" w:rsidP="00676326">
      <w:pPr>
        <w:pStyle w:val="Newparagraph"/>
        <w:jc w:val="both"/>
      </w:pPr>
      <w:r w:rsidRPr="00C3671E">
        <w:lastRenderedPageBreak/>
        <w:t xml:space="preserve">Still, Figure 3 contains large regional </w:t>
      </w:r>
      <w:r w:rsidRPr="00C3671E">
        <w:rPr>
          <w:lang w:eastAsia="zh-CN"/>
        </w:rPr>
        <w:t>differences</w:t>
      </w:r>
      <w:r w:rsidRPr="00C3671E">
        <w:t xml:space="preserve">. On the one hand, Nordic countries have the highest participation in most of the activities, followed by Western Europe. On the other hand, the participation in Southern Europe and Post-communist countries is lower in all included indicators except rather high physical activity in the Post-communist region, which could still contain physical labour or housework rather than some enjoyable activity. The differences striking especially for some activities like participation in sport or social club, which is performed by 48 percent older people from Nordic countries, 29 percent from Western Europe, and equally 10 percent from Southern Europe and Post-communist countries. These statistics are congruent with the highest AAI scores in Nordic countries, followed by Western-European countries and then by members South-Central-East macro-region </w:t>
      </w:r>
      <w:r w:rsidRPr="00C3671E">
        <w:fldChar w:fldCharType="begin" w:fldLock="1"/>
      </w:r>
      <w:r w:rsidR="001257AA" w:rsidRPr="00C3671E">
        <w:instrText>ADDIN CSL_CITATION { "citationItems" : [ { "id" : "ITEM-1", "itemData" : { "author" : [ { "dropping-particle" : "", "family" : "European Commission", "given" : "", "non-dropping-particle" : "", "parse-names" : false, "suffix" : "" } ], "id" : "ITEM-1", "issued" : { "date-parts" : [ [ "2013" ] ] }, "publisher" : "European Comission", "publisher-place" : "Brussels", "title" : "Introducing the Active Ageing Index. Policy brief", "type" : "book" }, "uris" : [ "http://www.mendeley.com/documents/?uuid=15ea840e-806d-4ce4-88d2-b847e7b3756b" ] }, { "id" : "ITEM-2", "itemData" : { "abstract" : "The report should be referred to as: UNECE/ European Commission (2015) \u201cActive Ageing Index 2014: Analytical Report\u201d, Report prepared by Asghar Zaidi of Centre for Research on Ageing, University of Southampton and David Stanton, under contract with United Nations Economic Commission for Europe (Geneva), co-funded by the European Commission\u2019s Directorate General for Employment, Social Affairs and Inclusion (Brussels).", "author" : [ { "dropping-particle" : "", "family" : "Zaidi", "given" : "Asghar", "non-dropping-particle" : "", "parse-names" : false, "suffix" : "" } ], "id" : "ITEM-2", "issue" : "April", "issued" : { "date-parts" : [ [ "2015" ] ] }, "number-of-pages" : "1-9", "publisher" : "UNECE", "publisher-place" : "Geneva", "title" : "Active Ageing Index 2014 Analytical Report", "type" : "book" }, "uris" : [ "http://www.mendeley.com/documents/?uuid=e5502369-34dc-4c1e-ad2d-b04716a04efe" ] } ], "mendeley" : { "formattedCitation" : "(European Commission 2013; Zaidi 2015)", "plainTextFormattedCitation" : "(European Commission 2013; Zaidi 2015)", "previouslyFormattedCitation" : "(European Commission 2013; Zaidi 2015)" }, "properties" : { "noteIndex" : 0 }, "schema" : "https://github.com/citation-style-language/schema/raw/master/csl-citation.json" }</w:instrText>
      </w:r>
      <w:r w:rsidRPr="00C3671E">
        <w:fldChar w:fldCharType="separate"/>
      </w:r>
      <w:r w:rsidR="00A91559" w:rsidRPr="00C3671E">
        <w:rPr>
          <w:noProof/>
        </w:rPr>
        <w:t>(European Commission 2013; Zaidi 2015)</w:t>
      </w:r>
      <w:r w:rsidRPr="00C3671E">
        <w:fldChar w:fldCharType="end"/>
      </w:r>
      <w:r w:rsidRPr="00C3671E">
        <w:t>. In summary, the results indicate a) substantial regional differences across Europe and b) similarities between two pairs of regions, which may form some North-West/South-East axis.</w:t>
      </w:r>
    </w:p>
    <w:p w14:paraId="7C291D78" w14:textId="2BC71CC1" w:rsidR="00676326" w:rsidRPr="00C3671E" w:rsidRDefault="00676326" w:rsidP="00676326">
      <w:pPr>
        <w:spacing w:before="100" w:beforeAutospacing="1"/>
        <w:jc w:val="both"/>
        <w:rPr>
          <w:b/>
          <w:lang w:val="en-GB"/>
        </w:rPr>
      </w:pPr>
      <w:bookmarkStart w:id="9" w:name="_Toc512687435"/>
      <w:r w:rsidRPr="00C3671E">
        <w:rPr>
          <w:b/>
          <w:lang w:val="en-GB"/>
        </w:rPr>
        <w:t xml:space="preserve">Figure </w:t>
      </w:r>
      <w:r w:rsidRPr="00C3671E">
        <w:rPr>
          <w:b/>
          <w:lang w:val="en-GB"/>
        </w:rPr>
        <w:fldChar w:fldCharType="begin"/>
      </w:r>
      <w:r w:rsidRPr="00C3671E">
        <w:rPr>
          <w:b/>
          <w:lang w:val="en-GB"/>
        </w:rPr>
        <w:instrText xml:space="preserve"> SEQ Figure \* ARABIC </w:instrText>
      </w:r>
      <w:r w:rsidRPr="00C3671E">
        <w:rPr>
          <w:b/>
          <w:lang w:val="en-GB"/>
        </w:rPr>
        <w:fldChar w:fldCharType="separate"/>
      </w:r>
      <w:r w:rsidR="00A95FE5" w:rsidRPr="00C3671E">
        <w:rPr>
          <w:b/>
          <w:noProof/>
          <w:lang w:val="en-GB"/>
        </w:rPr>
        <w:t>3</w:t>
      </w:r>
      <w:r w:rsidRPr="00C3671E">
        <w:rPr>
          <w:b/>
          <w:lang w:val="en-GB"/>
        </w:rPr>
        <w:fldChar w:fldCharType="end"/>
      </w:r>
      <w:r w:rsidRPr="00C3671E">
        <w:rPr>
          <w:b/>
          <w:lang w:val="en-GB"/>
        </w:rPr>
        <w:t>: Prevalence of five activities promoted by the active ageing approach in population 50+ within four European regions</w:t>
      </w:r>
      <w:bookmarkEnd w:id="9"/>
    </w:p>
    <w:p w14:paraId="505C7D27" w14:textId="4B420410" w:rsidR="00676326" w:rsidRPr="00C3671E" w:rsidRDefault="00676326" w:rsidP="00676326">
      <w:pPr>
        <w:rPr>
          <w:noProof/>
          <w:lang w:val="en-GB"/>
        </w:rPr>
      </w:pPr>
      <w:r w:rsidRPr="00C3671E">
        <w:rPr>
          <w:noProof/>
          <w:lang w:val="en-GB"/>
        </w:rPr>
        <w:drawing>
          <wp:inline distT="0" distB="0" distL="0" distR="0" wp14:anchorId="38E0777F" wp14:editId="6DE37D12">
            <wp:extent cx="5623560" cy="3214370"/>
            <wp:effectExtent l="0" t="0" r="15240" b="5080"/>
            <wp:docPr id="20" name="Graf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3A250D" w14:textId="77777777" w:rsidR="00676326" w:rsidRPr="00C3671E" w:rsidRDefault="00676326" w:rsidP="00676326">
      <w:pPr>
        <w:rPr>
          <w:sz w:val="20"/>
          <w:szCs w:val="20"/>
          <w:lang w:val="en-GB"/>
        </w:rPr>
      </w:pPr>
      <w:r w:rsidRPr="00C3671E">
        <w:rPr>
          <w:i/>
          <w:sz w:val="20"/>
          <w:szCs w:val="20"/>
          <w:lang w:val="en-GB"/>
        </w:rPr>
        <w:t xml:space="preserve">Source: </w:t>
      </w:r>
      <w:r w:rsidRPr="00C3671E">
        <w:rPr>
          <w:sz w:val="20"/>
          <w:szCs w:val="20"/>
          <w:lang w:val="en-GB"/>
        </w:rPr>
        <w:t>These calculations use data from SHARE, wave 6.</w:t>
      </w:r>
    </w:p>
    <w:p w14:paraId="5CAC1C11" w14:textId="77777777" w:rsidR="00676326" w:rsidRPr="00C3671E" w:rsidRDefault="00676326" w:rsidP="00676326">
      <w:pPr>
        <w:rPr>
          <w:noProof/>
          <w:lang w:val="en-GB"/>
        </w:rPr>
      </w:pPr>
    </w:p>
    <w:p w14:paraId="51BDA8CB" w14:textId="77777777" w:rsidR="00676326" w:rsidRPr="00C3671E" w:rsidRDefault="00676326" w:rsidP="00676326">
      <w:pPr>
        <w:suppressAutoHyphens/>
        <w:spacing w:line="480" w:lineRule="auto"/>
        <w:jc w:val="both"/>
        <w:rPr>
          <w:noProof/>
          <w:lang w:val="en-GB"/>
        </w:rPr>
      </w:pPr>
      <w:r w:rsidRPr="00C3671E">
        <w:rPr>
          <w:noProof/>
          <w:lang w:val="en-GB"/>
        </w:rPr>
        <w:lastRenderedPageBreak/>
        <w:t>The differences in heterogeneous European context are easier to describe than explain. This part of the thesis does not follow such difficult goal; it rather aims to present some examples of relationships between contextual factors and aggregated individual behaviour in the forms of later life activities. Some of the relationships are then more elaborated in empirical chapters of the thesis.</w:t>
      </w:r>
    </w:p>
    <w:p w14:paraId="74014DCF" w14:textId="457DB766" w:rsidR="00676326" w:rsidRPr="00C3671E" w:rsidRDefault="00676326" w:rsidP="00676326">
      <w:pPr>
        <w:pStyle w:val="Newparagraph"/>
        <w:jc w:val="both"/>
        <w:rPr>
          <w:noProof/>
        </w:rPr>
      </w:pPr>
      <w:r w:rsidRPr="00C3671E">
        <w:rPr>
          <w:noProof/>
        </w:rPr>
        <w:t xml:space="preserve">Economic situation and </w:t>
      </w:r>
      <w:r w:rsidRPr="00C3671E">
        <w:rPr>
          <w:lang w:eastAsia="zh-CN"/>
        </w:rPr>
        <w:t>development</w:t>
      </w:r>
      <w:r w:rsidRPr="00C3671E">
        <w:rPr>
          <w:noProof/>
        </w:rPr>
        <w:t xml:space="preserve"> provides an important context for many areas of human existence </w:t>
      </w:r>
      <w:r w:rsidRPr="00C3671E">
        <w:rPr>
          <w:noProof/>
        </w:rPr>
        <w:fldChar w:fldCharType="begin" w:fldLock="1"/>
      </w:r>
      <w:r w:rsidR="001257AA" w:rsidRPr="00C3671E">
        <w:rPr>
          <w:noProof/>
        </w:rPr>
        <w:instrText>ADDIN CSL_CITATION { "citationItems" : [ { "id" : "ITEM-1", "itemData" : { "author" : [ { "dropping-particle" : "", "family" : "Alvard", "given" : "Michael", "non-dropping-particle" : "", "parse-names" : false, "suffix" : "" } ], "id" : "ITEM-1", "issued" : { "date-parts" : [ [ "2004" ] ] }, "publisher" : "Emerald Group Publishing Limited", "publisher-place" : "Bingley", "title" : "Socioeconomic aspects of human behavioral ecology", "type" : "book" }, "uris" : [ "http://www.mendeley.com/documents/?uuid=106e1068-4ce9-461c-a137-992d934550ba" ] }, { "id" : "ITEM-2", "itemData" : { "author" : [ { "dropping-particle" : "", "family" : "Marx", "given" : "Karl", "non-dropping-particle" : "", "parse-names" : false, "suffix" : "" }, { "dropping-particle" : "", "family" : "Engels", "given" : "Friedrich", "non-dropping-particle" : "", "parse-names" : false, "suffix" : "" } ], "edition" : "Great book", "id" : "ITEM-2", "issued" : { "date-parts" : [ [ "1952" ] ] }, "number-of-pages" : "411", "publisher" : "Encyclopaedia Britannica", "publisher-place" : "Chicago", "title" : "Capital", "type" : "book" }, "uris" : [ "http://www.mendeley.com/documents/?uuid=10543a83-f027-4a1b-987c-1a076a2c6f2d" ] }, { "id" : "ITEM-3", "itemData" : { "author" : [ { "dropping-particle" : "", "family" : "Inglehart", "given" : "Ronald", "non-dropping-particle" : "", "parse-names" : false, "suffix" : "" } ], "id" : "ITEM-3", "issued" : { "date-parts" : [ [ "1977" ] ] }, "publisher" : "Princeton University Press", "publisher-place" : "Princeton", "title" : "The Silent Revolution: Changing Values and Political Styles Among Western Publics", "type" : "book" }, "uris" : [ "http://www.mendeley.com/documents/?uuid=237848b7-5a83-4982-aba3-022ca1557adf" ] } ], "mendeley" : { "formattedCitation" : "(Alvard 2004; Inglehart 1977; Marx and Engels 1952)", "plainTextFormattedCitation" : "(Alvard 2004; Inglehart 1977; Marx and Engels 1952)", "previouslyFormattedCitation" : "(Alvard 2004; Inglehart 1977; Marx and Engels 1952)" }, "properties" : { "noteIndex" : 0 }, "schema" : "https://github.com/citation-style-language/schema/raw/master/csl-citation.json" }</w:instrText>
      </w:r>
      <w:r w:rsidRPr="00C3671E">
        <w:rPr>
          <w:noProof/>
        </w:rPr>
        <w:fldChar w:fldCharType="separate"/>
      </w:r>
      <w:r w:rsidR="00A91559" w:rsidRPr="00C3671E">
        <w:rPr>
          <w:noProof/>
        </w:rPr>
        <w:t>(Alvard 2004; Inglehart 1977; Marx and Engels 1952)</w:t>
      </w:r>
      <w:r w:rsidRPr="00C3671E">
        <w:rPr>
          <w:noProof/>
        </w:rPr>
        <w:fldChar w:fldCharType="end"/>
      </w:r>
      <w:r w:rsidRPr="00C3671E">
        <w:rPr>
          <w:noProof/>
        </w:rPr>
        <w:t xml:space="preserve"> and the process of ageing is not an exception </w:t>
      </w:r>
      <w:r w:rsidRPr="00C3671E">
        <w:rPr>
          <w:noProof/>
        </w:rPr>
        <w:fldChar w:fldCharType="begin" w:fldLock="1"/>
      </w:r>
      <w:r w:rsidR="001257AA" w:rsidRPr="00C3671E">
        <w:rPr>
          <w:noProof/>
        </w:rPr>
        <w:instrText>ADDIN CSL_CITATION { "citationItems" : [ { "id" : "ITEM-1", "itemData" : { "DOI" : "10.1007/s12062-017-9174-6", "ISSN" : "1874-7884", "abstract" : "Why Active Ageing Matters\\r\\nBy the end of the first half of the twentieth century most European states had introduced public pension schemes of one sort or another. In doing so they were affirming the role of the state in providing individuals with a form of support that all but a few would struggle to provide for themselves. The objectives of these schemes were generally quite limited: to reduce the risk of poverty in old age by facilitating savings during working life. The rationale was simple: to provide access to financial support - a regular and reliable income \u2013 for a time of life when the ability to work was increasingly impaired by loss of health or functional ability. In the second half of the century, after the second world war, increasing affluence combined with a more demanding view of the responsibilities of government to improve the generosity of pensions and to expand welfare systems in ways that conferred other benefits on their older populations besides a basic pension income, including the provision of social care (e.g. care homes for older people who had no family and were unable to look after themselves in their own homes). Policy was still broadly conceived as a collective response to age-related losses that undermined independence.", "author" : [ { "dropping-particle" : "", "family" : "Zaidi", "given" : "Asghar", "non-dropping-particle" : "", "parse-names" : false, "suffix" : "" }, { "dropping-particle" : "", "family" : "Howse", "given" : "Kenneth", "non-dropping-particle" : "", "parse-names" : false, "suffix" : "" } ], "container-title" : "Journal of Population Ageing", "id" : "ITEM-1", "issue" : "1", "issued" : { "date-parts" : [ [ "2017" ] ] }, "page" : "1-10", "publisher" : "Journal of Population Ageing", "title" : "The Policy Discourse of Active Ageing: Some Reflections", "type" : "article-journal", "volume" : "10" }, "uris" : [ "http://www.mendeley.com/documents/?uuid=badd02a6-0ba4-4766-b6a7-a04a46414a57" ] }, { "id" : "ITEM-2", "itemData" : { "author" : [ { "dropping-particle" : "", "family" : "Ebbinghaus", "given" : "Bernhard", "non-dropping-particle" : "", "parse-names" : false, "suffix" : "" } ], "chapter-number" : "9", "container-title" : "The politics of the New Welfare State", "editor" : [ { "dropping-particle" : "", "family" : "Bonoli", "given" : "Giuliano", "non-dropping-particle" : "", "parse-names" : false, "suffix" : "" } ], "id" : "ITEM-2", "issued" : { "date-parts" : [ [ "2012" ] ] }, "page" : "182-205", "publisher" : "Oxford University Press", "publisher-place" : "Oxford", "title" : "Europe\u2019s transformations towards a renewed pension system", "type" : "chapter" }, "uris" : [ "http://www.mendeley.com/documents/?uuid=5eb677ee-d907-44b8-a1ab-ea7c18ca7df3" ] }, { "id" : "ITEM-3", "itemData" : { "DOI" : "10.1017/S0144686X1400035X", "ISBN" : "0144-686X", "ISSN" : "0144-686X", "PMID" : "103631598", "abstract" : "Faced with demographic ageing, European policy makers since the mid-1990s have taken a turn from fostering early retirement to promoting longer working life by reducing early exit incentives and facilitating work continuation. However, it remains open whether these reforms are yet reflected in the retirement plans and preferences of future pensioners\u2019 cohorts. Using most recent data on desired retirement ages from the fifth wave of the European Social Survey (2010/11 wave), this paper empirically investigates how far current policy reforms are in line with the retirement age preferences of older workers aged 45 and over. Results show that older workers approaching retirement ages still intend to retire before the politically envisioned age of 65, and in many cases also before nationally defined standard retirement ages. Despite visible progress in implementing active ageing measures, the challenge of motivating older workers to continue working until or even beyond retirement ages thus remains. At the same time, there are regime-specific problem groups that face difficulties in adjusting to the active ageing paradigm of longer working life. Especially in countries with little employment support, those with unstable work careers, employment interruptions and few financial resources are at a high risk of being crowded out from late career employment and thus from the possibility of ensuring a decent standard of living in old age.", "author" : [ { "dropping-particle" : "", "family" : "Hof\u00e4cker", "given" : "Dirk", "non-dropping-particle" : "", "parse-names" : false, "suffix" : "" } ], "container-title" : "Ageing &amp; Society", "id" : "ITEM-3", "issue" : "07", "issued" : { "date-parts" : [ [ "2015" ] ] }, "page" : "1529-1556", "title" : "In line or at odds with active ageing policies? Exploring patterns of retirement preferences in Europe", "type" : "article-journal", "volume" : "35" }, "uris" : [ "http://www.mendeley.com/documents/?uuid=4475c386-f8dc-4818-8918-2dd7e514f58a" ] }, { "id" : "ITEM-4", "itemData" : { "DOI" : "10.1007/s10433-013-0272-x", "ISBN" : "1613-9372", "ISSN" : "16139372", "abstract" : "The relationship between class and intergenerational solidarities in the public and private spheres calls for further conceptual and theoretical development. This article discusses the findings from the first wave of a qualitative longitudinal study entitled Changing Generations, conducted in Ireland in 2011-2012, comprising 100 in-depth interviews with men and women across the age and socioeconomic spectrums. Constructivist grounded theory analysis of the data gives rise to the following postulates: (1) intergenerational solidarity at the family level is strongly contoured by socioeconomic status (SES); (2) intergenerational solidarity evolves as family generations observe each others' practices and adjust their expectations accordingly; (3) intergenerational solidarity within families is also shaped by the public sphere (the welfare state) that generates varying expectations and levels of solidarity regarding State supports for different age groups, again largely dependent on SES; (4) the liberal welfare state context, especially at a time of economic crisis, enhances the significance of intergenerational solidarity within families. We conclude by calling for research that is attuned to age/generation, gender and class, and how these operate across the family and societal levels.", "author" : [ { "dropping-particle" : "", "family" : "Timonen", "given" : "Virpi", "non-dropping-particle" : "", "parse-names" : false, "suffix" : "" }, { "dropping-particle" : "", "family" : "Conlon", "given" : "Catherine", "non-dropping-particle" : "", "parse-names" : false, "suffix" : "" }, { "dropping-particle" : "", "family" : "Scharf", "given" : "Thomas", "non-dropping-particle" : "", "parse-names" : false, "suffix" : "" }, { "dropping-particle" : "", "family" : "Carney", "given" : "Gemma", "non-dropping-particle" : "", "parse-names" : false, "suffix" : "" } ], "container-title" : "European Journal of Ageing", "id" : "ITEM-4", "issue" : "3", "issued" : { "date-parts" : [ [ "2013" ] ] }, "page" : "171-179", "title" : "Family, state, class and solidarity: Re-conceptualising intergenerational solidarity through the grounded theory approach", "type" : "article-journal", "volume" : "10" }, "uris" : [ "http://www.mendeley.com/documents/?uuid=26c44229-42e7-433c-b5f3-a712183aab0e" ] }, { "id" : "ITEM-5", "itemData" : { "author" : [ { "dropping-particle" : "", "family" : "Phillips", "given" : "Judith", "non-dropping-particle" : "", "parse-names" : false, "suffix" : "" }, { "dropping-particle" : "", "family" : "Ajrouch", "given" : "Kristine", "non-dropping-particle" : "", "parse-names" : false, "suffix" : "" }, { "dropping-particle" : "", "family" : "Hillcoat-Nall\u00e9tamby", "given" : "Sarah", "non-dropping-particle" : "", "parse-names" : false, "suffix" : "" } ], "id" : "ITEM-5", "issued" : { "date-parts" : [ [ "2010" ] ] }, "publisher" : "SAGE", "publisher-place" : "Los Angeles", "title" : "Key concepts in social gerontology", "type" : "book" }, "uris" : [ "http://www.mendeley.com/documents/?uuid=aa168abc-3880-4938-aaf6-f6359651c5f9" ] } ], "mendeley" : { "formattedCitation" : "(Ebbinghaus 2012b; Hof\u00e4cker 2015; Phillips, Ajrouch, and Hillcoat-Nall\u00e9tamby 2010; Timonen et al. 2013; Zaidi and Howse 2017)", "plainTextFormattedCitation" : "(Ebbinghaus 2012b; Hof\u00e4cker 2015; Phillips, Ajrouch, and Hillcoat-Nall\u00e9tamby 2010; Timonen et al. 2013; Zaidi and Howse 2017)", "previouslyFormattedCitation" : "(Ebbinghaus 2012b; Hof\u00e4cker 2015; Phillips, Ajrouch, and Hillcoat-Nall\u00e9tamby 2010; Timonen et al. 2013; Zaidi and Howse 2017)" }, "properties" : { "noteIndex" : 0 }, "schema" : "https://github.com/citation-style-language/schema/raw/master/csl-citation.json" }</w:instrText>
      </w:r>
      <w:r w:rsidRPr="00C3671E">
        <w:rPr>
          <w:noProof/>
        </w:rPr>
        <w:fldChar w:fldCharType="separate"/>
      </w:r>
      <w:r w:rsidR="00A91559" w:rsidRPr="00C3671E">
        <w:rPr>
          <w:noProof/>
        </w:rPr>
        <w:t>(Ebbinghaus 2012b; Hofäcker 2015; Phillips, Ajrouch, and Hillcoat-Nallétamby 2010; Timonen et al. 2013; Zaidi and Howse 2017)</w:t>
      </w:r>
      <w:r w:rsidRPr="00C3671E">
        <w:rPr>
          <w:noProof/>
        </w:rPr>
        <w:fldChar w:fldCharType="end"/>
      </w:r>
      <w:r w:rsidRPr="00C3671E">
        <w:rPr>
          <w:noProof/>
        </w:rPr>
        <w:t xml:space="preserve">. GDP per capita or another indicator of economic situation can be connected to many aspects of living in a given country and its connection to the situation on the labour market seems straightforward. Figure 4 shows this relationship on the country level using GDP per capita in dollars from 2015 </w:t>
      </w:r>
      <w:r w:rsidRPr="00C3671E">
        <w:rPr>
          <w:noProof/>
        </w:rPr>
        <w:fldChar w:fldCharType="begin" w:fldLock="1"/>
      </w:r>
      <w:r w:rsidRPr="00C3671E">
        <w:rPr>
          <w:noProof/>
        </w:rPr>
        <w:instrText>ADDIN CSL_CITATION { "citationItems" : [ { "id" : "ITEM-1", "itemData" : { "URL" : "https://data.worldbank.org/indicator/NY.GDP.PCAP.CD?end=2015&amp;start=1960", "accessed" : { "date-parts" : [ [ "2018", "3", "15" ] ] }, "author" : [ { "dropping-particle" : "", "family" : "World Bank", "given" : "", "non-dropping-particle" : "", "parse-names" : false, "suffix" : "" } ], "id" : "ITEM-1", "issued" : { "date-parts" : [ [ "2018" ] ] }, "title" : "GDP per capita (current US$)", "type" : "webpage" }, "uris" : [ "http://www.mendeley.com/documents/?uuid=9d1cfd3c-fa76-46fc-8d5a-aac48e20f25b" ] } ], "mendeley" : { "formattedCitation" : "(World Bank 2018)", "plainTextFormattedCitation" : "(World Bank 2018)", "previouslyFormattedCitation" : "(World Bank 2018)" }, "properties" : { "noteIndex" : 0 }, "schema" : "https://github.com/citation-style-language/schema/raw/master/csl-citation.json" }</w:instrText>
      </w:r>
      <w:r w:rsidRPr="00C3671E">
        <w:rPr>
          <w:noProof/>
        </w:rPr>
        <w:fldChar w:fldCharType="separate"/>
      </w:r>
      <w:r w:rsidRPr="00C3671E">
        <w:rPr>
          <w:noProof/>
        </w:rPr>
        <w:t>(World Bank 2018)</w:t>
      </w:r>
      <w:r w:rsidRPr="00C3671E">
        <w:rPr>
          <w:noProof/>
        </w:rPr>
        <w:fldChar w:fldCharType="end"/>
      </w:r>
      <w:r w:rsidRPr="00C3671E">
        <w:rPr>
          <w:noProof/>
        </w:rPr>
        <w:t xml:space="preserve"> and the same indicator of the current job situation as Figure 1.</w:t>
      </w:r>
    </w:p>
    <w:p w14:paraId="7112E4C6" w14:textId="77777777" w:rsidR="00676326" w:rsidRPr="00C3671E" w:rsidRDefault="00676326" w:rsidP="00676326">
      <w:pPr>
        <w:pStyle w:val="Newparagraph"/>
        <w:jc w:val="both"/>
        <w:rPr>
          <w:noProof/>
        </w:rPr>
      </w:pPr>
      <w:r w:rsidRPr="00C3671E">
        <w:rPr>
          <w:noProof/>
        </w:rPr>
        <w:t xml:space="preserve">The relationship in Figure 4 is </w:t>
      </w:r>
      <w:r w:rsidRPr="00C3671E">
        <w:rPr>
          <w:lang w:eastAsia="zh-CN"/>
        </w:rPr>
        <w:t>slightly</w:t>
      </w:r>
      <w:r w:rsidRPr="00C3671E">
        <w:rPr>
          <w:noProof/>
        </w:rPr>
        <w:t xml:space="preserve"> positive with all Southern-European and Post-communist countries having lower GDP per capita and lower participation of older adults on the labour market (about 30 percent). The only outlier is Slovenia with substantially higher labour force participation. The pattern is not strong, as we would expect much higher labour force participation in the richest country Luxemburg or in relative rich Austria. Nevetherless, the country group across regions in quite a predictable pattern.</w:t>
      </w:r>
    </w:p>
    <w:p w14:paraId="7CDF7364" w14:textId="41BA1A4F" w:rsidR="00676326" w:rsidRPr="00C3671E" w:rsidRDefault="00676326" w:rsidP="00676326">
      <w:pPr>
        <w:spacing w:before="100" w:beforeAutospacing="1"/>
        <w:jc w:val="both"/>
        <w:rPr>
          <w:b/>
          <w:lang w:val="en-GB"/>
        </w:rPr>
      </w:pPr>
      <w:bookmarkStart w:id="10" w:name="_Toc512687436"/>
      <w:r w:rsidRPr="00C3671E">
        <w:rPr>
          <w:b/>
          <w:lang w:val="en-GB"/>
        </w:rPr>
        <w:t xml:space="preserve">Figure </w:t>
      </w:r>
      <w:r w:rsidRPr="00C3671E">
        <w:rPr>
          <w:b/>
          <w:lang w:val="en-GB"/>
        </w:rPr>
        <w:fldChar w:fldCharType="begin"/>
      </w:r>
      <w:r w:rsidRPr="00C3671E">
        <w:rPr>
          <w:b/>
          <w:lang w:val="en-GB"/>
        </w:rPr>
        <w:instrText xml:space="preserve"> SEQ Figure \* ARABIC </w:instrText>
      </w:r>
      <w:r w:rsidRPr="00C3671E">
        <w:rPr>
          <w:b/>
          <w:lang w:val="en-GB"/>
        </w:rPr>
        <w:fldChar w:fldCharType="separate"/>
      </w:r>
      <w:r w:rsidR="00A95FE5" w:rsidRPr="00C3671E">
        <w:rPr>
          <w:b/>
          <w:noProof/>
          <w:lang w:val="en-GB"/>
        </w:rPr>
        <w:t>4</w:t>
      </w:r>
      <w:r w:rsidRPr="00C3671E">
        <w:rPr>
          <w:b/>
          <w:lang w:val="en-GB"/>
        </w:rPr>
        <w:fldChar w:fldCharType="end"/>
      </w:r>
      <w:r w:rsidRPr="00C3671E">
        <w:rPr>
          <w:b/>
          <w:lang w:val="en-GB"/>
        </w:rPr>
        <w:t>: The relationship between GDP per capita and participation of older adults on the labour market for 17 European countries</w:t>
      </w:r>
      <w:bookmarkEnd w:id="10"/>
    </w:p>
    <w:p w14:paraId="235AC016" w14:textId="7BC77481" w:rsidR="00676326" w:rsidRPr="00C3671E" w:rsidRDefault="00676326" w:rsidP="00676326">
      <w:pPr>
        <w:rPr>
          <w:noProof/>
          <w:lang w:val="en-GB"/>
        </w:rPr>
      </w:pPr>
      <w:r w:rsidRPr="00C3671E">
        <w:rPr>
          <w:noProof/>
          <w:lang w:val="en-GB"/>
        </w:rPr>
        <w:lastRenderedPageBreak/>
        <w:drawing>
          <wp:inline distT="0" distB="0" distL="0" distR="0" wp14:anchorId="16550AB2" wp14:editId="6100EE6B">
            <wp:extent cx="5585460" cy="3328035"/>
            <wp:effectExtent l="0" t="0" r="15240" b="5715"/>
            <wp:docPr id="19" name="Graf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87D01A" w14:textId="77777777" w:rsidR="00676326" w:rsidRPr="00C3671E" w:rsidRDefault="00676326" w:rsidP="00676326">
      <w:pPr>
        <w:rPr>
          <w:sz w:val="20"/>
          <w:szCs w:val="20"/>
          <w:lang w:val="en-GB"/>
        </w:rPr>
      </w:pPr>
      <w:r w:rsidRPr="00C3671E">
        <w:rPr>
          <w:i/>
          <w:sz w:val="20"/>
          <w:szCs w:val="20"/>
          <w:lang w:val="en-GB"/>
        </w:rPr>
        <w:t xml:space="preserve">Source: </w:t>
      </w:r>
      <w:r w:rsidRPr="00C3671E">
        <w:rPr>
          <w:sz w:val="20"/>
          <w:szCs w:val="20"/>
          <w:lang w:val="en-GB"/>
        </w:rPr>
        <w:t>These calculations use data from SHARE, wave 6.</w:t>
      </w:r>
    </w:p>
    <w:p w14:paraId="5447538E" w14:textId="77777777" w:rsidR="00676326" w:rsidRPr="00C3671E" w:rsidRDefault="00676326" w:rsidP="00676326">
      <w:pPr>
        <w:rPr>
          <w:noProof/>
          <w:lang w:val="en-GB"/>
        </w:rPr>
      </w:pPr>
    </w:p>
    <w:p w14:paraId="4F5D4DD2" w14:textId="19F10A34" w:rsidR="00676326" w:rsidRPr="00C3671E" w:rsidRDefault="00676326" w:rsidP="00676326">
      <w:pPr>
        <w:suppressAutoHyphens/>
        <w:spacing w:line="480" w:lineRule="auto"/>
        <w:jc w:val="both"/>
        <w:rPr>
          <w:noProof/>
          <w:lang w:val="en-GB"/>
        </w:rPr>
      </w:pPr>
      <w:r w:rsidRPr="00C3671E">
        <w:rPr>
          <w:noProof/>
          <w:lang w:val="en-GB"/>
        </w:rPr>
        <w:t xml:space="preserve">Figure 5 elaborates the </w:t>
      </w:r>
      <w:r w:rsidRPr="00C3671E">
        <w:rPr>
          <w:noProof/>
          <w:lang w:val="en-GB" w:eastAsia="zh-CN"/>
        </w:rPr>
        <w:t>impact</w:t>
      </w:r>
      <w:r w:rsidRPr="00C3671E">
        <w:rPr>
          <w:noProof/>
          <w:lang w:val="en-GB"/>
        </w:rPr>
        <w:t xml:space="preserve"> of the strength of familial norms in a society examined in a previous research </w:t>
      </w:r>
      <w:r w:rsidRPr="00C3671E">
        <w:rPr>
          <w:noProof/>
          <w:lang w:val="en-GB"/>
        </w:rPr>
        <w:fldChar w:fldCharType="begin" w:fldLock="1"/>
      </w:r>
      <w:r w:rsidR="001257AA" w:rsidRPr="00C3671E">
        <w:rPr>
          <w:noProof/>
          <w:lang w:val="en-GB"/>
        </w:rPr>
        <w:instrText>ADDIN CSL_CITATION { "citationItems" : [ { "id" : "ITEM-1", "itemData" : { "DOI" : "10.1093/esr/jcp035", "ISBN" : "0266-7215", "ISSN" : "02667215", "abstract" : "Little is known about if and how the effect of divorce on well-being varies across societal contexts. This article uses multilevel models for 38 developed countries to test three hypotheses about societal differences. Data are used from the European and World Values Studies. Results show that, in most countries, the divorced have a lower level of well-being than the married, but the magnitude of this difference varies significantly across countries, even when compositional factors are taken into account. The results show that the effect of divorce is weaker in countries where the family is strong, in line with notions of support. The effect of divorce also appears to be weaker when divorce is more common, which points to the role of declining selectivity as divorce rates go up. Mixed evidence was found for the role of norms. The divorce effect is stronger in countries that have stronger norms against divorce, but this was only found for religious persons. Together, these three factors explain more than half of the variance in the divorce effect. Outlier analyses further indicate that the estimates of cross-level interaction effects are sensitive to specific countries that are in the sample.", "author" : [ { "dropping-particle" : "", "family" : "Kalmijn", "given" : "Matthijs", "non-dropping-particle" : "", "parse-names" : false, "suffix" : "" } ], "container-title" : "European Sociological Review", "id" : "ITEM-1", "issue" : "4", "issued" : { "date-parts" : [ [ "2010" ] ] }, "page" : "475-490", "title" : "Country differences in the effects of divorce on well-being: The role of norms, support, and selectivity", "type" : "article-journal", "volume" : "26" }, "uris" : [ "http://www.mendeley.com/documents/?uuid=be3d311e-fa46-4890-b252-cb17c056e439" ] }, { "id" : "ITEM-2", "itemData" : { "DOI" : "10.1007/s10680-014-9336-7", "ISBN" : "1068001493367", "ISSN" : "15729885", "abstract" : "We analyse the impact of the provision of care on the health and quality of life (QoL) of adult female informal caregivers using a representative sample drawn from the survey of health, ageing and retirement in Europe (SHARE). We match each informal caregiver with a non-carer using propensity score matching and test whether matched individuals differ on self-assessed health and a functional indicator of QoL and whether this relationship differs across European regions. We find a North-South gradient both for self-assessed health and QoL, and our results show that the provision of caregiving to close relatives in Europe impacts on the caregivers' QoL and health in a way that depends on their geographical location, the degree of formal care and specific cultural and social factors of the area. We find that informal caregiving is a complex phenomenon which may bring both psychological rewards and distress to providers of care and this complexity, along with the geographical gradient highlight the importance of ensuring that policies match the needs of individual carers in their own geographical areas and cultural contexts. [ABSTRACT FROM AUTHOR] Copyright of European Journal of Population is the property of Springer Science &amp; Business Media B.V.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"Novi", "given" : "Cinzia", "non-dropping-particle" : "Di", "parse-names" : false, "suffix" : "" }, { "dropping-particle" : "", "family" : "Jacobs", "given" : "Rowena", "non-dropping-particle" : "", "parse-names" : false, "suffix" : "" }, { "dropping-particle" : "", "family" : "Migheli", "given" : "Matteo", "non-dropping-particle" : "", "parse-names" : false, "suffix" : "" } ], "container-title" : "European Journal of Population", "id" : "ITEM-2", "issue" : "3", "issued" : { "date-parts" : [ [ "2015" ] ] }, "page" : "309-333", "publisher" : "Springer Netherlands", "title" : "The Quality of Life of Female Informal Caregivers: From Scandinavia to the Mediterranean Sea", "type" : "article-journal", "volume" : "31" }, "uris" : [ "http://www.mendeley.com/documents/?uuid=1ccc65b6-fa56-4844-8194-2bfe00ef56d5" ] }, { "id" : "ITEM-3", "itemData" : { "DOI" : "10.1007/s10433-013-0294-4", "ISBN" : "1613-9372", "ISSN" : "1613-9372", "abstract" : "This study employs the concept of structured ambivalence to analyse the effect of grandchild care on quality of life (QoL) in different cultural contexts. We define structured ambivalence as the contradiction between behaviour and cultural norms. The analysis is based on the Survey of Health, Ageing and Retirement in Europe with 14 countries in the sample. We focus on grandparents aged 50 and over with at least one grandchild 12 years old or younger (n = 12,740). In countries with high grandparent obligations, grandparents who did not look after their grandchildren reported a lower quality of life. Compliance with such grandparental obligations (e.g. providing grandchild care in a country with high grandparent obligations) was found to increase the QoL of grandparents. Family policy should consider family practices that better match the realities of current grandparents\u2019 lives in order to reduce structured ambivalence and increase the QoL of grandparents.", "author" : [ { "dropping-particle" : "", "family" : "Neuberger", "given" : "Franz S.", "non-dropping-particle" : "", "parse-names" : false, "suffix" : "" }, { "dropping-particle" : "", "family" : "Haberkern", "given" : "Klaus", "non-dropping-particle" : "", "parse-names" : false, "suffix" : "" } ], "container-title" : "European Journal of Ageing", "id" : "ITEM-3", "issue" : "2", "issued" : { "date-parts" : [ [ "2014" ] ] }, "page" : "171-181", "title" : "Structured ambivalence in grandchild care and the quality of life among European grandparents", "type" : "article-journal", "volume" : "11" }, "uris" : [ "http://www.mendeley.com/documents/?uuid=f5b5cac1-e999-4c39-a97d-1363ab276312" ] } ], "mendeley" : { "formattedCitation" : "(Kalmijn 2010; Neuberger and Haberkern 2014; Di Novi et al. 2015)", "plainTextFormattedCitation" : "(Kalmijn 2010; Neuberger and Haberkern 2014; Di Novi et al. 2015)", "previouslyFormattedCitation" : "(Kalmijn 2010; Neuberger and Haberkern 2014; Di Novi et al. 2015)" }, "properties" : { "noteIndex" : 0 }, "schema" : "https://github.com/citation-style-language/schema/raw/master/csl-citation.json" }</w:instrText>
      </w:r>
      <w:r w:rsidRPr="00C3671E">
        <w:rPr>
          <w:noProof/>
          <w:lang w:val="en-GB"/>
        </w:rPr>
        <w:fldChar w:fldCharType="separate"/>
      </w:r>
      <w:r w:rsidR="00A91559" w:rsidRPr="00C3671E">
        <w:rPr>
          <w:noProof/>
          <w:lang w:val="en-GB"/>
        </w:rPr>
        <w:t>(Kalmijn 2010; Neuberger and Haberkern 2014; Di Novi et al. 2015)</w:t>
      </w:r>
      <w:r w:rsidRPr="00C3671E">
        <w:rPr>
          <w:noProof/>
          <w:lang w:val="en-GB"/>
        </w:rPr>
        <w:fldChar w:fldCharType="end"/>
      </w:r>
      <w:r w:rsidRPr="00C3671E">
        <w:rPr>
          <w:noProof/>
          <w:lang w:val="en-GB"/>
        </w:rPr>
        <w:t xml:space="preserve"> on the provision of daily care within a household. This description shows if a bit higher tendency of Southern and Post-communist regions towards the daily care from Figure 2 holds on the country-level and if it is connected to some social norms labelled as familial.</w:t>
      </w:r>
    </w:p>
    <w:p w14:paraId="497F45F5" w14:textId="77777777" w:rsidR="00676326" w:rsidRPr="00C3671E" w:rsidRDefault="00676326" w:rsidP="00676326">
      <w:pPr>
        <w:pStyle w:val="Newparagraph"/>
        <w:jc w:val="both"/>
        <w:rPr>
          <w:noProof/>
        </w:rPr>
      </w:pPr>
      <w:r w:rsidRPr="00C3671E">
        <w:rPr>
          <w:noProof/>
        </w:rPr>
        <w:t>The index of familialism was constructed from two items used in the last wave of European Values Study in 2008. Respondents evaluated items ‘Parents’ duty is to do their best for their children even at the expense of their own well-being’ and ‘Adult children have the duty to provide long-term care for their parents even at the expense of their own well-being’. Figure 5 displays proportion of adults in each country, who agree to both of these statements. The strongest familial norms seem to be in Portugal (81 percent) and Italy (76 percent) with Denmark (17 percent) and Sweden (26 percent) at the opposite end of the distribution. The level of familialism expectedly relates to the provision of daily care within a household and four European regions are distinguishable in the two-dimensional space with overlap of Southern Europe and Post-communist countries.</w:t>
      </w:r>
    </w:p>
    <w:p w14:paraId="32ABAB96" w14:textId="5A655FF2" w:rsidR="00676326" w:rsidRPr="00C3671E" w:rsidRDefault="00676326" w:rsidP="00676326">
      <w:pPr>
        <w:spacing w:before="100" w:beforeAutospacing="1"/>
        <w:jc w:val="both"/>
        <w:rPr>
          <w:b/>
          <w:lang w:val="en-GB"/>
        </w:rPr>
      </w:pPr>
      <w:bookmarkStart w:id="11" w:name="_Toc512687437"/>
      <w:r w:rsidRPr="00C3671E">
        <w:rPr>
          <w:b/>
          <w:lang w:val="en-GB"/>
        </w:rPr>
        <w:lastRenderedPageBreak/>
        <w:t xml:space="preserve">Figure </w:t>
      </w:r>
      <w:r w:rsidRPr="00C3671E">
        <w:rPr>
          <w:b/>
          <w:lang w:val="en-GB"/>
        </w:rPr>
        <w:fldChar w:fldCharType="begin"/>
      </w:r>
      <w:r w:rsidRPr="00C3671E">
        <w:rPr>
          <w:b/>
          <w:lang w:val="en-GB"/>
        </w:rPr>
        <w:instrText xml:space="preserve"> SEQ Figure \* ARABIC </w:instrText>
      </w:r>
      <w:r w:rsidRPr="00C3671E">
        <w:rPr>
          <w:b/>
          <w:lang w:val="en-GB"/>
        </w:rPr>
        <w:fldChar w:fldCharType="separate"/>
      </w:r>
      <w:r w:rsidR="00A95FE5" w:rsidRPr="00C3671E">
        <w:rPr>
          <w:b/>
          <w:noProof/>
          <w:lang w:val="en-GB"/>
        </w:rPr>
        <w:t>5</w:t>
      </w:r>
      <w:r w:rsidRPr="00C3671E">
        <w:rPr>
          <w:b/>
          <w:lang w:val="en-GB"/>
        </w:rPr>
        <w:fldChar w:fldCharType="end"/>
      </w:r>
      <w:r w:rsidRPr="00C3671E">
        <w:rPr>
          <w:b/>
          <w:lang w:val="en-GB"/>
        </w:rPr>
        <w:t>: The relationship between the strength of familial norms and prevalence of daily care within a household for 17 European countries</w:t>
      </w:r>
      <w:bookmarkEnd w:id="11"/>
    </w:p>
    <w:p w14:paraId="7EE25C53" w14:textId="02967DD5" w:rsidR="00676326" w:rsidRPr="00C3671E" w:rsidRDefault="00676326" w:rsidP="00676326">
      <w:pPr>
        <w:rPr>
          <w:noProof/>
          <w:lang w:val="en-GB"/>
        </w:rPr>
      </w:pPr>
      <w:r w:rsidRPr="00C3671E">
        <w:rPr>
          <w:noProof/>
          <w:lang w:val="en-GB"/>
        </w:rPr>
        <w:drawing>
          <wp:inline distT="0" distB="0" distL="0" distR="0" wp14:anchorId="5788140C" wp14:editId="0AB2A5FC">
            <wp:extent cx="5585460" cy="3308985"/>
            <wp:effectExtent l="0" t="0" r="15240" b="5715"/>
            <wp:docPr id="18" name="Graf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CFCDD41" w14:textId="77777777" w:rsidR="00676326" w:rsidRPr="00C3671E" w:rsidRDefault="00676326" w:rsidP="00676326">
      <w:pPr>
        <w:rPr>
          <w:sz w:val="20"/>
          <w:szCs w:val="20"/>
          <w:lang w:val="en-GB"/>
        </w:rPr>
      </w:pPr>
      <w:r w:rsidRPr="00C3671E">
        <w:rPr>
          <w:i/>
          <w:sz w:val="20"/>
          <w:szCs w:val="20"/>
          <w:lang w:val="en-GB"/>
        </w:rPr>
        <w:t xml:space="preserve">Source: </w:t>
      </w:r>
      <w:r w:rsidRPr="00C3671E">
        <w:rPr>
          <w:sz w:val="20"/>
          <w:szCs w:val="20"/>
          <w:lang w:val="en-GB"/>
        </w:rPr>
        <w:t>These calculations use data from SHARE, wave 6.</w:t>
      </w:r>
    </w:p>
    <w:p w14:paraId="1BC0DF42" w14:textId="77777777" w:rsidR="00676326" w:rsidRPr="00C3671E" w:rsidRDefault="00676326" w:rsidP="00676326">
      <w:pPr>
        <w:rPr>
          <w:noProof/>
          <w:lang w:val="en-GB"/>
        </w:rPr>
      </w:pPr>
    </w:p>
    <w:p w14:paraId="514195E2" w14:textId="77777777" w:rsidR="00676326" w:rsidRPr="00C3671E" w:rsidRDefault="00676326" w:rsidP="00676326">
      <w:pPr>
        <w:suppressAutoHyphens/>
        <w:spacing w:line="480" w:lineRule="auto"/>
        <w:jc w:val="both"/>
        <w:rPr>
          <w:noProof/>
          <w:lang w:val="en-GB"/>
        </w:rPr>
      </w:pPr>
      <w:r w:rsidRPr="00C3671E">
        <w:rPr>
          <w:noProof/>
          <w:lang w:val="en-GB"/>
        </w:rPr>
        <w:t xml:space="preserve">Finally, Figure 6 presents </w:t>
      </w:r>
      <w:r w:rsidRPr="00C3671E">
        <w:rPr>
          <w:noProof/>
          <w:lang w:val="en-GB" w:eastAsia="zh-CN"/>
        </w:rPr>
        <w:t>the</w:t>
      </w:r>
      <w:r w:rsidRPr="00C3671E">
        <w:rPr>
          <w:noProof/>
          <w:lang w:val="en-GB"/>
        </w:rPr>
        <w:t xml:space="preserve"> relationship proposed by </w:t>
      </w:r>
      <w:r w:rsidRPr="00C3671E">
        <w:rPr>
          <w:noProof/>
          <w:lang w:val="en-GB"/>
        </w:rPr>
        <w:fldChar w:fldCharType="begin" w:fldLock="1"/>
      </w:r>
      <w:r w:rsidRPr="00C3671E">
        <w:rPr>
          <w:noProof/>
          <w:lang w:val="en-GB"/>
        </w:rPr>
        <w:instrText>ADDIN CSL_CITATION { "citationItems" : [ { "id" : "ITEM-1", "itemData" : { "DOI" : "10.1093/esr/jcq023", "ISBN" : "0266-7215", "ISSN" : "02667215", "abstract" : "This article aims to improve our understanding of the societal determinants of older people\u2019s participation in non-market productive activities. Based on micro-data from the Survey of Health, Ageing and Retirement in Europe, we estimate logistic multilevel models for individuals\u2019 engagement in formal volunteering, informal helping, and caring across 11 countries. The results partially support hypotheses regarding the relationship between specific macro-level variables and individuals\u2019 productive engagement at older ages. While our measure of societal images of aging does not exhibit statistically significant associations with any of the activities considered here, our hypotheses concerning a positive relationship between greater political and religious freedom as well as the provision of welfare state services and older individuals\u2019 propensity to engage in productive aging are largely confirmed. We interpret these findings as evidence suggesting that both longstanding cultural elements of a society as well as contemporary welfare state interventions constitute reference frames and opportunity structures which older individuals perceive as relevant for their decision whether to participate in volunteering, helping, or caring.", "author" : [ { "dropping-particle" : "", "family" : "Hank", "given" : "Karsten", "non-dropping-particle" : "", "parse-names" : false, "suffix" : "" } ], "container-title" : "European Sociological Review", "id" : "ITEM-1", "issue" : "4", "issued" : { "date-parts" : [ [ "2011" ] ] }, "page" : "526-541", "title" : "Societal determinants of productive aging: A multilevel analysis across 11 European Countries", "type" : "article-journal", "volume" : "27" }, "uris" : [ "http://www.mendeley.com/documents/?uuid=fbcecccf-f864-4ae9-9b90-33a7d02f7393" ] } ], "mendeley" : { "formattedCitation" : "(Hank 2011)", "manualFormatting" : "Hank (2011)", "plainTextFormattedCitation" : "(Hank 2011)", "previouslyFormattedCitation" : "(Hank 2011)" }, "properties" : { "noteIndex" : 0 }, "schema" : "https://github.com/citation-style-language/schema/raw/master/csl-citation.json" }</w:instrText>
      </w:r>
      <w:r w:rsidRPr="00C3671E">
        <w:rPr>
          <w:noProof/>
          <w:lang w:val="en-GB"/>
        </w:rPr>
        <w:fldChar w:fldCharType="separate"/>
      </w:r>
      <w:r w:rsidRPr="00C3671E">
        <w:rPr>
          <w:noProof/>
          <w:lang w:val="en-GB"/>
        </w:rPr>
        <w:t>Hank (2011)</w:t>
      </w:r>
      <w:r w:rsidRPr="00C3671E">
        <w:rPr>
          <w:noProof/>
          <w:lang w:val="en-GB"/>
        </w:rPr>
        <w:fldChar w:fldCharType="end"/>
      </w:r>
      <w:r w:rsidRPr="00C3671E">
        <w:rPr>
          <w:noProof/>
          <w:lang w:val="en-GB"/>
        </w:rPr>
        <w:t xml:space="preserve"> between a level of societal freedom and a prevalence of volunteering among older adults. The Human Freedom Index, which is published annually, indicates personal, civic, and economic freedom in each country </w:t>
      </w:r>
      <w:r w:rsidRPr="00C3671E">
        <w:rPr>
          <w:noProof/>
          <w:lang w:val="en-GB"/>
        </w:rPr>
        <w:fldChar w:fldCharType="begin" w:fldLock="1"/>
      </w:r>
      <w:r w:rsidRPr="00C3671E">
        <w:rPr>
          <w:noProof/>
          <w:lang w:val="en-GB"/>
        </w:rPr>
        <w:instrText>ADDIN CSL_CITATION { "citationItems" : [ { "id" : "ITEM-1", "itemData" : { "author" : [ { "dropping-particle" : "", "family" : "V\u00e1squez", "given" : "Ian", "non-dropping-particle" : "", "parse-names" : false, "suffix" : "" }, { "dropping-particle" : "", "family" : "Por\u010dnik", "given" : "Tanja", "non-dropping-particle" : "", "parse-names" : false, "suffix" : "" } ], "id" : "ITEM-1", "issued" : { "date-parts" : [ [ "2017" ] ] }, "publisher-place" : "Washington DC", "title" : "The Human Freedom Index: A global measurement of personal, civil, and economic freedom", "type" : "report" }, "uris" : [ "http://www.mendeley.com/documents/?uuid=a9fd962b-cbfb-4d38-943e-96f85a3f7475" ] } ], "mendeley" : { "formattedCitation" : "(V\u00e1squez and Por\u010dnik 2017)", "plainTextFormattedCitation" : "(V\u00e1squez and Por\u010dnik 2017)", "previouslyFormattedCitation" : "(V\u00e1squez and Por\u010dnik 2017)" }, "properties" : { "noteIndex" : 0 }, "schema" : "https://github.com/citation-style-language/schema/raw/master/csl-citation.json" }</w:instrText>
      </w:r>
      <w:r w:rsidRPr="00C3671E">
        <w:rPr>
          <w:noProof/>
          <w:lang w:val="en-GB"/>
        </w:rPr>
        <w:fldChar w:fldCharType="separate"/>
      </w:r>
      <w:r w:rsidRPr="00C3671E">
        <w:rPr>
          <w:noProof/>
          <w:lang w:val="en-GB"/>
        </w:rPr>
        <w:t>(Vásquez and Porčnik 2017)</w:t>
      </w:r>
      <w:r w:rsidRPr="00C3671E">
        <w:rPr>
          <w:noProof/>
          <w:lang w:val="en-GB"/>
        </w:rPr>
        <w:fldChar w:fldCharType="end"/>
      </w:r>
      <w:r w:rsidRPr="00C3671E">
        <w:rPr>
          <w:noProof/>
          <w:lang w:val="en-GB"/>
        </w:rPr>
        <w:t>. The index has low variation among included countries with the highest value of 8.9 for Switzerland and the lowest value 7.21 for Greece. Despite this low variation, the level of freedom is related to the prevalence of volunteering with clear North-West/South-East division. Apart from some outliers like Estonia (higher freedom than expected) and France (lower freedom than expected), this relationship between the macro-context and activity supported by active ageing is clear. Therefore, it seems from the presented figures that some longterm economic and cultural conditions shape the ageing process substantially.</w:t>
      </w:r>
    </w:p>
    <w:p w14:paraId="5C1FCDB3" w14:textId="2060CF07" w:rsidR="00676326" w:rsidRPr="00C3671E" w:rsidRDefault="00676326" w:rsidP="00676326">
      <w:pPr>
        <w:spacing w:before="100" w:beforeAutospacing="1"/>
        <w:jc w:val="both"/>
        <w:rPr>
          <w:b/>
          <w:lang w:val="en-GB"/>
        </w:rPr>
      </w:pPr>
      <w:bookmarkStart w:id="12" w:name="_Toc512687438"/>
      <w:r w:rsidRPr="00C3671E">
        <w:rPr>
          <w:b/>
          <w:lang w:val="en-GB"/>
        </w:rPr>
        <w:t xml:space="preserve">Figure </w:t>
      </w:r>
      <w:r w:rsidRPr="00C3671E">
        <w:rPr>
          <w:b/>
          <w:lang w:val="en-GB"/>
        </w:rPr>
        <w:fldChar w:fldCharType="begin"/>
      </w:r>
      <w:r w:rsidRPr="00C3671E">
        <w:rPr>
          <w:b/>
          <w:lang w:val="en-GB"/>
        </w:rPr>
        <w:instrText xml:space="preserve"> SEQ Figure \* ARABIC </w:instrText>
      </w:r>
      <w:r w:rsidRPr="00C3671E">
        <w:rPr>
          <w:b/>
          <w:lang w:val="en-GB"/>
        </w:rPr>
        <w:fldChar w:fldCharType="separate"/>
      </w:r>
      <w:r w:rsidR="00A95FE5" w:rsidRPr="00C3671E">
        <w:rPr>
          <w:b/>
          <w:noProof/>
          <w:lang w:val="en-GB"/>
        </w:rPr>
        <w:t>6</w:t>
      </w:r>
      <w:r w:rsidRPr="00C3671E">
        <w:rPr>
          <w:b/>
          <w:lang w:val="en-GB"/>
        </w:rPr>
        <w:fldChar w:fldCharType="end"/>
      </w:r>
      <w:r w:rsidRPr="00C3671E">
        <w:rPr>
          <w:b/>
          <w:lang w:val="en-GB"/>
        </w:rPr>
        <w:t>: The relationship between Human Freedom Index and prevalence of volunteering among older adults in 17 European countries</w:t>
      </w:r>
      <w:bookmarkEnd w:id="12"/>
    </w:p>
    <w:p w14:paraId="4B233A9F" w14:textId="42759243" w:rsidR="00676326" w:rsidRPr="00C3671E" w:rsidRDefault="00676326" w:rsidP="00676326">
      <w:pPr>
        <w:rPr>
          <w:lang w:val="en-GB"/>
        </w:rPr>
      </w:pPr>
      <w:r w:rsidRPr="00C3671E">
        <w:rPr>
          <w:noProof/>
          <w:lang w:val="en-GB"/>
        </w:rPr>
        <w:lastRenderedPageBreak/>
        <w:drawing>
          <wp:inline distT="0" distB="0" distL="0" distR="0" wp14:anchorId="1A75F1D8" wp14:editId="3BE1047A">
            <wp:extent cx="5575935" cy="3299460"/>
            <wp:effectExtent l="0" t="0" r="5715" b="15240"/>
            <wp:docPr id="3"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18CC380" w14:textId="77777777" w:rsidR="00676326" w:rsidRPr="00C3671E" w:rsidRDefault="00676326" w:rsidP="00676326">
      <w:pPr>
        <w:rPr>
          <w:sz w:val="20"/>
          <w:szCs w:val="20"/>
          <w:lang w:val="en-GB"/>
        </w:rPr>
      </w:pPr>
      <w:r w:rsidRPr="00C3671E">
        <w:rPr>
          <w:i/>
          <w:sz w:val="20"/>
          <w:szCs w:val="20"/>
          <w:lang w:val="en-GB"/>
        </w:rPr>
        <w:t xml:space="preserve">Source: </w:t>
      </w:r>
      <w:r w:rsidRPr="00C3671E">
        <w:rPr>
          <w:sz w:val="20"/>
          <w:szCs w:val="20"/>
          <w:lang w:val="en-GB"/>
        </w:rPr>
        <w:t>These calculations use data from SHARE, wave 6.</w:t>
      </w:r>
    </w:p>
    <w:p w14:paraId="3034C1E5" w14:textId="77777777" w:rsidR="00676326" w:rsidRPr="00C3671E" w:rsidRDefault="00676326" w:rsidP="00676326">
      <w:pPr>
        <w:rPr>
          <w:lang w:val="en-GB"/>
        </w:rPr>
      </w:pPr>
    </w:p>
    <w:p w14:paraId="72FF3119" w14:textId="77777777" w:rsidR="00676326" w:rsidRPr="00C3671E" w:rsidRDefault="00676326" w:rsidP="00676326">
      <w:pPr>
        <w:pStyle w:val="Nadpis3"/>
        <w:spacing w:line="480" w:lineRule="auto"/>
        <w:rPr>
          <w:rFonts w:ascii="Times New Roman" w:hAnsi="Times New Roman" w:cs="Times New Roman"/>
          <w:b w:val="0"/>
          <w:i/>
          <w:lang w:val="en-GB" w:eastAsia="zh-CN"/>
        </w:rPr>
      </w:pPr>
      <w:bookmarkStart w:id="13" w:name="_Toc512687724"/>
      <w:r w:rsidRPr="00C3671E">
        <w:rPr>
          <w:rFonts w:ascii="Times New Roman" w:hAnsi="Times New Roman" w:cs="Times New Roman"/>
          <w:b w:val="0"/>
          <w:i/>
          <w:lang w:val="en-GB" w:eastAsia="zh-CN"/>
        </w:rPr>
        <w:t>Criticism of active ageing</w:t>
      </w:r>
      <w:bookmarkEnd w:id="13"/>
    </w:p>
    <w:p w14:paraId="430B9427" w14:textId="77777777" w:rsidR="00676326" w:rsidRPr="00C3671E" w:rsidRDefault="00676326" w:rsidP="00676326">
      <w:pPr>
        <w:suppressAutoHyphens/>
        <w:spacing w:line="480" w:lineRule="auto"/>
        <w:jc w:val="both"/>
        <w:rPr>
          <w:lang w:val="en-GB"/>
        </w:rPr>
      </w:pPr>
      <w:r w:rsidRPr="00C3671E">
        <w:rPr>
          <w:lang w:val="en-GB"/>
        </w:rPr>
        <w:t xml:space="preserve">The active ageing </w:t>
      </w:r>
      <w:r w:rsidRPr="00C3671E">
        <w:rPr>
          <w:noProof/>
          <w:lang w:val="en-GB" w:eastAsia="zh-CN"/>
        </w:rPr>
        <w:t>approach</w:t>
      </w:r>
      <w:r w:rsidRPr="00C3671E">
        <w:rPr>
          <w:lang w:val="en-GB"/>
        </w:rPr>
        <w:t xml:space="preserve"> despite its dominance in social gerontology and social policy (at least) in European context faces an extensive criticism. The most comprehensive critique of active ageing presents Virpi </w:t>
      </w:r>
      <w:r w:rsidRPr="00C3671E">
        <w:rPr>
          <w:lang w:val="en-GB"/>
        </w:rPr>
        <w:fldChar w:fldCharType="begin" w:fldLock="1"/>
      </w:r>
      <w:r w:rsidRPr="00C3671E">
        <w:rPr>
          <w:lang w:val="en-GB"/>
        </w:rPr>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"mendeley" : { "formattedCitation" : "(Timonen 2016)", "manualFormatting" : "Timonen (2016)", "plainTextFormattedCitation" : "(Timonen 2016)", "previouslyFormattedCitation" : "(Timonen 2016)" }, "properties" : { "noteIndex" : 0 }, "schema" : "https://github.com/citation-style-language/schema/raw/master/csl-citation.json" }</w:instrText>
      </w:r>
      <w:r w:rsidRPr="00C3671E">
        <w:rPr>
          <w:lang w:val="en-GB"/>
        </w:rPr>
        <w:fldChar w:fldCharType="separate"/>
      </w:r>
      <w:r w:rsidRPr="00C3671E">
        <w:rPr>
          <w:noProof/>
          <w:lang w:val="en-GB"/>
        </w:rPr>
        <w:t>Timonen (2016)</w:t>
      </w:r>
      <w:r w:rsidRPr="00C3671E">
        <w:rPr>
          <w:lang w:val="en-GB"/>
        </w:rPr>
        <w:fldChar w:fldCharType="end"/>
      </w:r>
      <w:r w:rsidRPr="00C3671E">
        <w:rPr>
          <w:lang w:val="en-GB"/>
        </w:rPr>
        <w:t xml:space="preserve"> in her book </w:t>
      </w:r>
      <w:r w:rsidRPr="00C3671E">
        <w:rPr>
          <w:i/>
          <w:lang w:val="en-GB"/>
        </w:rPr>
        <w:t>Beyond Successful and Active Ageing: A Theory of Model Ageing</w:t>
      </w:r>
      <w:r w:rsidRPr="00C3671E">
        <w:rPr>
          <w:lang w:val="en-GB"/>
        </w:rPr>
        <w:t xml:space="preserve">. The author even formulates “a new theory of meso-level dynamics in ageing societies where particular sets of policy and marketing scripts are supposed to shape the lives of other people” </w:t>
      </w:r>
      <w:r w:rsidRPr="00C3671E">
        <w:rPr>
          <w:lang w:val="en-GB"/>
        </w:rPr>
        <w:fldChar w:fldCharType="begin" w:fldLock="1"/>
      </w:r>
      <w:r w:rsidRPr="00C3671E">
        <w:rPr>
          <w:lang w:val="en-GB"/>
        </w:rPr>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"mendeley" : { "formattedCitation" : "(Timonen 2016)", "manualFormatting" : "(Timonen 2016: 5)", "plainTextFormattedCitation" : "(Timonen 2016)", "previouslyFormattedCitation" : "(Timonen 2016)" }, "properties" : { "noteIndex" : 0 }, "schema" : "https://github.com/citation-style-language/schema/raw/master/csl-citation.json" }</w:instrText>
      </w:r>
      <w:r w:rsidRPr="00C3671E">
        <w:rPr>
          <w:lang w:val="en-GB"/>
        </w:rPr>
        <w:fldChar w:fldCharType="separate"/>
      </w:r>
      <w:r w:rsidRPr="00C3671E">
        <w:rPr>
          <w:noProof/>
          <w:lang w:val="en-GB"/>
        </w:rPr>
        <w:t>(Timonen 2016: 5)</w:t>
      </w:r>
      <w:r w:rsidRPr="00C3671E">
        <w:rPr>
          <w:lang w:val="en-GB"/>
        </w:rPr>
        <w:fldChar w:fldCharType="end"/>
      </w:r>
      <w:r w:rsidRPr="00C3671E">
        <w:rPr>
          <w:lang w:val="en-GB"/>
        </w:rPr>
        <w:t xml:space="preserve">, in which active ageing represents one of the most important sets of these scripts. The main point of the critique is that active ageing is one of a group of model ageing approaches, which prescribe how to age well and perceive later life “as a phenomenon and stage of life that is perceived to be in need of direction, reshaping and control” </w:t>
      </w:r>
      <w:r w:rsidRPr="00C3671E">
        <w:rPr>
          <w:lang w:val="en-GB"/>
        </w:rPr>
        <w:fldChar w:fldCharType="begin" w:fldLock="1"/>
      </w:r>
      <w:r w:rsidRPr="00C3671E">
        <w:rPr>
          <w:lang w:val="en-GB"/>
        </w:rPr>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"mendeley" : { "formattedCitation" : "(Timonen 2016)", "manualFormatting" : "(Timonen 2016: 87)", "plainTextFormattedCitation" : "(Timonen 2016)", "previouslyFormattedCitation" : "(Timonen 2016)" }, "properties" : { "noteIndex" : 0 }, "schema" : "https://github.com/citation-style-language/schema/raw/master/csl-citation.json" }</w:instrText>
      </w:r>
      <w:r w:rsidRPr="00C3671E">
        <w:rPr>
          <w:lang w:val="en-GB"/>
        </w:rPr>
        <w:fldChar w:fldCharType="separate"/>
      </w:r>
      <w:r w:rsidRPr="00C3671E">
        <w:rPr>
          <w:noProof/>
          <w:lang w:val="en-GB"/>
        </w:rPr>
        <w:t>(Timonen 2016: 87)</w:t>
      </w:r>
      <w:r w:rsidRPr="00C3671E">
        <w:rPr>
          <w:lang w:val="en-GB"/>
        </w:rPr>
        <w:fldChar w:fldCharType="end"/>
      </w:r>
      <w:r w:rsidRPr="00C3671E">
        <w:rPr>
          <w:lang w:val="en-GB"/>
        </w:rPr>
        <w:t xml:space="preserve">. Furthermore, active ageing serves most of all the goals of three groups of actors – academics, selling their concept, companies selling products, and policymakers this way “justify the shift in responsibility towards older adults and their families” </w:t>
      </w:r>
      <w:r w:rsidRPr="00C3671E">
        <w:rPr>
          <w:lang w:val="en-GB"/>
        </w:rPr>
        <w:fldChar w:fldCharType="begin" w:fldLock="1"/>
      </w:r>
      <w:r w:rsidRPr="00C3671E">
        <w:rPr>
          <w:lang w:val="en-GB"/>
        </w:rPr>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"mendeley" : { "formattedCitation" : "(Timonen 2016)", "manualFormatting" : "(Timonen 2016: 86)", "plainTextFormattedCitation" : "(Timonen 2016)", "previouslyFormattedCitation" : "(Timonen 2016)" }, "properties" : { "noteIndex" : 0 }, "schema" : "https://github.com/citation-style-language/schema/raw/master/csl-citation.json" }</w:instrText>
      </w:r>
      <w:r w:rsidRPr="00C3671E">
        <w:rPr>
          <w:lang w:val="en-GB"/>
        </w:rPr>
        <w:fldChar w:fldCharType="separate"/>
      </w:r>
      <w:r w:rsidRPr="00C3671E">
        <w:rPr>
          <w:noProof/>
          <w:lang w:val="en-GB"/>
        </w:rPr>
        <w:t>(Timonen 2016: 86)</w:t>
      </w:r>
      <w:r w:rsidRPr="00C3671E">
        <w:rPr>
          <w:lang w:val="en-GB"/>
        </w:rPr>
        <w:fldChar w:fldCharType="end"/>
      </w:r>
      <w:r w:rsidRPr="00C3671E">
        <w:rPr>
          <w:lang w:val="en-GB"/>
        </w:rPr>
        <w:t xml:space="preserve">. The active ageing approach is formulated by the privileged group of </w:t>
      </w:r>
      <w:r w:rsidRPr="00C3671E">
        <w:rPr>
          <w:lang w:val="en-GB"/>
        </w:rPr>
        <w:lastRenderedPageBreak/>
        <w:t xml:space="preserve">professionals following own mean, while it also serves to more well-off older people, who incline more to participate in prescribed activities and benefit from them. Finally, by neglecting dependence, contextuality, and all sources of inequalities, active ageing does bring anything positive (only exclusion) to groups that cannot or do not want to fulfil the goals of active ageing, and thus the approach increase inequalities in later life </w:t>
      </w:r>
      <w:r w:rsidRPr="00C3671E">
        <w:rPr>
          <w:lang w:val="en-GB"/>
        </w:rPr>
        <w:fldChar w:fldCharType="begin" w:fldLock="1"/>
      </w:r>
      <w:r w:rsidRPr="00C3671E">
        <w:rPr>
          <w:lang w:val="en-GB"/>
        </w:rPr>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"mendeley" : { "formattedCitation" : "(Timonen 2016)", "plainTextFormattedCitation" : "(Timonen 2016)", "previouslyFormattedCitation" : "(Timonen 2016)" }, "properties" : { "noteIndex" : 0 }, "schema" : "https://github.com/citation-style-language/schema/raw/master/csl-citation.json" }</w:instrText>
      </w:r>
      <w:r w:rsidRPr="00C3671E">
        <w:rPr>
          <w:lang w:val="en-GB"/>
        </w:rPr>
        <w:fldChar w:fldCharType="separate"/>
      </w:r>
      <w:r w:rsidRPr="00C3671E">
        <w:rPr>
          <w:noProof/>
          <w:lang w:val="en-GB"/>
        </w:rPr>
        <w:t>(Timonen 2016)</w:t>
      </w:r>
      <w:r w:rsidRPr="00C3671E">
        <w:rPr>
          <w:lang w:val="en-GB"/>
        </w:rPr>
        <w:fldChar w:fldCharType="end"/>
      </w:r>
      <w:r w:rsidRPr="00C3671E">
        <w:rPr>
          <w:lang w:val="en-GB"/>
        </w:rPr>
        <w:t>.</w:t>
      </w:r>
    </w:p>
    <w:p w14:paraId="2E3F709D" w14:textId="150390DB" w:rsidR="00676326" w:rsidRPr="00C3671E" w:rsidRDefault="00676326" w:rsidP="00676326">
      <w:pPr>
        <w:pStyle w:val="Newparagraph"/>
        <w:jc w:val="both"/>
      </w:pPr>
      <w:r w:rsidRPr="00C3671E">
        <w:t xml:space="preserve">The normative dimension of active ageing as a tool excluding and stigmatizing older adults that do not age in a prescribed way is stressed by other authors too </w:t>
      </w:r>
      <w:r w:rsidRPr="00C3671E">
        <w:fldChar w:fldCharType="begin" w:fldLock="1"/>
      </w:r>
      <w:r w:rsidR="004F5010" w:rsidRPr="00C3671E">
        <w:instrText>ADDIN CSL_CITATION { "citationItems" : [ { "id" : "ITEM-1", "itemData" : { "DOI" : "10.11114/ijsss.v1i2.141", "ISSN" : "2324-8041", "abstract" : "\u201cActive ageing\u201d has internationally circulated as a prominent approach to meeting the challenges of an ageing population. Through the use of a theatrical metaphor as an organizing principle, this article offers a fresh look at the concept of active ageing that clarifies the origins of its definition (the \u201cstory\u201d of active ageing and its \u201cplaywrights\u201d) and presents the scope of its action in policy through the exploration of two societal \u201cstages\u201d in Quebec and Belgium. By comparing these two levels (\u201cstory\u201d/\u201cstages\u201d) and these two \u201cstages\u201d, it helps to understand why the \u201ccomprehensive\u201d version of active ageing developed more in Quebec while, until now, the \u201creduced\u201d version to its productivist dimension is more evident in Belgium. The discussion also identifies some limits of \u201cactive ageing\u201d.", "author" : [ { "dropping-particle" : "", "family" : "Moulaert", "given" : "Thibauld", "non-dropping-particle" : "", "parse-names" : false, "suffix" : "" }, { "dropping-particle" : "", "family" : "Paris", "given" : "Mario", "non-dropping-particle" : "", "parse-names" : false, "suffix" : "" } ], "container-title" : "International Journal of Social Science Studies", "id" : "ITEM-1", "issue" : "2", "issued" : { "date-parts" : [ [ "2013" ] ] }, "page" : "113-123", "title" : "Social Policy on Ageing: The Case of \u201cActive Ageing\u201d as a Theatrical Metaphor", "type" : "article-journal", "volume" : "1" }, "uris" : [ "http://www.mendeley.com/documents/?uuid=d21bdfed-2cb2-4946-8bc1-feb70b6e3909" ] }, { "id" : "ITEM-2", "itemData" : { "ISSN" : "18136104", "abstract" : "Currently the idea of active ageing represents a perspective that has held a prominent position in gerontology, social work and social policy. It has become a crucial framework for formulating policy related to the issues of population ageing in European countries. This article discusses the factors that helped to establish active ageing as a successful theoretical concept that has significantly influenced current social representations of ageing and continues to have a practical impact on social work and policy. The first part of the article draws upon the work of Murray Davis and her insights into the key aspects that make sociological theory successful. The second part highlights the need to analyse the popularity of the concept of active ageing with respect to the possibilities that such an approach to ageing opens up for social policy, social work and to seniors themselves. It analyses active ageing as a strategy of managing an ageing population, and as a form of professional and individual capital.", "author" : [ { "dropping-particle" : "", "family" : "Hasmanov\u00e1 Marh\u00e1nkov\u00e1", "given" : "Jaroslava", "non-dropping-particle" : "", "parse-names" : false, "suffix" : "" } ], "container-title" : "Socialni Studia/Social Studies", "id" : "ITEM-2", "issue" : "3", "issued" : { "date-parts" : [ [ "2014" ] ] }, "page" : "13-29", "title" : "Aktivn\u00ed st\u00e1rnut\u00ed jako idea, n\u00e1stroj a kapit\u00e1l. Kde hledat ko\u0159eny \u00fasp\u011bchu konceptu aktivn\u00edho st\u00e1rnut\u00ed?", "type" : "article-journal", "volume" : "11" }, "uris" : [ "http://www.mendeley.com/documents/?uuid=048360ae-0dba-40db-8acf-5201d1624d9b" ] }, { "id" : "ITEM-3", "itemData" : { "author" : [ { "dropping-particle" : "", "family" : "Hasmanov\u00e1 Marh\u00e1nkov\u00e1", "given" : "Jaroslava", "non-dropping-particle" : "", "parse-names" : false, "suffix" : "" } ], "id" : "ITEM-3", "issued" : { "date-parts" : [ [ "2013" ] ] }, "publisher" : "Sociologick\u00e9 nakladatelstv\u00ed", "publisher-place" : "Prague", "title" : "Aktivita jako projekt: Diskurz aktivn\u00edho st\u00e1rnut\u00ed a jeho odezvy v \u017eivotech \u010desk\u00fdch senior a seniorek", "type" : "book" }, "uris" : [ "http://www.mendeley.com/documents/?uuid=2b17407a-d9c5-41bb-8e50-e22022d7fb0d" ] }, { "id" : "ITEM-4", "itemData" : { "DOI" : "10.1017/S0714980811000675", "ISBN" : "0714980811", "ISSN" : "0714-9808", "PMID" : "22373781", "abstract" : "Although some studies have confirmed positive associations between social engagement and well-being in later life, this study aimed to understand why some seniors cannot be engaged. The authors analyzed the lived experiences of 89 seniors in three rural communities in Canada, from semi-structured interviews and using the constant comparison method. Five factors make choices for social engagement in later life unequal among older adults who differ by gender, class, age, and health status. Profound engagement in care work, compulsory altruism, personal resources, objectively perceived and subjectively available engagement opportunities, and ageist barriers around paid work constrain choices for seniors who lack privilege in the context of a market economy, particularly for low-income older women. To avoid stigmatizing vulnerable older persons, societal barriers to meaningful activities must be addressed - for example, through provision of income security or by reversing inter- and intragenerational ageism in access to the labor market.", "author" : [ { "dropping-particle" : "", "family" : "Rozanova", "given" : "Julia", "non-dropping-particle" : "", "parse-names" : false, "suffix" : "" }, { "dropping-particle" : "", "family" : "Keating", "given" : "Norah", "non-dropping-particle" : "", "parse-names" : false, "suffix" : "" }, { "dropping-particle" : "", "family" : "Eales", "given" : "Jacquie", "non-dropping-particle" : "", "parse-names" : false, "suffix" : "" } ], "container-title" : "Canadian Journal on Aging / La Revue canadienne du vieillissement", "id" : "ITEM-4", "issue" : "01", "issued" : { "date-parts" : [ [ "2012" ] ] }, "note" : "Rozanova et al. 2012: Unequal Social Engagement for Older Adults: Constraints on Choice\nconcerns of social costs of ageing \u2192 ageing well perspective\ncritics emphasize the normative expectations this assumption carries \u2013 that those who are not well in later life may have themselves to blame because they haven\u2019t been sufficiently engaged (Katz, 2000 ; Laliberte-Rudman, 2006 )\nwell-being in later life is associated not with social engagement per se but with engagement in activities that an individual chooses freely and fi nds meaningful (Chapman, 2005 ; Katz, 2000 )\nJulia Rozanova et al.\naffected both by older individuals\u2019 personal character- istics and by community contexts. Researchers have noted that one important aspect in which rural com- munities may differ from urban areas is their lack of anonymity coupled with a tight-knit character (Keating, Swindle, &amp;amp; Fletcher, 2011 ). This aspect may facilitate the maintenance of social connectedness but at the same time block social engagement for some older individuals. For example, those who moved into the community as newcomers are typically viewed with some suspicion until they prove themselves in some way (Garland &amp;amp; Chakraborti, 2006 ). Other factors having an impact on social-engagement opportunities for rural older adults are the remoteness of some rural Canadian communities, a dwindling economy, and disparities of service infrastructure (Keating &amp;amp; Phillips, 2008 ).\nReview of the Literature Social Engagement of Older Adults\nSurvival through social engagement through activities that have a social component and are per- formed in relation to other people (Maier &amp;amp; Klumb, 2005 )\nsocial engagement may be affected by both structural inequalities and contextual factors\nthe lived experiences of 89 seniors in three rural communities in Canada from semi-structured interviews\nProfound engagement in care work, compulsory altruism, personal resources, objectively perceived and subjectively available engagement opportunities, and ageist barriers around paid work constrain choices especially for low-income older women\nsocietal barriers to meaningful activities must be addressed \u2013 through provision of income security or by reversing inter- and intragenerational ageism", "page" : "25-36", "title" : "Unequal Social Engagement for Older Adults: Constraints on Choice", "type" : "article-journal", "volume" : "31" }, "uris" : [ "http://www.mendeley.com/documents/?uuid=354042a3-40e3-4309-bec8-99c0941f3571" ] } ], "mendeley" : { "formattedCitation" : "(Hasmanov\u00e1 Marh\u00e1nkov\u00e1 2013, 2014; Moulaert and Paris 2013; Rozanova, Keating, and Eales 2012)", "plainTextFormattedCitation" : "(Hasmanov\u00e1 Marh\u00e1nkov\u00e1 2013, 2014; Moulaert and Paris 2013; Rozanova, Keating, and Eales 2012)", "previouslyFormattedCitation" : "(Hasmanov\u00e1 Marh\u00e1nkov\u00e1 2013; Marh\u00e1nkov\u00e1 2014; Moulaert and Paris 2013; Rozanova, Keating, and Eales 2012)" }, "properties" : { "noteIndex" : 0 }, "schema" : "https://github.com/citation-style-language/schema/raw/master/csl-citation.json" }</w:instrText>
      </w:r>
      <w:r w:rsidRPr="00C3671E">
        <w:fldChar w:fldCharType="separate"/>
      </w:r>
      <w:r w:rsidR="004F5010" w:rsidRPr="00C3671E">
        <w:rPr>
          <w:noProof/>
        </w:rPr>
        <w:t>(Hasmanová Marhánková 2013, 2014; Moulaert and Paris 2013; Rozanova, Keating, and Eales 2012)</w:t>
      </w:r>
      <w:r w:rsidRPr="00C3671E">
        <w:fldChar w:fldCharType="end"/>
      </w:r>
      <w:r w:rsidRPr="00C3671E">
        <w:t xml:space="preserve">. </w:t>
      </w:r>
      <w:r w:rsidRPr="00C3671E">
        <w:fldChar w:fldCharType="begin" w:fldLock="1"/>
      </w:r>
      <w:r w:rsidR="001257AA" w:rsidRPr="00C3671E">
        <w:instrText>ADDIN CSL_CITATION { "citationItems" : [ { "id" : "ITEM-1", "itemData" : { "DOI" : "10.1017/S0714980811000675", "ISBN" : "0714980811", "ISSN" : "0714-9808", "PMID" : "22373781", "abstract" : "Although some studies have confirmed positive associations between social engagement and well-being in later life, this study aimed to understand why some seniors cannot be engaged. The authors analyzed the lived experiences of 89 seniors in three rural communities in Canada, from semi-structured interviews and using the constant comparison method. Five factors make choices for social engagement in later life unequal among older adults who differ by gender, class, age, and health status. Profound engagement in care work, compulsory altruism, personal resources, objectively perceived and subjectively available engagement opportunities, and ageist barriers around paid work constrain choices for seniors who lack privilege in the context of a market economy, particularly for low-income older women. To avoid stigmatizing vulnerable older persons, societal barriers to meaningful activities must be addressed - for example, through provision of income security or by reversing inter- and intragenerational ageism in access to the labor market.", "author" : [ { "dropping-particle" : "", "family" : "Rozanova", "given" : "Julia", "non-dropping-particle" : "", "parse-names" : false, "suffix" : "" }, { "dropping-particle" : "", "family" : "Keating", "given" : "Norah", "non-dropping-particle" : "", "parse-names" : false, "suffix" : "" }, { "dropping-particle" : "", "family" : "Eales", "given" : "Jacquie", "non-dropping-particle" : "", "parse-names" : false, "suffix" : "" } ], "container-title" : "Canadian Journal on Aging / La Revue canadienne du vieillissement", "id" : "ITEM-1", "issue" : "01", "issued" : { "date-parts" : [ [ "2012" ] ] }, "note" : "Rozanova et al. 2012: Unequal Social Engagement for Older Adults: Constraints on Choice\nconcerns of social costs of ageing \u2192 ageing well perspective\ncritics emphasize the normative expectations this assumption carries \u2013 that those who are not well in later life may have themselves to blame because they haven\u2019t been sufficiently engaged (Katz, 2000 ; Laliberte-Rudman, 2006 )\nwell-being in later life is associated not with social engagement per se but with engagement in activities that an individual chooses freely and fi nds meaningful (Chapman, 2005 ; Katz, 2000 )\nJulia Rozanova et al.\naffected both by older individuals\u2019 personal character- istics and by community contexts. Researchers have noted that one important aspect in which rural com- munities may differ from urban areas is their lack of anonymity coupled with a tight-knit character (Keating, Swindle, &amp;amp; Fletcher, 2011 ). This aspect may facilitate the maintenance of social connectedness but at the same time block social engagement for some older individuals. For example, those who moved into the community as newcomers are typically viewed with some suspicion until they prove themselves in some way (Garland &amp;amp; Chakraborti, 2006 ). Other factors having an impact on social-engagement opportunities for rural older adults are the remoteness of some rural Canadian communities, a dwindling economy, and disparities of service infrastructure (Keating &amp;amp; Phillips, 2008 ).\nReview of the Literature Social Engagement of Older Adults\nSurvival through social engagement through activities that have a social component and are per- formed in relation to other people (Maier &amp;amp; Klumb, 2005 )\nsocial engagement may be affected by both structural inequalities and contextual factors\nthe lived experiences of 89 seniors in three rural communities in Canada from semi-structured interviews\nProfound engagement in care work, compulsory altruism, personal resources, objectively perceived and subjectively available engagement opportunities, and ageist barriers around paid work constrain choices especially for low-income older women\nsocietal barriers to meaningful activities must be addressed \u2013 through provision of income security or by reversing inter- and intragenerational ageism", "page" : "25-36", "title" : "Unequal Social Engagement for Older Adults: Constraints on Choice", "type" : "article-journal", "volume" : "31" }, "uris" : [ "http://www.mendeley.com/documents/?uuid=354042a3-40e3-4309-bec8-99c0941f3571" ] } ], "mendeley" : { "formattedCitation" : "(Rozanova et al. 2012)", "manualFormatting" : "Rozanova et al. (2012)", "plainTextFormattedCitation" : "(Rozanova et al. 2012)", "previouslyFormattedCitation" : "(Rozanova et al. 2012)" }, "properties" : { "noteIndex" : 0 }, "schema" : "https://github.com/citation-style-language/schema/raw/master/csl-citation.json" }</w:instrText>
      </w:r>
      <w:r w:rsidRPr="00C3671E">
        <w:fldChar w:fldCharType="separate"/>
      </w:r>
      <w:r w:rsidRPr="00C3671E">
        <w:rPr>
          <w:noProof/>
        </w:rPr>
        <w:t>Rozanova et al. (2012)</w:t>
      </w:r>
      <w:r w:rsidRPr="00C3671E">
        <w:fldChar w:fldCharType="end"/>
      </w:r>
      <w:r w:rsidRPr="00C3671E">
        <w:t xml:space="preserve"> present qualitative findings regarding older adults from Canadian rural areas, which are compatible with Timonen’s theory of model ageing. The results indicate that availability of activities promoted by active ageing is strongly shaped by structural factors (class, gender, age, health, location), as disadvantaged groups are often preoccupied with one not freely chosen activity or face constraints in a form of ageism, scarcity of resources, and available opportunities </w:t>
      </w:r>
      <w:r w:rsidRPr="00C3671E">
        <w:fldChar w:fldCharType="begin" w:fldLock="1"/>
      </w:r>
      <w:r w:rsidR="001257AA" w:rsidRPr="00C3671E">
        <w:instrText>ADDIN CSL_CITATION { "citationItems" : [ { "id" : "ITEM-1", "itemData" : { "DOI" : "10.1017/S0714980811000675", "ISBN" : "0714980811", "ISSN" : "0714-9808", "PMID" : "22373781", "abstract" : "Although some studies have confirmed positive associations between social engagement and well-being in later life, this study aimed to understand why some seniors cannot be engaged. The authors analyzed the lived experiences of 89 seniors in three rural communities in Canada, from semi-structured interviews and using the constant comparison method. Five factors make choices for social engagement in later life unequal among older adults who differ by gender, class, age, and health status. Profound engagement in care work, compulsory altruism, personal resources, objectively perceived and subjectively available engagement opportunities, and ageist barriers around paid work constrain choices for seniors who lack privilege in the context of a market economy, particularly for low-income older women. To avoid stigmatizing vulnerable older persons, societal barriers to meaningful activities must be addressed - for example, through provision of income security or by reversing inter- and intragenerational ageism in access to the labor market.", "author" : [ { "dropping-particle" : "", "family" : "Rozanova", "given" : "Julia", "non-dropping-particle" : "", "parse-names" : false, "suffix" : "" }, { "dropping-particle" : "", "family" : "Keating", "given" : "Norah", "non-dropping-particle" : "", "parse-names" : false, "suffix" : "" }, { "dropping-particle" : "", "family" : "Eales", "given" : "Jacquie", "non-dropping-particle" : "", "parse-names" : false, "suffix" : "" } ], "container-title" : "Canadian Journal on Aging / La Revue canadienne du vieillissement", "id" : "ITEM-1", "issue" : "01", "issued" : { "date-parts" : [ [ "2012" ] ] }, "note" : "Rozanova et al. 2012: Unequal Social Engagement for Older Adults: Constraints on Choice\nconcerns of social costs of ageing \u2192 ageing well perspective\ncritics emphasize the normative expectations this assumption carries \u2013 that those who are not well in later life may have themselves to blame because they haven\u2019t been sufficiently engaged (Katz, 2000 ; Laliberte-Rudman, 2006 )\nwell-being in later life is associated not with social engagement per se but with engagement in activities that an individual chooses freely and fi nds meaningful (Chapman, 2005 ; Katz, 2000 )\nJulia Rozanova et al.\naffected both by older individuals\u2019 personal character- istics and by community contexts. Researchers have noted that one important aspect in which rural com- munities may differ from urban areas is their lack of anonymity coupled with a tight-knit character (Keating, Swindle, &amp;amp; Fletcher, 2011 ). This aspect may facilitate the maintenance of social connectedness but at the same time block social engagement for some older individuals. For example, those who moved into the community as newcomers are typically viewed with some suspicion until they prove themselves in some way (Garland &amp;amp; Chakraborti, 2006 ). Other factors having an impact on social-engagement opportunities for rural older adults are the remoteness of some rural Canadian communities, a dwindling economy, and disparities of service infrastructure (Keating &amp;amp; Phillips, 2008 ).\nReview of the Literature Social Engagement of Older Adults\nSurvival through social engagement through activities that have a social component and are per- formed in relation to other people (Maier &amp;amp; Klumb, 2005 )\nsocial engagement may be affected by both structural inequalities and contextual factors\nthe lived experiences of 89 seniors in three rural communities in Canada from semi-structured interviews\nProfound engagement in care work, compulsory altruism, personal resources, objectively perceived and subjectively available engagement opportunities, and ageist barriers around paid work constrain choices especially for low-income older women\nsocietal barriers to meaningful activities must be addressed \u2013 through provision of income security or by reversing inter- and intragenerational ageism", "page" : "25-36", "title" : "Unequal Social Engagement for Older Adults: Constraints on Choice", "type" : "article-journal", "volume" : "31" }, "uris" : [ "http://www.mendeley.com/documents/?uuid=354042a3-40e3-4309-bec8-99c0941f3571" ] } ], "mendeley" : { "formattedCitation" : "(Rozanova et al. 2012)", "plainTextFormattedCitation" : "(Rozanova et al. 2012)", "previouslyFormattedCitation" : "(Rozanova et al. 2012)" }, "properties" : { "noteIndex" : 0 }, "schema" : "https://github.com/citation-style-language/schema/raw/master/csl-citation.json" }</w:instrText>
      </w:r>
      <w:r w:rsidRPr="00C3671E">
        <w:fldChar w:fldCharType="separate"/>
      </w:r>
      <w:r w:rsidR="00AA6335" w:rsidRPr="00C3671E">
        <w:rPr>
          <w:noProof/>
        </w:rPr>
        <w:t>(Rozanova et al. 2012)</w:t>
      </w:r>
      <w:r w:rsidRPr="00C3671E">
        <w:fldChar w:fldCharType="end"/>
      </w:r>
      <w:r w:rsidRPr="00C3671E">
        <w:t xml:space="preserve">. Moreover, active ageing ends where the loss and dependency begin </w:t>
      </w:r>
      <w:r w:rsidRPr="00C3671E">
        <w:fldChar w:fldCharType="begin" w:fldLock="1"/>
      </w:r>
      <w:r w:rsidRPr="00C3671E">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"mendeley" : { "formattedCitation" : "(Timonen 2016)", "plainTextFormattedCitation" : "(Timonen 2016)", "previouslyFormattedCitation" : "(Timonen 2016)" }, "properties" : { "noteIndex" : 0 }, "schema" : "https://github.com/citation-style-language/schema/raw/master/csl-citation.json" }</w:instrText>
      </w:r>
      <w:r w:rsidRPr="00C3671E">
        <w:fldChar w:fldCharType="separate"/>
      </w:r>
      <w:r w:rsidRPr="00C3671E">
        <w:rPr>
          <w:noProof/>
        </w:rPr>
        <w:t>(Timonen 2016)</w:t>
      </w:r>
      <w:r w:rsidRPr="00C3671E">
        <w:fldChar w:fldCharType="end"/>
      </w:r>
      <w:r w:rsidRPr="00C3671E">
        <w:t xml:space="preserve">, as this policy is oriented only towards third age and “tends to bring all the negative stereotypes of old age into the fourth age” </w:t>
      </w:r>
      <w:r w:rsidRPr="00C3671E">
        <w:fldChar w:fldCharType="begin" w:fldLock="1"/>
      </w:r>
      <w:r w:rsidR="004F5010" w:rsidRPr="00C3671E">
        <w:instrText>ADDIN CSL_CITATION { "citationItems" : [ { "id" : "ITEM-1", "itemData" : { "ISSN" : "13368613", "author" : [ { "dropping-particle" : "", "family" : "Petrov\u00e1 Kafkov\u00e1", "given" : "Marcela", "non-dropping-particle" : "", "parse-names" : false, "suffix" : "" } ], "container-title" : "Sociologia", "id" : "ITEM-1", "issue" : "6", "issued" : { "date-parts" : [ [ "2016" ] ] }, "page" : "622-640", "title" : "The \u201cReal\u201d old age and the transition between the third and fourth age", "type" : "article-journal", "volume" : "48" }, "uris" : [ "http://www.mendeley.com/documents/?uuid=f8dc2dba-2bc5-4722-ba88-40a6289148c0" ] } ], "mendeley" : { "formattedCitation" : "(Petrov\u00e1 Kafkov\u00e1 2016b)", "manualFormatting" : "(Kafkov\u00e1 2016: 637)", "plainTextFormattedCitation" : "(Petrov\u00e1 Kafkov\u00e1 2016b)", "previouslyFormattedCitation" : "(Kafkov\u00e1 2016)" }, "properties" : { "noteIndex" : 0 }, "schema" : "https://github.com/citation-style-language/schema/raw/master/csl-citation.json" }</w:instrText>
      </w:r>
      <w:r w:rsidRPr="00C3671E">
        <w:fldChar w:fldCharType="separate"/>
      </w:r>
      <w:r w:rsidRPr="00C3671E">
        <w:rPr>
          <w:noProof/>
        </w:rPr>
        <w:t>(Kafková 2016: 637)</w:t>
      </w:r>
      <w:r w:rsidRPr="00C3671E">
        <w:fldChar w:fldCharType="end"/>
      </w:r>
      <w:r w:rsidRPr="00C3671E">
        <w:t>.</w:t>
      </w:r>
    </w:p>
    <w:p w14:paraId="52D005B6" w14:textId="77777777" w:rsidR="00676326" w:rsidRPr="00C3671E" w:rsidRDefault="00676326" w:rsidP="00676326">
      <w:pPr>
        <w:pStyle w:val="Nadpis3"/>
        <w:spacing w:line="480" w:lineRule="auto"/>
        <w:rPr>
          <w:rFonts w:ascii="Times New Roman" w:hAnsi="Times New Roman" w:cs="Times New Roman"/>
          <w:b w:val="0"/>
          <w:i/>
          <w:lang w:val="en-GB" w:eastAsia="zh-CN"/>
        </w:rPr>
      </w:pPr>
      <w:bookmarkStart w:id="14" w:name="_Toc512687725"/>
      <w:r w:rsidRPr="00C3671E">
        <w:rPr>
          <w:rFonts w:ascii="Times New Roman" w:hAnsi="Times New Roman" w:cs="Times New Roman"/>
          <w:b w:val="0"/>
          <w:i/>
          <w:lang w:val="en-GB" w:eastAsia="zh-CN"/>
        </w:rPr>
        <w:t>Congruence of active ageing with role theories</w:t>
      </w:r>
      <w:bookmarkEnd w:id="14"/>
    </w:p>
    <w:p w14:paraId="1177E652" w14:textId="5464C7EC" w:rsidR="00676326" w:rsidRPr="00C3671E" w:rsidRDefault="00676326" w:rsidP="00676326">
      <w:pPr>
        <w:suppressAutoHyphens/>
        <w:spacing w:line="480" w:lineRule="auto"/>
        <w:jc w:val="both"/>
        <w:rPr>
          <w:lang w:val="en-GB"/>
        </w:rPr>
      </w:pPr>
      <w:r w:rsidRPr="00C3671E">
        <w:rPr>
          <w:lang w:val="en-GB"/>
        </w:rPr>
        <w:t xml:space="preserve">Active </w:t>
      </w:r>
      <w:r w:rsidRPr="00C3671E">
        <w:rPr>
          <w:noProof/>
          <w:lang w:val="en-GB" w:eastAsia="zh-CN"/>
        </w:rPr>
        <w:t>ageing</w:t>
      </w:r>
      <w:r w:rsidRPr="00C3671E">
        <w:rPr>
          <w:lang w:val="en-GB"/>
        </w:rPr>
        <w:t xml:space="preserve"> face extensive critique referring to many problematic aspects, but it still holds a dominant position within social policy and social gerontology. One of the main reasons for this paradox is quite strong empirical evidence of the beneficial outcomes of activities in later life – for instance, </w:t>
      </w:r>
      <w:r w:rsidRPr="00C3671E">
        <w:rPr>
          <w:lang w:val="en-GB"/>
        </w:rPr>
        <w:fldChar w:fldCharType="begin" w:fldLock="1"/>
      </w:r>
      <w:r w:rsidR="001257AA" w:rsidRPr="00C3671E">
        <w:rPr>
          <w:lang w:val="en-GB"/>
        </w:rPr>
        <w:instrText>ADDIN CSL_CITATION { "citationItems" : [ { "id" : "ITEM-1", "itemData" : { "DOI" : "10.1017/S0144686X10001091", "ISBN" : "0144686X (ISSN)", "ISSN" : "0144-686X", "PMID" : "59665633", "abstract" : "An engaged lifestyle is seen as an important component of successful ageing. Many older adults with high participation in social and leisure activities report positive wellbeing, a fact that fuelled the original activity theory and that continues to influence researchers, theorists and practitioners. This study's purpose is to review the conceptualisation and measurement of activity among older adults and the associations reported in the gerontological literature between specific dimensions of activity and wellbeing. We searched published studies that focused on social and leisure activity and wellbeing, and found 42 studies in 44 articles published between 1995 and 2009. They reported from one to 13 activity domains, the majority reporting two or three, such as informal , formal and solitary , or productive versus leisure . Domains associated with subjective wellbeing, health or survival included social, leisure, productive, physical, intellectual, service and solitary activities. Informal social activity has accumulated the most evidence of an influence on wellbeing. Individual descriptors such as gender or physical functioning sometimes moderate these associations, while contextual variables such as choice, meaning or perceived quality play intervening roles. Differences in definitions and measurement make it difficult to draw inferences about this body of evidence on the associations between activity and wellbeing. Activity theory serves as shorthand for these associations, but gerontology must better integrate developmental and psychological constructs into a refined, comprehensive activity theory.", "author" : [ { "dropping-particle" : "", "family" : "Adams", "given" : "Kathryn Betts", "non-dropping-particle" : "", "parse-names" : false, "suffix" : "" }, { "dropping-particle" : "", "family" : "Leibbrandt", "given" : "Sylvia", "non-dropping-particle" : "", "parse-names" : false, "suffix" : "" }, { "dropping-particle" : "", "family" : "Moon", "given" : "Heehyul", "non-dropping-particle" : "", "parse-names" : false, "suffix" : "" } ], "container-title" : "Ageing and Society", "id" : "ITEM-1", "issue" : "04", "issued" : { "date-parts" : [ [ "2011" ] ] }, "page" : "683-712", "title" : "A critical review of the literature on social and leisure activity and wellbeing in later life", "type" : "article-journal", "volume" : "31" }, "uris" : [ "http://www.mendeley.com/documents/?uuid=28bf1c76-83b5-46ba-8c9c-efd885614e50" ] } ], "mendeley" : { "formattedCitation" : "(Adams, Leibbrandt, and Moon 2011)", "manualFormatting" : "Adams, Leibbrandt, and Moon (2011)", "plainTextFormattedCitation" : "(Adams, Leibbrandt, and Moon 2011)", "previouslyFormattedCitation" : "(Adams, Leibbrandt, and Moon 2011)" }, "properties" : { "noteIndex" : 0 }, "schema" : "https://github.com/citation-style-language/schema/raw/master/csl-citation.json" }</w:instrText>
      </w:r>
      <w:r w:rsidRPr="00C3671E">
        <w:rPr>
          <w:lang w:val="en-GB"/>
        </w:rPr>
        <w:fldChar w:fldCharType="separate"/>
      </w:r>
      <w:r w:rsidRPr="00C3671E">
        <w:rPr>
          <w:noProof/>
          <w:lang w:val="en-GB"/>
        </w:rPr>
        <w:t>Adams, Leibbrandt, and Moon (2011)</w:t>
      </w:r>
      <w:r w:rsidRPr="00C3671E">
        <w:rPr>
          <w:lang w:val="en-GB"/>
        </w:rPr>
        <w:fldChar w:fldCharType="end"/>
      </w:r>
      <w:r w:rsidRPr="00C3671E">
        <w:rPr>
          <w:lang w:val="en-GB"/>
        </w:rPr>
        <w:t xml:space="preserve"> present a review of 42 studies on this relationship and conclude that the effect of a whole range of social and leisure activities is consistently positive. The findings addressing other types of activities do not lead to clear conclusions, which is elaborated in specific parts of this thesis. The question is a) how additional roles in later life alter the subjective quality of life and b) in which direction this </w:t>
      </w:r>
      <w:r w:rsidRPr="00C3671E">
        <w:rPr>
          <w:lang w:val="en-GB"/>
        </w:rPr>
        <w:lastRenderedPageBreak/>
        <w:t xml:space="preserve">effect leads. First, the impact of additional activities has a physical, social, and psychological dimension with the satisfaction of needs, expansion of resources and identity formation as the main benefits, while the role conflict, strain or burden are potential drawbacks </w:t>
      </w:r>
      <w:r w:rsidRPr="00C3671E">
        <w:rPr>
          <w:lang w:val="en-GB"/>
        </w:rPr>
        <w:fldChar w:fldCharType="begin" w:fldLock="1"/>
      </w:r>
      <w:r w:rsidR="001257AA" w:rsidRPr="00C3671E">
        <w:rPr>
          <w:lang w:val="en-GB"/>
        </w:rPr>
        <w:instrText>ADDIN CSL_CITATION { "citationItems" : [ { "id" : "ITEM-1", "itemData" : { "DOI" : "10.1017/S0144686X10001091", "ISBN" : "0144686X (ISSN)", "ISSN" : "0144-686X", "PMID" : "59665633", "abstract" : "An engaged lifestyle is seen as an important component of successful ageing. Many older adults with high participation in social and leisure activities report positive wellbeing, a fact that fuelled the original activity theory and that continues to influence researchers, theorists and practitioners. This study's purpose is to review the conceptualisation and measurement of activity among older adults and the associations reported in the gerontological literature between specific dimensions of activity and wellbeing. We searched published studies that focused on social and leisure activity and wellbeing, and found 42 studies in 44 articles published between 1995 and 2009. They reported from one to 13 activity domains, the majority reporting two or three, such as informal , formal and solitary , or productive versus leisure . Domains associated with subjective wellbeing, health or survival included social, leisure, productive, physical, intellectual, service and solitary activities. Informal social activity has accumulated the most evidence of an influence on wellbeing. Individual descriptors such as gender or physical functioning sometimes moderate these associations, while contextual variables such as choice, meaning or perceived quality play intervening roles. Differences in definitions and measurement make it difficult to draw inferences about this body of evidence on the associations between activity and wellbeing. Activity theory serves as shorthand for these associations, but gerontology must better integrate developmental and psychological constructs into a refined, comprehensive activity theory.", "author" : [ { "dropping-particle" : "", "family" : "Adams", "given" : "Kathryn Betts", "non-dropping-particle" : "", "parse-names" : false, "suffix" : "" }, { "dropping-particle" : "", "family" : "Leibbrandt", "given" : "Sylvia", "non-dropping-particle" : "", "parse-names" : false, "suffix" : "" }, { "dropping-particle" : "", "family" : "Moon", "given" : "Heehyul", "non-dropping-particle" : "", "parse-names" : false, "suffix" : "" } ], "container-title" : "Ageing and Society", "id" : "ITEM-1", "issue" : "04", "issued" : { "date-parts" : [ [ "2011" ] ] }, "page" : "683-712", "title" : "A critical review of the literature on social and leisure activity and wellbeing in later life", "type" : "article-journal", "volume" : "31" }, "uris" : [ "http://www.mendeley.com/documents/?uuid=28bf1c76-83b5-46ba-8c9c-efd885614e50" ] }, { "id" : "ITEM-2", "itemData" : { "author" : [ { "dropping-particle" : "", "family" : "Kim", "given" : "Jungmeen E", "non-dropping-particle" : "", "parse-names" : false, "suffix" : "" }, { "dropping-particle" : "", "family" : "Moen", "given" : "Phyllis", "non-dropping-particle" : "", "parse-names" : false, "suffix" : "" } ], "container-title" : "Journal of Gerontology: Psychological Series", "id" : "ITEM-2", "issue" : "3", "issued" : { "date-parts" : [ [ "2002" ] ] }, "note" : "Kim, Moen 2002: Retirement Transitions, Gender, and Psychological Well-Being: A Life-Course, Ecological Model\nlongitudinal: retirement\u2192well-being (morale scale, CES-D); married 50-72\nmultiple imputations of missing values\nmoving out from demanding job loosing occupational attachments, network, and anchor for identity\nrole theory + life-course perspetive \u2192 role enhancement X role strain\ncontinuity theory - maintaining patterns, stability\na life-course, ecological model - best for this issue\n- locating transitions in the social contexts of other roles, relations, and developmental processes\n- process, linked lives, context\nthe relationship between retirement and psychological well-being must be viewed in a temporal, life course context\nmaking the transition to retirement within the last 2 years is associated with higher levels of morale for men, whereas being \u201ccontinuously\u201d retired is related to greater depressive symptoms among men\n- enjoyable \u201choneymoon\u201d phase proposed by Atchley (1976b) - right after the event of retirement there often is a euphoric, busy, honeymoon phase\nthe importance of resources and contexts of transitions (gender, prior level of well-being, spouses\u2019 circumstance, and changes in personal control, marital quality, subjective health, and income adequacy\n\u2192\nWomen\u2019s retirement: Policy implications of recent research\nIs retirement good or bad for subjective well-being?\nCouples\u2019 work/retirement transitions, gender, and marital quality\nMen\u2019s retirement and marital quality\nVolunteering and mortality among older adults: Findings from a national sample\nThe retiree identity: Gender and race differences", "page" : "212-222", "title" : "Retirement Transitions, Gender, and Psychological Well-Being: A Life-Course , Ecological Model", "type" : "article-journal", "volume" : "57" }, "uris" : [ "http://www.mendeley.com/documents/?uuid=d324d834-c4ee-483d-b637-cc2ca78095c1" ] } ], "mendeley" : { "formattedCitation" : "(Adams et al. 2011; Kim and Moen 2002)", "plainTextFormattedCitation" : "(Adams et al. 2011; Kim and Moen 2002)", "previouslyFormattedCitation" : "(Adams et al. 2011; Kim and Moen 2002)" }, "properties" : { "noteIndex" : 0 }, "schema" : "https://github.com/citation-style-language/schema/raw/master/csl-citation.json" }</w:instrText>
      </w:r>
      <w:r w:rsidRPr="00C3671E">
        <w:rPr>
          <w:lang w:val="en-GB"/>
        </w:rPr>
        <w:fldChar w:fldCharType="separate"/>
      </w:r>
      <w:r w:rsidR="00A91559" w:rsidRPr="00C3671E">
        <w:rPr>
          <w:noProof/>
          <w:lang w:val="en-GB"/>
        </w:rPr>
        <w:t>(Adams et al. 2011; Kim and Moen 2002)</w:t>
      </w:r>
      <w:r w:rsidRPr="00C3671E">
        <w:rPr>
          <w:lang w:val="en-GB"/>
        </w:rPr>
        <w:fldChar w:fldCharType="end"/>
      </w:r>
      <w:r w:rsidRPr="00C3671E">
        <w:rPr>
          <w:lang w:val="en-GB"/>
        </w:rPr>
        <w:t xml:space="preserve">. Second, the activities defined by active ageing are basically performances of roles – defined as a standardized behaviour shaped by social norms and positions, which (re)produces social structure </w:t>
      </w:r>
      <w:r w:rsidRPr="00C3671E">
        <w:rPr>
          <w:lang w:val="en-GB"/>
        </w:rPr>
        <w:fldChar w:fldCharType="begin" w:fldLock="1"/>
      </w:r>
      <w:r w:rsidR="001257AA" w:rsidRPr="00C3671E">
        <w:rPr>
          <w:lang w:val="en-GB"/>
        </w:rPr>
        <w:instrText>ADDIN CSL_CITATION { "citationItems" : [ { "id" : "ITEM-1", "itemData" : { "author" : [ { "dropping-particle" : "", "family" : "Merton", "given" : "Robert K", "non-dropping-particle" : "", "parse-names" : false, "suffix" : "" } ], "container-title" : "The British Journal of Sociology", "id" : "ITEM-1", "issue" : "2", "issued" : { "date-parts" : [ [ "1957" ] ] }, "page" : "106-120", "title" : "The Role-Set: Problems in Sociological Theory", "type" : "article-journal", "volume" : "8" }, "uris" : [ "http://www.mendeley.com/documents/?uuid=b6094506-9a1b-4bcb-9d42-f6d06fb5d6d0" ] }, { "id" : "ITEM-2", "itemData" : { "author" : [ { "dropping-particle" : "", "family" : "Eagly", "given" : "Alice H", "non-dropping-particle" : "", "parse-names" : false, "suffix" : "" } ], "id" : "ITEM-2", "issued" : { "date-parts" : [ [ "1987" ] ] }, "publisher" : "Lawrence Erlbaum Associates, Publishers", "publisher-place" : "Hillsdale", "title" : "Sex differences in social behavior: A social-role interpretation", "type" : "book" }, "uris" : [ "http://www.mendeley.com/documents/?uuid=06ab637b-a180-43f4-8666-5ac124a7200d" ] } ], "mendeley" : { "formattedCitation" : "(Eagly 1987; Merton 1957)", "plainTextFormattedCitation" : "(Eagly 1987; Merton 1957)", "previouslyFormattedCitation" : "(Eagly 1987; Merton 1957)" }, "properties" : { "noteIndex" : 0 }, "schema" : "https://github.com/citation-style-language/schema/raw/master/csl-citation.json" }</w:instrText>
      </w:r>
      <w:r w:rsidRPr="00C3671E">
        <w:rPr>
          <w:lang w:val="en-GB"/>
        </w:rPr>
        <w:fldChar w:fldCharType="separate"/>
      </w:r>
      <w:r w:rsidR="00A91559" w:rsidRPr="00C3671E">
        <w:rPr>
          <w:noProof/>
          <w:lang w:val="en-GB"/>
        </w:rPr>
        <w:t>(Eagly 1987; Merton 1957)</w:t>
      </w:r>
      <w:r w:rsidRPr="00C3671E">
        <w:rPr>
          <w:lang w:val="en-GB"/>
        </w:rPr>
        <w:fldChar w:fldCharType="end"/>
      </w:r>
      <w:r w:rsidRPr="00C3671E">
        <w:rPr>
          <w:lang w:val="en-GB"/>
        </w:rPr>
        <w:t xml:space="preserve"> – and thus theories specifically addressing the effects of roles may elucidate the central question.</w:t>
      </w:r>
    </w:p>
    <w:p w14:paraId="3FCB8B0A" w14:textId="063C1D3F" w:rsidR="00676326" w:rsidRPr="00C3671E" w:rsidRDefault="00676326" w:rsidP="00676326">
      <w:pPr>
        <w:pStyle w:val="Newparagraph"/>
        <w:jc w:val="both"/>
      </w:pPr>
      <w:r w:rsidRPr="00C3671E">
        <w:t xml:space="preserve">A group of </w:t>
      </w:r>
      <w:r w:rsidRPr="00C3671E">
        <w:rPr>
          <w:lang w:eastAsia="zh-CN"/>
        </w:rPr>
        <w:t>theories</w:t>
      </w:r>
      <w:r w:rsidRPr="00C3671E">
        <w:t xml:space="preserve"> addressing the structure and interaction of roles within individual contains two opposing perspectives. William </w:t>
      </w:r>
      <w:r w:rsidRPr="00C3671E">
        <w:fldChar w:fldCharType="begin" w:fldLock="1"/>
      </w:r>
      <w:r w:rsidRPr="00C3671E">
        <w:instrText>ADDIN CSL_CITATION { "citationItems" : [ { "id" : "ITEM-1", "itemData" : { "DOI" : "10.1177/0038040709356567", "ISBN" : "063120301X", "ISSN" : "0036-8075", "PMID" : "17806662", "author" : [ { "dropping-particle" : "", "family" : "Goode", "given" : "William J", "non-dropping-particle" : "", "parse-names" : false, "suffix" : "" } ], "container-title" : "American Sociological Review", "id" : "ITEM-1", "issue" : "4", "issued" : { "date-parts" : [ [ "1960" ] ] }, "page" : "483-496", "title" : "A Theory of Role Strain", "type" : "article-journal", "volume" : "25" }, "uris" : [ "http://www.mendeley.com/documents/?uuid=fa5664e7-4c35-4e1f-ab5d-837ee62474a6" ] } ], "mendeley" : { "formattedCitation" : "(Goode 1960)", "manualFormatting" : "Goode (1960)", "plainTextFormattedCitation" : "(Goode 1960)", "previouslyFormattedCitation" : "(Goode 1960)" }, "properties" : { "noteIndex" : 0 }, "schema" : "https://github.com/citation-style-language/schema/raw/master/csl-citation.json" }</w:instrText>
      </w:r>
      <w:r w:rsidRPr="00C3671E">
        <w:fldChar w:fldCharType="separate"/>
      </w:r>
      <w:r w:rsidRPr="00C3671E">
        <w:rPr>
          <w:noProof/>
        </w:rPr>
        <w:t>Goode (1960)</w:t>
      </w:r>
      <w:r w:rsidRPr="00C3671E">
        <w:fldChar w:fldCharType="end"/>
      </w:r>
      <w:r w:rsidRPr="00C3671E">
        <w:t xml:space="preserve"> formulated the theory of role strain “accepting dissensus, nonconformity, and conflicts among norms and roles as the usual state of affairs” </w:t>
      </w:r>
      <w:r w:rsidRPr="00C3671E">
        <w:fldChar w:fldCharType="begin" w:fldLock="1"/>
      </w:r>
      <w:r w:rsidRPr="00C3671E">
        <w:instrText>ADDIN CSL_CITATION { "citationItems" : [ { "id" : "ITEM-1", "itemData" : { "DOI" : "10.1177/0038040709356567", "ISBN" : "063120301X", "ISSN" : "0036-8075", "PMID" : "17806662", "author" : [ { "dropping-particle" : "", "family" : "Goode", "given" : "William J", "non-dropping-particle" : "", "parse-names" : false, "suffix" : "" } ], "container-title" : "American Sociological Review", "id" : "ITEM-1", "issue" : "4", "issued" : { "date-parts" : [ [ "1960" ] ] }, "page" : "483-496", "title" : "A Theory of Role Strain", "type" : "article-journal", "volume" : "25" }, "uris" : [ "http://www.mendeley.com/documents/?uuid=fa5664e7-4c35-4e1f-ab5d-837ee62474a6" ] } ], "mendeley" : { "formattedCitation" : "(Goode 1960)", "manualFormatting" : "(Goode 1960: 495)", "plainTextFormattedCitation" : "(Goode 1960)", "previouslyFormattedCitation" : "(Goode 1960)" }, "properties" : { "noteIndex" : 0 }, "schema" : "https://github.com/citation-style-language/schema/raw/master/csl-citation.json" }</w:instrText>
      </w:r>
      <w:r w:rsidRPr="00C3671E">
        <w:fldChar w:fldCharType="separate"/>
      </w:r>
      <w:r w:rsidRPr="00C3671E">
        <w:rPr>
          <w:noProof/>
        </w:rPr>
        <w:t>(Goode 1960: 495)</w:t>
      </w:r>
      <w:r w:rsidRPr="00C3671E">
        <w:fldChar w:fldCharType="end"/>
      </w:r>
      <w:r w:rsidRPr="00C3671E">
        <w:t xml:space="preserve">. This theory describes how individuals bargain and organize incompatible role demands and perceive role conflicts under normal – one of a few exceptions in this can be a situation after retirement </w:t>
      </w:r>
      <w:r w:rsidRPr="00C3671E">
        <w:fldChar w:fldCharType="begin" w:fldLock="1"/>
      </w:r>
      <w:r w:rsidRPr="00C3671E">
        <w:instrText>ADDIN CSL_CITATION { "citationItems" : [ { "id" : "ITEM-1", "itemData" : { "DOI" : "10.1177/0038040709356567", "ISBN" : "063120301X", "ISSN" : "0036-8075", "PMID" : "17806662", "author" : [ { "dropping-particle" : "", "family" : "Goode", "given" : "William J", "non-dropping-particle" : "", "parse-names" : false, "suffix" : "" } ], "container-title" : "American Sociological Review", "id" : "ITEM-1", "issue" : "4", "issued" : { "date-parts" : [ [ "1960" ] ] }, "page" : "483-496", "title" : "A Theory of Role Strain", "type" : "article-journal", "volume" : "25" }, "uris" : [ "http://www.mendeley.com/documents/?uuid=fa5664e7-4c35-4e1f-ab5d-837ee62474a6" ] } ], "mendeley" : { "formattedCitation" : "(Goode 1960)", "plainTextFormattedCitation" : "(Goode 1960)", "previouslyFormattedCitation" : "(Goode 1960)" }, "properties" : { "noteIndex" : 0 }, "schema" : "https://github.com/citation-style-language/schema/raw/master/csl-citation.json" }</w:instrText>
      </w:r>
      <w:r w:rsidRPr="00C3671E">
        <w:fldChar w:fldCharType="separate"/>
      </w:r>
      <w:r w:rsidRPr="00C3671E">
        <w:rPr>
          <w:noProof/>
        </w:rPr>
        <w:t>(Goode 1960)</w:t>
      </w:r>
      <w:r w:rsidRPr="00C3671E">
        <w:fldChar w:fldCharType="end"/>
      </w:r>
      <w:r w:rsidRPr="00C3671E">
        <w:t xml:space="preserve">. The theory of role strain opposing the main assumption of active ageing approach is also in contrast to the theory of role accumulation built as a direct reaction to Goode </w:t>
      </w:r>
      <w:r w:rsidRPr="00C3671E">
        <w:fldChar w:fldCharType="begin" w:fldLock="1"/>
      </w:r>
      <w:r w:rsidRPr="00C3671E">
        <w:instrText>ADDIN CSL_CITATION { "citationItems" : [ { "id" : "ITEM-1", "itemData" : { "DOI" : "10.1177/0003122413515997", "author" : [ { "dropping-particle" : "", "family" : "Sieber", "given" : "Sam D.", "non-dropping-particle" : "", "parse-names" : false, "suffix" : "" } ], "container-title" : "American Sociological Review", "id" : "ITEM-1", "issue" : "4", "issued" : { "date-parts" : [ [ "1974" ] ] }, "page" : "567-578", "title" : "Toward a Theory of Role Accumulation", "type" : "article-journal", "volume" : "39" }, "uris" : [ "http://www.mendeley.com/documents/?uuid=3a4692a5-08a8-406e-bfc8-2c3503d510c2" ] } ], "mendeley" : { "formattedCitation" : "(Sieber 1974)", "manualFormatting" : "by Sieber (1974)", "plainTextFormattedCitation" : "(Sieber 1974)", "previouslyFormattedCitation" : "(Sieber 1974)" }, "properties" : { "noteIndex" : 0 }, "schema" : "https://github.com/citation-style-language/schema/raw/master/csl-citation.json" }</w:instrText>
      </w:r>
      <w:r w:rsidRPr="00C3671E">
        <w:fldChar w:fldCharType="separate"/>
      </w:r>
      <w:r w:rsidRPr="00C3671E">
        <w:rPr>
          <w:noProof/>
        </w:rPr>
        <w:t>by Sieber (1974)</w:t>
      </w:r>
      <w:r w:rsidRPr="00C3671E">
        <w:fldChar w:fldCharType="end"/>
      </w:r>
      <w:r w:rsidRPr="00C3671E">
        <w:t xml:space="preserve">. This view claims “that role accumulation tends in principle to be more gratifying than stressful” </w:t>
      </w:r>
      <w:r w:rsidRPr="00C3671E">
        <w:rPr>
          <w:noProof/>
        </w:rPr>
        <w:t>(</w:t>
      </w:r>
      <w:r w:rsidRPr="00C3671E">
        <w:fldChar w:fldCharType="begin" w:fldLock="1"/>
      </w:r>
      <w:r w:rsidRPr="00C3671E">
        <w:instrText>ADDIN CSL_CITATION { "citationItems" : [ { "id" : "ITEM-1", "itemData" : { "DOI" : "10.1177/0003122413515997", "author" : [ { "dropping-particle" : "", "family" : "Sieber", "given" : "Sam D.", "non-dropping-particle" : "", "parse-names" : false, "suffix" : "" } ], "container-title" : "American Sociological Review", "id" : "ITEM-1", "issue" : "4", "issued" : { "date-parts" : [ [ "1974" ] ] }, "page" : "567-578", "title" : "Toward a Theory of Role Accumulation", "type" : "article-journal", "volume" : "39" }, "uris" : [ "http://www.mendeley.com/documents/?uuid=3a4692a5-08a8-406e-bfc8-2c3503d510c2" ] } ], "mendeley" : { "formattedCitation" : "(Sieber 1974)", "manualFormatting" : "Sieber 1974: 577)", "plainTextFormattedCitation" : "(Sieber 1974)", "previouslyFormattedCitation" : "(Sieber 1974)" }, "properties" : { "noteIndex" : 0 }, "schema" : "https://github.com/citation-style-language/schema/raw/master/csl-citation.json" }</w:instrText>
      </w:r>
      <w:r w:rsidRPr="00C3671E">
        <w:fldChar w:fldCharType="separate"/>
      </w:r>
      <w:r w:rsidRPr="00C3671E">
        <w:rPr>
          <w:noProof/>
        </w:rPr>
        <w:t>Sieber 1974: 577)</w:t>
      </w:r>
      <w:r w:rsidRPr="00C3671E">
        <w:fldChar w:fldCharType="end"/>
      </w:r>
      <w:r w:rsidRPr="00C3671E">
        <w:t xml:space="preserve">, even though the importance of role strain and conflict has been dominant in sociological literature, because professional sociologists this way reflect their own experience of a high dedication to work resulting in perceived role strain </w:t>
      </w:r>
      <w:r w:rsidRPr="00C3671E">
        <w:fldChar w:fldCharType="begin" w:fldLock="1"/>
      </w:r>
      <w:r w:rsidRPr="00C3671E">
        <w:instrText>ADDIN CSL_CITATION { "citationItems" : [ { "id" : "ITEM-1", "itemData" : { "DOI" : "10.1177/0003122412444721", "author" : [ { "dropping-particle" : "", "family" : "Marks", "given" : "Stephen R", "non-dropping-particle" : "", "parse-names" : false, "suffix" : "" } ], "container-title" : "American Sociological Review", "id" : "ITEM-1", "issue" : "6", "issued" : { "date-parts" : [ [ "1977" ] ] }, "note" : "Marks 1977: Multiple Roles and Role Strain: Some Notes on Human Energy, Time and Commitment\nFreud: human enegry is scarce, one can either built civilization or make love\nnatural &amp;quot;scarcity&amp;quot; approach to human energy, stressing the overdemanding nature of multiple roles\nscarcity approach: general theory, social criticism\nscarcity approach+multiple roles - Goode, Slater, Coser\nX In contrast, a seldom used &amp;quot;expansion&amp;quot; approach provides an energy-creation theory of multiple roles rather than a &amp;quot;spending&amp;quot; or &amp;quot;drain&amp;quot; theory\nthe expansion approach to human energy - Durkheim\nhuman physiology implies that human activity produces as well as consumes energy\nA theory of scarcity excuses explains how strain or overload is generally rooted in one such system", "page" : "921-936", "title" : "Multiple Roles and Role Strain: Some Notes on Human Energy, Time and Commitment", "type" : "article-journal", "volume" : "42" }, "uris" : [ "http://www.mendeley.com/documents/?uuid=d18e877c-f5c0-4df1-9f1d-009444ce26e3" ] } ], "mendeley" : { "formattedCitation" : "(Marks 1977)", "plainTextFormattedCitation" : "(Marks 1977)", "previouslyFormattedCitation" : "(Marks 1977)" }, "properties" : { "noteIndex" : 0 }, "schema" : "https://github.com/citation-style-language/schema/raw/master/csl-citation.json" }</w:instrText>
      </w:r>
      <w:r w:rsidRPr="00C3671E">
        <w:fldChar w:fldCharType="separate"/>
      </w:r>
      <w:r w:rsidRPr="00C3671E">
        <w:rPr>
          <w:noProof/>
        </w:rPr>
        <w:t>(Marks 1977)</w:t>
      </w:r>
      <w:r w:rsidRPr="00C3671E">
        <w:fldChar w:fldCharType="end"/>
      </w:r>
      <w:r w:rsidRPr="00C3671E">
        <w:t xml:space="preserve">. Therefore, same roles can be both beneficial and harmful, depending on the situation and individual preferences </w:t>
      </w:r>
      <w:r w:rsidRPr="00C3671E">
        <w:fldChar w:fldCharType="begin" w:fldLock="1"/>
      </w:r>
      <w:r w:rsidR="001257AA" w:rsidRPr="00C3671E">
        <w:instrText>ADDIN CSL_CITATION { "citationItems" : [ { "id" : "ITEM-1", "itemData" : { "DOI" : "10.1177/0003122412444721", "author" : [ { "dropping-particle" : "", "family" : "Marks", "given" : "Stephen R", "non-dropping-particle" : "", "parse-names" : false, "suffix" : "" } ], "container-title" : "American Sociological Review", "id" : "ITEM-1", "issue" : "6", "issued" : { "date-parts" : [ [ "1977" ] ] }, "note" : "Marks 1977: Multiple Roles and Role Strain: Some Notes on Human Energy, Time and Commitment\nFreud: human enegry is scarce, one can either built civilization or make love\nnatural &amp;quot;scarcity&amp;quot; approach to human energy, stressing the overdemanding nature of multiple roles\nscarcity approach: general theory, social criticism\nscarcity approach+multiple roles - Goode, Slater, Coser\nX In contrast, a seldom used &amp;quot;expansion&amp;quot; approach provides an energy-creation theory of multiple roles rather than a &amp;quot;spending&amp;quot; or &amp;quot;drain&amp;quot; theory\nthe expansion approach to human energy - Durkheim\nhuman physiology implies that human activity produces as well as consumes energy\nA theory of scarcity excuses explains how strain or overload is generally rooted in one such system", "page" : "921-936", "title" : "Multiple Roles and Role Strain: Some Notes on Human Energy, Time and Commitment", "type" : "article-journal", "volume" : "42" }, "uris" : [ "http://www.mendeley.com/documents/?uuid=d18e877c-f5c0-4df1-9f1d-009444ce26e3" ] }, { "id" : "ITEM-2", "itemData" : { "PMID" : "7594358", "author" : [ { "dropping-particle" : "", "family" : "Moen", "given" : "Phillis", "non-dropping-particle" : "", "parse-names" : false, "suffix" : "" }, { "dropping-particle" : "", "family" : "Robison", "given" : "Julie", "non-dropping-particle" : "", "parse-names" : false, "suffix" : "" }, { "dropping-particle" : "", "family" : "Dempster-McLain", "given" : "Donna", "non-dropping-particle" : "", "parse-names" : false, "suffix" : "" } ], "container-title" : "Journal of Health and Social Behaviour", "id" : "ITEM-2", "issue" : "3", "issued" : { "date-parts" : [ [ "1995" ] ] }, "page" : "259-273", "title" : "Caregiving and Women's Well-being: A Life Course Approach", "type" : "article-journal", "volume" : "36" }, "uris" : [ "http://www.mendeley.com/documents/?uuid=69f1c045-98cd-4b80-8d2c-e3706322ce92" ] } ], "mendeley" : { "formattedCitation" : "(Marks 1977; Moen, Robison, and Dempster-McLain 1995)", "plainTextFormattedCitation" : "(Marks 1977; Moen, Robison, and Dempster-McLain 1995)", "previouslyFormattedCitation" : "(Marks 1977; Moen, Robison, and Dempster-McLain 1995)" }, "properties" : { "noteIndex" : 0 }, "schema" : "https://github.com/citation-style-language/schema/raw/master/csl-citation.json" }</w:instrText>
      </w:r>
      <w:r w:rsidRPr="00C3671E">
        <w:fldChar w:fldCharType="separate"/>
      </w:r>
      <w:r w:rsidR="00A91559" w:rsidRPr="00C3671E">
        <w:rPr>
          <w:noProof/>
        </w:rPr>
        <w:t>(Marks 1977; Moen, Robison, and Dempster-McLain 1995)</w:t>
      </w:r>
      <w:r w:rsidRPr="00C3671E">
        <w:fldChar w:fldCharType="end"/>
      </w:r>
      <w:r w:rsidRPr="00C3671E">
        <w:t>.</w:t>
      </w:r>
    </w:p>
    <w:p w14:paraId="7EA1E1C2" w14:textId="77777777" w:rsidR="00676326" w:rsidRPr="00C3671E" w:rsidRDefault="00676326" w:rsidP="00676326">
      <w:pPr>
        <w:pStyle w:val="Nadpis2"/>
        <w:spacing w:line="480" w:lineRule="auto"/>
        <w:rPr>
          <w:sz w:val="26"/>
          <w:szCs w:val="26"/>
          <w:lang w:val="en-GB"/>
        </w:rPr>
      </w:pPr>
      <w:bookmarkStart w:id="15" w:name="_Toc512687726"/>
      <w:r w:rsidRPr="00C3671E">
        <w:rPr>
          <w:sz w:val="26"/>
          <w:szCs w:val="26"/>
          <w:lang w:val="en-GB"/>
        </w:rPr>
        <w:t>Context-dependency of active ageing outcomes</w:t>
      </w:r>
      <w:bookmarkEnd w:id="15"/>
    </w:p>
    <w:p w14:paraId="235EDB98" w14:textId="77777777" w:rsidR="00676326" w:rsidRPr="00C3671E" w:rsidRDefault="00676326" w:rsidP="00676326">
      <w:pPr>
        <w:pStyle w:val="Nadpis3"/>
        <w:spacing w:line="480" w:lineRule="auto"/>
        <w:rPr>
          <w:rFonts w:ascii="Times New Roman" w:hAnsi="Times New Roman" w:cs="Times New Roman"/>
          <w:b w:val="0"/>
          <w:i/>
          <w:lang w:val="en-GB" w:eastAsia="zh-CN"/>
        </w:rPr>
      </w:pPr>
      <w:bookmarkStart w:id="16" w:name="_Toc512687727"/>
      <w:r w:rsidRPr="00C3671E">
        <w:rPr>
          <w:rFonts w:ascii="Times New Roman" w:hAnsi="Times New Roman" w:cs="Times New Roman"/>
          <w:b w:val="0"/>
          <w:i/>
          <w:lang w:val="en-GB" w:eastAsia="zh-CN"/>
        </w:rPr>
        <w:lastRenderedPageBreak/>
        <w:t>Theoretical alternatives expecting various outcomes of roles and activities</w:t>
      </w:r>
      <w:bookmarkEnd w:id="16"/>
    </w:p>
    <w:p w14:paraId="091B2379" w14:textId="4ED93E73" w:rsidR="00676326" w:rsidRPr="00C3671E" w:rsidRDefault="00676326" w:rsidP="00676326">
      <w:pPr>
        <w:suppressAutoHyphens/>
        <w:spacing w:line="480" w:lineRule="auto"/>
        <w:jc w:val="both"/>
        <w:rPr>
          <w:lang w:val="en-GB"/>
        </w:rPr>
      </w:pPr>
      <w:r w:rsidRPr="00C3671E">
        <w:rPr>
          <w:lang w:val="en-GB"/>
        </w:rPr>
        <w:t xml:space="preserve">The increasing share of publications – both theoretical and empirical – reflects that outcomes of additional </w:t>
      </w:r>
      <w:r w:rsidRPr="00C3671E">
        <w:rPr>
          <w:noProof/>
          <w:lang w:val="en-GB" w:eastAsia="zh-CN"/>
        </w:rPr>
        <w:t>roles</w:t>
      </w:r>
      <w:r w:rsidRPr="00C3671E">
        <w:rPr>
          <w:lang w:val="en-GB"/>
        </w:rPr>
        <w:t xml:space="preserve"> in later life depend on many factors in terms of role content and (individual, group, and societal) context </w:t>
      </w:r>
      <w:r w:rsidRPr="00C3671E">
        <w:rPr>
          <w:lang w:val="en-GB"/>
        </w:rPr>
        <w:fldChar w:fldCharType="begin" w:fldLock="1"/>
      </w:r>
      <w:r w:rsidR="004F5010" w:rsidRPr="00C3671E">
        <w:rPr>
          <w:lang w:val="en-GB"/>
        </w:rPr>
        <w:instrText>ADDIN CSL_CITATION { "citationItems" : [ { "id" : "ITEM-1", "itemData" : { "author" : [ { "dropping-particle" : "", "family" : "Bronfenbrenner", "given" : "Urie", "non-dropping-particle" : "", "parse-names" : false, "suffix" : "" } ], "container-title" : "Developmental Psychology", "id" : "ITEM-1", "issue" : "6", "issued" : { "date-parts" : [ [ "1986" ] ] }, "page" : "723-742", "title" : "Ecology of the family as a context for human development: research perspectives", "type" : "article-journal", "volume" : "22" }, "uris" : [ "http://www.mendeley.com/documents/?uuid=914637a8-15ad-4ca9-89fd-0e132df3bbfe" ] }, { "id" : "ITEM-2", "itemData" : { "DOI" : "10.1111/1467-8721.00121", "ISBN" : "09637214", "ISSN" : "0963-7214", "abstract" : "Retirement has been viewed either as a transition that is accompanied by psychological distress or as a time of continued, or even enhanced, subjective well-being. Existing evidence is mixed, with some studies reporting retirement as positively related to well-being and other reporting a negative relationship or none at all. Our research indicates that developmental and social contexts shape an individual's retirement decisions and experiences, so that retirement should be studied in its ecological and life-course context. Research on marital quality and subjective well-being in retirement has demonstrated both similarities and differences between men and women, as well as the need to consider couples conjointly (rather than viewing individuals in isolation). Future research focusing on the retirement process as it unfolds over time and in ecological context can serve to illuminate the circumstances under which retirement promotes or detracts from the quality of life.", "author" : [ { "dropping-particle" : "", "family" : "Kim", "given" : "Jungmeen E", "non-dropping-particle" : "", "parse-names" : false, "suffix" : "" }, { "dropping-particle" : "", "family" : "Moen", "given" : "Phyllis", "non-dropping-particle" : "", "parse-names" : false, "suffix" : "" } ], "container-title" : "Current Directions in Psychological Science", "id" : "ITEM-2", "issue" : "3", "issued" : { "date-parts" : [ [ "2001" ] ] }, "page" : "83-86", "title" : "Is Retirement Good or Bad for Subjective Well-Being?", "type" : "article-journal", "volume" : "10" }, "uris" : [ "http://www.mendeley.com/documents/?uuid=d06e4216-f8ef-4e4d-8d67-2a892de0433e" ] }, { "id" : "ITEM-3", "itemData" : { "author" : [ { "dropping-particle" : "", "family" : "Kim", "given" : "Jungmeen E", "non-dropping-particle" : "", "parse-names" : false, "suffix" : "" }, { "dropping-particle" : "", "family" : "Moen", "given" : "Phyllis", "non-dropping-particle" : "", "parse-names" : false, "suffix" : "" } ], "container-title" : "Journal of Gerontology: Psychological Series", "id" : "ITEM-3", "issue" : "3", "issued" : { "date-parts" : [ [ "2002" ] ] }, "note" : "Kim, Moen 2002: Retirement Transitions, Gender, and Psychological Well-Being: A Life-Course, Ecological Model\nlongitudinal: retirement\u2192well-being (morale scale, CES-D); married 50-72\nmultiple imputations of missing values\nmoving out from demanding job loosing occupational attachments, network, and anchor for identity\nrole theory + life-course perspetive \u2192 role enhancement X role strain\ncontinuity theory - maintaining patterns, stability\na life-course, ecological model - best for this issue\n- locating transitions in the social contexts of other roles, relations, and developmental processes\n- process, linked lives, context\nthe relationship between retirement and psychological well-being must be viewed in a temporal, life course context\nmaking the transition to retirement within the last 2 years is associated with higher levels of morale for men, whereas being \u201ccontinuously\u201d retired is related to greater depressive symptoms among men\n- enjoyable \u201choneymoon\u201d phase proposed by Atchley (1976b) - right after the event of retirement there often is a euphoric, busy, honeymoon phase\nthe importance of resources and contexts of transitions (gender, prior level of well-being, spouses\u2019 circumstance, and changes in personal control, marital quality, subjective health, and income adequacy\n\u2192\nWomen\u2019s retirement: Policy implications of recent research\nIs retirement good or bad for subjective well-being?\nCouples\u2019 work/retirement transitions, gender, and marital quality\nMen\u2019s retirement and marital quality\nVolunteering and mortality among older adults: Findings from a national sample\nThe retiree identity: Gender and race differences", "page" : "212-222", "title" : "Retirement Transitions, Gender, and Psychological Well-Being: A Life-Course , Ecological Model", "type" : "article-journal", "volume" : "57" }, "uris" : [ "http://www.mendeley.com/documents/?uuid=d324d834-c4ee-483d-b637-cc2ca78095c1" ] }, { "id" : "ITEM-4", "itemData" : { "DOI" : "10.1017/S0144686X10001091", "ISBN" : "0144686X (ISSN)", "ISSN" : "0144-686X", "PMID" : "59665633", "abstract" : "An engaged lifestyle is seen as an important component of successful ageing. Many older adults with high participation in social and leisure activities report positive wellbeing, a fact that fuelled the original activity theory and that continues to influence researchers, theorists and practitioners. This study's purpose is to review the conceptualisation and measurement of activity among older adults and the associations reported in the gerontological literature between specific dimensions of activity and wellbeing. We searched published studies that focused on social and leisure activity and wellbeing, and found 42 studies in 44 articles published between 1995 and 2009. They reported from one to 13 activity domains, the majority reporting two or three, such as informal , formal and solitary , or productive versus leisure . Domains associated with subjective wellbeing, health or survival included social, leisure, productive, physical, intellectual, service and solitary activities. Informal social activity has accumulated the most evidence of an influence on wellbeing. Individual descriptors such as gender or physical functioning sometimes moderate these associations, while contextual variables such as choice, meaning or perceived quality play intervening roles. Differences in definitions and measurement make it difficult to draw inferences about this body of evidence on the associations between activity and wellbeing. Activity theory serves as shorthand for these associations, but gerontology must better integrate developmental and psychological constructs into a refined, comprehensive activity theory.", "author" : [ { "dropping-particle" : "", "family" : "Adams", "given" : "Kathryn Betts", "non-dropping-particle" : "", "parse-names" : false, "suffix" : "" }, { "dropping-particle" : "", "family" : "Leibbrandt", "given" : "Sylvia", "non-dropping-particle" : "", "parse-names" : false, "suffix" : "" }, { "dropping-particle" : "", "family" : "Moon", "given" : "Heehyul", "non-dropping-particle" : "", "parse-names" : false, "suffix" : "" } ], "container-title" : "Ageing and Society", "id" : "ITEM-4", "issue" : "04", "issued" : { "date-parts" : [ [ "2011" ] ] }, "page" : "683-712", "title" : "A critical review of the literature on social and leisure activity and wellbeing in later life", "type" : "article-journal", "volume" : "31" }, "uris" : [ "http://www.mendeley.com/documents/?uuid=28bf1c76-83b5-46ba-8c9c-efd885614e50" ] }, { "id" : "ITEM-5", "itemData" : { "DOI" : "10.1007/s10680-014-9336-7", "ISBN" : "1068001493367", "ISSN" : "15729885", "abstract" : "We analyse the impact of the provision of care on the health and quality of life (QoL) of adult female informal caregivers using a representative sample drawn from the survey of health, ageing and retirement in Europe (SHARE). We match each informal caregiver with a non-carer using propensity score matching and test whether matched individuals differ on self-assessed health and a functional indicator of QoL and whether this relationship differs across European regions. We find a North-South gradient both for self-assessed health and QoL, and our results show that the provision of caregiving to close relatives in Europe impacts on the caregivers' QoL and health in a way that depends on their geographical location, the degree of formal care and specific cultural and social factors of the area. We find that informal caregiving is a complex phenomenon which may bring both psychological rewards and distress to providers of care and this complexity, along with the geographical gradient highlight the importance of ensuring that policies match the needs of individual carers in their own geographical areas and cultural contexts. [ABSTRACT FROM AUTHOR] Copyright of European Journal of Population is the property of Springer Science &amp; Business Media B.V.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"Novi", "given" : "Cinzia", "non-dropping-particle" : "Di", "parse-names" : false, "suffix" : "" }, { "dropping-particle" : "", "family" : "Jacobs", "given" : "Rowena", "non-dropping-particle" : "", "parse-names" : false, "suffix" : "" }, { "dropping-particle" : "", "family" : "Migheli", "given" : "Matteo", "non-dropping-particle" : "", "parse-names" : false, "suffix" : "" } ], "container-title" : "European Journal of Population", "id" : "ITEM-5", "issue" : "3", "issued" : { "date-parts" : [ [ "2015" ] ] }, "page" : "309-333", "publisher" : "Springer Netherlands", "title" : "The Quality of Life of Female Informal Caregivers: From Scandinavia to the Mediterranean Sea", "type" : "article-journal", "volume" : "31" }, "uris" : [ "http://www.mendeley.com/documents/?uuid=1ccc65b6-fa56-4844-8194-2bfe00ef56d5" ] } ], "mendeley" : { "formattedCitation" : "(Adams et al. 2011; Bronfenbrenner 1986; Kim and Moen 2001, 2002; Di Novi et al. 2015)", "plainTextFormattedCitation" : "(Adams et al. 2011; Bronfenbrenner 1986; Kim and Moen 2001, 2002; Di Novi et al. 2015)", "previouslyFormattedCitation" : "(Adams et al. 2011; Bronfenbrenner 1986; Kim and Moen 2001, 2002; Di Novi et al. 2015)" }, "properties" : { "noteIndex" : 0 }, "schema" : "https://github.com/citation-style-language/schema/raw/master/csl-citation.json" }</w:instrText>
      </w:r>
      <w:r w:rsidRPr="00C3671E">
        <w:rPr>
          <w:lang w:val="en-GB"/>
        </w:rPr>
        <w:fldChar w:fldCharType="separate"/>
      </w:r>
      <w:r w:rsidR="00224AA0" w:rsidRPr="00C3671E">
        <w:rPr>
          <w:noProof/>
          <w:lang w:val="en-GB"/>
        </w:rPr>
        <w:t>(Adams et al. 2011; Bronfenbrenner 1986; Kim and Moen 2001, 2002; Di Novi et al. 2015)</w:t>
      </w:r>
      <w:r w:rsidRPr="00C3671E">
        <w:rPr>
          <w:lang w:val="en-GB"/>
        </w:rPr>
        <w:fldChar w:fldCharType="end"/>
      </w:r>
      <w:r w:rsidRPr="00C3671E">
        <w:rPr>
          <w:lang w:val="en-GB"/>
        </w:rPr>
        <w:t xml:space="preserve">. </w:t>
      </w:r>
      <w:r w:rsidRPr="00C3671E">
        <w:rPr>
          <w:lang w:val="en-GB"/>
        </w:rPr>
        <w:fldChar w:fldCharType="begin" w:fldLock="1"/>
      </w:r>
      <w:r w:rsidR="001257AA" w:rsidRPr="00C3671E">
        <w:rPr>
          <w:lang w:val="en-GB"/>
        </w:rPr>
        <w:instrText>ADDIN CSL_CITATION { "citationItems" : [ { "id" : "ITEM-1", "itemData" : { "author" : [ { "dropping-particle" : "", "family" : "Phillips", "given" : "Judith", "non-dropping-particle" : "", "parse-names" : false, "suffix" : "" }, { "dropping-particle" : "", "family" : "Ajrouch", "given" : "Kristine", "non-dropping-particle" : "", "parse-names" : false, "suffix" : "" }, { "dropping-particle" : "", "family" : "Hillcoat-Nall\u00e9tamby", "given" : "Sarah", "non-dropping-particle" : "", "parse-names" : false, "suffix" : "" } ], "id" : "ITEM-1", "issued" : { "date-parts" : [ [ "2010" ] ] }, "publisher" : "SAGE", "publisher-place" : "Los Angeles", "title" : "Key concepts in social gerontology", "type" : "book" }, "uris" : [ "http://www.mendeley.com/documents/?uuid=aa168abc-3880-4938-aaf6-f6359651c5f9" ] } ], "mendeley" : { "formattedCitation" : "(Phillips et al. 2010)", "plainTextFormattedCitation" : "(Phillips et al. 2010)", "previouslyFormattedCitation" : "(Phillips et al. 2010)" }, "properties" : { "noteIndex" : 0 }, "schema" : "https://github.com/citation-style-language/schema/raw/master/csl-citation.json" }</w:instrText>
      </w:r>
      <w:r w:rsidRPr="00C3671E">
        <w:rPr>
          <w:lang w:val="en-GB"/>
        </w:rPr>
        <w:fldChar w:fldCharType="separate"/>
      </w:r>
      <w:r w:rsidR="00AA6335" w:rsidRPr="00C3671E">
        <w:rPr>
          <w:noProof/>
          <w:lang w:val="en-GB"/>
        </w:rPr>
        <w:t>(Phillips et al. 2010)</w:t>
      </w:r>
      <w:r w:rsidRPr="00C3671E">
        <w:rPr>
          <w:lang w:val="en-GB"/>
        </w:rPr>
        <w:fldChar w:fldCharType="end"/>
      </w:r>
      <w:r w:rsidRPr="00C3671E">
        <w:rPr>
          <w:lang w:val="en-GB"/>
        </w:rPr>
        <w:t xml:space="preserve"> write about this relativization of formerly absolute expectations as one of the key changes in the theory of social gerontology. The following overview of perspectives explicitly or implicitly expecting differing outcomes of activities in later life provides a theoretical framework for the rest of the dissertation.</w:t>
      </w:r>
    </w:p>
    <w:p w14:paraId="712C96D8" w14:textId="2EC8E2E4" w:rsidR="00676326" w:rsidRPr="00C3671E" w:rsidRDefault="00676326" w:rsidP="00676326">
      <w:pPr>
        <w:pStyle w:val="Newparagraph"/>
        <w:jc w:val="both"/>
      </w:pPr>
      <w:r w:rsidRPr="00C3671E">
        <w:t xml:space="preserve">The ecological perspective </w:t>
      </w:r>
      <w:r w:rsidRPr="00C3671E">
        <w:rPr>
          <w:lang w:eastAsia="zh-CN"/>
        </w:rPr>
        <w:t>introduced</w:t>
      </w:r>
      <w:r w:rsidRPr="00C3671E">
        <w:t xml:space="preserve"> by Urie </w:t>
      </w:r>
      <w:r w:rsidRPr="00C3671E">
        <w:fldChar w:fldCharType="begin" w:fldLock="1"/>
      </w:r>
      <w:r w:rsidRPr="00C3671E">
        <w:instrText>ADDIN CSL_CITATION { "citationItems" : [ { "id" : "ITEM-1", "itemData" : { "author" : [ { "dropping-particle" : "", "family" : "Bronfenbrenner", "given" : "Urie", "non-dropping-particle" : "", "parse-names" : false, "suffix" : "" } ], "container-title" : "Developmental Psychology", "id" : "ITEM-1", "issue" : "6", "issued" : { "date-parts" : [ [ "1986" ] ] }, "page" : "723-742", "title" : "Ecology of the family as a context for human development: research perspectives", "type" : "article-journal", "volume" : "22" }, "uris" : [ "http://www.mendeley.com/documents/?uuid=914637a8-15ad-4ca9-89fd-0e132df3bbfe" ] } ], "mendeley" : { "formattedCitation" : "(Bronfenbrenner 1986)", "manualFormatting" : "Bronfenbrenner (1986)", "plainTextFormattedCitation" : "(Bronfenbrenner 1986)", "previouslyFormattedCitation" : "(Bronfenbrenner 1986)" }, "properties" : { "noteIndex" : 0 }, "schema" : "https://github.com/citation-style-language/schema/raw/master/csl-citation.json" }</w:instrText>
      </w:r>
      <w:r w:rsidRPr="00C3671E">
        <w:fldChar w:fldCharType="separate"/>
      </w:r>
      <w:r w:rsidRPr="00C3671E">
        <w:rPr>
          <w:noProof/>
        </w:rPr>
        <w:t>Bronfenbrenner (1986)</w:t>
      </w:r>
      <w:r w:rsidRPr="00C3671E">
        <w:fldChar w:fldCharType="end"/>
      </w:r>
      <w:r w:rsidRPr="00C3671E">
        <w:t xml:space="preserve"> distinguish three environmental systems as a context of human development: mesosystem (e.g. school), exosystem (family), and chronosystem (individual transitions). This approach connecting individual transitions to “the social contexts of other roles, relationships, and developmental processes” </w:t>
      </w:r>
      <w:r w:rsidRPr="00C3671E">
        <w:fldChar w:fldCharType="begin" w:fldLock="1"/>
      </w:r>
      <w:r w:rsidR="004F5010" w:rsidRPr="00C3671E">
        <w:instrText>ADDIN CSL_CITATION { "citationItems" : [ { "id" : "ITEM-1", "itemData" : { "DOI" : "10.1111/1467-8721.00121", "ISBN" : "09637214", "ISSN" : "0963-7214", "abstract" : "Retirement has been viewed either as a transition that is accompanied by psychological distress or as a time of continued, or even enhanced, subjective well-being. Existing evidence is mixed, with some studies reporting retirement as positively related to well-being and other reporting a negative relationship or none at all. Our research indicates that developmental and social contexts shape an individual's retirement decisions and experiences, so that retirement should be studied in its ecological and life-course context. Research on marital quality and subjective well-being in retirement has demonstrated both similarities and differences between men and women, as well as the need to consider couples conjointly (rather than viewing individuals in isolation). Future research focusing on the retirement process as it unfolds over time and in ecological context can serve to illuminate the circumstances under which retirement promotes or detracts from the quality of life.", "author" : [ { "dropping-particle" : "", "family" : "Kim", "given" : "Jungmeen E", "non-dropping-particle" : "", "parse-names" : false, "suffix" : "" }, { "dropping-particle" : "", "family" : "Moen", "given" : "Phyllis", "non-dropping-particle" : "", "parse-names" : false, "suffix" : "" } ], "container-title" : "Current Directions in Psychological Science", "id" : "ITEM-1", "issue" : "3", "issued" : { "date-parts" : [ [ "2001" ] ] }, "page" : "83-86", "title" : "Is Retirement Good or Bad for Subjective Well-Being?", "type" : "article-journal", "volume" : "10" }, "uris" : [ "http://www.mendeley.com/documents/?uuid=d06e4216-f8ef-4e4d-8d67-2a892de0433e" ] } ], "mendeley" : { "formattedCitation" : "(Kim and Moen 2001)", "manualFormatting" : "(Kim and Moen 2001: 84)", "plainTextFormattedCitation" : "(Kim and Moen 2001)", "previouslyFormattedCitation" : "(Kim and Moen 2001)" }, "properties" : { "noteIndex" : 0 }, "schema" : "https://github.com/citation-style-language/schema/raw/master/csl-citation.json" }</w:instrText>
      </w:r>
      <w:r w:rsidRPr="00C3671E">
        <w:fldChar w:fldCharType="separate"/>
      </w:r>
      <w:r w:rsidRPr="00C3671E">
        <w:rPr>
          <w:noProof/>
        </w:rPr>
        <w:t>(Kim and Moen 2001: 84)</w:t>
      </w:r>
      <w:r w:rsidRPr="00C3671E">
        <w:fldChar w:fldCharType="end"/>
      </w:r>
      <w:r w:rsidRPr="00C3671E">
        <w:t xml:space="preserve"> partly overlaps with the life-course perspective reflecting similar factors, but elaborating them into more detail.</w:t>
      </w:r>
    </w:p>
    <w:p w14:paraId="56A3DE05" w14:textId="0343F0F1" w:rsidR="00676326" w:rsidRPr="00C3671E" w:rsidRDefault="00676326" w:rsidP="00676326">
      <w:pPr>
        <w:pStyle w:val="Newparagraph"/>
        <w:jc w:val="both"/>
      </w:pPr>
      <w:r w:rsidRPr="00C3671E">
        <w:t xml:space="preserve">The life-course perspective is oriented </w:t>
      </w:r>
      <w:r w:rsidRPr="00C3671E">
        <w:rPr>
          <w:lang w:eastAsia="zh-CN"/>
        </w:rPr>
        <w:t>around</w:t>
      </w:r>
      <w:r w:rsidRPr="00C3671E">
        <w:t xml:space="preserve"> themes of lives and historical time, the timing of lives, linked lives, and human agency </w:t>
      </w:r>
      <w:r w:rsidRPr="00C3671E">
        <w:fldChar w:fldCharType="begin" w:fldLock="1"/>
      </w:r>
      <w:r w:rsidRPr="00C3671E">
        <w:instrText>ADDIN CSL_CITATION { "citationItems" : [ { "id" : "ITEM-1", "itemData" : { "author" : [ { "dropping-particle" : "", "family" : "Elder", "given" : "Glen H", "non-dropping-particle" : "", "parse-names" : false, "suffix" : "" } ], "container-title" : "Social Psychology Quarterly", "id" : "ITEM-1", "issue" : "1", "issued" : { "date-parts" : [ [ "1994" ] ] }, "page" : "4-15", "title" : "Time, Human Agency, and Social Change: Perspectives on the Life Course", "type" : "article-journal", "volume" : "57" }, "uris" : [ "http://www.mendeley.com/documents/?uuid=f49c6851-05f3-45c8-a855-e19fbf613d81" ] } ], "mendeley" : { "formattedCitation" : "(Elder 1994)", "plainTextFormattedCitation" : "(Elder 1994)", "previouslyFormattedCitation" : "(Elder 1994)" }, "properties" : { "noteIndex" : 0 }, "schema" : "https://github.com/citation-style-language/schema/raw/master/csl-citation.json" }</w:instrText>
      </w:r>
      <w:r w:rsidRPr="00C3671E">
        <w:fldChar w:fldCharType="separate"/>
      </w:r>
      <w:r w:rsidRPr="00C3671E">
        <w:rPr>
          <w:noProof/>
        </w:rPr>
        <w:t>(Elder 1994)</w:t>
      </w:r>
      <w:r w:rsidRPr="00C3671E">
        <w:fldChar w:fldCharType="end"/>
      </w:r>
      <w:r w:rsidRPr="00C3671E">
        <w:t xml:space="preserve">. Generally, all events in an individual life are connected to – and thus need to be interpreted in – the context of other individual events, a situation in a network of other people, and specific socio-historical conditions </w:t>
      </w:r>
      <w:r w:rsidRPr="00C3671E">
        <w:fldChar w:fldCharType="begin" w:fldLock="1"/>
      </w:r>
      <w:r w:rsidR="001257AA" w:rsidRPr="00C3671E">
        <w:instrText>ADDIN CSL_CITATION { "citationItems" : [ { "id" : "ITEM-1", "itemData" : { "author" : [ { "dropping-particle" : "", "family" : "Elder", "given" : "Glen H", "non-dropping-particle" : "", "parse-names" : false, "suffix" : "" } ], "container-title" : "Social Psychology Quarterly", "id" : "ITEM-1", "issue" : "1", "issued" : { "date-parts" : [ [ "1994" ] ] }, "page" : "4-15", "title" : "Time, Human Agency, and Social Change: Perspectives on the Life Course", "type" : "article-journal", "volume" : "57" }, "uris" : [ "http://www.mendeley.com/documents/?uuid=f49c6851-05f3-45c8-a855-e19fbf613d81" ] }, { "id" : "ITEM-2", "itemData" : { "author" : [ { "dropping-particle" : "", "family" : "Kim", "given" : "Jungmeen E", "non-dropping-particle" : "", "parse-names" : false, "suffix" : "" }, { "dropping-particle" : "", "family" : "Moen", "given" : "Phyllis", "non-dropping-particle" : "", "parse-names" : false, "suffix" : "" } ], "container-title" : "Journal of Gerontology: Psychological Series", "id" : "ITEM-2", "issue" : "3", "issued" : { "date-parts" : [ [ "2002" ] ] }, "note" : "Kim, Moen 2002: Retirement Transitions, Gender, and Psychological Well-Being: A Life-Course, Ecological Model\nlongitudinal: retirement\u2192well-being (morale scale, CES-D); married 50-72\nmultiple imputations of missing values\nmoving out from demanding job loosing occupational attachments, network, and anchor for identity\nrole theory + life-course perspetive \u2192 role enhancement X role strain\ncontinuity theory - maintaining patterns, stability\na life-course, ecological model - best for this issue\n- locating transitions in the social contexts of other roles, relations, and developmental processes\n- process, linked lives, context\nthe relationship between retirement and psychological well-being must be viewed in a temporal, life course context\nmaking the transition to retirement within the last 2 years is associated with higher levels of morale for men, whereas being \u201ccontinuously\u201d retired is related to greater depressive symptoms among men\n- enjoyable \u201choneymoon\u201d phase proposed by Atchley (1976b) - right after the event of retirement there often is a euphoric, busy, honeymoon phase\nthe importance of resources and contexts of transitions (gender, prior level of well-being, spouses\u2019 circumstance, and changes in personal control, marital quality, subjective health, and income adequacy\n\u2192\nWomen\u2019s retirement: Policy implications of recent research\nIs retirement good or bad for subjective well-being?\nCouples\u2019 work/retirement transitions, gender, and marital quality\nMen\u2019s retirement and marital quality\nVolunteering and mortality among older adults: Findings from a national sample\nThe retiree identity: Gender and race differences", "page" : "212-222", "title" : "Retirement Transitions, Gender, and Psychological Well-Being: A Life-Course , Ecological Model", "type" : "article-journal", "volume" : "57" }, "uris" : [ "http://www.mendeley.com/documents/?uuid=d324d834-c4ee-483d-b637-cc2ca78095c1" ] } ], "mendeley" : { "formattedCitation" : "(Elder 1994; Kim and Moen 2002)", "plainTextFormattedCitation" : "(Elder 1994; Kim and Moen 2002)", "previouslyFormattedCitation" : "(Elder 1994; Kim and Moen 2002)" }, "properties" : { "noteIndex" : 0 }, "schema" : "https://github.com/citation-style-language/schema/raw/master/csl-citation.json" }</w:instrText>
      </w:r>
      <w:r w:rsidRPr="00C3671E">
        <w:fldChar w:fldCharType="separate"/>
      </w:r>
      <w:r w:rsidR="00A91559" w:rsidRPr="00C3671E">
        <w:rPr>
          <w:noProof/>
        </w:rPr>
        <w:t>(Elder 1994; Kim and Moen 2002)</w:t>
      </w:r>
      <w:r w:rsidRPr="00C3671E">
        <w:fldChar w:fldCharType="end"/>
      </w:r>
      <w:r w:rsidRPr="00C3671E">
        <w:t xml:space="preserve">. If these principles apply to the activities promoted by the active ageing approach, both the performance and effect of these activities should differ across the decisive factors. In fact, some studies of roles in later life have already found this perspective useful </w:t>
      </w:r>
      <w:r w:rsidRPr="00C3671E">
        <w:fldChar w:fldCharType="begin" w:fldLock="1"/>
      </w:r>
      <w:r w:rsidR="001257AA" w:rsidRPr="00C3671E">
        <w:instrText>ADDIN CSL_CITATION { "citationItems" : [ { "id" : "ITEM-1", "itemData" : { "author" : [ { "dropping-particle" : "", "family" : "Moen", "given" : "Phyllis", "non-dropping-particle" : "", "parse-names" : false, "suffix" : "" }, { "dropping-particle" : "", "family" : "Kim", "given" : "Jungmeen E", "non-dropping-particle" : "", "parse-names" : false, "suffix" : "" }, { "dropping-particle" : "", "family" : "Hofmeister", "given" : "Heather", "non-dropping-particle" : "", "parse-names" : false, "suffix" : "" } ], "container-title" : "Social Psychology Quarterly", "id" : "ITEM-1", "issue" : "1", "issued" : { "date-parts" : [ [ "2001" ] ] }, "note" : "Moen, Kim, Hoffmenister 2001: Couples' Work/Retirement Transitions, Gender, and Marital Quality\nimportance of homophily - similarity in all characteristics increase marriage satisfaction\nthe role strain thesis - retirement reduces strain and overload \u2192 higher marital satisfaction\ncareer jobs more demanding and time-consuming than postretirement jobs - retirement from primary carrer job crutial, it has different impact on marital satisfaction\nrole context approach - the importance of gender and the context of roles (mainly characteristics of resp and spouse)\na life course framework, two waves of the Cornell Retirement and Well-Being Study\nthe actual retirement transition is related to declines in marital quality for both husbands and wives\nbeing retired, however, promotes marital quality, suggesting that role strain is reduced once couples are settled into retirement\nworking women report higher marital conflict if their husbands are no longer employed\nimportance of incorporating couples' joint work/retirement status, gender, and actual status passages to model the dynamics of marital quality in late midlife\nreconceptualization of retirement - a blurred or fuzzy exit over a period of years, operationalized as exit from primary career jobs", "page" : "55-71", "title" : "Couples' Work/Retirement Transitions, Gender, and Marital Quality", "type" : "article-journal", "volume" : "64" }, "uris" : [ "http://www.mendeley.com/documents/?uuid=37590c79-2d60-4ba7-aed9-7e1e6e57da1e" ] }, { "id" : "ITEM-2", "itemData" : { "author" : [ { "dropping-particle" : "", "family" : "Lowenstein", "given" : "Ariela", "non-dropping-particle" : "", "parse-names" : false, "suffix" : "" } ], "collection-title" : "Expert Group Meeting", "id" : "ITEM-2", "issue" : "October", "issued" : { "date-parts" : [ [ "2007" ] ] }, "number" : "23-25 October 2007", "publisher-place" : "New York", "title" : "Intergenerational Solidarity: Strengthening Economic and Social Ties Background Paper", "type" : "report" }, "uris" : [ "http://www.mendeley.com/documents/?uuid=27018d29-5b4b-4f3c-a396-ed6d8dc610c1" ] }, { "id" : "ITEM-3", "itemData" : { "DOI" : "10.2190/8Q46-GJX4-M2VM-W60V", "ISBN" : "0091-4150 (Print)", "ISSN" : "0091-4150", "PMID" : "16454480", "abstract" : "This study explores how grandchild care in conjunction with grandparents' retirement affects depressive symptoms, using data from the Health and Retirement Survey. The findings demonstrate that retirement moderates the influence of grandchild care obligations on well-being, measured by depressive symptoms. For retired men, freedom from grandchild care obligations is associated with heightened well-being. Among women, continued employment seems to protect against potential negative effects of extensive grandchild care obligations on well-being. The results for men seem most in line with the argument that family care obligations spoil retirement, whereas the results for women suggest a scenario that is most compatible with the role enhancement thesis.", "author" : [ { "dropping-particle" : "", "family" : "Szinovacz", "given" : "Maximiliane E", "non-dropping-particle" : "", "parse-names" : false, "suffix" : "" }, { "dropping-particle" : "", "family" : "Davey", "given" : "Adam", "non-dropping-particle" : "", "parse-names" : false, "suffix" : "" } ], "container-title" : "International journal of aging &amp; human development", "id" : "ITEM-3", "issue" : "1", "issued" : { "date-parts" : [ [ "2006" ] ] }, "page" : "1-20", "title" : "Effects of retirement and grandchild care on depressive symptoms.", "type" : "article-journal", "volume" : "62" }, "uris" : [ "http://www.mendeley.com/documents/?uuid=8f001e1e-4a57-4a2b-8d78-1d7814bf6fe2" ] } ], "mendeley" : { "formattedCitation" : "(Lowenstein 2007; Moen, Kim, and Hofmeister 2001; Szinovacz and Davey 2006)", "plainTextFormattedCitation" : "(Lowenstein 2007; Moen, Kim, and Hofmeister 2001; Szinovacz and Davey 2006)", "previouslyFormattedCitation" : "(Lowenstein 2007; Moen, Kim, and Hofmeister 2001; Szinovacz and Davey 2006)" }, "properties" : { "noteIndex" : 0 }, "schema" : "https://github.com/citation-style-language/schema/raw/master/csl-citation.json" }</w:instrText>
      </w:r>
      <w:r w:rsidRPr="00C3671E">
        <w:fldChar w:fldCharType="separate"/>
      </w:r>
      <w:r w:rsidR="00A91559" w:rsidRPr="00C3671E">
        <w:rPr>
          <w:noProof/>
        </w:rPr>
        <w:t>(Lowenstein 2007; Moen, Kim, and Hofmeister 2001; Szinovacz and Davey 2006)</w:t>
      </w:r>
      <w:r w:rsidRPr="00C3671E">
        <w:fldChar w:fldCharType="end"/>
      </w:r>
      <w:r w:rsidRPr="00C3671E">
        <w:t>.</w:t>
      </w:r>
    </w:p>
    <w:p w14:paraId="678941E7" w14:textId="4FB81D0C" w:rsidR="00676326" w:rsidRPr="00C3671E" w:rsidRDefault="00676326" w:rsidP="00676326">
      <w:pPr>
        <w:pStyle w:val="Newparagraph"/>
        <w:jc w:val="both"/>
      </w:pPr>
      <w:r w:rsidRPr="00C3671E">
        <w:t xml:space="preserve">The life-course perspective and ecological </w:t>
      </w:r>
      <w:r w:rsidRPr="00C3671E">
        <w:rPr>
          <w:lang w:eastAsia="zh-CN"/>
        </w:rPr>
        <w:t>perspective</w:t>
      </w:r>
      <w:r w:rsidRPr="00C3671E">
        <w:t xml:space="preserve"> are closely interlinked. Both state that individual transitions, such as retirement, are located situated in the contexts of other roles, </w:t>
      </w:r>
      <w:r w:rsidRPr="00C3671E">
        <w:lastRenderedPageBreak/>
        <w:t xml:space="preserve">relationships, and processes, and in the contexts of social and historical circumstances </w:t>
      </w:r>
      <w:r w:rsidRPr="00C3671E">
        <w:fldChar w:fldCharType="begin" w:fldLock="1"/>
      </w:r>
      <w:r w:rsidR="004F5010" w:rsidRPr="00C3671E">
        <w:instrText>ADDIN CSL_CITATION { "citationItems" : [ { "id" : "ITEM-1", "itemData" : { "author" : [ { "dropping-particle" : "", "family" : "Kim", "given" : "Jungmeen E", "non-dropping-particle" : "", "parse-names" : false, "suffix" : "" }, { "dropping-particle" : "", "family" : "Moen", "given" : "Phyllis", "non-dropping-particle" : "", "parse-names" : false, "suffix" : "" } ], "container-title" : "Journal of Gerontology: Psychological Series", "id" : "ITEM-1", "issue" : "3", "issued" : { "date-parts" : [ [ "2002" ] ] }, "note" : "Kim, Moen 2002: Retirement Transitions, Gender, and Psychological Well-Being: A Life-Course, Ecological Model\nlongitudinal: retirement\u2192well-being (morale scale, CES-D); married 50-72\nmultiple imputations of missing values\nmoving out from demanding job loosing occupational attachments, network, and anchor for identity\nrole theory + life-course perspetive \u2192 role enhancement X role strain\ncontinuity theory - maintaining patterns, stability\na life-course, ecological model - best for this issue\n- locating transitions in the social contexts of other roles, relations, and developmental processes\n- process, linked lives, context\nthe relationship between retirement and psychological well-being must be viewed in a temporal, life course context\nmaking the transition to retirement within the last 2 years is associated with higher levels of morale for men, whereas being \u201ccontinuously\u201d retired is related to greater depressive symptoms among men\n- enjoyable \u201choneymoon\u201d phase proposed by Atchley (1976b) - right after the event of retirement there often is a euphoric, busy, honeymoon phase\nthe importance of resources and contexts of transitions (gender, prior level of well-being, spouses\u2019 circumstance, and changes in personal control, marital quality, subjective health, and income adequacy\n\u2192\nWomen\u2019s retirement: Policy implications of recent research\nIs retirement good or bad for subjective well-being?\nCouples\u2019 work/retirement transitions, gender, and marital quality\nMen\u2019s retirement and marital quality\nVolunteering and mortality among older adults: Findings from a national sample\nThe retiree identity: Gender and race differences", "page" : "212-222", "title" : "Retirement Transitions, Gender, and Psychological Well-Being: A Life-Course , Ecological Model", "type" : "article-journal", "volume" : "57" }, "uris" : [ "http://www.mendeley.com/documents/?uuid=d324d834-c4ee-483d-b637-cc2ca78095c1" ] }, { "id" : "ITEM-2", "itemData" : { "author" : [ { "dropping-particle" : "", "family" : "Elder", "given" : "Glen H", "non-dropping-particle" : "", "parse-names" : false, "suffix" : "" } ], "container-title" : "Social Psychology Quarterly", "id" : "ITEM-2", "issue" : "1", "issued" : { "date-parts" : [ [ "1994" ] ] }, "page" : "4-15", "title" : "Time, Human Agency, and Social Change: Perspectives on the Life Course", "type" : "article-journal", "volume" : "57" }, "uris" : [ "http://www.mendeley.com/documents/?uuid=f49c6851-05f3-45c8-a855-e19fbf613d81" ] }, { "id" : "ITEM-3", "itemData" : { "author" : [ { "dropping-particle" : "", "family" : "Bronfenbrenner", "given" : "Urie", "non-dropping-particle" : "", "parse-names" : false, "suffix" : "" } ], "container-title" : "Developmental Psychology", "id" : "ITEM-3", "issue" : "6", "issued" : { "date-parts" : [ [ "1986" ] ] }, "page" : "723-742", "title" : "Ecology of the family as a context for human development: research perspectives", "type" : "article-journal", "volume" : "22" }, "uris" : [ "http://www.mendeley.com/documents/?uuid=914637a8-15ad-4ca9-89fd-0e132df3bbfe" ] }, { "id" : "ITEM-4", "itemData" : { "DOI" : "10.1111/1467-8721.00121", "ISBN" : "09637214", "ISSN" : "0963-7214", "abstract" : "Retirement has been viewed either as a transition that is accompanied by psychological distress or as a time of continued, or even enhanced, subjective well-being. Existing evidence is mixed, with some studies reporting retirement as positively related to well-being and other reporting a negative relationship or none at all. Our research indicates that developmental and social contexts shape an individual's retirement decisions and experiences, so that retirement should be studied in its ecological and life-course context. Research on marital quality and subjective well-being in retirement has demonstrated both similarities and differences between men and women, as well as the need to consider couples conjointly (rather than viewing individuals in isolation). Future research focusing on the retirement process as it unfolds over time and in ecological context can serve to illuminate the circumstances under which retirement promotes or detracts from the quality of life.", "author" : [ { "dropping-particle" : "", "family" : "Kim", "given" : "Jungmeen E", "non-dropping-particle" : "", "parse-names" : false, "suffix" : "" }, { "dropping-particle" : "", "family" : "Moen", "given" : "Phyllis", "non-dropping-particle" : "", "parse-names" : false, "suffix" : "" } ], "container-title" : "Current Directions in Psychological Science", "id" : "ITEM-4", "issue" : "3", "issued" : { "date-parts" : [ [ "2001" ] ] }, "page" : "83-86", "title" : "Is Retirement Good or Bad for Subjective Well-Being?", "type" : "article-journal", "volume" : "10" }, "uris" : [ "http://www.mendeley.com/documents/?uuid=d06e4216-f8ef-4e4d-8d67-2a892de0433e" ] } ], "mendeley" : { "formattedCitation" : "(Bronfenbrenner 1986; Elder 1994; Kim and Moen 2001, 2002)", "plainTextFormattedCitation" : "(Bronfenbrenner 1986; Elder 1994; Kim and Moen 2001, 2002)", "previouslyFormattedCitation" : "(Bronfenbrenner 1986; Elder 1994; Kim and Moen 2001, 2002)" }, "properties" : { "noteIndex" : 0 }, "schema" : "https://github.com/citation-style-language/schema/raw/master/csl-citation.json" }</w:instrText>
      </w:r>
      <w:r w:rsidRPr="00C3671E">
        <w:fldChar w:fldCharType="separate"/>
      </w:r>
      <w:r w:rsidR="00224AA0" w:rsidRPr="00C3671E">
        <w:rPr>
          <w:noProof/>
        </w:rPr>
        <w:t>(Bronfenbrenner 1986; Elder 1994; Kim and Moen 2001, 2002)</w:t>
      </w:r>
      <w:r w:rsidRPr="00C3671E">
        <w:fldChar w:fldCharType="end"/>
      </w:r>
      <w:r w:rsidRPr="00C3671E">
        <w:t xml:space="preserve">. The dissertation tests these two approaches applicable to roles in later life against the theory of role strain </w:t>
      </w:r>
      <w:r w:rsidRPr="00C3671E">
        <w:fldChar w:fldCharType="begin" w:fldLock="1"/>
      </w:r>
      <w:r w:rsidRPr="00C3671E">
        <w:instrText>ADDIN CSL_CITATION { "citationItems" : [ { "id" : "ITEM-1", "itemData" : { "DOI" : "10.1177/0038040709356567", "ISBN" : "063120301X", "ISSN" : "0036-8075", "PMID" : "17806662", "author" : [ { "dropping-particle" : "", "family" : "Goode", "given" : "William J", "non-dropping-particle" : "", "parse-names" : false, "suffix" : "" } ], "container-title" : "American Sociological Review", "id" : "ITEM-1", "issue" : "4", "issued" : { "date-parts" : [ [ "1960" ] ] }, "page" : "483-496", "title" : "A Theory of Role Strain", "type" : "article-journal", "volume" : "25" }, "uris" : [ "http://www.mendeley.com/documents/?uuid=fa5664e7-4c35-4e1f-ab5d-837ee62474a6" ] } ], "mendeley" : { "formattedCitation" : "(Goode 1960)", "plainTextFormattedCitation" : "(Goode 1960)", "previouslyFormattedCitation" : "(Goode 1960)" }, "properties" : { "noteIndex" : 0 }, "schema" : "https://github.com/citation-style-language/schema/raw/master/csl-citation.json" }</w:instrText>
      </w:r>
      <w:r w:rsidRPr="00C3671E">
        <w:fldChar w:fldCharType="separate"/>
      </w:r>
      <w:r w:rsidRPr="00C3671E">
        <w:rPr>
          <w:noProof/>
        </w:rPr>
        <w:t>(Goode 1960)</w:t>
      </w:r>
      <w:r w:rsidRPr="00C3671E">
        <w:fldChar w:fldCharType="end"/>
      </w:r>
      <w:r w:rsidRPr="00C3671E">
        <w:t xml:space="preserve"> and the theory of role accumulation </w:t>
      </w:r>
      <w:r w:rsidRPr="00C3671E">
        <w:fldChar w:fldCharType="begin" w:fldLock="1"/>
      </w:r>
      <w:r w:rsidRPr="00C3671E">
        <w:instrText>ADDIN CSL_CITATION { "citationItems" : [ { "id" : "ITEM-1", "itemData" : { "DOI" : "10.1177/0003122413515997", "author" : [ { "dropping-particle" : "", "family" : "Sieber", "given" : "Sam D.", "non-dropping-particle" : "", "parse-names" : false, "suffix" : "" } ], "container-title" : "American Sociological Review", "id" : "ITEM-1", "issue" : "4", "issued" : { "date-parts" : [ [ "1974" ] ] }, "page" : "567-578", "title" : "Toward a Theory of Role Accumulation", "type" : "article-journal", "volume" : "39" }, "uris" : [ "http://www.mendeley.com/documents/?uuid=3a4692a5-08a8-406e-bfc8-2c3503d510c2" ] } ], "mendeley" : { "formattedCitation" : "(Sieber 1974)", "plainTextFormattedCitation" : "(Sieber 1974)", "previouslyFormattedCitation" : "(Sieber 1974)" }, "properties" : { "noteIndex" : 0 }, "schema" : "https://github.com/citation-style-language/schema/raw/master/csl-citation.json" }</w:instrText>
      </w:r>
      <w:r w:rsidRPr="00C3671E">
        <w:fldChar w:fldCharType="separate"/>
      </w:r>
      <w:r w:rsidRPr="00C3671E">
        <w:rPr>
          <w:noProof/>
        </w:rPr>
        <w:t>(Sieber 1974)</w:t>
      </w:r>
      <w:r w:rsidRPr="00C3671E">
        <w:fldChar w:fldCharType="end"/>
      </w:r>
      <w:r w:rsidRPr="00C3671E">
        <w:t>, which expect the more consistent impact of roles.</w:t>
      </w:r>
    </w:p>
    <w:p w14:paraId="17B21DD3" w14:textId="77777777" w:rsidR="00676326" w:rsidRPr="00C3671E" w:rsidRDefault="00676326" w:rsidP="00676326">
      <w:pPr>
        <w:pStyle w:val="Nadpis3"/>
        <w:spacing w:line="480" w:lineRule="auto"/>
        <w:rPr>
          <w:rFonts w:ascii="Times New Roman" w:hAnsi="Times New Roman" w:cs="Times New Roman"/>
          <w:b w:val="0"/>
          <w:i/>
          <w:lang w:val="en-GB" w:eastAsia="zh-CN"/>
        </w:rPr>
      </w:pPr>
      <w:bookmarkStart w:id="17" w:name="_Toc512687728"/>
      <w:r w:rsidRPr="00C3671E">
        <w:rPr>
          <w:rFonts w:ascii="Times New Roman" w:hAnsi="Times New Roman" w:cs="Times New Roman"/>
          <w:b w:val="0"/>
          <w:i/>
          <w:lang w:val="en-GB" w:eastAsia="zh-CN"/>
        </w:rPr>
        <w:t>Influential sociological theories and their implications for the active ageing paradigm</w:t>
      </w:r>
      <w:bookmarkEnd w:id="17"/>
    </w:p>
    <w:p w14:paraId="272EF880" w14:textId="65A6688A" w:rsidR="00676326" w:rsidRPr="00C3671E" w:rsidRDefault="00676326" w:rsidP="00676326">
      <w:pPr>
        <w:suppressAutoHyphens/>
        <w:spacing w:line="480" w:lineRule="auto"/>
        <w:jc w:val="both"/>
        <w:rPr>
          <w:lang w:val="en-GB"/>
        </w:rPr>
      </w:pPr>
      <w:r w:rsidRPr="00C3671E">
        <w:rPr>
          <w:lang w:val="en-GB"/>
        </w:rPr>
        <w:t xml:space="preserve">The assumption of </w:t>
      </w:r>
      <w:r w:rsidRPr="00C3671E">
        <w:rPr>
          <w:noProof/>
          <w:lang w:val="en-GB" w:eastAsia="zh-CN"/>
        </w:rPr>
        <w:t>differences</w:t>
      </w:r>
      <w:r w:rsidRPr="00C3671E">
        <w:rPr>
          <w:lang w:val="en-GB"/>
        </w:rPr>
        <w:t xml:space="preserve"> in perceptions of reality, tendencies to act, and outcomes of the same behaviour are present in an amount of sociological theory. Pierre </w:t>
      </w:r>
      <w:r w:rsidRPr="00C3671E">
        <w:rPr>
          <w:lang w:val="en-GB"/>
        </w:rPr>
        <w:fldChar w:fldCharType="begin" w:fldLock="1"/>
      </w:r>
      <w:r w:rsidRPr="00C3671E">
        <w:rPr>
          <w:lang w:val="en-GB"/>
        </w:rPr>
        <w:instrText>ADDIN CSL_CITATION { "citationItems" : [ { "id" : "ITEM-1", "itemData" : { "author" : [ { "dropping-particle" : "", "family" : "Bourdieu", "given" : "Pierre", "non-dropping-particle" : "", "parse-names" : false, "suffix" : "" } ], "id" : "ITEM-1", "issued" : { "date-parts" : [ [ "1984" ] ] }, "publisher" : "Harvard University Press", "publisher-place" : "Cambridge", "title" : "Distinction: A Social Critique of the Judgement of Taste", "type" : "book" }, "uris" : [ "http://www.mendeley.com/documents/?uuid=1f223de9-cba1-40f3-aeca-c7ca486b4457" ] } ], "mendeley" : { "formattedCitation" : "(Bourdieu 1984)", "manualFormatting" : "Bourdieu (1984)", "plainTextFormattedCitation" : "(Bourdieu 1984)", "previouslyFormattedCitation" : "(Bourdieu 1984)" }, "properties" : { "noteIndex" : 0 }, "schema" : "https://github.com/citation-style-language/schema/raw/master/csl-citation.json" }</w:instrText>
      </w:r>
      <w:r w:rsidRPr="00C3671E">
        <w:rPr>
          <w:lang w:val="en-GB"/>
        </w:rPr>
        <w:fldChar w:fldCharType="separate"/>
      </w:r>
      <w:r w:rsidRPr="00C3671E">
        <w:rPr>
          <w:noProof/>
          <w:lang w:val="en-GB"/>
        </w:rPr>
        <w:t>Bourdieu (1984)</w:t>
      </w:r>
      <w:r w:rsidRPr="00C3671E">
        <w:rPr>
          <w:lang w:val="en-GB"/>
        </w:rPr>
        <w:fldChar w:fldCharType="end"/>
      </w:r>
      <w:r w:rsidRPr="00C3671E">
        <w:rPr>
          <w:lang w:val="en-GB"/>
        </w:rPr>
        <w:t xml:space="preserve"> coined the term habitus defined as “the systems of dispositions characteristic of different classes and class fractions” </w:t>
      </w:r>
      <w:r w:rsidRPr="00C3671E">
        <w:rPr>
          <w:lang w:val="en-GB"/>
        </w:rPr>
        <w:fldChar w:fldCharType="begin" w:fldLock="1"/>
      </w:r>
      <w:r w:rsidRPr="00C3671E">
        <w:rPr>
          <w:lang w:val="en-GB"/>
        </w:rPr>
        <w:instrText>ADDIN CSL_CITATION { "citationItems" : [ { "id" : "ITEM-1", "itemData" : { "author" : [ { "dropping-particle" : "", "family" : "Bourdieu", "given" : "Pierre", "non-dropping-particle" : "", "parse-names" : false, "suffix" : "" } ], "id" : "ITEM-1", "issued" : { "date-parts" : [ [ "1984" ] ] }, "publisher" : "Harvard University Press", "publisher-place" : "Cambridge", "title" : "Distinction: A Social Critique of the Judgement of Taste", "type" : "book" }, "uris" : [ "http://www.mendeley.com/documents/?uuid=1f223de9-cba1-40f3-aeca-c7ca486b4457" ] } ], "mendeley" : { "formattedCitation" : "(Bourdieu 1984)", "manualFormatting" : "(Bourdieu 1984: 6)", "plainTextFormattedCitation" : "(Bourdieu 1984)", "previouslyFormattedCitation" : "(Bourdieu 1984)" }, "properties" : { "noteIndex" : 0 }, "schema" : "https://github.com/citation-style-language/schema/raw/master/csl-citation.json" }</w:instrText>
      </w:r>
      <w:r w:rsidRPr="00C3671E">
        <w:rPr>
          <w:lang w:val="en-GB"/>
        </w:rPr>
        <w:fldChar w:fldCharType="separate"/>
      </w:r>
      <w:r w:rsidRPr="00C3671E">
        <w:rPr>
          <w:noProof/>
          <w:lang w:val="en-GB"/>
        </w:rPr>
        <w:t>(Bourdieu 1984: 6)</w:t>
      </w:r>
      <w:r w:rsidRPr="00C3671E">
        <w:rPr>
          <w:lang w:val="en-GB"/>
        </w:rPr>
        <w:fldChar w:fldCharType="end"/>
      </w:r>
      <w:r w:rsidRPr="00C3671E">
        <w:rPr>
          <w:lang w:val="en-GB"/>
        </w:rPr>
        <w:t xml:space="preserve">. This means that position in a social field – dependent on magnitude of economic and cultural capital, gender, age, and geographical location – shapes social practices such as political opinions or cultural consumption, which “is an acquired disposition to differentiate and appreciate” </w:t>
      </w:r>
      <w:r w:rsidRPr="00C3671E">
        <w:rPr>
          <w:lang w:val="en-GB"/>
        </w:rPr>
        <w:fldChar w:fldCharType="begin" w:fldLock="1"/>
      </w:r>
      <w:r w:rsidRPr="00C3671E">
        <w:rPr>
          <w:lang w:val="en-GB"/>
        </w:rPr>
        <w:instrText>ADDIN CSL_CITATION { "citationItems" : [ { "id" : "ITEM-1", "itemData" : { "author" : [ { "dropping-particle" : "", "family" : "Bourdieu", "given" : "Pierre", "non-dropping-particle" : "", "parse-names" : false, "suffix" : "" } ], "id" : "ITEM-1", "issued" : { "date-parts" : [ [ "1984" ] ] }, "publisher" : "Harvard University Press", "publisher-place" : "Cambridge", "title" : "Distinction: A Social Critique of the Judgement of Taste", "type" : "book" }, "uris" : [ "http://www.mendeley.com/documents/?uuid=1f223de9-cba1-40f3-aeca-c7ca486b4457" ] } ], "mendeley" : { "formattedCitation" : "(Bourdieu 1984)", "manualFormatting" : "(Bourdieu 1984: 266)", "plainTextFormattedCitation" : "(Bourdieu 1984)", "previouslyFormattedCitation" : "(Bourdieu 1984)" }, "properties" : { "noteIndex" : 0 }, "schema" : "https://github.com/citation-style-language/schema/raw/master/csl-citation.json" }</w:instrText>
      </w:r>
      <w:r w:rsidRPr="00C3671E">
        <w:rPr>
          <w:lang w:val="en-GB"/>
        </w:rPr>
        <w:fldChar w:fldCharType="separate"/>
      </w:r>
      <w:r w:rsidRPr="00C3671E">
        <w:rPr>
          <w:noProof/>
          <w:lang w:val="en-GB"/>
        </w:rPr>
        <w:t>(Bourdieu 1984: 266)</w:t>
      </w:r>
      <w:r w:rsidRPr="00C3671E">
        <w:rPr>
          <w:lang w:val="en-GB"/>
        </w:rPr>
        <w:fldChar w:fldCharType="end"/>
      </w:r>
      <w:r w:rsidRPr="00C3671E">
        <w:rPr>
          <w:lang w:val="en-GB"/>
        </w:rPr>
        <w:t xml:space="preserve"> that “fulfil a social function of legitimating social differences” </w:t>
      </w:r>
      <w:r w:rsidRPr="00C3671E">
        <w:rPr>
          <w:lang w:val="en-GB"/>
        </w:rPr>
        <w:fldChar w:fldCharType="begin" w:fldLock="1"/>
      </w:r>
      <w:r w:rsidRPr="00C3671E">
        <w:rPr>
          <w:lang w:val="en-GB"/>
        </w:rPr>
        <w:instrText>ADDIN CSL_CITATION { "citationItems" : [ { "id" : "ITEM-1", "itemData" : { "author" : [ { "dropping-particle" : "", "family" : "Bourdieu", "given" : "Pierre", "non-dropping-particle" : "", "parse-names" : false, "suffix" : "" } ], "id" : "ITEM-1", "issued" : { "date-parts" : [ [ "1984" ] ] }, "publisher" : "Harvard University Press", "publisher-place" : "Cambridge", "title" : "Distinction: A Social Critique of the Judgement of Taste", "type" : "book" }, "uris" : [ "http://www.mendeley.com/documents/?uuid=1f223de9-cba1-40f3-aeca-c7ca486b4457" ] } ], "mendeley" : { "formattedCitation" : "(Bourdieu 1984)", "manualFormatting" : "(Bourdieu 1984: 7)", "plainTextFormattedCitation" : "(Bourdieu 1984)", "previouslyFormattedCitation" : "(Bourdieu 1984)" }, "properties" : { "noteIndex" : 0 }, "schema" : "https://github.com/citation-style-language/schema/raw/master/csl-citation.json" }</w:instrText>
      </w:r>
      <w:r w:rsidRPr="00C3671E">
        <w:rPr>
          <w:lang w:val="en-GB"/>
        </w:rPr>
        <w:fldChar w:fldCharType="separate"/>
      </w:r>
      <w:r w:rsidRPr="00C3671E">
        <w:rPr>
          <w:noProof/>
          <w:lang w:val="en-GB"/>
        </w:rPr>
        <w:t>(Bourdieu 1984: 7)</w:t>
      </w:r>
      <w:r w:rsidRPr="00C3671E">
        <w:rPr>
          <w:lang w:val="en-GB"/>
        </w:rPr>
        <w:fldChar w:fldCharType="end"/>
      </w:r>
      <w:r w:rsidRPr="00C3671E">
        <w:rPr>
          <w:lang w:val="en-GB"/>
        </w:rPr>
        <w:t>. These assumptions would make active ageing a product of habitus (</w:t>
      </w:r>
      <w:r w:rsidRPr="00C3671E">
        <w:rPr>
          <w:i/>
          <w:lang w:val="en-GB"/>
        </w:rPr>
        <w:t>i.e.</w:t>
      </w:r>
      <w:r w:rsidRPr="00C3671E">
        <w:rPr>
          <w:lang w:val="en-GB"/>
        </w:rPr>
        <w:t xml:space="preserve"> a tendency in behaviour) that is defined and preferred by higher classes </w:t>
      </w:r>
      <w:r w:rsidRPr="00C3671E">
        <w:rPr>
          <w:lang w:val="en-GB"/>
        </w:rPr>
        <w:fldChar w:fldCharType="begin" w:fldLock="1"/>
      </w:r>
      <w:r w:rsidR="001257AA" w:rsidRPr="00C3671E">
        <w:rPr>
          <w:lang w:val="en-GB"/>
        </w:rPr>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"id" : "ITEM-2", "itemData" : { "DOI" : "10.1017/S0714980811000675", "ISBN" : "0714980811", "ISSN" : "0714-9808", "PMID" : "22373781", "abstract" : "Although some studies have confirmed positive associations between social engagement and well-being in later life, this study aimed to understand why some seniors cannot be engaged. The authors analyzed the lived experiences of 89 seniors in three rural communities in Canada, from semi-structured interviews and using the constant comparison method. Five factors make choices for social engagement in later life unequal among older adults who differ by gender, class, age, and health status. Profound engagement in care work, compulsory altruism, personal resources, objectively perceived and subjectively available engagement opportunities, and ageist barriers around paid work constrain choices for seniors who lack privilege in the context of a market economy, particularly for low-income older women. To avoid stigmatizing vulnerable older persons, societal barriers to meaningful activities must be addressed - for example, through provision of income security or by reversing inter- and intragenerational ageism in access to the labor market.", "author" : [ { "dropping-particle" : "", "family" : "Rozanova", "given" : "Julia", "non-dropping-particle" : "", "parse-names" : false, "suffix" : "" }, { "dropping-particle" : "", "family" : "Keating", "given" : "Norah", "non-dropping-particle" : "", "parse-names" : false, "suffix" : "" }, { "dropping-particle" : "", "family" : "Eales", "given" : "Jacquie", "non-dropping-particle" : "", "parse-names" : false, "suffix" : "" } ], "container-title" : "Canadian Journal on Aging / La Revue canadienne du vieillissement", "id" : "ITEM-2", "issue" : "01", "issued" : { "date-parts" : [ [ "2012" ] ] }, "note" : "Rozanova et al. 2012: Unequal Social Engagement for Older Adults: Constraints on Choice\nconcerns of social costs of ageing \u2192 ageing well perspective\ncritics emphasize the normative expectations this assumption carries \u2013 that those who are not well in later life may have themselves to blame because they haven\u2019t been sufficiently engaged (Katz, 2000 ; Laliberte-Rudman, 2006 )\nwell-being in later life is associated not with social engagement per se but with engagement in activities that an individual chooses freely and fi nds meaningful (Chapman, 2005 ; Katz, 2000 )\nJulia Rozanova et al.\naffected both by older individuals\u2019 personal character- istics and by community contexts. Researchers have noted that one important aspect in which rural com- munities may differ from urban areas is their lack of anonymity coupled with a tight-knit character (Keating, Swindle, &amp;amp; Fletcher, 2011 ). This aspect may facilitate the maintenance of social connectedness but at the same time block social engagement for some older individuals. For example, those who moved into the community as newcomers are typically viewed with some suspicion until they prove themselves in some way (Garland &amp;amp; Chakraborti, 2006 ). Other factors having an impact on social-engagement opportunities for rural older adults are the remoteness of some rural Canadian communities, a dwindling economy, and disparities of service infrastructure (Keating &amp;amp; Phillips, 2008 ).\nReview of the Literature Social Engagement of Older Adults\nSurvival through social engagement through activities that have a social component and are per- formed in relation to other people (Maier &amp;amp; Klumb, 2005 )\nsocial engagement may be affected by both structural inequalities and contextual factors\nthe lived experiences of 89 seniors in three rural communities in Canada from semi-structured interviews\nProfound engagement in care work, compulsory altruism, personal resources, objectively perceived and subjectively available engagement opportunities, and ageist barriers around paid work constrain choices especially for low-income older women\nsocietal barriers to meaningful activities must be addressed \u2013 through provision of income security or by reversing inter- and intragenerational ageism", "page" : "25-36", "title" : "Unequal Social Engagement for Older Adults: Constraints on Choice", "type" : "article-journal", "volume" : "31" }, "uris" : [ "http://www.mendeley.com/documents/?uuid=354042a3-40e3-4309-bec8-99c0941f3571" ] } ], "mendeley" : { "formattedCitation" : "(Rozanova et al. 2012; Timonen 2016)", "plainTextFormattedCitation" : "(Rozanova et al. 2012; Timonen 2016)", "previouslyFormattedCitation" : "(Rozanova et al. 2012; Timonen 2016)" }, "properties" : { "noteIndex" : 0 }, "schema" : "https://github.com/citation-style-language/schema/raw/master/csl-citation.json" }</w:instrText>
      </w:r>
      <w:r w:rsidRPr="00C3671E">
        <w:rPr>
          <w:lang w:val="en-GB"/>
        </w:rPr>
        <w:fldChar w:fldCharType="separate"/>
      </w:r>
      <w:r w:rsidR="00A91559" w:rsidRPr="00C3671E">
        <w:rPr>
          <w:noProof/>
          <w:lang w:val="en-GB"/>
        </w:rPr>
        <w:t>(Rozanova et al. 2012; Timonen 2016)</w:t>
      </w:r>
      <w:r w:rsidRPr="00C3671E">
        <w:rPr>
          <w:lang w:val="en-GB"/>
        </w:rPr>
        <w:fldChar w:fldCharType="end"/>
      </w:r>
      <w:r w:rsidRPr="00C3671E">
        <w:rPr>
          <w:lang w:val="en-GB"/>
        </w:rPr>
        <w:t xml:space="preserve"> possessing the potential to legitimize differences in later life. Furthermore, active ageing could be just a reproductive strategy of dominant classes setting the fitting rules that enable to sustain or increase inequalities among older adults. In words of Thorstein </w:t>
      </w:r>
      <w:r w:rsidRPr="00C3671E">
        <w:rPr>
          <w:lang w:val="en-GB"/>
        </w:rPr>
        <w:fldChar w:fldCharType="begin" w:fldLock="1"/>
      </w:r>
      <w:r w:rsidRPr="00C3671E">
        <w:rPr>
          <w:lang w:val="en-GB"/>
        </w:rPr>
        <w:instrText>ADDIN CSL_CITATION { "citationItems" : [ { "id" : "ITEM-1", "itemData" : { "author" : [ { "dropping-particle" : "", "family" : "Veblen", "given" : "Thorstein", "non-dropping-particle" : "", "parse-names" : false, "suffix" : "" } ], "edition" : "A Penn Sta", "editor" : [ { "dropping-particle" : "", "family" : "Manis", "given" : "Jim", "non-dropping-particle" : "", "parse-names" : false, "suffix" : "" } ], "id" : "ITEM-1", "issued" : { "date-parts" : [ [ "2003" ] ] }, "publisher" : "The Pennsylvania State University", "publisher-place" : "Hazleton", "title" : "The Theory of the Leisure Class", "type" : "book" }, "uris" : [ "http://www.mendeley.com/documents/?uuid=63a762a4-38bc-46f4-964f-d11a9572950e" ] } ], "mendeley" : { "formattedCitation" : "(Veblen 2003)", "manualFormatting" : "Veblen (2003)", "plainTextFormattedCitation" : "(Veblen 2003)", "previouslyFormattedCitation" : "(Veblen 2003)" }, "properties" : { "noteIndex" : 0 }, "schema" : "https://github.com/citation-style-language/schema/raw/master/csl-citation.json" }</w:instrText>
      </w:r>
      <w:r w:rsidRPr="00C3671E">
        <w:rPr>
          <w:lang w:val="en-GB"/>
        </w:rPr>
        <w:fldChar w:fldCharType="separate"/>
      </w:r>
      <w:r w:rsidRPr="00C3671E">
        <w:rPr>
          <w:noProof/>
          <w:lang w:val="en-GB"/>
        </w:rPr>
        <w:t>Veblen (2003)</w:t>
      </w:r>
      <w:r w:rsidRPr="00C3671E">
        <w:rPr>
          <w:lang w:val="en-GB"/>
        </w:rPr>
        <w:fldChar w:fldCharType="end"/>
      </w:r>
      <w:r w:rsidRPr="00C3671E">
        <w:rPr>
          <w:lang w:val="en-GB"/>
        </w:rPr>
        <w:t>, members of dominant classes conspicuously perform more socially visible activities and consume products of active ageing in order to present their social position.</w:t>
      </w:r>
    </w:p>
    <w:p w14:paraId="50001FF7" w14:textId="04FDA7D8" w:rsidR="00676326" w:rsidRPr="00C3671E" w:rsidRDefault="00676326" w:rsidP="00676326">
      <w:pPr>
        <w:pStyle w:val="Newparagraph"/>
        <w:jc w:val="both"/>
      </w:pPr>
      <w:r w:rsidRPr="00C3671E">
        <w:t xml:space="preserve">Bourdieu’s assumption that human behaviour and perception of reality is shaped by formative environment including </w:t>
      </w:r>
      <w:r w:rsidRPr="00C3671E">
        <w:rPr>
          <w:lang w:eastAsia="zh-CN"/>
        </w:rPr>
        <w:t>educational</w:t>
      </w:r>
      <w:r w:rsidRPr="00C3671E">
        <w:t xml:space="preserve"> process, and then by social position is shared by Ronald </w:t>
      </w:r>
      <w:r w:rsidRPr="00C3671E">
        <w:fldChar w:fldCharType="begin" w:fldLock="1"/>
      </w:r>
      <w:r w:rsidRPr="00C3671E">
        <w:instrText>ADDIN CSL_CITATION { "citationItems" : [ { "id" : "ITEM-1", "itemData" : { "author" : [ { "dropping-particle" : "", "family" : "Inglehart", "given" : "Ronald", "non-dropping-particle" : "", "parse-names" : false, "suffix" : "" } ], "id" : "ITEM-1", "issued" : { "date-parts" : [ [ "1990" ] ] }, "publisher" : "Princeton University Press", "publisher-place" : "Princeton", "title" : "Culture Shift in Advanced Industrial Society", "type" : "book" }, "uris" : [ "http://www.mendeley.com/documents/?uuid=25dc8f63-d26d-432e-8cdc-a1a2c72d612c" ] } ], "mendeley" : { "formattedCitation" : "(Inglehart 1990)", "manualFormatting" : "Inglehart (1990)", "plainTextFormattedCitation" : "(Inglehart 1990)", "previouslyFormattedCitation" : "(Inglehart 1990)" }, "properties" : { "noteIndex" : 0 }, "schema" : "https://github.com/citation-style-language/schema/raw/master/csl-citation.json" }</w:instrText>
      </w:r>
      <w:r w:rsidRPr="00C3671E">
        <w:fldChar w:fldCharType="separate"/>
      </w:r>
      <w:r w:rsidRPr="00C3671E">
        <w:rPr>
          <w:noProof/>
        </w:rPr>
        <w:t>Inglehart (1990)</w:t>
      </w:r>
      <w:r w:rsidRPr="00C3671E">
        <w:fldChar w:fldCharType="end"/>
      </w:r>
      <w:r w:rsidRPr="00C3671E">
        <w:t xml:space="preserve">. Inglehart has spent most of his career by formulating the theory of value change from materialist to postmaterialist value orientation, its causes, and consequences </w:t>
      </w:r>
      <w:r w:rsidRPr="00C3671E">
        <w:lastRenderedPageBreak/>
        <w:t xml:space="preserve">of this change </w:t>
      </w:r>
      <w:r w:rsidRPr="00C3671E">
        <w:fldChar w:fldCharType="begin" w:fldLock="1"/>
      </w:r>
      <w:r w:rsidR="001257AA" w:rsidRPr="00C3671E">
        <w:instrText>ADDIN CSL_CITATION { "citationItems" : [ { "id" : "ITEM-1", "itemData" : { "DOI" : "10.2307/1953494", "ISBN" : "0003-0554", "ISSN" : "0003-0554", "abstract" : "A transformation of basic political priorities may be taking place in Western Europe. I hypothesize: (1) that people have a variety of needs which are given high or low priority according to their degree of fulfillment: people act on behalf of their most important unsatisfied need, giving relatively little attention to needs already satisfied\u2014except that (2) people tend to retain the value priorities adopted in their formative years throughout adult life. In contemporary Western Europe, needs for physical safety and economic security are relatively well satisfied for an unprecedentedly large share of the population. Younger, more affluent groups have been formed entirely under these conditions, and seem relatively likely to give top priority to fulfillment of needs which remain secondary to the older and less affluent majority of the population. Needs for belonging and intellectual and esthetic self-fulfillment (characterized as \u201cpost-bourgeois\u201d values) may take top priorities among the former group. Survey data from six countries indicate that the value priorities of the more affluent postwar group do contrast with those of groups raised under conditions of lesser economic and physical security. National patterns of value priorities correspond to the given nation's economic history, moreover, suggesting that the age-group differences reflect the persistence of preadult experiences, rather than life cycle effects. The distinctive value priorities imply distinctive political behavior\u2014being empirically linked with preferences for specific political issues and political parties in a predictable fashion. If the respective age cohorts retain their present value priorities, we would expect long-term shifts in the political goals and patterns of political partisanship prevailing in these societies.", "author" : [ { "dropping-particle" : "", "family" : "Inglehart", "given" : "Ronald", "non-dropping-particle" : "", "parse-names" : false, "suffix" : "" } ], "container-title" : "American Political Science Review", "id" : "ITEM-1", "issue" : "04", "issued" : { "date-parts" : [ [ "1971" ] ] }, "page" : "991-1017", "title" : "The Silent Revolution in Europe: Intergenerational Change in Post-Industrial Societies", "type" : "article-journal", "volume" : "65" }, "uris" : [ "http://www.mendeley.com/documents/?uuid=995a80df-4db1-4892-ad87-a25d40a0763b" ] }, { "id" : "ITEM-2", "itemData" : { "author" : [ { "dropping-particle" : "", "family" : "Inglehart", "given" : "Ronald", "non-dropping-particle" : "", "parse-names" : false, "suffix" : "" } ], "id" : "ITEM-2", "issued" : { "date-parts" : [ [ "1977" ] ] }, "publisher" : "Princeton University Press", "publisher-place" : "Princeton", "title" : "The Silent Revolution: Changing Values and Political Styles Among Western Publics", "type" : "book" }, "uris" : [ "http://www.mendeley.com/documents/?uuid=237848b7-5a83-4982-aba3-022ca1557adf" ] }, { "id" : "ITEM-3", "itemData" : { "author" : [ { "dropping-particle" : "", "family" : "Inglehart", "given" : "Ronald", "non-dropping-particle" : "", "parse-names" : false, "suffix" : "" } ], "id" : "ITEM-3", "issued" : { "date-parts" : [ [ "1990" ] ] }, "publisher" : "Princeton University Press", "publisher-place" : "Princeton", "title" : "Culture Shift in Advanced Industrial Society", "type" : "book" }, "uris" : [ "http://www.mendeley.com/documents/?uuid=25dc8f63-d26d-432e-8cdc-a1a2c72d612c" ] }, { "id" : "ITEM-4", "itemData" : { "author" : [ { "dropping-particle" : "", "family" : "Inglehart", "given" : "Ronald", "non-dropping-particle" : "", "parse-names" : false, "suffix" : "" } ], "id" : "ITEM-4", "issued" : { "date-parts" : [ [ "1997" ] ] }, "publisher" : "Princeton University Press", "publisher-place" : "Princeton", "title" : "Modernization and postmodernization: Cultural, economic, and political change in 43 societies", "type" : "book" }, "uris" : [ "http://www.mendeley.com/documents/?uuid=d9d09854-470b-4e95-9b3e-bf59c6eb759b" ] }, { "id" : "ITEM-5", "itemData" : { "author" : [ { "dropping-particle" : "", "family" : "Inglehart", "given" : "Ronald", "non-dropping-particle" : "", "parse-names" : false, "suffix" : "" }, { "dropping-particle" : "", "family" : "Norris", "given" : "Pipa", "non-dropping-particle" : "", "parse-names" : false, "suffix" : "" } ], "id" : "ITEM-5", "issued" : { "date-parts" : [ [ "2003" ] ] }, "publisher" : "Cambridge University Press", "publisher-place" : "Cambridge", "title" : "Rising tide: Gender equality and cultural change around the world", "type" : "book" }, "uris" : [ "http://www.mendeley.com/documents/?uuid=77985ed9-dd36-4dc3-bebd-c5bb6a4ce91f" ] }, { "id" : "ITEM-6", "itemData" : { "DOI" : "10.1080/01402380701834747", "ISBN" : "0140-2382", "ISSN" : "01402382", "abstract" : "In 1971 it was hypothesised that intergenerational value changes were taking place. More than a generation has passed since then, and today it seems clear that the predicted changes have occurred. A large body of evidence, analysed using three different approaches \u2013 (1) cohort analysis; (2) comparisons of rich and poor countries; (3) examination of actual trends observed over the past 35 years \u2013 all points to the conclusion that major cultural changes are occurring, and that they reflect a process of intergenerational change linked with rising levels of existential security.", "author" : [ { "dropping-particle" : "", "family" : "Inglehart", "given" : "Ronald F.", "non-dropping-particle" : "", "parse-names" : false, "suffix" : "" } ], "container-title" : "West European Politics", "id" : "ITEM-6", "issue" : "1-2", "issued" : { "date-parts" : [ [ "2008" ] ] }, "page" : "130-146", "title" : "Changing values among western publics from 1970 to 2006", "type" : "article-journal", "volume" : "31" }, "uris" : [ "http://www.mendeley.com/documents/?uuid=09afa358-1cfc-4470-b739-434902e22049" ] }, { "id" : "ITEM-7", "itemData" : { "DOI" : "10.1007/s11205-015-1137-9", "ISSN" : "15730921", "author" : [ { "dropping-particle" : "", "family" : "Alexander", "given" : "Amy C.", "non-dropping-particle" : "", "parse-names" : false, "suffix" : "" }, { "dropping-particle" : "", "family" : "Inglehart", "given" : "Ronald", "non-dropping-particle" : "", "parse-names" : false, "suffix" : "" }, { "dropping-particle" : "", "family" : "Welzel", "given" : "Christian", "non-dropping-particle" : "", "parse-names" : false, "suffix" : "" } ], "container-title" : "Social Indicators Research", "id" : "ITEM-7", "issue" : "2", "issued" : { "date-parts" : [ [ "2016" ] ] }, "page" : "909-935", "publisher" : "Springer Netherlands", "title" : "Emancipating Sexuality: Breakthroughs into a Bulwark of Tradition", "type" : "article-journal", "volume" : "129" }, "uris" : [ "http://www.mendeley.com/documents/?uuid=cd31a09d-f87c-432a-821e-ec05b0e8853f" ] } ], "mendeley" : { "formattedCitation" : "(Alexander, Inglehart, and Welzel 2016; Inglehart 1971, 1977, 1990, 1997, 2008; Inglehart and Norris 2003)", "plainTextFormattedCitation" : "(Alexander, Inglehart, and Welzel 2016; Inglehart 1971, 1977, 1990, 1997, 2008; Inglehart and Norris 2003)", "previouslyFormattedCitation" : "(Alexander, Inglehart, and Welzel 2016; Inglehart 1971, 1977, 1990, 1997, 2008; Inglehart and Norris 2003)" }, "properties" : { "noteIndex" : 0 }, "schema" : "https://github.com/citation-style-language/schema/raw/master/csl-citation.json" }</w:instrText>
      </w:r>
      <w:r w:rsidRPr="00C3671E">
        <w:fldChar w:fldCharType="separate"/>
      </w:r>
      <w:r w:rsidR="00A91559" w:rsidRPr="00C3671E">
        <w:rPr>
          <w:noProof/>
        </w:rPr>
        <w:t>(Alexander, Inglehart, and Welzel 2016; Inglehart 1971, 1977, 1990, 1997, 2008; Inglehart and Norris 2003)</w:t>
      </w:r>
      <w:r w:rsidRPr="00C3671E">
        <w:fldChar w:fldCharType="end"/>
      </w:r>
      <w:r w:rsidRPr="00C3671E">
        <w:t xml:space="preserve">. The change is supposedly caused by the unprecedented era of prosperity, safety, and stability within developed societies, which creates conditions for a shift of priorities from lower towards higher values at the Maslow’s pyramid of needs </w:t>
      </w:r>
      <w:r w:rsidRPr="00C3671E">
        <w:fldChar w:fldCharType="begin" w:fldLock="1"/>
      </w:r>
      <w:r w:rsidR="001257AA" w:rsidRPr="00C3671E">
        <w:instrText>ADDIN CSL_CITATION { "citationItems" : [ { "id" : "ITEM-1", "itemData" : { "author" : [ { "dropping-particle" : "", "family" : "Inglehart", "given" : "Ronald", "non-dropping-particle" : "", "parse-names" : false, "suffix" : "" } ], "id" : "ITEM-1", "issued" : { "date-parts" : [ [ "1977" ] ] }, "publisher" : "Princeton University Press", "publisher-place" : "Princeton", "title" : "The Silent Revolution: Changing Values and Political Styles Among Western Publics", "type" : "book" }, "uris" : [ "http://www.mendeley.com/documents/?uuid=237848b7-5a83-4982-aba3-022ca1557adf" ] }, { "id" : "ITEM-2", "itemData" : { "DOI" : "10.1037/h0054346", "ISBN" : "0033-295X", "ISSN" : "0033-295X", "PMID" : "16618263", "abstract" : "The present paper is an attempt to formulate a positive theory of motivation which will satisfy these theoretical de- mands and at the same time conform to the known facts , clinical and observational as well as experimental . It derives most directly , however , from clinical experience . This theory is , I think , in the functionalist tradition of James and Dewey , and is fused with the holism of Wertheimer ( IQ ), Goldstein ( 6 ), and Gestalt Psychology , and with the dynamicism of Freud ( 4 ) and Adler ( i ). This fusion or synthesis may arbi- trarily be called a ' general-dynamic ' theory . It is far easier to perceive and to criticize the aspects in motivation theory than to remedy them . Mostly this is be- cause of the very serious lack of sound data in this area . I conceive this lack of sound facts to be due primarily to the absence of a valid theory of motivation . The present theory then must be considered to be a suggested program or frame- work for future research and must stand or fall , not so much on facts available or evidence presented , as upon researches yet to be done , researches suggested perhaps , by the questions raised in this paper .", "author" : [ { "dropping-particle" : "", "family" : "Maslow", "given" : "A. H.", "non-dropping-particle" : "", "parse-names" : false, "suffix" : "" } ], "container-title" : "Psychological Review", "id" : "ITEM-2", "issue" : "4", "issued" : { "date-parts" : [ [ "1943" ] ] }, "page" : "370-396", "title" : "A theory of human motivation", "type" : "article-journal", "volume" : "50" }, "uris" : [ "http://www.mendeley.com/documents/?uuid=2a3ae72f-f7ce-4b2b-bf16-219eea11c982" ] } ], "mendeley" : { "formattedCitation" : "(Inglehart 1977; Maslow 1943)", "plainTextFormattedCitation" : "(Inglehart 1977; Maslow 1943)", "previouslyFormattedCitation" : "(Inglehart 1977; Maslow 1943)" }, "properties" : { "noteIndex" : 0 }, "schema" : "https://github.com/citation-style-language/schema/raw/master/csl-citation.json" }</w:instrText>
      </w:r>
      <w:r w:rsidRPr="00C3671E">
        <w:fldChar w:fldCharType="separate"/>
      </w:r>
      <w:r w:rsidR="00A91559" w:rsidRPr="00C3671E">
        <w:rPr>
          <w:noProof/>
        </w:rPr>
        <w:t>(Inglehart 1977; Maslow 1943)</w:t>
      </w:r>
      <w:r w:rsidRPr="00C3671E">
        <w:fldChar w:fldCharType="end"/>
      </w:r>
      <w:r w:rsidRPr="00C3671E">
        <w:t xml:space="preserve">. Under these conditions, prioritized values shift from concerns with economic stability and economic safety to stress on quality of life, political and human rights, gender equality, self-realization, and self-fulfilment. As </w:t>
      </w:r>
      <w:r w:rsidRPr="00C3671E">
        <w:fldChar w:fldCharType="begin" w:fldLock="1"/>
      </w:r>
      <w:r w:rsidRPr="00C3671E">
        <w:instrText>ADDIN CSL_CITATION { "citationItems" : [ { "id" : "ITEM-1", "itemData" : { "author" : [ { "dropping-particle" : "", "family" : "Inglehart", "given" : "Ronald", "non-dropping-particle" : "", "parse-names" : false, "suffix" : "" } ], "id" : "ITEM-1", "issued" : { "date-parts" : [ [ "1990" ] ] }, "publisher" : "Princeton University Press", "publisher-place" : "Princeton", "title" : "Culture Shift in Advanced Industrial Society", "type" : "book" }, "uris" : [ "http://www.mendeley.com/documents/?uuid=25dc8f63-d26d-432e-8cdc-a1a2c72d612c" ] } ], "mendeley" : { "formattedCitation" : "(Inglehart 1990)", "manualFormatting" : "Inglehart (1990: 5)", "plainTextFormattedCitation" : "(Inglehart 1990)", "previouslyFormattedCitation" : "(Inglehart 1990)" }, "properties" : { "noteIndex" : 0 }, "schema" : "https://github.com/citation-style-language/schema/raw/master/csl-citation.json" }</w:instrText>
      </w:r>
      <w:r w:rsidRPr="00C3671E">
        <w:fldChar w:fldCharType="separate"/>
      </w:r>
      <w:r w:rsidRPr="00C3671E">
        <w:rPr>
          <w:noProof/>
        </w:rPr>
        <w:t>Inglehart (1990: 5)</w:t>
      </w:r>
      <w:r w:rsidRPr="00C3671E">
        <w:fldChar w:fldCharType="end"/>
      </w:r>
      <w:r w:rsidRPr="00C3671E">
        <w:t xml:space="preserve"> puts it, ‘economic and physical security continue to be valued positively, but their relative priority is lower than in the past’. The so-called ‘silent revolution’ transforms values in society via intergenerational exchange </w:t>
      </w:r>
      <w:r w:rsidRPr="00C3671E">
        <w:fldChar w:fldCharType="begin" w:fldLock="1"/>
      </w:r>
      <w:r w:rsidR="001257AA" w:rsidRPr="00C3671E">
        <w:instrText>ADDIN CSL_CITATION { "citationItems" : [ { "id" : "ITEM-1", "itemData" : { "DOI" : "10.2307/1953494", "ISBN" : "0003-0554", "ISSN" : "0003-0554", "abstract" : "A transformation of basic political priorities may be taking place in Western Europe. I hypothesize: (1) that people have a variety of needs which are given high or low priority according to their degree of fulfillment: people act on behalf of their most important unsatisfied need, giving relatively little attention to needs already satisfied\u2014except that (2) people tend to retain the value priorities adopted in their formative years throughout adult life. In contemporary Western Europe, needs for physical safety and economic security are relatively well satisfied for an unprecedentedly large share of the population. Younger, more affluent groups have been formed entirely under these conditions, and seem relatively likely to give top priority to fulfillment of needs which remain secondary to the older and less affluent majority of the population. Needs for belonging and intellectual and esthetic self-fulfillment (characterized as \u201cpost-bourgeois\u201d values) may take top priorities among the former group. Survey data from six countries indicate that the value priorities of the more affluent postwar group do contrast with those of groups raised under conditions of lesser economic and physical security. National patterns of value priorities correspond to the given nation's economic history, moreover, suggesting that the age-group differences reflect the persistence of preadult experiences, rather than life cycle effects. The distinctive value priorities imply distinctive political behavior\u2014being empirically linked with preferences for specific political issues and political parties in a predictable fashion. If the respective age cohorts retain their present value priorities, we would expect long-term shifts in the political goals and patterns of political partisanship prevailing in these societies.", "author" : [ { "dropping-particle" : "", "family" : "Inglehart", "given" : "Ronald", "non-dropping-particle" : "", "parse-names" : false, "suffix" : "" } ], "container-title" : "American Political Science Review", "id" : "ITEM-1", "issue" : "04", "issued" : { "date-parts" : [ [ "1971" ] ] }, "page" : "991-1017", "title" : "The Silent Revolution in Europe: Intergenerational Change in Post-Industrial Societies", "type" : "article-journal", "volume" : "65" }, "uris" : [ "http://www.mendeley.com/documents/?uuid=995a80df-4db1-4892-ad87-a25d40a0763b" ] }, { "id" : "ITEM-2", "itemData" : { "DOI" : "10.1080/01402380701834747", "ISBN" : "0140-2382", "ISSN" : "01402382", "abstract" : "In 1971 it was hypothesised that intergenerational value changes were taking place. More than a generation has passed since then, and today it seems clear that the predicted changes have occurred. A large body of evidence, analysed using three different approaches \u2013 (1) cohort analysis; (2) comparisons of rich and poor countries; (3) examination of actual trends observed over the past 35 years \u2013 all points to the conclusion that major cultural changes are occurring, and that they reflect a process of intergenerational change linked with rising levels of existential security.", "author" : [ { "dropping-particle" : "", "family" : "Inglehart", "given" : "Ronald F.", "non-dropping-particle" : "", "parse-names" : false, "suffix" : "" } ], "container-title" : "West European Politics", "id" : "ITEM-2", "issue" : "1-2", "issued" : { "date-parts" : [ [ "2008" ] ] }, "page" : "130-146", "title" : "Changing values among western publics from 1970 to 2006", "type" : "article-journal", "volume" : "31" }, "uris" : [ "http://www.mendeley.com/documents/?uuid=09afa358-1cfc-4470-b739-434902e22049" ] } ], "mendeley" : { "formattedCitation" : "(Inglehart 1971, 2008)", "plainTextFormattedCitation" : "(Inglehart 1971, 2008)", "previouslyFormattedCitation" : "(Inglehart 1971, 2008)" }, "properties" : { "noteIndex" : 0 }, "schema" : "https://github.com/citation-style-language/schema/raw/master/csl-citation.json" }</w:instrText>
      </w:r>
      <w:r w:rsidRPr="00C3671E">
        <w:fldChar w:fldCharType="separate"/>
      </w:r>
      <w:r w:rsidRPr="00C3671E">
        <w:rPr>
          <w:noProof/>
        </w:rPr>
        <w:t>(Inglehart 1971, 2008)</w:t>
      </w:r>
      <w:r w:rsidRPr="00C3671E">
        <w:fldChar w:fldCharType="end"/>
      </w:r>
      <w:r w:rsidRPr="00C3671E">
        <w:t xml:space="preserve">, as the individual value system is shaped in formative years and remains stable for the rest of the life </w:t>
      </w:r>
      <w:r w:rsidRPr="00C3671E">
        <w:fldChar w:fldCharType="begin" w:fldLock="1"/>
      </w:r>
      <w:r w:rsidR="001257AA" w:rsidRPr="00C3671E">
        <w:instrText>ADDIN CSL_CITATION { "citationItems" : [ { "id" : "ITEM-1", "itemData" : { "author" : [ { "dropping-particle" : "", "family" : "Inglehart", "given" : "Ronald", "non-dropping-particle" : "", "parse-names" : false, "suffix" : "" } ], "container-title" : "American Political Science Review", "id" : "ITEM-1", "issue" : "1", "issued" : { "date-parts" : [ [ "1985" ] ] }, "page" : "97-116", "title" : "Aggregate Stability and Individual Level Flux in Mass Belief Systems: The Level of Analysis Paradox", "type" : "article-journal", "volume" : "79" }, "uris" : [ "http://www.mendeley.com/documents/?uuid=58533f0a-fa43-47a0-b935-6e18aef07b6e" ] }, { "id" : "ITEM-2", "itemData" : { "DOI" : "10.2307/1962290", "ISBN" : "0003-0554", "ISSN" : "00030554",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 "author" : [ { "dropping-particle" : "", "family" : "Inglehart", "given" : "Ronald", "non-dropping-particle" : "", "parse-names" : false, "suffix" : "" } ], "container-title" : "The American Political Science Review", "id" : "ITEM-2", "issue" : "4", "issued" : { "date-parts" : [ [ "1981" ] ] }, "page" : "880-900", "title" : "Post-Materialism in an Environment of Insecurity", "type" : "article-journal", "volume" : "75" }, "uris" : [ "http://www.mendeley.com/documents/?uuid=75c08545-d6d0-47d5-8c61-eed23316543b" ] }, { "id" : "ITEM-3", "itemData" : { "author" : [ { "dropping-particle" : "", "family" : "Inglehart", "given" : "Ronald", "non-dropping-particle" : "", "parse-names" : false, "suffix" : "" } ], "id" : "ITEM-3", "issued" : { "date-parts" : [ [ "1977" ] ] }, "publisher" : "Princeton University Press", "publisher-place" : "Princeton", "title" : "The Silent Revolution: Changing Values and Political Styles Among Western Publics", "type" : "book" }, "uris" : [ "http://www.mendeley.com/documents/?uuid=237848b7-5a83-4982-aba3-022ca1557adf" ] }, { "id" : "ITEM-4", "itemData" : { "author" : [ { "dropping-particle" : "", "family" : "Rokeach", "given" : "Milton", "non-dropping-particle" : "", "parse-names" : false, "suffix" : "" } ], "id" : "ITEM-4", "issued" : { "date-parts" : [ [ "1979" ] ] }, "publisher" : "The Free Press", "publisher-place" : "New York", "title" : "Understanding human values", "type" : "book" }, "uris" : [ "http://www.mendeley.com/documents/?uuid=41b7a005-c516-49c3-84e3-fe7a6e093854" ] }, { "id" : "ITEM-5", "itemData" : { "author" : [ { "dropping-particle" : "", "family" : "Schwartz", "given" : "Shalom H", "non-dropping-particle" : "", "parse-names" : false, "suffix" : "" } ], "chapter-number" : "1", "container-title" : "Valores e trabalho [Values and work]", "editor" : [ { "dropping-particle" : "", "family" : "Tamayo", "given" : "A.", "non-dropping-particle" : "", "parse-names" : false, "suffix" : "" }, { "dropping-particle" : "", "family" : "Porto", "given" : "J. B.", "non-dropping-particle" : "", "parse-names" : false, "suffix" : "" } ], "id" : "ITEM-5", "issued" : { "date-parts" : [ [ "2005" ] ] }, "page" : "1-46", "publisher" : "Editora Universidade de Brasilia", "publisher-place" : "Brasilia", "title" : "Robustness and Fruitfulness of a Theory of Universals in Individual Values", "type" : "chapter" }, "uris" : [ "http://www.mendeley.com/documents/?uuid=0fe23edb-5278-4cd5-8d49-67b64914d71c" ] } ], "mendeley" : { "formattedCitation" : "(Inglehart 1977, 1981, 1985; Rokeach 1979; Schwartz 2005)", "plainTextFormattedCitation" : "(Inglehart 1977, 1981, 1985; Rokeach 1979; Schwartz 2005)", "previouslyFormattedCitation" : "(Inglehart 1977, 1981, 1985; Rokeach 1979; Schwartz 2005)" }, "properties" : { "noteIndex" : 0 }, "schema" : "https://github.com/citation-style-language/schema/raw/master/csl-citation.json" }</w:instrText>
      </w:r>
      <w:r w:rsidRPr="00C3671E">
        <w:fldChar w:fldCharType="separate"/>
      </w:r>
      <w:r w:rsidR="00A91559" w:rsidRPr="00C3671E">
        <w:rPr>
          <w:noProof/>
        </w:rPr>
        <w:t>(Inglehart 1977, 1981, 1985; Rokeach 1979; Schwartz 2005)</w:t>
      </w:r>
      <w:r w:rsidRPr="00C3671E">
        <w:fldChar w:fldCharType="end"/>
      </w:r>
      <w:r w:rsidRPr="00C3671E">
        <w:t xml:space="preserve">. In short, macro-conditions shape individual values, perceptions, and tendencies for certain behaviour, which simultaneously reproduce and change macro-conditions. Some of these thoughts on individual value systems as an important building block of stable society are present in classical sociology </w:t>
      </w:r>
      <w:r w:rsidRPr="00C3671E">
        <w:fldChar w:fldCharType="begin" w:fldLock="1"/>
      </w:r>
      <w:r w:rsidR="001257AA" w:rsidRPr="00C3671E">
        <w:instrText>ADDIN CSL_CITATION { "citationItems" : [ { "id" : "ITEM-1", "itemData" : { "ISBN" : "0521374553", "abstract" : "This book, first published in 2007, is an expanded and revised edition of the author's critically acclaimed volume Nuts and Bolts for the Social Sciences. In twenty-six succinct chapters, Jon Elster provides an account of the nature of explanation in the social sciences. He offers an overview of key explanatory mechanisms in the social sciences, relying on hundreds of examples and drawing on a large variety of sources - psychology, behavioral economics, biology, political science, historical writings, philosophy and fiction. Written in accessible and jargon-free language, Elster aims at accuracy and clarity while eschewing formal models. In a provocative conclusion, Elster defends the centrality of qualitative social sciences in a two-front war against soft (literary) and hard (mathematical) forms of obscurantism.", "author" : [ { "dropping-particle" : "", "family" : "Elster", "given" : "Jon", "non-dropping-particle" : "", "parse-names" : false, "suffix" : "" } ], "id" : "ITEM-1", "issued" : { "date-parts" : [ [ "1989" ] ] }, "page" : "184", "publisher" : "Cambridge University Press", "publisher-place" : "Cambridge", "title" : "Nuts and Bolts for Social Sciences", "type" : "article" }, "uris" : [ "http://www.mendeley.com/documents/?uuid=c6256216-eded-4bfb-b76f-5505f1c1e67d" ] }, { "id" : "ITEM-2", "itemData" : { "ISBN" : "0203992954", "author" : [ { "dropping-particle" : "", "family" : "Parsons", "given" : "Talcott", "non-dropping-particle" : "", "parse-names" : false, "suffix" : "" } ], "id" : "ITEM-2", "issued" : { "date-parts" : [ [ "1951" ] ] }, "publisher" : "Routledge &amp; Kegan Paul Ltd.", "publisher-place" : "London", "title" : "The Social System", "type" : "book" }, "uris" : [ "http://www.mendeley.com/documents/?uuid=f4cd89d1-4760-48a9-bb05-b865007cd5fa" ] }, { "id" : "ITEM-3", "itemData" : { "DOI" : "10.1177/0038040709356567", "ISBN" : "063120301X", "ISSN" : "0036-8075", "PMID" : "17806662", "author" : [ { "dropping-particle" : "", "family" : "Goode", "given" : "William J", "non-dropping-particle" : "", "parse-names" : false, "suffix" : "" } ], "container-title" : "American Sociological Review", "id" : "ITEM-3", "issue" : "4", "issued" : { "date-parts" : [ [ "1960" ] ] }, "page" : "483-496", "title" : "A Theory of Role Strain", "type" : "article-journal", "volume" : "25" }, "uris" : [ "http://www.mendeley.com/documents/?uuid=fa5664e7-4c35-4e1f-ab5d-837ee62474a6" ] } ], "mendeley" : { "formattedCitation" : "(Elster 1989; Goode 1960; Parsons 1951)", "plainTextFormattedCitation" : "(Elster 1989; Goode 1960; Parsons 1951)", "previouslyFormattedCitation" : "(Elster 1989; Goode 1960; Parsons 1951)" }, "properties" : { "noteIndex" : 0 }, "schema" : "https://github.com/citation-style-language/schema/raw/master/csl-citation.json" }</w:instrText>
      </w:r>
      <w:r w:rsidRPr="00C3671E">
        <w:fldChar w:fldCharType="separate"/>
      </w:r>
      <w:r w:rsidR="00A91559" w:rsidRPr="00C3671E">
        <w:rPr>
          <w:noProof/>
        </w:rPr>
        <w:t>(Elster 1989; Goode 1960; Parsons 1951)</w:t>
      </w:r>
      <w:r w:rsidRPr="00C3671E">
        <w:fldChar w:fldCharType="end"/>
      </w:r>
      <w:r w:rsidRPr="00C3671E">
        <w:t>, though the shift from materialist to postmaterialist value orientation is Inglehart’s contribution.</w:t>
      </w:r>
    </w:p>
    <w:p w14:paraId="2FD71BED" w14:textId="530D13D2" w:rsidR="00676326" w:rsidRPr="00C3671E" w:rsidRDefault="00676326" w:rsidP="00676326">
      <w:pPr>
        <w:pStyle w:val="Newparagraph"/>
        <w:jc w:val="both"/>
      </w:pPr>
      <w:r w:rsidRPr="00C3671E">
        <w:t xml:space="preserve">The Inglehart’s theory of value </w:t>
      </w:r>
      <w:r w:rsidRPr="00C3671E">
        <w:rPr>
          <w:lang w:eastAsia="zh-CN"/>
        </w:rPr>
        <w:t>change</w:t>
      </w:r>
      <w:r w:rsidRPr="00C3671E">
        <w:t xml:space="preserve"> has received critical responses addressing both its conceptual </w:t>
      </w:r>
      <w:r w:rsidRPr="00C3671E">
        <w:fldChar w:fldCharType="begin" w:fldLock="1"/>
      </w:r>
      <w:r w:rsidR="001257AA" w:rsidRPr="00C3671E">
        <w:instrText>ADDIN CSL_CITATION { "citationItems" : [ { "id" : "ITEM-1", "itemData" : { "author" : [ { "dropping-particle" : "V", "family" : "Warwick", "given" : "Paul", "non-dropping-particle" : "", "parse-names" : false, "suffix" : "" } ], "container-title" : "The Public Opinion Quaterly", "id" : "ITEM-1", "issue" : "4", "issued" : { "date-parts" : [ [ "1998" ] ] }, "page" : "583-609", "title" : "Disputed Cause, Disputed Effect: The Postmaterialist Thesis Re-Examined", "type" : "article-journal", "volume" : "62" }, "uris" : [ "http://www.mendeley.com/documents/?uuid=d9ceffc2-6aff-4796-8b09-7573534ded40" ] }, { "id" : "ITEM-2", "itemData" : { "DOI" : "10.7251/SOCEN1408029T", "author" : [ { "dropping-particle" : "", "family" : "Todosijevi\u0107", "given" : "Bojan", "non-dropping-particle" : "", "parse-names" : false, "suffix" : "" } ], "container-title" : "Sociological Discourse", "id" : "ITEM-2", "issue" : "5", "issued" : { "date-parts" : [ [ "2014" ] ] }, "page" : "29-43", "title" : "Failed promises of modernization: Temporal trends in religiosity, postmaterialism and Ethno-nationalist attitudes in the Netherlands", "type" : "article-journal", "volume" : "4" }, "uris" : [ "http://www.mendeley.com/documents/?uuid=e525419e-e79f-4a39-8192-89e27fe21c50" ] } ], "mendeley" : { "formattedCitation" : "(Todosijevi\u0107 2014; Warwick 1998)", "plainTextFormattedCitation" : "(Todosijevi\u0107 2014; Warwick 1998)", "previouslyFormattedCitation" : "(Todosijevi\u0107 2014; Warwick 1998)" }, "properties" : { "noteIndex" : 0 }, "schema" : "https://github.com/citation-style-language/schema/raw/master/csl-citation.json" }</w:instrText>
      </w:r>
      <w:r w:rsidRPr="00C3671E">
        <w:fldChar w:fldCharType="separate"/>
      </w:r>
      <w:r w:rsidR="00A91559" w:rsidRPr="00C3671E">
        <w:rPr>
          <w:noProof/>
        </w:rPr>
        <w:t>(Todosijević 2014; Warwick 1998)</w:t>
      </w:r>
      <w:r w:rsidRPr="00C3671E">
        <w:fldChar w:fldCharType="end"/>
      </w:r>
      <w:r w:rsidRPr="00C3671E">
        <w:t xml:space="preserve"> and methodological part </w:t>
      </w:r>
      <w:r w:rsidRPr="00C3671E">
        <w:fldChar w:fldCharType="begin" w:fldLock="1"/>
      </w:r>
      <w:r w:rsidR="001257AA" w:rsidRPr="00C3671E">
        <w:instrText>ADDIN CSL_CITATION { "citationItems" : [ { "id" : "ITEM-1", "itemData" : { "DOI" : "10.1007/s11205-013-0241-y", "ISSN" : "03038300", "abstract" : "Inglehart applies a four item ranking scale to measure post-materialism\\nwhich is used for cross-cultural and cross-temporal comparative\\npurposes. The aim of this research is to test measurement invariance of\\nthe scale to establish to what extent the scale produces comparable\\nresults in time and between countries. We use Eurobarometer data to test\\nlongitudinal comparability for ten countries (France, Belgium, the\\nNetherlands, Italy, West-Germany, Luxembourg, Denmark, Ireland, Great\\nBritain and North Ireland) over a period of 20 years (1976-1997). With\\nthe exception of Denmark the within-country longitudinal comparisons\\nindicate that measurement invariance is a tenable assumption. However,\\nthe findings of the cross-cultural analyses indicate that the meaning\\nassigned to the four items differs slightly between countries,\\nindicating a lack of comparability of the average level of\\npost-materialism between countries. Findings also suggest that a lack of\\nunidimensionality of the scale might cause this incomparability.", "author" : [ { "dropping-particle" : "", "family" : "Ippel", "given" : "Lianne", "non-dropping-particle" : "", "parse-names" : false, "suffix" : "" }, { "dropping-particle" : "", "family" : "Gelissen", "given" : "John P.T.M.", "non-dropping-particle" : "", "parse-names" : false, "suffix" : "" }, { "dropping-particle" : "", "family" : "Moors", "given" : "Guy B.D.", "non-dropping-particle" : "", "parse-names" : false, "suffix" : "" } ], "container-title" : "Social Indicators Research", "id" : "ITEM-1", "issue" : "3", "issued" : { "date-parts" : [ [ "2014" ] ] }, "page" : "919-932", "title" : "Investigating Longitudinal and Cross Cultural Measurement Invariance of Inglehart's Short Post-materialism Scale", "type" : "article-journal", "volume" : "115" }, "uris" : [ "http://www.mendeley.com/documents/?uuid=acf79811-cd79-4be3-9d93-a36004fe7f51" ] }, { "id" : "ITEM-2", "itemData" : {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"author" : [ { "dropping-particle" : "", "family" : "Knutsen", "given" : "Oddbjorn", "non-dropping-particle" : "", "parse-names" : false, "suffix" : "" } ], "container-title" : "Comparative Politics", "id" : "ITEM-2", "issue" : "1", "issued" : { "date-parts" : [ [ "1990" ] ] }, "page" : "85-104", "title" : "Materialist and Postmaterialist Values and Social Structure in the Nordic Countries: A Comparative Study", "type" : "article-journal", "volume" : "23" }, "uris" : [ "http://www.mendeley.com/documents/?uuid=d38b23f9-3f90-4978-beb4-1511033d418f" ] }, { "id" : "ITEM-3", "itemData" : { "DOI" : "10.1093/esr/jcm027", "ISBN" : "0266-7215", "ISSN" : "02667215", "abstract" : " Protagonists of values theory such as Inglehart - among others - have argued that values should be conceived of as relative priorities rather than absolute preferences. As such they insist on using ranking techniques of measurement which generates choice data. In this study, we aim at validating the measurement of Ingleharts (post-)materialism by means of a latent class discrete choice model. We argue that from a statistical point of view this is the appropriate way of dealing with ranking data. Furthermore, the analyses revealed a heterogeneity in (post-)materialist value priorities that has previously been left unobserved. Consistent with Ingleharts research a post-materialist class is discerned irrespective of the number of latent classes that is selected. However, as far as materialism is concerned three different types of materialist concerns can be distinguished. The validity of the empirical typology is further demonstrated by linking it to key covariates and political attitudes.", "author" : [ { "dropping-particle" : "", "family" : "Moors", "given" : "Guy", "non-dropping-particle" : "", "parse-names" : false, "suffix" : "" }, { "dropping-particle" : "", "family" : "Vermunt", "given" : "Jeroen", "non-dropping-particle" : "", "parse-names" : false, "suffix" : "" } ], "container-title" : "European Sociological Review", "id" : "ITEM-3", "issue" : "5", "issued" : { "date-parts" : [ [ "2007" ] ] }, "page" : "631-648", "title" : "Heterogeneity in post-materialist value priorities. Evidence from a latent class discrete choice approach", "type" : "article-journal", "volume" : "23" }, "uris" : [ "http://www.mendeley.com/documents/?uuid=e1e9e103-8001-4fad-b971-6d9bcea1c08e" ] } ], "mendeley" : { "formattedCitation" : "(Ippel, Gelissen, and Moors 2014; Knutsen 1990; Moors and Vermunt 2007)", "plainTextFormattedCitation" : "(Ippel, Gelissen, and Moors 2014; Knutsen 1990; Moors and Vermunt 2007)", "previouslyFormattedCitation" : "(Ippel, Gelissen, and Moors 2014; Knutsen 1990; Moors and Vermunt 2007)" }, "properties" : { "noteIndex" : 0 }, "schema" : "https://github.com/citation-style-language/schema/raw/master/csl-citation.json" }</w:instrText>
      </w:r>
      <w:r w:rsidRPr="00C3671E">
        <w:fldChar w:fldCharType="separate"/>
      </w:r>
      <w:r w:rsidR="00A91559" w:rsidRPr="00C3671E">
        <w:rPr>
          <w:noProof/>
        </w:rPr>
        <w:t>(Ippel, Gelissen, and Moors 2014; Knutsen 1990; Moors and Vermunt 2007)</w:t>
      </w:r>
      <w:r w:rsidRPr="00C3671E">
        <w:fldChar w:fldCharType="end"/>
      </w:r>
      <w:r w:rsidRPr="00C3671E">
        <w:t xml:space="preserve">. Some researchers oppose the assumption of importance of formative years and stability of value orientation during life course </w:t>
      </w:r>
      <w:r w:rsidRPr="00C3671E">
        <w:fldChar w:fldCharType="begin" w:fldLock="1"/>
      </w:r>
      <w:r w:rsidR="001257AA" w:rsidRPr="00C3671E">
        <w:instrText>ADDIN CSL_CITATION { "citationItems" : [ { "id" : "ITEM-1", "itemData" : { "author" : [ { "dropping-particle" : "", "family" : "Davis", "given" : "James A", "non-dropping-particle" : "", "parse-names" : false, "suffix" : "" } ], "container-title" : "The Public Opinion Quarterly", "id" : "ITEM-1", "issue" : "2", "issued" : { "date-parts" : [ [ "1996" ] ] }, "page" : "322-331", "title" : "Review Essay on Value Change in Global Perspective", "type" : "article-journal", "volume" : "60" }, "uris" : [ "http://www.mendeley.com/documents/?uuid=c6de9287-6a13-4bf8-9695-00653318a7de" ] }, { "id" : "ITEM-2", "itemData" : { "author" : [ { "dropping-particle" : "V", "family" : "Warwick", "given" : "Paul", "non-dropping-particle" : "", "parse-names" : false, "suffix" : "" } ], "container-title" : "The Public Opinion Quaterly", "id" : "ITEM-2", "issue" : "4", "issued" : { "date-parts" : [ [ "1998" ] ] }, "page" : "583-609", "title" : "Disputed Cause, Disputed Effect: The Postmaterialist Thesis Re-Examined", "type" : "article-journal", "volume" : "62" }, "uris" : [ "http://www.mendeley.com/documents/?uuid=d9ceffc2-6aff-4796-8b09-7573534ded40" ] }, { "id" : "ITEM-3", "itemData" : { "DOI" : "10.1037//0022-3514.83.6.C2", "ISSN" : "0022-3514", "author" : [ { "dropping-particle" : "", "family" : "Bardi", "given" : "Anat", "non-dropping-particle" : "", "parse-names" : false, "suffix" : "" }, { "dropping-particle" : "", "family" : "Lee", "given" : "Julie Anne", "non-dropping-particle" : "", "parse-names" : false, "suffix" : "" }, { "dropping-particle" : "", "family" : "Hofmann-Towfigh", "given" : "Nadi", "non-dropping-particle" : "", "parse-names" : false, "suffix" : "" }, { "dropping-particle" : "", "family" : "Soutar", "given" : "Geoffrey", "non-dropping-particle" : "", "parse-names" : false, "suffix" : "" } ], "container-title" : "Journal of Personality and Social Psychology", "id" : "ITEM-3", "issued" : { "date-parts" : [ [ "2009" ] ] }, "page" : "913-929", "title" : "The Structure of Intra-Individual Value Change", "type" : "article-journal", "volume" : "97" }, "uris" : [ "http://www.mendeley.com/documents/?uuid=460d946b-6628-4289-8b57-a1fc1f617d96" ] }, { "id" : "ITEM-4", "itemData" : { "DOI" : "10.1037/a0034818", "ISBN" : "9788578110796", "ISSN" : "00223514", "PMID" : "25246403", "abstract" : "Three longitudinal studies examine a fundamental question regarding adjustment of personal values to self-chosen life transitions: Do values fit the new life setting already at its onset implying value-based self-selection? Or do values change to better fit the appropriate and desirable values in the setting, implying value socialization? As people are likely to choose a life transition partly based on their values, their values may fit the new life situation already at its onset, leaving little need for value socialization. However, we propose that this may vary as a function of the extent of change the life transition entails, with greater change requiring more value socialization. To enable generalization, we used three longitudinal studies spanning three different life transitions and different extents of life changes: Vocational training (of new police recruits), education (psychology vs. business students) and migration (from Poland to Britain). Although each life transition involved different key values and different populations, across all three studies we found value-fit to the life situation already early in the transition. Value socialization became more evident the more aspects of life changed as part of the transition, i.e., in the migration transition. The discussion focuses on the implications of these findings for research on values and personality change, as well as limitations and future directions for research.", "author" : [ { "dropping-particle" : "", "family" : "Bardi", "given" : "Anat", "non-dropping-particle" : "", "parse-names" : false, "suffix" : "" }, { "dropping-particle" : "", "family" : "Buchanan", "given" : "Kathryn E.", "non-dropping-particle" : "", "parse-names" : false, "suffix" : "" }, { "dropping-particle" : "", "family" : "Goodwin", "given" : "Robin", "non-dropping-particle" : "", "parse-names" : false, "suffix" : "" }, { "dropping-particle" : "", "family" : "Slabu", "given" : "Letitia", "non-dropping-particle" : "", "parse-names" : false, "suffix" : "" }, { "dropping-particle" : "", "family" : "Robinson", "given" : "Mark", "non-dropping-particle" : "", "parse-names" : false, "suffix" : "" } ], "container-title" : "Journal of Personality and Social Psychology", "id" : "ITEM-4", "issue" : "1", "issued" : { "date-parts" : [ [ "2014" ] ] }, "page" : "131-147", "title" : "Value stability and change during self-chosen life transitions: Self-selection versus socialization effects", "type" : "article-journal", "volume" : "106" }, "uris" : [ "http://www.mendeley.com/documents/?uuid=2aa1d133-a3a2-429d-9a16-5ca22e5a1dc7" ] }, { "id" : "ITEM-5", "itemData" : { "abstract" : "This paper contains four sections. To start, we shall give a brief overview of the place of value orientations in a number of social science paradigms. This will give us the opportunity to clarify our position from the start. Then, we shall proceed with a sketch of how and why various strands of sociology and demography came to give value orientations a more prominent place. Next, we shall focus on the recursive model in which (i) value orientations contribute at the micro-level to making choices and at the macro-level to altering social structure, and (ii) are themselves subject to adaptation given earlier choices or structural transformations. At the micro-level we shall illustrate this dual process of selection and adaptation with empirical findings from panel studies, i.e. the most appropriate research design for capturing the dynamics of recursive causation over time. At this point, specific attention will be paid to values as co-determinants - and even intergenerational ones - of life course choices with respect to patterns of household formation, and to such life course decisions as stimuli for either the consolidation of previously held values or for their reorientation. This recursive model will help us, in a last section, to detect the footprints of selection and adaptation in a dataset produced by repeated cross-sectional surveys. In this empirical section we shall document how not only specific attitudes focussing on family issues are related to the choices regarding household formation, but more importantly, how much broader ideational or \"meaning giving\" dimensions in the spheres of religion, ethics, politics and work are equally part and parcel of the same recursive process. 2", "author" : [ { "dropping-particle" : "", "family" : "Lesthaeghe", "given" : "Ron", "non-dropping-particle" : "", "parse-names" : false, "suffix" : "" }, { "dropping-particle" : "", "family" : "Moors", "given" : "Guy", "non-dropping-particle" : "", "parse-names" : false, "suffix" : "" } ], "chapter-number" : "1", "container-title" : "Meaning and choice: Value orientations and life course decisions", "editor" : [ { "dropping-particle" : "", "family" : "Lesthaeghe", "given" : "Ron", "non-dropping-particle" : "", "parse-names" : false, "suffix" : "" } ], "id" : "ITEM-5", "issued" : { "date-parts" : [ [ "2002" ] ] }, "page" : "1-44", "publisher" : "NIDI-CBGS publications", "publisher-place" : "The Hague and Brussels", "title" : "Life course transitions and value orientations: selection and adaptation", "type" : "chapter", "volume" : "37" }, "uris" : [ "http://www.mendeley.com/documents/?uuid=7db153b9-50b6-40ee-99cf-90aaab13eeb4" ] }, { "id" : "ITEM-6", "itemData" : { "author" : [ { "dropping-particle" : "", "family" : "Rokeach", "given" : "M", "non-dropping-particle" : "", "parse-names" : false, "suffix" : "" } ], "container-title" : "Journal of Social Issues", "id" : "ITEM-6", "issue" : "I", "issued" : { "date-parts" : [ [ "1985" ] ] }, "page" : "153-171", "title" : "Inducing changes and stability in belief systems and personality structure", "type" : "article-journal", "volume" : "41" }, "uris" : [ "http://www.mendeley.com/documents/?uuid=05f120b1-e75b-4d79-bbbf-389f252e7aed" ] } ], "mendeley" : { "formattedCitation" : "(Bardi et al. 2009, 2014; Davis 1996; Lesthaeghe and Moors 2002; Rokeach 1985; Warwick 1998)", "plainTextFormattedCitation" : "(Bardi et al. 2009, 2014; Davis 1996; Lesthaeghe and Moors 2002; Rokeach 1985; Warwick 1998)", "previouslyFormattedCitation" : "(Bardi et al. 2009, 2014; Davis 1996; Lesthaeghe and Moors 2002; Rokeach 1985; Warwick 1998)" }, "properties" : { "noteIndex" : 0 }, "schema" : "https://github.com/citation-style-language/schema/raw/master/csl-citation.json" }</w:instrText>
      </w:r>
      <w:r w:rsidRPr="00C3671E">
        <w:fldChar w:fldCharType="separate"/>
      </w:r>
      <w:r w:rsidR="00A91559" w:rsidRPr="00C3671E">
        <w:rPr>
          <w:noProof/>
        </w:rPr>
        <w:t>(Bardi et al. 2009, 2014; Davis 1996; Lesthaeghe and Moors 2002; Rokeach 1985; Warwick 1998)</w:t>
      </w:r>
      <w:r w:rsidRPr="00C3671E">
        <w:fldChar w:fldCharType="end"/>
      </w:r>
      <w:r w:rsidRPr="00C3671E">
        <w:t xml:space="preserve">, while others doubt that there are some coherent value systems </w:t>
      </w:r>
      <w:r w:rsidRPr="00C3671E">
        <w:fldChar w:fldCharType="begin" w:fldLock="1"/>
      </w:r>
      <w:r w:rsidR="001257AA" w:rsidRPr="00C3671E">
        <w:instrText>ADDIN CSL_CITATION { "citationItems" : [ { "id" : "ITEM-1", "itemData" : { "DOI" : "10.1177/106591290005300301", "ISBN" : "1065912900", "ISSN" : "10659129", "abstract" : "Inglehart's postmaterialism thesis is a theory of individual value change, yet tests of the postmaterialism thesis have occurred primarily on the macro level. Relatively little attention has been devoted to whether the anticipated changes toward a more economically secure, tolerant, participatory, environmentally conscious, and egalitarian culture are manifested in the values of individuals in society. This research explores the extent to which support for postmaterialist values is relevant and meaningful on the micro-level. This analysis questions what the postmaterialist-materialist index measures, as individual level evidence does not support many of Inglehart's macro-level claims. Though the postmaterialist-materialist classification shows somewhat distinct attitudes on issues of egalitarianism, political ideology, partisanship, and political efficacy, postmaterialists and materialists do not possess any meaningful attitudinal distinctions on political tolerance and civil liberties, racial attitudes, environmentalism, political knowledge, political interest, and political involvement. These findings contradict many of Inglehart's macro-level assertions.", "author" : [ { "dropping-particle" : "", "family" : "Davis", "given" : "Darren W.", "non-dropping-particle" : "", "parse-names" : false, "suffix" : "" } ], "container-title" : "Political Research Quarterly", "id" : "ITEM-1", "issue" : "3", "issued" : { "date-parts" : [ [ "2000" ] ] }, "page" : "455-475", "title" : "Individual level examination of postmaterialism in the U.S.: Political tolerance, racial attitudes, environmentalism, and participatory norms", "type" : "article-journal", "volume" : "53" }, "uris" : [ "http://www.mendeley.com/documents/?uuid=602ce8d9-69ae-4149-8ff9-296b4a79152b" ] }, { "id" : "ITEM-2", "itemData" : { "DOI" : "10.1111/j.0304-4130.2004.00174.x", "ISBN" : "1475-6765", "ISSN" : "03044130", "abstract" : "Abstract.\u2002 Values have long played a major role both in the analysis of political culture and as an explanatory concept relating to human attitudes and action: in fact, their scientific significance depends crucially on their explanatory function. After more than three decades of debate about the rise of postmaterialism and Inglehart's particular value measure, this rationale appears at times to be lost. This article examines the crucial issue of value's potential to explain political phenomena. How much can the postmaterialism-materialism instrument explain? Are there alternative operationalisations of values that have greater utility? The empirical analysis, based upon a representative survey conducted in Germany in 1992, leads to the surprisingly unambiguous result that among different value measures, Inglehart's variant explains the least.", "author" : [ { "dropping-particle" : "", "family" : "Rossteutscher", "given" : "Sigrid", "non-dropping-particle" : "", "parse-names" : false, "suffix" : "" } ], "container-title" : "European Journal of Political Research", "id" : "ITEM-2", "issue" : "5", "issued" : { "date-parts" : [ [ "2004" ] ] }, "page" : "769-795", "title" : "Explaining politics: An empirical test of competing value measures", "type" : "article-journal", "volume" : "43" }, "uris" : [ "http://www.mendeley.com/documents/?uuid=93ec61f5-87ed-4bc2-ae37-9387c141d366" ] }, { "id" : "ITEM-3", "itemData" : { "DOI" : "10.1007/s11205-013-0241-y", "ISSN" : "03038300", "abstract" : "Inglehart applies a four item ranking scale to measure post-materialism\\nwhich is used for cross-cultural and cross-temporal comparative\\npurposes. The aim of this research is to test measurement invariance of\\nthe scale to establish to what extent the scale produces comparable\\nresults in time and between countries. We use Eurobarometer data to test\\nlongitudinal comparability for ten countries (France, Belgium, the\\nNetherlands, Italy, West-Germany, Luxembourg, Denmark, Ireland, Great\\nBritain and North Ireland) over a period of 20 years (1976-1997). With\\nthe exception of Denmark the within-country longitudinal comparisons\\nindicate that measurement invariance is a tenable assumption. However,\\nthe findings of the cross-cultural analyses indicate that the meaning\\nassigned to the four items differs slightly between countries,\\nindicating a lack of comparability of the average level of\\npost-materialism between countries. Findings also suggest that a lack of\\nunidimensionality of the scale might cause this incomparability.", "author" : [ { "dropping-particle" : "", "family" : "Ippel", "given" : "Lianne", "non-dropping-particle" : "", "parse-names" : false, "suffix" : "" }, { "dropping-particle" : "", "family" : "Gelissen", "given" : "John P.T.M.", "non-dropping-particle" : "", "parse-names" : false, "suffix" : "" }, { "dropping-particle" : "", "family" : "Moors", "given" : "Guy B.D.", "non-dropping-particle" : "", "parse-names" : false, "suffix" : "" } ], "container-title" : "Social Indicators Research", "id" : "ITEM-3", "issue" : "3", "issued" : { "date-parts" : [ [ "2014" ] ] }, "page" : "919-932", "title" : "Investigating Longitudinal and Cross Cultural Measurement Invariance of Inglehart's Short Post-materialism Scale", "type" : "article-journal", "volume" : "115" }, "uris" : [ "http://www.mendeley.com/documents/?uuid=acf79811-cd79-4be3-9d93-a36004fe7f51" ] } ], "mendeley" : { "formattedCitation" : "(Davis 2000; Ippel et al. 2014; Rossteutscher 2004)", "plainTextFormattedCitation" : "(Davis 2000; Ippel et al. 2014; Rossteutscher 2004)", "previouslyFormattedCitation" : "(Davis 2000; Ippel et al. 2014; Rossteutscher 2004)" }, "properties" : { "noteIndex" : 0 }, "schema" : "https://github.com/citation-style-language/schema/raw/master/csl-citation.json" }</w:instrText>
      </w:r>
      <w:r w:rsidRPr="00C3671E">
        <w:fldChar w:fldCharType="separate"/>
      </w:r>
      <w:r w:rsidR="00A91559" w:rsidRPr="00C3671E">
        <w:rPr>
          <w:noProof/>
        </w:rPr>
        <w:t>(Davis 2000; Ippel et al. 2014; Rossteutscher 2004)</w:t>
      </w:r>
      <w:r w:rsidRPr="00C3671E">
        <w:fldChar w:fldCharType="end"/>
      </w:r>
      <w:r w:rsidRPr="00C3671E">
        <w:t xml:space="preserve"> – see </w:t>
      </w:r>
      <w:r w:rsidRPr="00C3671E">
        <w:fldChar w:fldCharType="begin" w:fldLock="1"/>
      </w:r>
      <w:r w:rsidR="00AA6335" w:rsidRPr="00C3671E">
        <w:instrText>ADDIN CSL_CITATION { "citationItems" : [ { "id" : "ITEM-1", "itemData" : { "DOI" : "10.1016/j.breastdis.2014.01.018", "ISBN" : "9780786496426", "abstract" : "The UC Irvine survey contained 99 questions including several open-ended questions for respondents to provide commentary. The survey was offered in English and Spanish and distributed from January 14, 2013 through February 22, 2013 through a secure on-line portal. ii Confidential paper surveys were available to those who did not have access to an Internet-connected computer or preferred a paper survey. Description of the Sample at UC Irvine UC Irvine community members completed 10,679 surveys for an overall response rate of 25%. Response rates by constituent group varied: 18% for Undergraduate Students (n = 4,029), 24% for Graduate/Professional Students (n =1,268), 25% for Post-Docs/Trainees (n = 250), 29% for Union Staff (n =1,677), 35% for Faculty (n = 796), 63% for Non-Union Staff (n = 2,423), and 31% for Other Academic Series (n = 236). iii Table 1 provides a summary of selected demographic characteristics of survey respondents. The percentages offered in Table 1 are based on the numbers of respondents in the sample (n) for the specific demographic characteristic. iii Only surveys that were at least 50% completed were included in the final data set for analyses. 1. High levels of comfort with the climate at UC Irvine: \u2022 80% of all respondents were \" comfortable \" or \" very comfortable \" with the climate at UCI (n = 8,479) while 6% were \" uncomfortable \" or \" very uncomfortable \" (n = 645). \u2022 75% of all respondents were \" comfortable \" or \" very comfortable \" with the climate for diversity in their department/work unit/academic unit/ college/school/clinical setting (n = 8,040) while 10% were \" uncomfortable \" or \" very uncomfortable \" (n = 1,034). \u2022 74% of Undergraduate Students (n = 2,963), 77% of Graduate/Professional Students (n = 973), and 60% of Faculty and Post-Docs (n = 625) were \" comfortable \" or \" very comfortable \" with the climate in their classes, while 6% of Undergraduates (n =240), 4% of Graduate/Professional Students (n =55), and 3% of Faculty/Post-Docs (n =20) were \" uncomfortable \" or \" very uncomfortable. \"", "author" : [ { "dropping-particle" : "", "family" : "Abramson", "given" : "Paul R", "non-dropping-particle" : "", "parse-names" : false, "suffix" : "" } ], "collection-title" : "CSD Working Papers", "id" : "ITEM-1", "issued" : { "date-parts" : [ [ "2011" ] ] }, "number-of-pages" : "34-39", "publisher-place" : "Irvine", "title" : "Critiques and Counter-Critiques of the Postmaterialism Thesis: Thirty-four Years of Debate", "type" : "report" }, "uris" : [ "http://www.mendeley.com/documents/?uuid=fea0358f-22b7-42eb-8557-785203064431" ] } ], "mendeley" : { "formattedCitation" : "(Abramson 2011)", "manualFormatting" : "Abramson (2011)", "plainTextFormattedCitation" : "(Abramson 2011)", "previouslyFormattedCitation" : "(Abramson 2011)" }, "properties" : { "noteIndex" : 0 }, "schema" : "https://github.com/citation-style-language/schema/raw/master/csl-citation.json" }</w:instrText>
      </w:r>
      <w:r w:rsidRPr="00C3671E">
        <w:fldChar w:fldCharType="separate"/>
      </w:r>
      <w:r w:rsidRPr="00C3671E">
        <w:rPr>
          <w:noProof/>
        </w:rPr>
        <w:t>Abramson (2011)</w:t>
      </w:r>
      <w:r w:rsidRPr="00C3671E">
        <w:fldChar w:fldCharType="end"/>
      </w:r>
      <w:r w:rsidRPr="00C3671E">
        <w:t xml:space="preserve"> for overview of the critique. Nevertheless, many researchers find the theory valid and invest substantial energy in its application and development </w:t>
      </w:r>
      <w:r w:rsidRPr="00C3671E">
        <w:fldChar w:fldCharType="begin" w:fldLock="1"/>
      </w:r>
      <w:r w:rsidR="001257AA" w:rsidRPr="00C3671E">
        <w:instrText>ADDIN CSL_CITATION { "citationItems" : [ { "id" : "ITEM-1", "itemData" : { "DOI" : "10.1016/j.breastdis.2014.01.018", "ISBN" : "9780786496426", "abstract" : "The UC Irvine survey contained 99 questions including several open-ended questions for respondents to provide commentary. The survey was offered in English and Spanish and distributed from January 14, 2013 through February 22, 2013 through a secure on-line portal. ii Confidential paper surveys were available to those who did not have access to an Internet-connected computer or preferred a paper survey. Description of the Sample at UC Irvine UC Irvine community members completed 10,679 surveys for an overall response rate of 25%. Response rates by constituent group varied: 18% for Undergraduate Students (n = 4,029), 24% for Graduate/Professional Students (n =1,268), 25% for Post-Docs/Trainees (n = 250), 29% for Union Staff (n =1,677), 35% for Faculty (n = 796), 63% for Non-Union Staff (n = 2,423), and 31% for Other Academic Series (n = 236). iii Table 1 provides a summary of selected demographic characteristics of survey respondents. The percentages offered in Table 1 are based on the numbers of respondents in the sample (n) for the specific demographic characteristic. iii Only surveys that were at least 50% completed were included in the final data set for analyses. 1. High levels of comfort with the climate at UC Irvine: \u2022 80% of all respondents were \" comfortable \" or \" very comfortable \" with the climate at UCI (n = 8,479) while 6% were \" uncomfortable \" or \" very uncomfortable \" (n = 645). \u2022 75% of all respondents were \" comfortable \" or \" very comfortable \" with the climate for diversity in their department/work unit/academic unit/ college/school/clinical setting (n = 8,040) while 10% were \" uncomfortable \" or \" very uncomfortable \" (n = 1,034). \u2022 74% of Undergraduate Students (n = 2,963), 77% of Graduate/Professional Students (n = 973), and 60% of Faculty and Post-Docs (n = 625) were \" comfortable \" or \" very comfortable \" with the climate in their classes, while 6% of Undergraduates (n =240), 4% of Graduate/Professional Students (n =55), and 3% of Faculty/Post-Docs (n =20) were \" uncomfortable \" or \" very uncomfortable. \"", "author" : [ { "dropping-particle" : "", "family" : "Abramson", "given" : "Paul R", "non-dropping-particle" : "", "parse-names" : false, "suffix" : "" } ], "collection-title" : "CSD Working Papers", "id" : "ITEM-1", "issued" : { "date-parts" : [ [ "2011" ] ] }, "number-of-pages" : "34-39", "publisher-place" : "Irvine", "title" : "Critiques and Counter-Critiques of the Postmaterialism Thesis: Thirty-four Years of Debate", "type" : "report" }, "uris" : [ "http://www.mendeley.com/documents/?uuid=fea0358f-22b7-42eb-8557-785203064431" ] }, { "id" : "ITEM-2", "itemData" : { "DOI" : "10.1348/096317909X480167", "ISBN" : "0963-1798", "ISSN" : "09631798", "abstract" : "Can valuing money and material possessions lead to conflict between work and family? In this paper, we build on Carlson and Kacmar's call for more research on personal values in the context of the work-family interface. In a field study, we examined the relationship between materialism and two components of work-family conflict: work interference with family (WIF) and family interference with work (FIW). Results supported our main hypotheses that materialism is associated with both forms of work-family conflict. Further, work overload mediated the relationship between materialism and WIF, while FIW moderated the association between materialism and work overload, thus supporting a model of mediated moderation. By linking materialism to work-family conflict, this study adds to the growing evidence of the deleterious effects of holding materialistic values.", "author" : [ { "dropping-particle" : "", "family" : "Promislo", "given" : "Mark D.", "non-dropping-particle" : "", "parse-names" : false, "suffix" : "" }, { "dropping-particle" : "", "family" : "Deckop", "given" : "John R.", "non-dropping-particle" : "", "parse-names" : false, "suffix" : "" }, { "dropping-particle" : "", "family" : "Giacalone", "given" : "Robert A.", "non-dropping-particle" : "", "parse-names" : false, "suffix" : "" }, { "dropping-particle" : "", "family" : "Jurkiewicz", "given" : "Carole L.", "non-dropping-particle" : "", "parse-names" : false, "suffix" : "" } ], "container-title" : "Journal of Occupational and Organizational Psychology", "id" : "ITEM-2", "issue" : "4", "issued" : { "date-parts" : [ [ "2010" ] ] }, "page" : "935-953", "title" : "Valuing money more than people: The effects of materialism on work-family conflict", "type" : "article-journal", "volume" : "83" }, "uris" : [ "http://www.mendeley.com/documents/?uuid=838fa85d-2a50-44a0-a37f-d7a487e68232" ] }, { "id" : "ITEM-3", "itemData" : { "author" : [ { "dropping-particle" : "", "family" : "Bas\u00e1\u00f1ez", "given" : "Miguel", "non-dropping-particle" : "", "parse-names" : false, "suffix" : "" } ], "id" : "ITEM-3", "issued" : { "date-parts" : [ [ "2015" ] ] }, "publisher" : "Oxford University Press", "publisher-place" : "New York", "title" : "A World of Three Cultures: Honor, Achievement and Joy", "type" : "book" }, "uris" : [ "http://www.mendeley.com/documents/?uuid=db93a67c-1832-4e4f-bb66-7524e45ac915" ] }, { "id" : "ITEM-4", "itemData" : { "DOI" : "10.1080/01490400802165032", "ISSN" : "01490400", "abstract" : "This article reports exploratory research about tendencies toward postmaterialism in university students. This paper used the theoretical framework proposed by Inglehart regarding three categories of leisure: postmaterialist, materialist and common. Students from a Spanish university (N = 1036) completed questionnaires that evaluated their materialist-postmaterialist values, how often they practiced the activities included in each category of leisure and the motivational factors involved in them. The results revealed that university students showed a tendency toward postmaterialism. Further, relationships were found between materialist-postmaterialist values and categories of leisure. This study results suggested that the tendency toward postmaterialist values may be a factor in structuring the leisure patterns of young Spanish university students.", "author" : [ { "dropping-particle" : "", "family" : "Aguila", "given" : "Cornelio", "non-dropping-particle" : "", "parse-names" : false, "suffix" : "" }, { "dropping-particle" : "", "family" : "Sicilia-Camacho", "given" : "Alvaro", "non-dropping-particle" : "", "parse-names" : false, "suffix" : "" }, { "dropping-particle" : "", "family" : "Rojas Tejada", "given" : "Antonio", "non-dropping-particle" : "", "parse-names" : false, "suffix" : "" }, { "dropping-particle" : "", "family" : "Delgado-Noguera", "given" : "Miguel", "non-dropping-particle" : "", "parse-names" : false, "suffix" : "" }, { "dropping-particle" : "", "family" : "Gard", "given" : "Michael", "non-dropping-particle" : "", "parse-names" : false, "suffix" : "" } ], "container-title" : "Leisure Sciences", "id" : "ITEM-4", "issue" : "4", "issued" : { "date-parts" : [ [ "2008" ] ] }, "page" : "275-292", "title" : "Postmodern values and leisure in young Spanish university students: An exploratory study", "type" : "article-journal", "volume" : "30" }, "uris" : [ "http://www.mendeley.com/documents/?uuid=8e6b157c-fce5-4b2f-b7f8-71c3b5533f3a" ] } ], "mendeley" : { "formattedCitation" : "(Abramson 2011; Aguila et al. 2008; Bas\u00e1\u00f1ez 2015; Promislo et al. 2010)", "plainTextFormattedCitation" : "(Abramson 2011; Aguila et al. 2008; Bas\u00e1\u00f1ez 2015; Promislo et al. 2010)", "previouslyFormattedCitation" : "(Abramson 2011; Aguila et al. 2008; Bas\u00e1\u00f1ez 2015; Promislo et al. 2010)" }, "properties" : { "noteIndex" : 0 }, "schema" : "https://github.com/citation-style-language/schema/raw/master/csl-citation.json" }</w:instrText>
      </w:r>
      <w:r w:rsidRPr="00C3671E">
        <w:fldChar w:fldCharType="separate"/>
      </w:r>
      <w:r w:rsidR="00A91559" w:rsidRPr="00C3671E">
        <w:rPr>
          <w:noProof/>
        </w:rPr>
        <w:t>(Abramson 2011; Aguila et al. 2008; Basáñez 2015; Promislo et al. 2010)</w:t>
      </w:r>
      <w:r w:rsidRPr="00C3671E">
        <w:fldChar w:fldCharType="end"/>
      </w:r>
      <w:r w:rsidRPr="00C3671E">
        <w:t xml:space="preserve">. </w:t>
      </w:r>
      <w:r w:rsidRPr="00C3671E">
        <w:lastRenderedPageBreak/>
        <w:t xml:space="preserve">Furthermore, the theory of value change is compatible to other theories of modernization and post-modernization processes, such as the theory of SDT, development towards post-industrial societies </w:t>
      </w:r>
      <w:r w:rsidRPr="00C3671E">
        <w:fldChar w:fldCharType="begin" w:fldLock="1"/>
      </w:r>
      <w:r w:rsidRPr="00C3671E">
        <w:instrText>ADDIN CSL_CITATION { "citationItems" : [ { "id" : "ITEM-1", "itemData" : { "author" : [ { "dropping-particle" : "", "family" : "Bell", "given" : "Daniel", "non-dropping-particle" : "", "parse-names" : false, "suffix" : "" } ], "id" : "ITEM-1", "issued" : { "date-parts" : [ [ "1973" ] ] }, "publisher" : "Basic Books", "publisher-place" : "New York", "title" : "The Coming of Post-Industrial Society", "type" : "book" }, "uris" : [ "http://www.mendeley.com/documents/?uuid=897b60e7-e834-45ca-a87a-c35a7fd2911a" ] } ], "mendeley" : { "formattedCitation" : "(Bell 1973)", "plainTextFormattedCitation" : "(Bell 1973)", "previouslyFormattedCitation" : "(Bell 1973)" }, "properties" : { "noteIndex" : 0 }, "schema" : "https://github.com/citation-style-language/schema/raw/master/csl-citation.json" }</w:instrText>
      </w:r>
      <w:r w:rsidRPr="00C3671E">
        <w:fldChar w:fldCharType="separate"/>
      </w:r>
      <w:r w:rsidRPr="00C3671E">
        <w:rPr>
          <w:noProof/>
        </w:rPr>
        <w:t>(Bell 1973)</w:t>
      </w:r>
      <w:r w:rsidRPr="00C3671E">
        <w:fldChar w:fldCharType="end"/>
      </w:r>
      <w:r w:rsidRPr="00C3671E">
        <w:t xml:space="preserve"> based on liquid identities </w:t>
      </w:r>
      <w:r w:rsidRPr="00C3671E">
        <w:fldChar w:fldCharType="begin" w:fldLock="1"/>
      </w:r>
      <w:r w:rsidR="001257AA" w:rsidRPr="00C3671E">
        <w:instrText>ADDIN CSL_CITATION { "citationItems" : [ { "id" : "ITEM-1", "itemData" : { "DOI" : "10.2307/3089803", "ISBN" : "074562409X", "ISSN" : "00943061", "PMID" : "13574638", "author" : [ { "dropping-particle" : "", "family" : "Bauman", "given" : "Zygmunt", "non-dropping-particle" : "", "parse-names" : false, "suffix" : "" } ], "id" : "ITEM-1", "issued" : { "date-parts" : [ [ "2006" ] ] }, "publisher" : "Polity Press", "publisher-place" : "Cambridge", "title" : "Liquid Modernity", "type" : "book" }, "uris" : [ "http://www.mendeley.com/documents/?uuid=808b040c-f579-442a-bb0a-38088be049e5" ] } ], "mendeley" : { "formattedCitation" : "(Bauman 2006)", "plainTextFormattedCitation" : "(Bauman 2006)", "previouslyFormattedCitation" : "(Bauman 2006)" }, "properties" : { "noteIndex" : 0 }, "schema" : "https://github.com/citation-style-language/schema/raw/master/csl-citation.json" }</w:instrText>
      </w:r>
      <w:r w:rsidRPr="00C3671E">
        <w:fldChar w:fldCharType="separate"/>
      </w:r>
      <w:r w:rsidRPr="00C3671E">
        <w:rPr>
          <w:noProof/>
        </w:rPr>
        <w:t>(Bauman 2006)</w:t>
      </w:r>
      <w:r w:rsidRPr="00C3671E">
        <w:fldChar w:fldCharType="end"/>
      </w:r>
      <w:r w:rsidRPr="00C3671E">
        <w:t xml:space="preserve"> and intimate relationships </w:t>
      </w:r>
      <w:r w:rsidRPr="00C3671E">
        <w:fldChar w:fldCharType="begin" w:fldLock="1"/>
      </w:r>
      <w:r w:rsidRPr="00C3671E">
        <w:instrText>ADDIN CSL_CITATION { "citationItems" : [ { "id" : "ITEM-1", "itemData" : { "author" : [ { "dropping-particle" : "", "family" : "Giddens", "given" : "Anthony", "non-dropping-particle" : "", "parse-names" : false, "suffix" : "" } ], "id" : "ITEM-1", "issued" : { "date-parts" : [ [ "1997" ] ] }, "number-of-pages" : "212", "publisher" : "Polity Press", "publisher-place" : "Cambridge", "title" : "The transformation of intimacy: sexuality, love and eroticism in modern societies", "type" : "book" }, "uris" : [ "http://www.mendeley.com/documents/?uuid=46612a86-7e98-4cd8-90e3-48024de3db46" ] } ], "mendeley" : { "formattedCitation" : "(Giddens 1997)", "plainTextFormattedCitation" : "(Giddens 1997)", "previouslyFormattedCitation" : "(Giddens 1997)" }, "properties" : { "noteIndex" : 0 }, "schema" : "https://github.com/citation-style-language/schema/raw/master/csl-citation.json" }</w:instrText>
      </w:r>
      <w:r w:rsidRPr="00C3671E">
        <w:fldChar w:fldCharType="separate"/>
      </w:r>
      <w:r w:rsidRPr="00C3671E">
        <w:rPr>
          <w:noProof/>
        </w:rPr>
        <w:t>(Giddens 1997)</w:t>
      </w:r>
      <w:r w:rsidRPr="00C3671E">
        <w:fldChar w:fldCharType="end"/>
      </w:r>
      <w:r w:rsidRPr="00C3671E">
        <w:t xml:space="preserve"> that can be diagnosed as narcissistic societies </w:t>
      </w:r>
      <w:r w:rsidRPr="00C3671E">
        <w:fldChar w:fldCharType="begin" w:fldLock="1"/>
      </w:r>
      <w:r w:rsidRPr="00C3671E">
        <w:instrText>ADDIN CSL_CITATION { "citationItems" : [ { "id" : "ITEM-1", "itemData" : { "author" : [ { "dropping-particle" : "", "family" : "Lasch", "given" : "Christopher", "non-dropping-particle" : "", "parse-names" : false, "suffix" : "" } ], "id" : "ITEM-1", "issued" : { "date-parts" : [ [ "1991" ] ] }, "number-of-pages" : "282", "publisher" : "W. W. Norton &amp; Company", "publisher-place" : "New York", "title" : "The Culture of Narcissism: American Life in an Age of Diminishing Expectations", "type" : "book" }, "uris" : [ "http://www.mendeley.com/documents/?uuid=e0eeb042-9896-49cf-9759-b094cd5a1af6" ] } ], "mendeley" : { "formattedCitation" : "(Lasch 1991)", "plainTextFormattedCitation" : "(Lasch 1991)", "previouslyFormattedCitation" : "(Lasch 1991)" }, "properties" : { "noteIndex" : 0 }, "schema" : "https://github.com/citation-style-language/schema/raw/master/csl-citation.json" }</w:instrText>
      </w:r>
      <w:r w:rsidRPr="00C3671E">
        <w:fldChar w:fldCharType="separate"/>
      </w:r>
      <w:r w:rsidRPr="00C3671E">
        <w:rPr>
          <w:noProof/>
        </w:rPr>
        <w:t>(Lasch 1991)</w:t>
      </w:r>
      <w:r w:rsidRPr="00C3671E">
        <w:fldChar w:fldCharType="end"/>
      </w:r>
      <w:r w:rsidRPr="00C3671E">
        <w:t>. Finally, the theory of change towards postmaterialist value orientations provide a useful framework for this dissertation.</w:t>
      </w:r>
    </w:p>
    <w:p w14:paraId="6A571ABA" w14:textId="77777777" w:rsidR="00676326" w:rsidRPr="00C3671E" w:rsidRDefault="00676326" w:rsidP="00676326">
      <w:pPr>
        <w:pStyle w:val="Newparagraph"/>
        <w:jc w:val="both"/>
      </w:pPr>
      <w:r w:rsidRPr="00C3671E">
        <w:t xml:space="preserve">The assumption that formative conditions shape values, perceptions of reality, and behaviour has important implications for the active ageing approach. If differences in life experience influence lifestyle, life aspirations and types of adaptation to a deprivation of some needs </w:t>
      </w:r>
      <w:r w:rsidRPr="00C3671E">
        <w:fldChar w:fldCharType="begin" w:fldLock="1"/>
      </w:r>
      <w:r w:rsidRPr="00C3671E">
        <w:instrText>ADDIN CSL_CITATION { "citationItems" : [ { "id" : "ITEM-1", "itemData" : { "author" : [ { "dropping-particle" : "", "family" : "Inglehart", "given" : "Ronald", "non-dropping-particle" : "", "parse-names" : false, "suffix" : "" } ], "id" : "ITEM-1", "issued" : { "date-parts" : [ [ "1997" ] ] }, "publisher" : "Princeton University Press", "publisher-place" : "Princeton", "title" : "Modernization and postmodernization: Cultural, economic, and political change in 43 societies", "type" : "book" }, "uris" : [ "http://www.mendeley.com/documents/?uuid=d9d09854-470b-4e95-9b3e-bf59c6eb759b" ] }, { "id" : "ITEM-2", "itemData" : { "author" : [ { "dropping-particle" : "", "family" : "Inglehart", "given" : "Ronald", "non-dropping-particle" : "", "parse-names" : false, "suffix" : "" } ], "id" : "ITEM-2", "issued" : { "date-parts" : [ [ "1990" ] ] }, "publisher" : "Princeton University Press", "publisher-place" : "Princeton", "title" : "Culture Shift in Advanced Industrial Society", "type" : "book" }, "uris" : [ "http://www.mendeley.com/documents/?uuid=25dc8f63-d26d-432e-8cdc-a1a2c72d612c" ] }, { "id" : "ITEM-3", "itemData" : { "author" : [ { "dropping-particle" : "", "family" : "Inglehart", "given" : "Ronald F.", "non-dropping-particle" : "", "parse-names" : false, "suffix" : "" } ], "chapter-number" : "12", "container-title" : "International Differences in Well-Being", "editor" : [ { "dropping-particle" : "", "family" : "Diener", "given" : "Ed", "non-dropping-particle" : "", "parse-names" : false, "suffix" : "" }, { "dropping-particle" : "", "family" : "Helliwell", "given" : "John F", "non-dropping-particle" : "", "parse-names" : false, "suffix" : "" }, { "dropping-particle" : "", "family" : "Kahneman", "given" : "Daniel", "non-dropping-particle" : "", "parse-names" : false, "suffix" : "" } ], "id" : "ITEM-3", "issued" : { "date-parts" : [ [ "2010" ] ] }, "page" : "351-397", "publisher" : "Oxford University Press", "publisher-place" : "New York", "title" : "Faith and Freedom: Traditional and Modern Ways", "type" : "chapter" }, "uris" : [ "http://www.mendeley.com/documents/?uuid=e0520317-a2b5-490c-b12a-67d2d8d10e24" ] } ], "mendeley" : { "formattedCitation" : "(Inglehart 1990, 1997, 2010)", "plainTextFormattedCitation" : "(Inglehart 1990, 1997, 2010)", "previouslyFormattedCitation" : "(Inglehart 1990, 1997, 2010)" }, "properties" : { "noteIndex" : 0 }, "schema" : "https://github.com/citation-style-language/schema/raw/master/csl-citation.json" }</w:instrText>
      </w:r>
      <w:r w:rsidRPr="00C3671E">
        <w:fldChar w:fldCharType="separate"/>
      </w:r>
      <w:r w:rsidRPr="00C3671E">
        <w:rPr>
          <w:noProof/>
        </w:rPr>
        <w:t>(</w:t>
      </w:r>
      <w:r w:rsidRPr="00C3671E">
        <w:rPr>
          <w:noProof/>
          <w:lang w:eastAsia="zh-CN"/>
        </w:rPr>
        <w:t>Inglehart</w:t>
      </w:r>
      <w:r w:rsidRPr="00C3671E">
        <w:rPr>
          <w:noProof/>
        </w:rPr>
        <w:t xml:space="preserve"> 1990, 1997, 2010)</w:t>
      </w:r>
      <w:r w:rsidRPr="00C3671E">
        <w:fldChar w:fldCharType="end"/>
      </w:r>
      <w:r w:rsidRPr="00C3671E">
        <w:t xml:space="preserve">, the uniform approach in social policy across countries and generation cannot be fully successful. As </w:t>
      </w:r>
      <w:r w:rsidRPr="00C3671E">
        <w:fldChar w:fldCharType="begin" w:fldLock="1"/>
      </w:r>
      <w:r w:rsidRPr="00C3671E">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"mendeley" : { "formattedCitation" : "(Timonen 2016)", "manualFormatting" : "Timonen (2016)", "plainTextFormattedCitation" : "(Timonen 2016)", "previouslyFormattedCitation" : "(Timonen 2016)" }, "properties" : { "noteIndex" : 0 }, "schema" : "https://github.com/citation-style-language/schema/raw/master/csl-citation.json" }</w:instrText>
      </w:r>
      <w:r w:rsidRPr="00C3671E">
        <w:fldChar w:fldCharType="separate"/>
      </w:r>
      <w:r w:rsidRPr="00C3671E">
        <w:rPr>
          <w:noProof/>
        </w:rPr>
        <w:t>Timonen (2016)</w:t>
      </w:r>
      <w:r w:rsidRPr="00C3671E">
        <w:fldChar w:fldCharType="end"/>
      </w:r>
      <w:r w:rsidRPr="00C3671E">
        <w:t xml:space="preserve"> states, active ageing was formulated by a privileged group of actors, which are younger, wealthier, and more educated than the target group of the active ageing policy. Hence, it is possible to label them as more postmaterialist, with different formative experience, values, aspirations, living conditions, etc. Ultimately, the active ageing approach may be compatible only with the worldview of privileged groups that can much more profit from the policy approach produced by these groups themselves. The application of Inglehart’s work to active ageing approach thus leads to similar conclusions as works of </w:t>
      </w:r>
      <w:r w:rsidRPr="00C3671E">
        <w:fldChar w:fldCharType="begin" w:fldLock="1"/>
      </w:r>
      <w:r w:rsidRPr="00C3671E">
        <w:instrText>ADDIN CSL_CITATION { "citationItems" : [ { "id" : "ITEM-1", "itemData" : { "author" : [ { "dropping-particle" : "", "family" : "Bourdieu", "given" : "Pierre", "non-dropping-particle" : "", "parse-names" : false, "suffix" : "" } ], "id" : "ITEM-1", "issued" : { "date-parts" : [ [ "1984" ] ] }, "publisher" : "Harvard University Press", "publisher-place" : "Cambridge", "title" : "Distinction: A Social Critique of the Judgement of Taste", "type" : "book" }, "uris" : [ "http://www.mendeley.com/documents/?uuid=1f223de9-cba1-40f3-aeca-c7ca486b4457" ] } ], "mendeley" : { "formattedCitation" : "(Bourdieu 1984)", "manualFormatting" : "Bourdieu (1984)", "plainTextFormattedCitation" : "(Bourdieu 1984)", "previouslyFormattedCitation" : "(Bourdieu 1984)" }, "properties" : { "noteIndex" : 0 }, "schema" : "https://github.com/citation-style-language/schema/raw/master/csl-citation.json" }</w:instrText>
      </w:r>
      <w:r w:rsidRPr="00C3671E">
        <w:fldChar w:fldCharType="separate"/>
      </w:r>
      <w:r w:rsidRPr="00C3671E">
        <w:rPr>
          <w:noProof/>
        </w:rPr>
        <w:t>Bourdieu (1984)</w:t>
      </w:r>
      <w:r w:rsidRPr="00C3671E">
        <w:fldChar w:fldCharType="end"/>
      </w:r>
      <w:r w:rsidRPr="00C3671E">
        <w:t xml:space="preserve"> or </w:t>
      </w:r>
      <w:r w:rsidRPr="00C3671E">
        <w:fldChar w:fldCharType="begin" w:fldLock="1"/>
      </w:r>
      <w:r w:rsidRPr="00C3671E">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"mendeley" : { "formattedCitation" : "(Timonen 2016)", "manualFormatting" : "Timonen (2016)", "plainTextFormattedCitation" : "(Timonen 2016)", "previouslyFormattedCitation" : "(Timonen 2016)" }, "properties" : { "noteIndex" : 0 }, "schema" : "https://github.com/citation-style-language/schema/raw/master/csl-citation.json" }</w:instrText>
      </w:r>
      <w:r w:rsidRPr="00C3671E">
        <w:fldChar w:fldCharType="separate"/>
      </w:r>
      <w:r w:rsidRPr="00C3671E">
        <w:rPr>
          <w:noProof/>
        </w:rPr>
        <w:t>Timonen (2016)</w:t>
      </w:r>
      <w:r w:rsidRPr="00C3671E">
        <w:fldChar w:fldCharType="end"/>
      </w:r>
      <w:r w:rsidRPr="00C3671E">
        <w:t>.</w:t>
      </w:r>
    </w:p>
    <w:p w14:paraId="2AA9444A" w14:textId="39F328B3" w:rsidR="00676326" w:rsidRPr="00C3671E" w:rsidRDefault="00676326" w:rsidP="00676326">
      <w:pPr>
        <w:pStyle w:val="Newparagraph"/>
        <w:jc w:val="both"/>
      </w:pPr>
      <w:r w:rsidRPr="00C3671E">
        <w:t xml:space="preserve">Is active ageing a postmaterialist approach? Three points support this claim, though the third one only partially. First, active ageing is formulated in a gender-neutral way – neither supported </w:t>
      </w:r>
      <w:r w:rsidRPr="00C3671E">
        <w:rPr>
          <w:lang w:eastAsia="zh-CN"/>
        </w:rPr>
        <w:t>activities</w:t>
      </w:r>
      <w:r w:rsidRPr="00C3671E">
        <w:t xml:space="preserve"> nor their outcomes are expected to differ between sexes </w:t>
      </w:r>
      <w:r w:rsidRPr="00C3671E">
        <w:fldChar w:fldCharType="begin" w:fldLock="1"/>
      </w:r>
      <w:r w:rsidRPr="00C3671E">
        <w:instrText>ADDIN CSL_CITATION { "citationItems" : [ { "id" : "ITEM-1", "itemData" : { "DOI" : "10.1007/s10433-013-0261-0", "ISBN" : "1613-9372", "ISSN" : "16139372", "abstract" : "Increasing longevity in Europe should be a cause for celebration. However, demographic ageing creates challenges. Over the last 10 years the leading policy response to these challenges has been \"active ageing\". Despite much positive political rhetoric, it is evident that there is considerable uncertainty about what this means in practice. Also it often serves as a convenient term for a range of policies which affect men and women differently. This article argues that an active ageing strategy can provide a basis for countries to respond to the challenges presented by an ageing population. However, this strategy must reflect the need for a partnership between citizens and society and be comprehensive, noncoercive, and inclusive in its approach. In particular, it needs to acknowledge the gendered nature of ageing and previous life course events and emphasise well-being rather than just the production of resources and services. Finally, it contends that the designation of 2012 as the European year of active ageing provided the context for a renewed focus on active ageing policy in the European Union, an opportunity which should be embraced urgently. \u00a9 2013 Springer-Verlag Berlin Heidelberg.", "author" : [ { "dropping-particle" : "", "family" : "Foster", "given" : "Liam", "non-dropping-particle" : "", "parse-names" : false, "suffix" : "" }, { "dropping-particle" : "", "family" : "Walker", "given" : "Alan", "non-dropping-particle" : "", "parse-names" : false, "suffix" : "" } ], "container-title" : "European Journal of Ageing", "id" : "ITEM-1", "issue" : "1", "issued" : { "date-parts" : [ [ "2013" ] ] }, "page" : "3-10", "title" : "Gender and active ageing in Europe", "type" : "article-journal", "volume" : "10" }, "uris" : [ "http://www.mendeley.com/documents/?uuid=4c76f670-8038-40e2-93e2-8de9b32b4cc6" ] }, { "id" : "ITEM-2", "itemData" : { "DOI" : "10.1093/geront/gnu028", "ISBN" : "0016-9013", "ISSN" : "1758-5341", "PMID" : "24846882", "abstract" : "Over the past two decades, \"active aging\" has emerged in Europe as the foremost policy response to the challenges of population aging. This article examines the concept of active aging and how it differs from that of \"successful aging.\" In particular, it shows how active aging presents a more holistic, life course-oriented approach than successful aging. We provide a critical perspective on active aging too by, first, tracing its emergence in Europe and then showing how, in practice, it has been dominated by a narrow economic or productivist perspective that prioritizes the extension of working life. It has also been gender blind. Nonetheless, it is argued that an active aging approach has the potential to enable countries to respond successfully to the challenges of population aging because of its comprehensive focus and emphasis on societal as well as individual responsibility. Finally, we set out the basic principles that need to be followed if the full potential of active aging is to be achieved.", "author" : [ { "dropping-particle" : "", "family" : "Foster", "given" : "Liam", "non-dropping-particle" : "", "parse-names" : false, "suffix" : "" }, { "dropping-particle" : "", "family" : "Walker", "given" : "Alan", "non-dropping-particle" : "", "parse-names" : false, "suffix" : "" } ], "container-title" : "The Gerontologist", "id" : "ITEM-2", "issue" : "1", "issued" : { "date-parts" : [ [ "2015" ] ] }, "note" : "Foster, Walker 2014: Active and Successful Aging: A Euroepean Policy perspective\n\u201cactive aging\u201d has emerged in Europe as the foremost policy response to the challenges of population aging\nactive aging presents a more holistic, life course\u2013oriented approach than successful aging\ncritique of active aging perspective - emergence in Europe\n- dominated by a narrow economic perspective\n- gender blind\nall together, this approach has the potential to respond successfully to the challenges of population aging because of its comprehensive focus and emphasis on societal as well as individual responsibility\nAA should enable to create own forms of activity, instead of focusing on a predetermined, limited number of domains, usually developed from an \u2018expert\u2019 perspective\u201d (Boudiny &amp;amp; Mortelmans, 2011, p. 12)\nThere is also a danger that the \u201chealth and well-being\u201d narrative retreats to become the preserve of a \u201cfourth age\u201d charac- terized by biological decline and consumption of welfare resources\nstructural and economic barriers to active aging must be addressed for a comprehensive approach\n\u2192\nInternational and European policy on work and retirement: Reinventing critical perspectives\nA critical perspective: Towards a broader understanding of \u2018active ageing\u2019\nNarratives of (in)active age- ing in poor deprived areas of Liverpool", "page" : "83-90", "title" : "Active and Successful Aging: A European Policy Perspective", "type" : "article-journal", "volume" : "55" }, "uris" : [ "http://www.mendeley.com/documents/?uuid=6ef8c660-30ca-4a4a-80c6-6c24c5f5b99d" ] } ], "mendeley" : { "formattedCitation" : "(Foster and Walker 2013, 2015)", "plainTextFormattedCitation" : "(Foster and Walker 2013, 2015)", "previouslyFormattedCitation" : "(Foster and Walker 2013, 2015)" }, "properties" : { "noteIndex" : 0 }, "schema" : "https://github.com/citation-style-language/schema/raw/master/csl-citation.json" }</w:instrText>
      </w:r>
      <w:r w:rsidRPr="00C3671E">
        <w:fldChar w:fldCharType="separate"/>
      </w:r>
      <w:r w:rsidRPr="00C3671E">
        <w:rPr>
          <w:noProof/>
        </w:rPr>
        <w:t>(Foster and Walker 2013, 2015)</w:t>
      </w:r>
      <w:r w:rsidRPr="00C3671E">
        <w:fldChar w:fldCharType="end"/>
      </w:r>
      <w:r w:rsidRPr="00C3671E">
        <w:t xml:space="preserve">. Similarly, shift from materialist to postmaterialist societies is also shift from strict traditional gender norms and behaviours towards gender equality, tolerance of deviations from traditional gender norms, and generally convergence of expectations placed on men and women </w:t>
      </w:r>
      <w:r w:rsidRPr="00C3671E">
        <w:lastRenderedPageBreak/>
        <w:t xml:space="preserve">in terms of roles, aspirations, and opportunities </w:t>
      </w:r>
      <w:r w:rsidRPr="00C3671E">
        <w:fldChar w:fldCharType="begin" w:fldLock="1"/>
      </w:r>
      <w:r w:rsidR="001257AA" w:rsidRPr="00C3671E">
        <w:instrText>ADDIN CSL_CITATION { "citationItems" : [ { "id" : "ITEM-1", "itemData" : { "author" : [ { "dropping-particle" : "", "family" : "Inglehart", "given" : "Ronald", "non-dropping-particle" : "", "parse-names" : false, "suffix" : "" } ], "id" : "ITEM-1", "issued" : { "date-parts" : [ [ "1997" ] ] }, "publisher" : "Princeton University Press", "publisher-place" : "Princeton", "title" : "Modernization and postmodernization: Cultural, economic, and political change in 43 societies", "type" : "book" }, "uris" : [ "http://www.mendeley.com/documents/?uuid=d9d09854-470b-4e95-9b3e-bf59c6eb759b" ] }, { "id" : "ITEM-2", "itemData" : { "author" : [ { "dropping-particle" : "", "family" : "Inglehart", "given" : "Ronald", "non-dropping-particle" : "", "parse-names" : false, "suffix" : "" }, { "dropping-particle" : "", "family" : "Norris", "given" : "Pipa", "non-dropping-particle" : "", "parse-names" : false, "suffix" : "" } ], "id" : "ITEM-2", "issued" : { "date-parts" : [ [ "2003" ] ] }, "publisher" : "Cambridge University Press", "publisher-place" : "Cambridge", "title" : "Rising tide: Gender equality and cultural change around the world", "type" : "book" }, "uris" : [ "http://www.mendeley.com/documents/?uuid=77985ed9-dd36-4dc3-bebd-c5bb6a4ce91f" ] }, { "id" : "ITEM-3", "itemData" : { "DOI" : "10.1007/s11205-015-1137-9", "ISSN" : "15730921", "author" : [ { "dropping-particle" : "", "family" : "Alexander", "given" : "Amy C.", "non-dropping-particle" : "", "parse-names" : false, "suffix" : "" }, { "dropping-particle" : "", "family" : "Inglehart", "given" : "Ronald", "non-dropping-particle" : "", "parse-names" : false, "suffix" : "" }, { "dropping-particle" : "", "family" : "Welzel", "given" : "Christian", "non-dropping-particle" : "", "parse-names" : false, "suffix" : "" } ], "container-title" : "Social Indicators Research", "id" : "ITEM-3", "issue" : "2", "issued" : { "date-parts" : [ [ "2016" ] ] }, "page" : "909-935", "publisher" : "Springer Netherlands", "title" : "Emancipating Sexuality: Breakthroughs into a Bulwark of Tradition", "type" : "article-journal", "volume" : "129" }, "uris" : [ "http://www.mendeley.com/documents/?uuid=cd31a09d-f87c-432a-821e-ec05b0e8853f" ] } ], "mendeley" : { "formattedCitation" : "(Alexander et al. 2016; Inglehart 1997; Inglehart and Norris 2003)", "plainTextFormattedCitation" : "(Alexander et al. 2016; Inglehart 1997; Inglehart and Norris 2003)", "previouslyFormattedCitation" : "(Alexander et al. 2016; Inglehart 1997; Inglehart and Norris 2003)" }, "properties" : { "noteIndex" : 0 }, "schema" : "https://github.com/citation-style-language/schema/raw/master/csl-citation.json" }</w:instrText>
      </w:r>
      <w:r w:rsidRPr="00C3671E">
        <w:fldChar w:fldCharType="separate"/>
      </w:r>
      <w:r w:rsidR="00A91559" w:rsidRPr="00C3671E">
        <w:rPr>
          <w:noProof/>
        </w:rPr>
        <w:t>(Alexander et al. 2016; Inglehart 1997; Inglehart and Norris 2003)</w:t>
      </w:r>
      <w:r w:rsidRPr="00C3671E">
        <w:fldChar w:fldCharType="end"/>
      </w:r>
      <w:r w:rsidRPr="00C3671E">
        <w:t>.</w:t>
      </w:r>
    </w:p>
    <w:p w14:paraId="3AAD81E1" w14:textId="6E314177" w:rsidR="00676326" w:rsidRPr="00C3671E" w:rsidRDefault="00676326" w:rsidP="00676326">
      <w:pPr>
        <w:pStyle w:val="Newparagraph"/>
        <w:jc w:val="both"/>
      </w:pPr>
      <w:r w:rsidRPr="00C3671E">
        <w:t xml:space="preserve">Second, the </w:t>
      </w:r>
      <w:r w:rsidRPr="00C3671E">
        <w:rPr>
          <w:lang w:eastAsia="zh-CN"/>
        </w:rPr>
        <w:t>most</w:t>
      </w:r>
      <w:r w:rsidRPr="00C3671E">
        <w:t xml:space="preserve"> profound aim of active ageing approach is the higher subjective quality of life in older ages </w:t>
      </w:r>
      <w:r w:rsidRPr="00C3671E">
        <w:fldChar w:fldCharType="begin" w:fldLock="1"/>
      </w:r>
      <w:r w:rsidR="001257AA" w:rsidRPr="00C3671E">
        <w:instrText>ADDIN CSL_CITATION { "citationItems" : [ { "id" : "ITEM-1", "itemData" : { "DOI" : "10.1007/s12062-017-9174-6", "ISSN" : "1874-7884", "abstract" : "Why Active Ageing Matters\\r\\nBy the end of the first half of the twentieth century most European states had introduced public pension schemes of one sort or another. In doing so they were affirming the role of the state in providing individuals with a form of support that all but a few would struggle to provide for themselves. The objectives of these schemes were generally quite limited: to reduce the risk of poverty in old age by facilitating savings during working life. The rationale was simple: to provide access to financial support - a regular and reliable income \u2013 for a time of life when the ability to work was increasingly impaired by loss of health or functional ability. In the second half of the century, after the second world war, increasing affluence combined with a more demanding view of the responsibilities of government to improve the generosity of pensions and to expand welfare systems in ways that conferred other benefits on their older populations besides a basic pension income, including the provision of social care (e.g. care homes for older people who had no family and were unable to look after themselves in their own homes). Policy was still broadly conceived as a collective response to age-related losses that undermined independence.", "author" : [ { "dropping-particle" : "", "family" : "Zaidi", "given" : "Asghar", "non-dropping-particle" : "", "parse-names" : false, "suffix" : "" }, { "dropping-particle" : "", "family" : "Howse", "given" : "Kenneth", "non-dropping-particle" : "", "parse-names" : false, "suffix" : "" } ], "container-title" : "Journal of Population Ageing", "id" : "ITEM-1", "issue" : "1", "issued" : { "date-parts" : [ [ "2017" ] ] }, "page" : "1-10", "publisher" : "Journal of Population Ageing", "title" : "The Policy Discourse of Active Ageing: Some Reflections", "type" : "article-journal", "volume" : "10" }, "uris" : [ "http://www.mendeley.com/documents/?uuid=badd02a6-0ba4-4766-b6a7-a04a46414a57" ] }, { "id" : "ITEM-2", "itemData" : { "DOI" : "10.1080/713604647", "ISBN" : "1757-9139 (Print)\\r1757-9147 (Linking)", "ISSN" : "1368-5538", "PMID" : "21692392", "abstract" : "his Policy Framework is intended to inform discussion and the formulation of action plans that promote healthy and active ageing. It was developed by WHO\u2019s Ageing and Life Course Programme as a contribution to the Second United Nations World Assembly on Ageing, held in April 2002, in Madrid, Spain. The preliminary version, published in 2001 entitled Health and Ageing: A Discussion Paper, was translated into French and Spanish and widely circulated for feedback throughout 2001 (including at special workshops held in Brazil, Canada, the Netherlands, Spain and the United Kingdom). In January 2002, an expert group meeting was convened at the WHO Centre for Health Development (WKC) in Kobe, Japan, with 29 participants from 21 countries. De- tailed comments and recommendations from this meeting, as well as those received through the previous consultation process, were com- piled to complete this fi nal version. A complementary monograph entitled Active Ageing: From Evidence to Action is being prepared in collaboration with the Inter- national Association of Gerontology (IAG) and will be available at http://www.who.int/hpr/ ageing where more information about ageing from a life course perspective is also provided.", "author" : [ { "dropping-particle" : "", "family" : "WHO", "given" : "", "non-dropping-particle" : "", "parse-names" : false, "suffix" : "" } ], "id" : "ITEM-2", "issued" : { "date-parts" : [ [ "2002" ] ] }, "page" : "1-60", "publisher" : "World Health Organization", "publisher-place" : "Geneva", "title" : "Active Ageing: A Policy Framework", "type" : "article" }, "uris" : [ "http://www.mendeley.com/documents/?uuid=10ba559d-500f-4111-baae-06ebd9b96a0f" ] }, { "id" : "ITEM-3", "itemData" : { "DOI" : "10.1080/13880290902938435", "author" : [ { "dropping-particle" : "", "family" : "Commission of the European Communities", "given" : "", "non-dropping-particle" : "", "parse-names" : false, "suffix" : "" } ], "id" : "ITEM-3", "issued" : { "date-parts" : [ [ "2002" ] ] }, "page" : "1-15", "publisher-place" : "Brussels", "title" : "Europe's response to World Ageing: Promoting economic and social progress in an ageing world", "type" : "article" }, "uris" : [ "http://www.mendeley.com/documents/?uuid=c682390e-0125-49b7-955f-2b0f9b56c771" ] }, { "id" : "ITEM-4", "itemData" : { "author" : [ { "dropping-particle" : "", "family" : "Walker", "given" : "Alan", "non-dropping-particle" : "", "parse-names" : false, "suffix" : "" } ], "chapter-number" : "11", "container-title" : "Understanding Quality of Life in Old Age", "editor" : [ { "dropping-particle" : "", "family" : "Walker", "given" : "Alan", "non-dropping-particle" : "", "parse-names" : false, "suffix" : "" } ], "id" : "ITEM-4", "issued" : { "date-parts" : [ [ "2005" ] ] }, "page" : "161-172", "publisher" : "Open University Press", "publisher-place" : "Maidenhead", "title" : "Conclusion: From Research to Action", "type" : "chapter" }, "uris" : [ "http://www.mendeley.com/documents/?uuid=94de8f3f-ab3c-4b35-94c6-721c6b8bb8a0" ] } ], "mendeley" : { "formattedCitation" : "(Commission of the European Communities 2002; Walker 2005b; WHO 2002; Zaidi and Howse 2017)", "plainTextFormattedCitation" : "(Commission of the European Communities 2002; Walker 2005b; WHO 2002; Zaidi and Howse 2017)", "previouslyFormattedCitation" : "(Commission of the European Communities 2002; Walker 2005b; WHO 2002; Zaidi and Howse 2017)" }, "properties" : { "noteIndex" : 0 }, "schema" : "https://github.com/citation-style-language/schema/raw/master/csl-citation.json" }</w:instrText>
      </w:r>
      <w:r w:rsidRPr="00C3671E">
        <w:fldChar w:fldCharType="separate"/>
      </w:r>
      <w:r w:rsidR="00A91559" w:rsidRPr="00C3671E">
        <w:rPr>
          <w:noProof/>
        </w:rPr>
        <w:t>(Commission of the European Communities 2002; Walker 2005b; WHO 2002; Zaidi and Howse 2017)</w:t>
      </w:r>
      <w:r w:rsidRPr="00C3671E">
        <w:fldChar w:fldCharType="end"/>
      </w:r>
      <w:r w:rsidRPr="00C3671E">
        <w:t xml:space="preserve">. This outcome is labelled as subjective well-being, life satisfaction, meaning in life or generally quality of life, which are related concepts </w:t>
      </w:r>
      <w:r w:rsidRPr="00C3671E">
        <w:fldChar w:fldCharType="begin" w:fldLock="1"/>
      </w:r>
      <w:r w:rsidR="001257AA" w:rsidRPr="00C3671E">
        <w:instrText>ADDIN CSL_CITATION { "citationItems" : [ { "id" : "ITEM-1", "itemData" : { "DOI" : "10.1007/s10433-009-0113-0", "ISBN" : "1613-9372", "ISSN" : "16139372", "abstract" : "This study addresses the links between different dimensions of intergenerational family relations (solidarity, conflict, and ambivalence) and subjective well-being (life satisfaction, and positive and negative affects) of older people (aged 75+) using a comparative perspective from a random urban sample in five countries (Norway, England, Germany, Spain, and Israel). Comparative descriptive analyses and multivariate models are presented. Three general conclusions can be drawn. First, the country variables contributed significantly to the explained variance for all three components of well-being, where Israel was most different from the other four countries, except for positive affects, for which Spain and Israel differed from Norway, England, and Germany. However, the countries explained more of the variance for positive and negative affects compared with life satisfaction. Second, the intergenerational family solidarity dimensions contributed significantly to the explained variance for all three components of well-being, although they were differentially related to the different aspects of subjective well-being. Third, personal resources, mainly physical functioning and financial adequacy, were related to all of the well-being variables, although their relative contribution was much stronger for life satisfaction. The importance of intergenerational family relations and personal resources for the subjective well-being of older people and the importance of using multiple measures for outcome variables of well-being are discussed. \u00a9 Springer-Verlag 2009.", "author" : [ { "dropping-particle" : "", "family" : "Katz", "given" : "Ruth", "non-dropping-particle" : "", "parse-names" : false, "suffix" : "" } ], "container-title" : "European Journal of Ageing", "id" : "ITEM-1", "issue" : "2", "issued" : { "date-parts" : [ [ "2009" ] ] }, "page" : "79-90", "title" : "Intergenerational family relations and subjective well-being in old age: A cross-national study", "type" : "article-journal", "volume" : "6" }, "uris" : [ "http://www.mendeley.com/documents/?uuid=18bcabc4-1179-4c65-a136-fbb161c59e79" ] }, { "id" : "ITEM-2", "itemData" : { "author" : [ { "dropping-particle" : "", "family" : "Mcilvane", "given" : "Jessica M", "non-dropping-particle" : "", "parse-names" : false, "suffix" : "" }, { "dropping-particle" : "", "family" : "Ajrouch", "given" : "Kristine J", "non-dropping-particle" : "", "parse-names" : false, "suffix" : "" }, { "dropping-particle" : "", "family" : "Antonucci", "given" : "Toni C", "non-dropping-particle" : "", "parse-names" : false, "suffix" : "" } ], "container-title" : "Journal of Social Issues", "id" : "ITEM-2", "issue" : "4", "issued" : { "date-parts" : [ [ "2007" ] ] }, "page" : "759-773", "title" : "Generational Structure and Social Resources in Mid-Life: Influences on Health and Well-Being", "type" : "article-journal", "volume" : "63" }, "uris" : [ "http://www.mendeley.com/documents/?uuid=bac0d554-0b64-458f-81e4-d7bc272f449f" ] }, { "id" : "ITEM-3", "itemData" : { "ISBN" : "9783110295467", "author" : [ { "dropping-particle" : "", "family" : "Roll", "given" : "Anat", "non-dropping-particle" : "", "parse-names" : false, "suffix" : "" }, { "dropping-particle" : "", "family" : "Litwin", "given" : "Howard", "non-dropping-particle" : "", "parse-names" : false, "suffix" : "" } ], "chapter-number" : "25", "container-title" : "Active Ageing and Solidarity between Generations in Europe: First Results from SHARE after the Economic Crisis", "editor" : [ { "dropping-particle" : "", "family" : "B\u00f6rsch-Supan", "given" : "Axel", "non-dropping-particle" : "", "parse-names" : false, "suffix" : "" }, { "dropping-particle" : "", "family" : "Brandt", "given" : "Martina", "non-dropping-particle" : "", "parse-names" : false, "suffix" : "" }, { "dropping-particle" : "", "family" : "Litwin", "given" : "Howard", "non-dropping-particle" : "", "parse-names" : false, "suffix" : "" }, { "dropping-particle" : "", "family" : "Weber", "given" : "Guglielmo", "non-dropping-particle" : "", "parse-names" : false, "suffix" : "" } ], "id" : "ITEM-3", "issued" : { "date-parts" : [ [ "2013" ] ] }, "page" : "289-300", "publisher" : "De Gruyter", "publisher-place" : "Berlin", "title" : "The exchange of support and financial assistance: differences in exchange patterns and their implications for ageing well", "type" : "chapter" }, "uris" : [ "http://www.mendeley.com/documents/?uuid=d356d7cd-dc85-44a1-8dde-6a76b65f7d06" ] } ], "mendeley" : { "formattedCitation" : "(Katz 2009; Mcilvane, Ajrouch, and Antonucci 2007; Roll and Litwin 2013)", "plainTextFormattedCitation" : "(Katz 2009; Mcilvane, Ajrouch, and Antonucci 2007; Roll and Litwin 2013)", "previouslyFormattedCitation" : "(Katz 2009; Mcilvane, Ajrouch, and Antonucci 2007; Roll and Litwin 2013)" }, "properties" : { "noteIndex" : 0 }, "schema" : "https://github.com/citation-style-language/schema/raw/master/csl-citation.json" }</w:instrText>
      </w:r>
      <w:r w:rsidRPr="00C3671E">
        <w:fldChar w:fldCharType="separate"/>
      </w:r>
      <w:r w:rsidR="00A91559" w:rsidRPr="00C3671E">
        <w:rPr>
          <w:noProof/>
        </w:rPr>
        <w:t>(Katz 2009; Mcilvane, Ajrouch, and Antonucci 2007; Roll and Litwin 2013)</w:t>
      </w:r>
      <w:r w:rsidRPr="00C3671E">
        <w:fldChar w:fldCharType="end"/>
      </w:r>
      <w:r w:rsidRPr="00C3671E">
        <w:t xml:space="preserve"> that are also prioritized by postmaterialist value orientation in a form of subjective well-being, quality of life, and self-realization </w:t>
      </w:r>
      <w:r w:rsidRPr="00C3671E">
        <w:fldChar w:fldCharType="begin" w:fldLock="1"/>
      </w:r>
      <w:r w:rsidR="001257AA" w:rsidRPr="00C3671E">
        <w:instrText>ADDIN CSL_CITATION { "citationItems" : [ { "id" : "ITEM-1", "itemData" : { "DOI" : "10.1348/096317909X480167", "ISBN" : "0963-1798", "ISSN" : "09631798", "abstract" : "Can valuing money and material possessions lead to conflict between work and family? In this paper, we build on Carlson and Kacmar's call for more research on personal values in the context of the work-family interface. In a field study, we examined the relationship between materialism and two components of work-family conflict: work interference with family (WIF) and family interference with work (FIW). Results supported our main hypotheses that materialism is associated with both forms of work-family conflict. Further, work overload mediated the relationship between materialism and WIF, while FIW moderated the association between materialism and work overload, thus supporting a model of mediated moderation. By linking materialism to work-family conflict, this study adds to the growing evidence of the deleterious effects of holding materialistic values.", "author" : [ { "dropping-particle" : "", "family" : "Promislo", "given" : "Mark D.", "non-dropping-particle" : "", "parse-names" : false, "suffix" : "" }, { "dropping-particle" : "", "family" : "Deckop", "given" : "John R.", "non-dropping-particle" : "", "parse-names" : false, "suffix" : "" }, { "dropping-particle" : "", "family" : "Giacalone", "given" : "Robert A.", "non-dropping-particle" : "", "parse-names" : false, "suffix" : "" }, { "dropping-particle" : "", "family" : "Jurkiewicz", "given" : "Carole L.", "non-dropping-particle" : "", "parse-names" : false, "suffix" : "" } ], "container-title" : "Journal of Occupational and Organizational Psychology", "id" : "ITEM-1", "issue" : "4", "issued" : { "date-parts" : [ [ "2010" ] ] }, "page" : "935-953", "title" : "Valuing money more than people: The effects of materialism on work-family conflict", "type" : "article-journal", "volume" : "83" }, "uris" : [ "http://www.mendeley.com/documents/?uuid=838fa85d-2a50-44a0-a37f-d7a487e68232" ] }, { "id" : "ITEM-2", "itemData" : { "author" : [ { "dropping-particle" : "", "family" : "Inglehart", "given" : "Ronald", "non-dropping-particle" : "", "parse-names" : false, "suffix" : "" } ], "id" : "ITEM-2", "issued" : { "date-parts" : [ [ "1990" ] ] }, "publisher" : "Princeton University Press", "publisher-place" : "Princeton", "title" : "Culture Shift in Advanced Industrial Society", "type" : "book" }, "uris" : [ "http://www.mendeley.com/documents/?uuid=25dc8f63-d26d-432e-8cdc-a1a2c72d612c" ] }, { "id" : "ITEM-3", "itemData" : { "author" : [ { "dropping-particle" : "", "family" : "Inglehart", "given" : "Ronald", "non-dropping-particle" : "", "parse-names" : false, "suffix" : "" } ], "id" : "ITEM-3", "issued" : { "date-parts" : [ [ "1997" ] ] }, "publisher" : "Princeton University Press", "publisher-place" : "Princeton", "title" : "Modernization and postmodernization: Cultural, economic, and political change in 43 societies", "type" : "book" }, "uris" : [ "http://www.mendeley.com/documents/?uuid=d9d09854-470b-4e95-9b3e-bf59c6eb759b" ] } ], "mendeley" : { "formattedCitation" : "(Inglehart 1990, 1997; Promislo et al. 2010)", "plainTextFormattedCitation" : "(Inglehart 1990, 1997; Promislo et al. 2010)", "previouslyFormattedCitation" : "(Inglehart 1990, 1997; Promislo et al. 2010)" }, "properties" : { "noteIndex" : 0 }, "schema" : "https://github.com/citation-style-language/schema/raw/master/csl-citation.json" }</w:instrText>
      </w:r>
      <w:r w:rsidRPr="00C3671E">
        <w:fldChar w:fldCharType="separate"/>
      </w:r>
      <w:r w:rsidR="00A91559" w:rsidRPr="00C3671E">
        <w:rPr>
          <w:noProof/>
        </w:rPr>
        <w:t>(Inglehart 1990, 1997; Promislo et al. 2010)</w:t>
      </w:r>
      <w:r w:rsidRPr="00C3671E">
        <w:fldChar w:fldCharType="end"/>
      </w:r>
      <w:r w:rsidRPr="00C3671E">
        <w:t xml:space="preserve">. Additionally, subjective quality of life of older adults is often measured by the CASP scale, which is partly grounded on the theory of postmaterialist value orientation </w:t>
      </w:r>
      <w:r w:rsidRPr="00C3671E">
        <w:fldChar w:fldCharType="begin" w:fldLock="1"/>
      </w:r>
      <w:r w:rsidR="001257AA" w:rsidRPr="00C3671E">
        <w:instrText>ADDIN CSL_CITATION { "citationItems" : [ { "id" : "ITEM-1", "itemData" : { "DOI" : "10.1111/1467-9515.00336", "ISBN" : "0144-5596", "ISSN" : "1467-9515", "abstract" : "Measurement of quality of life has become a major feature of much social and epidemiological research in health and social care settings. It is seen as an important alternative to more process-based outcome measures but remains poorly defined. A major weakness is the absence of any coherent theoretical underpinning whether sociological, psychological or philosophical. Into this conceptual vacuum proxies for quality of life have been introduced. Quality of life [QoL] research into older populations has focused on measures of health and illness as equivalents of QoL. This paper argues that this response is inadequate as it reduces old age to a dimension of health, disability and disease. Instead, we argue that it is necessary to create a theoretically based measure of QoL in early old age which relates to those aspects of later life that are not defined by health. We present a model of QoL that is derived from aspects of contemporary social theory as they relate to the ontology of late modernity. In particular, we utilize a model based upon needs satisfaction. The model contains four domains: Control, Autonomy, Pleasure and Self-realization. The measure consists of a 19-item scale. The four domains load on to a single latent QoL factor. We argue that the CASP 19 scale offers an approach to QoL that integrates a sociologically based model of quality of life with a meaningful and valid research instrument.", "author" : [ { "dropping-particle" : "", "family" : "Higgs", "given" : "Paul", "non-dropping-particle" : "", "parse-names" : false, "suffix" : "" }, { "dropping-particle" : "", "family" : "Hyde", "given" : "Martin", "non-dropping-particle" : "", "parse-names" : false, "suffix" : "" }, { "dropping-particle" : "", "family" : "Wiggins", "given" : "Richard", "non-dropping-particle" : "", "parse-names" : false, "suffix" : "" }, { "dropping-particle" : "", "family" : "Blane", "given" : "David", "non-dropping-particle" : "", "parse-names" : false, "suffix" : "" } ], "container-title" : "Social Policy &amp; Administration", "id" : "ITEM-1", "issue" : "3", "issued" : { "date-parts" : [ [ "2003" ] ] }, "page" : "239\u2013252", "title" : "Researching Quality of Life in Early Old Age: The Importance of the Sociological Dimension", "type" : "article-journal", "volume" : "37" }, "uris" : [ "http://www.mendeley.com/documents/?uuid=0c53a1fa-c43b-41a1-a361-69bc9663c523" ] }, { "id" : "ITEM-2", "itemData" : { "DOI" : "10.1080/1360786031000101157", "ISBN" : "1360786031", "ISSN" : "13607863", "PMID" : "12775399", "abstract" : "Quality of life is the subject of much research. However it lacks an agreed theoretical basis. In studies with older populations(ill) health has been used as a proxy measure for quality of life (QoL). We have developed a needs satisfaction measure of QoL in early old age. Our measure has four ontologically grounded domains: conal, autonomy, pleasure, and self-realization. The measure was piloted with focus groups, a self-completion pilot, and cognitive interview testing. This produced a 22-item scale that was included in a postal questionnaire and sent to 286 people aged 65-75 years.A 92% response rate was achieved. The scale was reduced to 19 items on the basis of statistical analysis. The domains have Cronbach's alphas between 0.6 and 0.8. Correlations between the four domains range from 0.4 to 0.7. A second order factor analysis revealed a single latent QoL factor. The scores for the 19-item scale are well distributed along the range although they exhibit a slight negative skew. Concurrent validity was assessed using the Life Satisfaction Index-wellbeing. A strong and positive association was found between the two scales (r= 0.6, p = 0.01). The CASP-19 appears to be a useful scale for measuring QoL in older people.", "author" : [ { "dropping-particle" : "", "family" : "Hyde", "given" : "Martin", "non-dropping-particle" : "", "parse-names" : false, "suffix" : "" }, { "dropping-particle" : "", "family" : "Wiggins", "given" : "R. D.", "non-dropping-particle" : "", "parse-names" : false, "suffix" : "" }, { "dropping-particle" : "", "family" : "Higgs", "given" : "P.", "non-dropping-particle" : "", "parse-names" : false, "suffix" : "" }, { "dropping-particle" : "", "family" : "Blane", "given" : "D. B.", "non-dropping-particle" : "", "parse-names" : false, "suffix" : "" } ], "container-title" : "Aging and Mental Health", "id" : "ITEM-2", "issue" : "3", "issued" : { "date-parts" : [ [ "2003" ] ] }, "page" : "186-194", "title" : "A measure of quality of life in early old age: The theory, development and properties of a needs satisfaction model (CASP-19)", "type" : "article-journal", "volume" : "7" }, "uris" : [ "http://www.mendeley.com/documents/?uuid=7b6a4ce2-8ebe-4aef-a25a-ed5f720eefea" ] } ], "mendeley" : { "formattedCitation" : "(Higgs et al. 2003a; Hyde et al. 2003)", "plainTextFormattedCitation" : "(Higgs et al. 2003a; Hyde et al. 2003)", "previouslyFormattedCitation" : "(Higgs et al. 2003a; Hyde et al. 2003)" }, "properties" : { "noteIndex" : 0 }, "schema" : "https://github.com/citation-style-language/schema/raw/master/csl-citation.json" }</w:instrText>
      </w:r>
      <w:r w:rsidRPr="00C3671E">
        <w:fldChar w:fldCharType="separate"/>
      </w:r>
      <w:r w:rsidR="00A91559" w:rsidRPr="00C3671E">
        <w:rPr>
          <w:noProof/>
        </w:rPr>
        <w:t>(Higgs et al. 2003a; Hyde et al. 2003)</w:t>
      </w:r>
      <w:r w:rsidRPr="00C3671E">
        <w:fldChar w:fldCharType="end"/>
      </w:r>
      <w:r w:rsidRPr="00C3671E">
        <w:t xml:space="preserve">. CASP is an acronym for control, autonomy, self-realization, and pleasure, which are four theoretically grounded and empirically tested domains of subjective quality of life in old age. CASP was designed in opposition to a former practice to measure QoL by health or longevity. This scale contains ontologically grounded domains based on the pyramid of needs </w:t>
      </w:r>
      <w:r w:rsidRPr="00C3671E">
        <w:fldChar w:fldCharType="begin" w:fldLock="1"/>
      </w:r>
      <w:r w:rsidRPr="00C3671E">
        <w:instrText>ADDIN CSL_CITATION { "citationItems" : [ { "id" : "ITEM-1", "itemData" : { "DOI" : "10.1037/h0054346", "ISBN" : "0033-295X", "ISSN" : "0033-295X", "PMID" : "16618263", "abstract" : "The present paper is an attempt to formulate a positive theory of motivation which will satisfy these theoretical de- mands and at the same time conform to the known facts , clinical and observational as well as experimental . It derives most directly , however , from clinical experience . This theory is , I think , in the functionalist tradition of James and Dewey , and is fused with the holism of Wertheimer ( IQ ), Goldstein ( 6 ), and Gestalt Psychology , and with the dynamicism of Freud ( 4 ) and Adler ( i ). This fusion or synthesis may arbi- trarily be called a ' general-dynamic ' theory . It is far easier to perceive and to criticize the aspects in motivation theory than to remedy them . Mostly this is be- cause of the very serious lack of sound data in this area . I conceive this lack of sound facts to be due primarily to the absence of a valid theory of motivation . The present theory then must be considered to be a suggested program or frame- work for future research and must stand or fall , not so much on facts available or evidence presented , as upon researches yet to be done , researches suggested perhaps , by the questions raised in this paper .", "author" : [ { "dropping-particle" : "", "family" : "Maslow", "given" : "A. H.", "non-dropping-particle" : "", "parse-names" : false, "suffix" : "" } ], "container-title" : "Psychological Review", "id" : "ITEM-1", "issue" : "4", "issued" : { "date-parts" : [ [ "1943" ] ] }, "page" : "370-396", "title" : "A theory of human motivation", "type" : "article-journal", "volume" : "50" }, "uris" : [ "http://www.mendeley.com/documents/?uuid=2a3ae72f-f7ce-4b2b-bf16-219eea11c982" ] } ], "mendeley" : { "formattedCitation" : "(Maslow 1943)", "plainTextFormattedCitation" : "(Maslow 1943)", "previouslyFormattedCitation" : "(Maslow 1943)" }, "properties" : { "noteIndex" : 0 }, "schema" : "https://github.com/citation-style-language/schema/raw/master/csl-citation.json" }</w:instrText>
      </w:r>
      <w:r w:rsidRPr="00C3671E">
        <w:fldChar w:fldCharType="separate"/>
      </w:r>
      <w:r w:rsidRPr="00C3671E">
        <w:rPr>
          <w:noProof/>
        </w:rPr>
        <w:t>(Maslow 1943)</w:t>
      </w:r>
      <w:r w:rsidRPr="00C3671E">
        <w:fldChar w:fldCharType="end"/>
      </w:r>
      <w:r w:rsidRPr="00C3671E">
        <w:t xml:space="preserve"> and aspire for a scale that can be used universally – at least for people in the third age – and provide comparable scores across contexts </w:t>
      </w:r>
      <w:r w:rsidRPr="00C3671E">
        <w:fldChar w:fldCharType="begin" w:fldLock="1"/>
      </w:r>
      <w:r w:rsidR="001257AA" w:rsidRPr="00C3671E">
        <w:instrText>ADDIN CSL_CITATION { "citationItems" : [ { "id" : "ITEM-1", "itemData" : { "DOI" : "10.1111/1467-9515.00336", "ISBN" : "0144-5596", "ISSN" : "1467-9515", "abstract" : "Measurement of quality of life has become a major feature of much social and epidemiological research in health and social care settings. It is seen as an important alternative to more process-based outcome measures but remains poorly defined. A major weakness is the absence of any coherent theoretical underpinning whether sociological, psychological or philosophical. Into this conceptual vacuum proxies for quality of life have been introduced. Quality of life [QoL] research into older populations has focused on measures of health and illness as equivalents of QoL. This paper argues that this response is inadequate as it reduces old age to a dimension of health, disability and disease. Instead, we argue that it is necessary to create a theoretically based measure of QoL in early old age which relates to those aspects of later life that are not defined by health. We present a model of QoL that is derived from aspects of contemporary social theory as they relate to the ontology of late modernity. In particular, we utilize a model based upon needs satisfaction. The model contains four domains: Control, Autonomy, Pleasure and Self-realization. The measure consists of a 19-item scale. The four domains load on to a single latent QoL factor. We argue that the CASP 19 scale offers an approach to QoL that integrates a sociologically based model of quality of life with a meaningful and valid research instrument.", "author" : [ { "dropping-particle" : "", "family" : "Higgs", "given" : "Paul", "non-dropping-particle" : "", "parse-names" : false, "suffix" : "" }, { "dropping-particle" : "", "family" : "Hyde", "given" : "Martin", "non-dropping-particle" : "", "parse-names" : false, "suffix" : "" }, { "dropping-particle" : "", "family" : "Wiggins", "given" : "Richard", "non-dropping-particle" : "", "parse-names" : false, "suffix" : "" }, { "dropping-particle" : "", "family" : "Blane", "given" : "David", "non-dropping-particle" : "", "parse-names" : false, "suffix" : "" } ], "container-title" : "Social Policy &amp; Administration", "id" : "ITEM-1", "issue" : "3", "issued" : { "date-parts" : [ [ "2003" ] ] }, "page" : "239\u2013252", "title" : "Researching Quality of Life in Early Old Age: The Importance of the Sociological Dimension", "type" : "article-journal", "volume" : "37" }, "uris" : [ "http://www.mendeley.com/documents/?uuid=0c53a1fa-c43b-41a1-a361-69bc9663c523" ] }, { "id" : "ITEM-2", "itemData" : { "DOI" : "10.1080/1360786031000101157", "ISBN" : "1360786031", "ISSN" : "13607863", "PMID" : "12775399", "abstract" : "Quality of life is the subject of much research. However it lacks an agreed theoretical basis. In studies with older populations(ill) health has been used as a proxy measure for quality of life (QoL). We have developed a needs satisfaction measure of QoL in early old age. Our measure has four ontologically grounded domains: conal, autonomy, pleasure, and self-realization. The measure was piloted with focus groups, a self-completion pilot, and cognitive interview testing. This produced a 22-item scale that was included in a postal questionnaire and sent to 286 people aged 65-75 years.A 92% response rate was achieved. The scale was reduced to 19 items on the basis of statistical analysis. The domains have Cronbach's alphas between 0.6 and 0.8. Correlations between the four domains range from 0.4 to 0.7. A second order factor analysis revealed a single latent QoL factor. The scores for the 19-item scale are well distributed along the range although they exhibit a slight negative skew. Concurrent validity was assessed using the Life Satisfaction Index-wellbeing. A strong and positive association was found between the two scales (r= 0.6, p = 0.01). The CASP-19 appears to be a useful scale for measuring QoL in older people.", "author" : [ { "dropping-particle" : "", "family" : "Hyde", "given" : "Martin", "non-dropping-particle" : "", "parse-names" : false, "suffix" : "" }, { "dropping-particle" : "", "family" : "Wiggins", "given" : "R. D.", "non-dropping-particle" : "", "parse-names" : false, "suffix" : "" }, { "dropping-particle" : "", "family" : "Higgs", "given" : "P.", "non-dropping-particle" : "", "parse-names" : false, "suffix" : "" }, { "dropping-particle" : "", "family" : "Blane", "given" : "D. B.", "non-dropping-particle" : "", "parse-names" : false, "suffix" : "" } ], "container-title" : "Aging and Mental Health", "id" : "ITEM-2", "issue" : "3", "issued" : { "date-parts" : [ [ "2003" ] ] }, "page" : "186-194", "title" : "A measure of quality of life in early old age: The theory, development and properties of a needs satisfaction model (CASP-19)", "type" : "article-journal", "volume" : "7" }, "uris" : [ "http://www.mendeley.com/documents/?uuid=7b6a4ce2-8ebe-4aef-a25a-ed5f720eefea" ] } ], "mendeley" : { "formattedCitation" : "(Higgs et al. 2003a; Hyde et al. 2003)", "plainTextFormattedCitation" : "(Higgs et al. 2003a; Hyde et al. 2003)", "previouslyFormattedCitation" : "(Higgs et al. 2003a; Hyde et al. 2003)" }, "properties" : { "noteIndex" : 0 }, "schema" : "https://github.com/citation-style-language/schema/raw/master/csl-citation.json" }</w:instrText>
      </w:r>
      <w:r w:rsidRPr="00C3671E">
        <w:fldChar w:fldCharType="separate"/>
      </w:r>
      <w:r w:rsidR="00A91559" w:rsidRPr="00C3671E">
        <w:rPr>
          <w:noProof/>
        </w:rPr>
        <w:t>(Higgs et al. 2003a; Hyde et al. 2003)</w:t>
      </w:r>
      <w:r w:rsidRPr="00C3671E">
        <w:fldChar w:fldCharType="end"/>
      </w:r>
      <w:r w:rsidRPr="00C3671E">
        <w:t xml:space="preserve">. However, CASP is applicable mostly for third age as a specific life stage – ‘the time of personal self-realization and fulfilment, comes after our children left us’ </w:t>
      </w:r>
      <w:r w:rsidRPr="00C3671E">
        <w:fldChar w:fldCharType="begin" w:fldLock="1"/>
      </w:r>
      <w:r w:rsidRPr="00C3671E">
        <w:instrText>ADDIN CSL_CITATION { "citationItems" : [ { "id" : "ITEM-1", "itemData" : { "author" : [ { "dropping-particle" : "", "family" : "Laslett", "given" : "Peter", "non-dropping-particle" : "", "parse-names" : false, "suffix" : "" } ], "id" : "ITEM-1", "issued" : { "date-parts" : [ [ "1991" ] ] }, "publisher" : "Harvard University Press", "publisher-place" : "Cambridge", "title" : "A Fresh Map of Life: The Emergence of the Third Age", "type" : "book" }, "uris" : [ "http://www.mendeley.com/documents/?uuid=795d7332-c5e9-45bf-a557-01e2177cf01c" ] } ], "mendeley" : { "formattedCitation" : "(Laslett 1991)", "manualFormatting" : "(Laslett 1991: vii)", "plainTextFormattedCitation" : "(Laslett 1991)", "previouslyFormattedCitation" : "(Laslett 1991)" }, "properties" : { "noteIndex" : 0 }, "schema" : "https://github.com/citation-style-language/schema/raw/master/csl-citation.json" }</w:instrText>
      </w:r>
      <w:r w:rsidRPr="00C3671E">
        <w:fldChar w:fldCharType="separate"/>
      </w:r>
      <w:r w:rsidRPr="00C3671E">
        <w:rPr>
          <w:noProof/>
        </w:rPr>
        <w:t>(Laslett 1991: vii)</w:t>
      </w:r>
      <w:r w:rsidRPr="00C3671E">
        <w:fldChar w:fldCharType="end"/>
      </w:r>
      <w:r w:rsidRPr="00C3671E">
        <w:t xml:space="preserve">. In contrast, older people experiencing fourth age are concerned rather with securing basic needs, such as health </w:t>
      </w:r>
      <w:r w:rsidRPr="00C3671E">
        <w:fldChar w:fldCharType="begin" w:fldLock="1"/>
      </w:r>
      <w:r w:rsidR="001257AA" w:rsidRPr="00C3671E">
        <w:instrText>ADDIN CSL_CITATION { "citationItems" : [ { "id" : "ITEM-1", "itemData" : { "DOI" : "10.1080/1360786031000101157", "ISBN" : "1360786031", "ISSN" : "13607863", "PMID" : "12775399", "abstract" : "Quality of life is the subject of much research. However it lacks an agreed theoretical basis. In studies with older populations(ill) health has been used as a proxy measure for quality of life (QoL). We have developed a needs satisfaction measure of QoL in early old age. Our measure has four ontologically grounded domains: conal, autonomy, pleasure, and self-realization. The measure was piloted with focus groups, a self-completion pilot, and cognitive interview testing. This produced a 22-item scale that was included in a postal questionnaire and sent to 286 people aged 65-75 years.A 92% response rate was achieved. The scale was reduced to 19 items on the basis of statistical analysis. The domains have Cronbach's alphas between 0.6 and 0.8. Correlations between the four domains range from 0.4 to 0.7. A second order factor analysis revealed a single latent QoL factor. The scores for the 19-item scale are well distributed along the range although they exhibit a slight negative skew. Concurrent validity was assessed using the Life Satisfaction Index-wellbeing. A strong and positive association was found between the two scales (r= 0.6, p = 0.01). The CASP-19 appears to be a useful scale for measuring QoL in older people.", "author" : [ { "dropping-particle" : "", "family" : "Hyde", "given" : "Martin", "non-dropping-particle" : "", "parse-names" : false, "suffix" : "" }, { "dropping-particle" : "", "family" : "Wiggins", "given" : "R. D.", "non-dropping-particle" : "", "parse-names" : false, "suffix" : "" }, { "dropping-particle" : "", "family" : "Higgs", "given" : "P.", "non-dropping-particle" : "", "parse-names" : false, "suffix" : "" }, { "dropping-particle" : "", "family" : "Blane", "given" : "D. B.", "non-dropping-particle" : "", "parse-names" : false, "suffix" : "" } ], "container-title" : "Aging and Mental Health", "id" : "ITEM-1", "issue" : "3", "issued" : { "date-parts" : [ [ "2003" ] ] }, "page" : "186-194", "title" : "A measure of quality of life in early old age: The theory, development and properties of a needs satisfaction model (CASP-19)", "type" : "article-journal", "volume" : "7" }, "uris" : [ "http://www.mendeley.com/documents/?uuid=7b6a4ce2-8ebe-4aef-a25a-ed5f720eefea" ] } ], "mendeley" : { "formattedCitation" : "(Hyde et al. 2003)", "plainTextFormattedCitation" : "(Hyde et al. 2003)", "previouslyFormattedCitation" : "(Hyde et al. 2003)" }, "properties" : { "noteIndex" : 0 }, "schema" : "https://github.com/citation-style-language/schema/raw/master/csl-citation.json" }</w:instrText>
      </w:r>
      <w:r w:rsidRPr="00C3671E">
        <w:fldChar w:fldCharType="separate"/>
      </w:r>
      <w:r w:rsidR="00AA6335" w:rsidRPr="00C3671E">
        <w:rPr>
          <w:noProof/>
        </w:rPr>
        <w:t>(Hyde et al. 2003)</w:t>
      </w:r>
      <w:r w:rsidRPr="00C3671E">
        <w:fldChar w:fldCharType="end"/>
      </w:r>
      <w:r w:rsidRPr="00C3671E">
        <w:t>. The arguments imply that subjective QoL and its prevalent measurement is connected to postmaterialism and more well-off older adults, while it does not seem a priority for people with health limitations, financial problems or materialist value orientation.</w:t>
      </w:r>
    </w:p>
    <w:p w14:paraId="2D5C7B04" w14:textId="3EB29F86" w:rsidR="00676326" w:rsidRPr="00C3671E" w:rsidRDefault="00676326" w:rsidP="00676326">
      <w:pPr>
        <w:pStyle w:val="Newparagraph"/>
        <w:jc w:val="both"/>
      </w:pPr>
      <w:r w:rsidRPr="00C3671E">
        <w:t xml:space="preserve">Third, roles </w:t>
      </w:r>
      <w:r w:rsidRPr="00C3671E">
        <w:rPr>
          <w:lang w:eastAsia="zh-CN"/>
        </w:rPr>
        <w:t>promoted</w:t>
      </w:r>
      <w:r w:rsidRPr="00C3671E">
        <w:t xml:space="preserve"> by active ageing are closer to postmaterialist than materialist value orientation. Prolonged working career is a seemingly materialist aim, since income is the </w:t>
      </w:r>
      <w:r w:rsidRPr="00C3671E">
        <w:lastRenderedPageBreak/>
        <w:t xml:space="preserve">strongest incentive to paid work </w:t>
      </w:r>
      <w:r w:rsidRPr="00C3671E">
        <w:fldChar w:fldCharType="begin" w:fldLock="1"/>
      </w:r>
      <w:r w:rsidR="001257AA" w:rsidRPr="00C3671E">
        <w:instrText>ADDIN CSL_CITATION { "citationItems" : [ { "id" : "ITEM-1", "itemData" : { "DOI" : "10.1348/096317909X480167", "ISBN" : "0963-1798", "ISSN" : "09631798", "abstract" : "Can valuing money and material possessions lead to conflict between work and family? In this paper, we build on Carlson and Kacmar's call for more research on personal values in the context of the work-family interface. In a field study, we examined the relationship between materialism and two components of work-family conflict: work interference with family (WIF) and family interference with work (FIW). Results supported our main hypotheses that materialism is associated with both forms of work-family conflict. Further, work overload mediated the relationship between materialism and WIF, while FIW moderated the association between materialism and work overload, thus supporting a model of mediated moderation. By linking materialism to work-family conflict, this study adds to the growing evidence of the deleterious effects of holding materialistic values.", "author" : [ { "dropping-particle" : "", "family" : "Promislo", "given" : "Mark D.", "non-dropping-particle" : "", "parse-names" : false, "suffix" : "" }, { "dropping-particle" : "", "family" : "Deckop", "given" : "John R.", "non-dropping-particle" : "", "parse-names" : false, "suffix" : "" }, { "dropping-particle" : "", "family" : "Giacalone", "given" : "Robert A.", "non-dropping-particle" : "", "parse-names" : false, "suffix" : "" }, { "dropping-particle" : "", "family" : "Jurkiewicz", "given" : "Carole L.", "non-dropping-particle" : "", "parse-names" : false, "suffix" : "" } ], "container-title" : "Journal of Occupational and Organizational Psychology", "id" : "ITEM-1", "issue" : "4", "issued" : { "date-parts" : [ [ "2010" ] ] }, "page" : "935-953", "title" : "Valuing money more than people: The effects of materialism on work-family conflict", "type" : "article-journal", "volume" : "83" }, "uris" : [ "http://www.mendeley.com/documents/?uuid=838fa85d-2a50-44a0-a37f-d7a487e68232" ] } ], "mendeley" : { "formattedCitation" : "(Promislo et al. 2010)", "plainTextFormattedCitation" : "(Promislo et al. 2010)", "previouslyFormattedCitation" : "(Promislo et al. 2010)" }, "properties" : { "noteIndex" : 0 }, "schema" : "https://github.com/citation-style-language/schema/raw/master/csl-citation.json" }</w:instrText>
      </w:r>
      <w:r w:rsidRPr="00C3671E">
        <w:fldChar w:fldCharType="separate"/>
      </w:r>
      <w:r w:rsidR="00AA6335" w:rsidRPr="00C3671E">
        <w:rPr>
          <w:noProof/>
        </w:rPr>
        <w:t>(Promislo et al. 2010)</w:t>
      </w:r>
      <w:r w:rsidRPr="00C3671E">
        <w:fldChar w:fldCharType="end"/>
      </w:r>
      <w:r w:rsidRPr="00C3671E">
        <w:t xml:space="preserve"> and materialism is a strong motivator towards entrepreneurship </w:t>
      </w:r>
      <w:r w:rsidRPr="00C3671E">
        <w:fldChar w:fldCharType="begin" w:fldLock="1"/>
      </w:r>
      <w:r w:rsidRPr="00C3671E">
        <w:instrText>ADDIN CSL_CITATION { "citationItems" : [ { "id" : "ITEM-1", "itemData" : { "author" : [ { "dropping-particle" : "", "family" : "Uhlaner", "given" : "Lorraine", "non-dropping-particle" : "", "parse-names" : false, "suffix" : "" }, { "dropping-particle" : "", "family" : "Thurik", "given" : "Roy", "non-dropping-particle" : "", "parse-names" : false, "suffix" : "" } ], "collection-title" : "Discussion Papers on Entrepreneurship, Growth and Public Policy", "id" : "ITEM-1", "issued" : { "date-parts" : [ [ "2004" ] ] }, "number-of-pages" : "20", "publisher-place" : "Jena", "title" : "Post-Materialism Influencing Total Entrepreneurial Activity Across Nations", "type" : "report" }, "uris" : [ "http://www.mendeley.com/documents/?uuid=ef604cdd-00da-4ed6-93db-747c5e9c52b8" ] } ], "mendeley" : { "formattedCitation" : "(Uhlaner and Thurik 2004)", "plainTextFormattedCitation" : "(Uhlaner and Thurik 2004)", "previouslyFormattedCitation" : "(Uhlaner and Thurik 2004)" }, "properties" : { "noteIndex" : 0 }, "schema" : "https://github.com/citation-style-language/schema/raw/master/csl-citation.json" }</w:instrText>
      </w:r>
      <w:r w:rsidRPr="00C3671E">
        <w:fldChar w:fldCharType="separate"/>
      </w:r>
      <w:r w:rsidRPr="00C3671E">
        <w:rPr>
          <w:noProof/>
        </w:rPr>
        <w:t>(Uhlaner and Thurik 2004)</w:t>
      </w:r>
      <w:r w:rsidRPr="00C3671E">
        <w:fldChar w:fldCharType="end"/>
      </w:r>
      <w:r w:rsidRPr="00C3671E">
        <w:t xml:space="preserve">. However, paid work is also motivated by a need of appreciation </w:t>
      </w:r>
      <w:r w:rsidRPr="00C3671E">
        <w:fldChar w:fldCharType="begin" w:fldLock="1"/>
      </w:r>
      <w:r w:rsidR="001257AA" w:rsidRPr="00C3671E">
        <w:instrText>ADDIN CSL_CITATION { "citationItems" : [ { "id" : "ITEM-1", "itemData" : { "DOI" : "10.1348/096317909X480167", "ISBN" : "0963-1798", "ISSN" : "09631798", "abstract" : "Can valuing money and material possessions lead to conflict between work and family? In this paper, we build on Carlson and Kacmar's call for more research on personal values in the context of the work-family interface. In a field study, we examined the relationship between materialism and two components of work-family conflict: work interference with family (WIF) and family interference with work (FIW). Results supported our main hypotheses that materialism is associated with both forms of work-family conflict. Further, work overload mediated the relationship between materialism and WIF, while FIW moderated the association between materialism and work overload, thus supporting a model of mediated moderation. By linking materialism to work-family conflict, this study adds to the growing evidence of the deleterious effects of holding materialistic values.", "author" : [ { "dropping-particle" : "", "family" : "Promislo", "given" : "Mark D.", "non-dropping-particle" : "", "parse-names" : false, "suffix" : "" }, { "dropping-particle" : "", "family" : "Deckop", "given" : "John R.", "non-dropping-particle" : "", "parse-names" : false, "suffix" : "" }, { "dropping-particle" : "", "family" : "Giacalone", "given" : "Robert A.", "non-dropping-particle" : "", "parse-names" : false, "suffix" : "" }, { "dropping-particle" : "", "family" : "Jurkiewicz", "given" : "Carole L.", "non-dropping-particle" : "", "parse-names" : false, "suffix" : "" } ], "container-title" : "Journal of Occupational and Organizational Psychology", "id" : "ITEM-1", "issue" : "4", "issued" : { "date-parts" : [ [ "2010" ] ] }, "page" : "935-953", "title" : "Valuing money more than people: The effects of materialism on work-family conflict", "type" : "article-journal", "volume" : "83" }, "uris" : [ "http://www.mendeley.com/documents/?uuid=838fa85d-2a50-44a0-a37f-d7a487e68232" ] } ], "mendeley" : { "formattedCitation" : "(Promislo et al. 2010)", "plainTextFormattedCitation" : "(Promislo et al. 2010)", "previouslyFormattedCitation" : "(Promislo et al. 2010)" }, "properties" : { "noteIndex" : 0 }, "schema" : "https://github.com/citation-style-language/schema/raw/master/csl-citation.json" }</w:instrText>
      </w:r>
      <w:r w:rsidRPr="00C3671E">
        <w:fldChar w:fldCharType="separate"/>
      </w:r>
      <w:r w:rsidR="00AA6335" w:rsidRPr="00C3671E">
        <w:rPr>
          <w:noProof/>
        </w:rPr>
        <w:t>(Promislo et al. 2010)</w:t>
      </w:r>
      <w:r w:rsidRPr="00C3671E">
        <w:fldChar w:fldCharType="end"/>
      </w:r>
      <w:r w:rsidRPr="00C3671E">
        <w:t xml:space="preserve">, belonging, meaning, and other intrinsic motivators </w:t>
      </w:r>
      <w:r w:rsidRPr="00C3671E">
        <w:fldChar w:fldCharType="begin" w:fldLock="1"/>
      </w:r>
      <w:r w:rsidR="001257AA" w:rsidRPr="00C3671E">
        <w:instrText>ADDIN CSL_CITATION { "citationItems" : [ { "id" : "ITEM-1", "itemData" : { "DOI" : "10.1017/S0144686X10001091", "ISBN" : "0144686X (ISSN)", "ISSN" : "0144-686X", "PMID" : "59665633", "abstract" : "An engaged lifestyle is seen as an important component of successful ageing. Many older adults with high participation in social and leisure activities report positive wellbeing, a fact that fuelled the original activity theory and that continues to influence researchers, theorists and practitioners. This study's purpose is to review the conceptualisation and measurement of activity among older adults and the associations reported in the gerontological literature between specific dimensions of activity and wellbeing. We searched published studies that focused on social and leisure activity and wellbeing, and found 42 studies in 44 articles published between 1995 and 2009. They reported from one to 13 activity domains, the majority reporting two or three, such as informal , formal and solitary , or productive versus leisure . Domains associated with subjective wellbeing, health or survival included social, leisure, productive, physical, intellectual, service and solitary activities. Informal social activity has accumulated the most evidence of an influence on wellbeing. Individual descriptors such as gender or physical functioning sometimes moderate these associations, while contextual variables such as choice, meaning or perceived quality play intervening roles. Differences in definitions and measurement make it difficult to draw inferences about this body of evidence on the associations between activity and wellbeing. Activity theory serves as shorthand for these associations, but gerontology must better integrate developmental and psychological constructs into a refined, comprehensive activity theory.", "author" : [ { "dropping-particle" : "", "family" : "Adams", "given" : "Kathryn Betts", "non-dropping-particle" : "", "parse-names" : false, "suffix" : "" }, { "dropping-particle" : "", "family" : "Leibbrandt", "given" : "Sylvia", "non-dropping-particle" : "", "parse-names" : false, "suffix" : "" }, { "dropping-particle" : "", "family" : "Moon", "given" : "Heehyul", "non-dropping-particle" : "", "parse-names" : false, "suffix" : "" } ], "container-title" : "Ageing and Society", "id" : "ITEM-1", "issue" : "04", "issued" : { "date-parts" : [ [ "2011" ] ] }, "page" : "683-712", "title" : "A critical review of the literature on social and leisure activity and wellbeing in later life", "type" : "article-journal", "volume" : "31" }, "uris" : [ "http://www.mendeley.com/documents/?uuid=28bf1c76-83b5-46ba-8c9c-efd885614e50" ] }, { "id" : "ITEM-2", "itemData" : { "author" : [ { "dropping-particle" : "", "family" : "Kim", "given" : "Jungmeen E", "non-dropping-particle" : "", "parse-names" : false, "suffix" : "" }, { "dropping-particle" : "", "family" : "Moen", "given" : "Phyllis", "non-dropping-particle" : "", "parse-names" : false, "suffix" : "" } ], "container-title" : "Journal of Gerontology: Psychological Series", "id" : "ITEM-2", "issue" : "3", "issued" : { "date-parts" : [ [ "2002" ] ] }, "note" : "Kim, Moen 2002: Retirement Transitions, Gender, and Psychological Well-Being: A Life-Course, Ecological Model\nlongitudinal: retirement\u2192well-being (morale scale, CES-D); married 50-72\nmultiple imputations of missing values\nmoving out from demanding job loosing occupational attachments, network, and anchor for identity\nrole theory + life-course perspetive \u2192 role enhancement X role strain\ncontinuity theory - maintaining patterns, stability\na life-course, ecological model - best for this issue\n- locating transitions in the social contexts of other roles, relations, and developmental processes\n- process, linked lives, context\nthe relationship between retirement and psychological well-being must be viewed in a temporal, life course context\nmaking the transition to retirement within the last 2 years is associated with higher levels of morale for men, whereas being \u201ccontinuously\u201d retired is related to greater depressive symptoms among men\n- enjoyable \u201choneymoon\u201d phase proposed by Atchley (1976b) - right after the event of retirement there often is a euphoric, busy, honeymoon phase\nthe importance of resources and contexts of transitions (gender, prior level of well-being, spouses\u2019 circumstance, and changes in personal control, marital quality, subjective health, and income adequacy\n\u2192\nWomen\u2019s retirement: Policy implications of recent research\nIs retirement good or bad for subjective well-being?\nCouples\u2019 work/retirement transitions, gender, and marital quality\nMen\u2019s retirement and marital quality\nVolunteering and mortality among older adults: Findings from a national sample\nThe retiree identity: Gender and race differences", "page" : "212-222", "title" : "Retirement Transitions, Gender, and Psychological Well-Being: A Life-Course , Ecological Model", "type" : "article-journal", "volume" : "57" }, "uris" : [ "http://www.mendeley.com/documents/?uuid=d324d834-c4ee-483d-b637-cc2ca78095c1" ] } ], "mendeley" : { "formattedCitation" : "(Adams et al. 2011; Kim and Moen 2002)", "plainTextFormattedCitation" : "(Adams et al. 2011; Kim and Moen 2002)", "previouslyFormattedCitation" : "(Adams et al. 2011; Kim and Moen 2002)" }, "properties" : { "noteIndex" : 0 }, "schema" : "https://github.com/citation-style-language/schema/raw/master/csl-citation.json" }</w:instrText>
      </w:r>
      <w:r w:rsidRPr="00C3671E">
        <w:fldChar w:fldCharType="separate"/>
      </w:r>
      <w:r w:rsidR="00A91559" w:rsidRPr="00C3671E">
        <w:rPr>
          <w:noProof/>
        </w:rPr>
        <w:t>(Adams et al. 2011; Kim and Moen 2002)</w:t>
      </w:r>
      <w:r w:rsidRPr="00C3671E">
        <w:fldChar w:fldCharType="end"/>
      </w:r>
      <w:r w:rsidRPr="00C3671E">
        <w:t xml:space="preserve"> contained in the postmaterialist orientation. Activities like volunteering, lifelong learning, doing sports, and active political participation are more postmaterialist </w:t>
      </w:r>
      <w:r w:rsidRPr="00C3671E">
        <w:fldChar w:fldCharType="begin" w:fldLock="1"/>
      </w:r>
      <w:r w:rsidR="001257AA" w:rsidRPr="00C3671E">
        <w:instrText>ADDIN CSL_CITATION { "citationItems" : [ { "id" : "ITEM-1", "itemData" : { "author" : [ { "dropping-particle" : "", "family" : "Inglehart", "given" : "Ronald", "non-dropping-particle" : "", "parse-names" : false, "suffix" : "" } ], "id" : "ITEM-1", "issued" : { "date-parts" : [ [ "1990" ] ] }, "publisher" : "Princeton University Press", "publisher-place" : "Princeton", "title" : "Culture Shift in Advanced Industrial Society", "type" : "book" }, "uris" : [ "http://www.mendeley.com/documents/?uuid=25dc8f63-d26d-432e-8cdc-a1a2c72d612c" ] }, { "id" : "ITEM-2", "itemData" : { "DOI" : "10.1111/j.1467-9221.2005.00425.x", "ISBN" : "0162-895X", "ISSN" : "0162895X", "PMID" : "16417727", "abstract" : "Participation in voluntary associations is explained by different theories in sociology, psy- chology, and political science. Sociologists have emphasized the effects of resources such as human and social capital. Psychologists have demonstrated the role of empathy and extraversion as aspects of personality. Political scientists have considered political values and attitudes. This paper investigates the predictive value of personality characteristics, political values, and social conditions for civic engagement. Data from the Family Survey of the Dutch Population 2000 (n = 1,587) show that active citizens have more human and social capital available to them, they are more interested in politics, have more post mate- rialistic value orientations, prefer leftist or Christian political parties, are less conscien- tious persons, and show more empathic concern with other people. Relations of personality characteristics with civic engagement were partly intermediated by church attendance and the level of education and varied in complex ways with hourly wages. My results show how social, political, and psychological characteristics are jointly related to civic engagement.", "author" : [ { "dropping-particle" : "", "family" : "Bekkers", "given" : "Ren\u00e9", "non-dropping-particle" : "", "parse-names" : false, "suffix" : "" } ], "container-title" : "Political Psychology", "id" : "ITEM-2", "issue" : "3", "issued" : { "date-parts" : [ [ "2005" ] ] }, "page" : "439-454", "title" : "Participation in voluntary associations: Relations with resources, personality, and political values", "type" : "article-journal", "volume" : "26" }, "uris" : [ "http://www.mendeley.com/documents/?uuid=2c18a2c6-508d-4c03-8438-2c1c89b0a10c" ] }, { "id" : "ITEM-3", "itemData" : { "DOI" : "10.1080/01490400802165032", "ISSN" : "01490400", "abstract" : "This article reports exploratory research about tendencies toward postmaterialism in university students. This paper used the theoretical framework proposed by Inglehart regarding three categories of leisure: postmaterialist, materialist and common. Students from a Spanish university (N = 1036) completed questionnaires that evaluated their materialist-postmaterialist values, how often they practiced the activities included in each category of leisure and the motivational factors involved in them. The results revealed that university students showed a tendency toward postmaterialism. Further, relationships were found between materialist-postmaterialist values and categories of leisure. This study results suggested that the tendency toward postmaterialist values may be a factor in structuring the leisure patterns of young Spanish university students.", "author" : [ { "dropping-particle" : "", "family" : "Aguila", "given" : "Cornelio", "non-dropping-particle" : "", "parse-names" : false, "suffix" : "" }, { "dropping-particle" : "", "family" : "Sicilia-Camacho", "given" : "Alvaro", "non-dropping-particle" : "", "parse-names" : false, "suffix" : "" }, { "dropping-particle" : "", "family" : "Rojas Tejada", "given" : "Antonio", "non-dropping-particle" : "", "parse-names" : false, "suffix" : "" }, { "dropping-particle" : "", "family" : "Delgado-Noguera", "given" : "Miguel", "non-dropping-particle" : "", "parse-names" : false, "suffix" : "" }, { "dropping-particle" : "", "family" : "Gard", "given" : "Michael", "non-dropping-particle" : "", "parse-names" : false, "suffix" : "" } ], "container-title" : "Leisure Sciences", "id" : "ITEM-3", "issue" : "4", "issued" : { "date-parts" : [ [ "2008" ] ] }, "page" : "275-292", "title" : "Postmodern values and leisure in young Spanish university students: An exploratory study", "type" : "article-journal", "volume" : "30" }, "uris" : [ "http://www.mendeley.com/documents/?uuid=8e6b157c-fce5-4b2f-b7f8-71c3b5533f3a" ] }, { "id" : "ITEM-4", "itemData" : { "author" : [ { "dropping-particle" : "", "family" : "Barrett", "given" : "Martyn", "non-dropping-particle" : "", "parse-names" : false, "suffix" : "" }, { "dropping-particle" : "", "family" : "Zani", "given" : "Bruna", "non-dropping-particle" : "", "parse-names" : false, "suffix" : "" } ], "chapter-number" : "1", "container-title" : "Political and civic engagement: multidisciplinary perspectives", "editor" : [ { "dropping-particle" : "", "family" : "Barrett", "given" : "Martyn", "non-dropping-particle" : "", "parse-names" : false, "suffix" : "" }, { "dropping-particle" : "", "family" : "Zani", "given" : "Bruna", "non-dropping-particle" : "", "parse-names" : false, "suffix" : "" } ], "id" : "ITEM-4", "issued" : { "date-parts" : [ [ "2015" ] ] }, "page" : "3-26", "publisher" : "Routledge", "publisher-place" : "Abingdon", "title" : "Political and civic engagement: theoretical understandings, evidence and policies", "type" : "chapter" }, "uris" : [ "http://www.mendeley.com/documents/?uuid=fcd5c917-4c26-4e6a-8369-3fb6ab22fc97" ] } ], "mendeley" : { "formattedCitation" : "(Aguila et al. 2008; Barrett and Zani 2015; Bekkers 2005; Inglehart 1990)", "plainTextFormattedCitation" : "(Aguila et al. 2008; Barrett and Zani 2015; Bekkers 2005; Inglehart 1990)", "previouslyFormattedCitation" : "(Aguila et al. 2008; Barrett and Zani 2015; Bekkers 2005; Inglehart 1990)" }, "properties" : { "noteIndex" : 0 }, "schema" : "https://github.com/citation-style-language/schema/raw/master/csl-citation.json" }</w:instrText>
      </w:r>
      <w:r w:rsidRPr="00C3671E">
        <w:fldChar w:fldCharType="separate"/>
      </w:r>
      <w:r w:rsidR="00A91559" w:rsidRPr="00C3671E">
        <w:rPr>
          <w:noProof/>
        </w:rPr>
        <w:t>(Aguila et al. 2008; Barrett and Zani 2015; Bekkers 2005; Inglehart 1990)</w:t>
      </w:r>
      <w:r w:rsidRPr="00C3671E">
        <w:fldChar w:fldCharType="end"/>
      </w:r>
      <w:r w:rsidRPr="00C3671E">
        <w:t xml:space="preserve">, while physical activities in agriculture and participation in religious organization seems materialist </w:t>
      </w:r>
      <w:r w:rsidRPr="00C3671E">
        <w:fldChar w:fldCharType="begin" w:fldLock="1"/>
      </w:r>
      <w:r w:rsidR="001257AA" w:rsidRPr="00C3671E">
        <w:instrText>ADDIN CSL_CITATION { "citationItems" : [ { "id" : "ITEM-1", "itemData" : { "author" : [ { "dropping-particle" : "", "family" : "Inglehart", "given" : "Ronald", "non-dropping-particle" : "", "parse-names" : false, "suffix" : "" } ], "id" : "ITEM-1", "issued" : { "date-parts" : [ [ "1990" ] ] }, "publisher" : "Princeton University Press", "publisher-place" : "Princeton", "title" : "Culture Shift in Advanced Industrial Society", "type" : "book" }, "uris" : [ "http://www.mendeley.com/documents/?uuid=25dc8f63-d26d-432e-8cdc-a1a2c72d612c" ] }, { "id" : "ITEM-2", "itemData" : { "author" : [ { "dropping-particle" : "", "family" : "Inglehart", "given" : "Ronald", "non-dropping-particle" : "", "parse-names" : false, "suffix" : "" } ], "id" : "ITEM-2", "issued" : { "date-parts" : [ [ "1997" ] ] }, "publisher" : "Princeton University Press", "publisher-place" : "Princeton", "title" : "Modernization and postmodernization: Cultural, economic, and political change in 43 societies", "type" : "book" }, "uris" : [ "http://www.mendeley.com/documents/?uuid=d9d09854-470b-4e95-9b3e-bf59c6eb759b" ] }, { "id" : "ITEM-3", "itemData" : { "author" : [ { "dropping-particle" : "", "family" : "Inglehart", "given" : "Ronald F.", "non-dropping-particle" : "", "parse-names" : false, "suffix" : "" } ], "chapter-number" : "12", "container-title" : "International Differences in Well-Being", "editor" : [ { "dropping-particle" : "", "family" : "Diener", "given" : "Ed", "non-dropping-particle" : "", "parse-names" : false, "suffix" : "" }, { "dropping-particle" : "", "family" : "Helliwell", "given" : "John F", "non-dropping-particle" : "", "parse-names" : false, "suffix" : "" }, { "dropping-particle" : "", "family" : "Kahneman", "given" : "Daniel", "non-dropping-particle" : "", "parse-names" : false, "suffix" : "" } ], "id" : "ITEM-3", "issued" : { "date-parts" : [ [ "2010" ] ] }, "page" : "351-397", "publisher" : "Oxford University Press", "publisher-place" : "New York", "title" : "Faith and Freedom: Traditional and Modern Ways", "type" : "chapter" }, "uris" : [ "http://www.mendeley.com/documents/?uuid=e0520317-a2b5-490c-b12a-67d2d8d10e24" ] }, { "id" : "ITEM-4", "itemData" : { "DOI" : "10.1080/01490400802165032", "ISSN" : "01490400", "abstract" : "This article reports exploratory research about tendencies toward postmaterialism in university students. This paper used the theoretical framework proposed by Inglehart regarding three categories of leisure: postmaterialist, materialist and common. Students from a Spanish university (N = 1036) completed questionnaires that evaluated their materialist-postmaterialist values, how often they practiced the activities included in each category of leisure and the motivational factors involved in them. The results revealed that university students showed a tendency toward postmaterialism. Further, relationships were found between materialist-postmaterialist values and categories of leisure. This study results suggested that the tendency toward postmaterialist values may be a factor in structuring the leisure patterns of young Spanish university students.", "author" : [ { "dropping-particle" : "", "family" : "Aguila", "given" : "Cornelio", "non-dropping-particle" : "", "parse-names" : false, "suffix" : "" }, { "dropping-particle" : "", "family" : "Sicilia-Camacho", "given" : "Alvaro", "non-dropping-particle" : "", "parse-names" : false, "suffix" : "" }, { "dropping-particle" : "", "family" : "Rojas Tejada", "given" : "Antonio", "non-dropping-particle" : "", "parse-names" : false, "suffix" : "" }, { "dropping-particle" : "", "family" : "Delgado-Noguera", "given" : "Miguel", "non-dropping-particle" : "", "parse-names" : false, "suffix" : "" }, { "dropping-particle" : "", "family" : "Gard", "given" : "Michael", "non-dropping-particle" : "", "parse-names" : false, "suffix" : "" } ], "container-title" : "Leisure Sciences", "id" : "ITEM-4", "issue" : "4", "issued" : { "date-parts" : [ [ "2008" ] ] }, "page" : "275-292", "title" : "Postmodern values and leisure in young Spanish university students: An exploratory study", "type" : "article-journal", "volume" : "30" }, "uris" : [ "http://www.mendeley.com/documents/?uuid=8e6b157c-fce5-4b2f-b7f8-71c3b5533f3a" ] } ], "mendeley" : { "formattedCitation" : "(Aguila et al. 2008; Inglehart 1990, 1997, 2010)", "plainTextFormattedCitation" : "(Aguila et al. 2008; Inglehart 1990, 1997, 2010)", "previouslyFormattedCitation" : "(Aguila et al. 2008; Inglehart 1990, 1997, 2010)" }, "properties" : { "noteIndex" : 0 }, "schema" : "https://github.com/citation-style-language/schema/raw/master/csl-citation.json" }</w:instrText>
      </w:r>
      <w:r w:rsidRPr="00C3671E">
        <w:fldChar w:fldCharType="separate"/>
      </w:r>
      <w:r w:rsidR="00A91559" w:rsidRPr="00C3671E">
        <w:rPr>
          <w:noProof/>
        </w:rPr>
        <w:t>(Aguila et al. 2008; Inglehart 1990, 1997, 2010)</w:t>
      </w:r>
      <w:r w:rsidRPr="00C3671E">
        <w:fldChar w:fldCharType="end"/>
      </w:r>
      <w:r w:rsidRPr="00C3671E">
        <w:t xml:space="preserve">. Then, provision of care and help to others can be motivated both by traditional family norms </w:t>
      </w:r>
      <w:r w:rsidRPr="00C3671E">
        <w:fldChar w:fldCharType="begin" w:fldLock="1"/>
      </w:r>
      <w:r w:rsidRPr="00C3671E">
        <w:instrText>ADDIN CSL_CITATION { "citationItems" : [ { "id" : "ITEM-1", "itemData" : { "DOI" : "10.1007/s10433-013-0294-4", "ISBN" : "1613-9372", "ISSN" : "1613-9372", "abstract" : "This study employs the concept of structured ambivalence to analyse the effect of grandchild care on quality of life (QoL) in different cultural contexts. We define structured ambivalence as the contradiction between behaviour and cultural norms. The analysis is based on the Survey of Health, Ageing and Retirement in Europe with 14 countries in the sample. We focus on grandparents aged 50 and over with at least one grandchild 12 years old or younger (n = 12,740). In countries with high grandparent obligations, grandparents who did not look after their grandchildren reported a lower quality of life. Compliance with such grandparental obligations (e.g. providing grandchild care in a country with high grandparent obligations) was found to increase the QoL of grandparents. Family policy should consider family practices that better match the realities of current grandparents\u2019 lives in order to reduce structured ambivalence and increase the QoL of grandparents.", "author" : [ { "dropping-particle" : "", "family" : "Neuberger", "given" : "Franz S.", "non-dropping-particle" : "", "parse-names" : false, "suffix" : "" }, { "dropping-particle" : "", "family" : "Haberkern", "given" : "Klaus", "non-dropping-particle" : "", "parse-names" : false, "suffix" : "" } ], "container-title" : "European Journal of Ageing", "id" : "ITEM-1", "issue" : "2", "issued" : { "date-parts" : [ [ "2014" ] ] }, "page" : "171-181", "title" : "Structured ambivalence in grandchild care and the quality of life among European grandparents", "type" : "article-journal", "volume" : "11" }, "uris" : [ "http://www.mendeley.com/documents/?uuid=f5b5cac1-e999-4c39-a97d-1363ab276312" ] } ], "mendeley" : { "formattedCitation" : "(Neuberger and Haberkern 2014)", "plainTextFormattedCitation" : "(Neuberger and Haberkern 2014)", "previouslyFormattedCitation" : "(Neuberger and Haberkern 2014)" }, "properties" : { "noteIndex" : 0 }, "schema" : "https://github.com/citation-style-language/schema/raw/master/csl-citation.json" }</w:instrText>
      </w:r>
      <w:r w:rsidRPr="00C3671E">
        <w:fldChar w:fldCharType="separate"/>
      </w:r>
      <w:r w:rsidRPr="00C3671E">
        <w:rPr>
          <w:noProof/>
        </w:rPr>
        <w:t>(Neuberger and Haberkern 2014)</w:t>
      </w:r>
      <w:r w:rsidRPr="00C3671E">
        <w:fldChar w:fldCharType="end"/>
      </w:r>
      <w:r w:rsidRPr="00C3671E">
        <w:t xml:space="preserve"> and by willingness to improve interpersonal relationships and individual quality of life </w:t>
      </w:r>
      <w:r w:rsidRPr="00C3671E">
        <w:fldChar w:fldCharType="begin" w:fldLock="1"/>
      </w:r>
      <w:r w:rsidR="001257AA" w:rsidRPr="00C3671E">
        <w:instrText>ADDIN CSL_CITATION { "citationItems" : [ { "id" : "ITEM-1", "itemData" : { "DOI" : "10.1348/096317909X480167", "ISBN" : "0963-1798", "ISSN" : "09631798", "abstract" : "Can valuing money and material possessions lead to conflict between work and family? In this paper, we build on Carlson and Kacmar's call for more research on personal values in the context of the work-family interface. In a field study, we examined the relationship between materialism and two components of work-family conflict: work interference with family (WIF) and family interference with work (FIW). Results supported our main hypotheses that materialism is associated with both forms of work-family conflict. Further, work overload mediated the relationship between materialism and WIF, while FIW moderated the association between materialism and work overload, thus supporting a model of mediated moderation. By linking materialism to work-family conflict, this study adds to the growing evidence of the deleterious effects of holding materialistic values.", "author" : [ { "dropping-particle" : "", "family" : "Promislo", "given" : "Mark D.", "non-dropping-particle" : "", "parse-names" : false, "suffix" : "" }, { "dropping-particle" : "", "family" : "Deckop", "given" : "John R.", "non-dropping-particle" : "", "parse-names" : false, "suffix" : "" }, { "dropping-particle" : "", "family" : "Giacalone", "given" : "Robert A.", "non-dropping-particle" : "", "parse-names" : false, "suffix" : "" }, { "dropping-particle" : "", "family" : "Jurkiewicz", "given" : "Carole L.", "non-dropping-particle" : "", "parse-names" : false, "suffix" : "" } ], "container-title" : "Journal of Occupational and Organizational Psychology", "id" : "ITEM-1", "issue" : "4", "issued" : { "date-parts" : [ [ "2010" ] ] }, "page" : "935-953", "title" : "Valuing money more than people: The effects of materialism on work-family conflict", "type" : "article-journal", "volume" : "83" }, "uris" : [ "http://www.mendeley.com/documents/?uuid=838fa85d-2a50-44a0-a37f-d7a487e68232" ] } ], "mendeley" : { "formattedCitation" : "(Promislo et al. 2010)", "plainTextFormattedCitation" : "(Promislo et al. 2010)", "previouslyFormattedCitation" : "(Promislo et al. 2010)" }, "properties" : { "noteIndex" : 0 }, "schema" : "https://github.com/citation-style-language/schema/raw/master/csl-citation.json" }</w:instrText>
      </w:r>
      <w:r w:rsidRPr="00C3671E">
        <w:fldChar w:fldCharType="separate"/>
      </w:r>
      <w:r w:rsidR="00AA6335" w:rsidRPr="00C3671E">
        <w:rPr>
          <w:noProof/>
        </w:rPr>
        <w:t>(Promislo et al. 2010)</w:t>
      </w:r>
      <w:r w:rsidRPr="00C3671E">
        <w:fldChar w:fldCharType="end"/>
      </w:r>
      <w:r w:rsidRPr="00C3671E">
        <w:t>, which makes it an activity ‘in between’. Generally, most of the activities can be based on either materialist or postmaterialist motives, so the context is always crucial. Nevertheless, the way of promoting these activities within the active ageing framework, its gender-neutrality, and the stress on subjective quality of life as the most desirable outcome reflect postmaterialism as the relatively more prevalent value orientation among creators of this approach.</w:t>
      </w:r>
    </w:p>
    <w:p w14:paraId="4FE81FF8" w14:textId="77777777" w:rsidR="00676326" w:rsidRPr="00C3671E" w:rsidRDefault="00676326" w:rsidP="00676326">
      <w:pPr>
        <w:pStyle w:val="Newparagraph"/>
        <w:jc w:val="both"/>
      </w:pPr>
      <w:r w:rsidRPr="00C3671E">
        <w:t xml:space="preserve">In terms of </w:t>
      </w:r>
      <w:r w:rsidRPr="00C3671E">
        <w:rPr>
          <w:lang w:eastAsia="zh-CN"/>
        </w:rPr>
        <w:t>Maslow’s</w:t>
      </w:r>
      <w:r w:rsidRPr="00C3671E">
        <w:t xml:space="preserve"> hierarchy of needs, Inglehart gives the value changes from career pursuit and tradition norms towards the struggle for appreciation and self-realization rather positive connotations, while the interpretation of these phenomena by Christopher </w:t>
      </w:r>
      <w:r w:rsidRPr="00C3671E">
        <w:fldChar w:fldCharType="begin" w:fldLock="1"/>
      </w:r>
      <w:r w:rsidRPr="00C3671E">
        <w:instrText>ADDIN CSL_CITATION { "citationItems" : [ { "id" : "ITEM-1", "itemData" : { "author" : [ { "dropping-particle" : "", "family" : "Lasch", "given" : "Christopher", "non-dropping-particle" : "", "parse-names" : false, "suffix" : "" } ], "id" : "ITEM-1", "issued" : { "date-parts" : [ [ "1991" ] ] }, "number-of-pages" : "282", "publisher" : "W. W. Norton &amp; Company", "publisher-place" : "New York", "title" : "The Culture of Narcissism: American Life in an Age of Diminishing Expectations", "type" : "book" }, "uris" : [ "http://www.mendeley.com/documents/?uuid=e0eeb042-9896-49cf-9759-b094cd5a1af6" ] } ], "mendeley" : { "formattedCitation" : "(Lasch 1991)", "manualFormatting" : "Lasch (1991)", "plainTextFormattedCitation" : "(Lasch 1991)", "previouslyFormattedCitation" : "(Lasch 1991)" }, "properties" : { "noteIndex" : 0 }, "schema" : "https://github.com/citation-style-language/schema/raw/master/csl-citation.json" }</w:instrText>
      </w:r>
      <w:r w:rsidRPr="00C3671E">
        <w:fldChar w:fldCharType="separate"/>
      </w:r>
      <w:r w:rsidRPr="00C3671E">
        <w:rPr>
          <w:noProof/>
        </w:rPr>
        <w:t>Lasch (1991)</w:t>
      </w:r>
      <w:r w:rsidRPr="00C3671E">
        <w:fldChar w:fldCharType="end"/>
      </w:r>
      <w:r w:rsidRPr="00C3671E">
        <w:t xml:space="preserve"> is opposite. </w:t>
      </w:r>
      <w:r w:rsidRPr="00C3671E">
        <w:fldChar w:fldCharType="begin" w:fldLock="1"/>
      </w:r>
      <w:r w:rsidRPr="00C3671E">
        <w:instrText>ADDIN CSL_CITATION { "citationItems" : [ { "id" : "ITEM-1", "itemData" : { "author" : [ { "dropping-particle" : "", "family" : "Lasch", "given" : "Christopher", "non-dropping-particle" : "", "parse-names" : false, "suffix" : "" } ], "id" : "ITEM-1", "issued" : { "date-parts" : [ [ "1991" ] ] }, "number-of-pages" : "282", "publisher" : "W. W. Norton &amp; Company", "publisher-place" : "New York", "title" : "The Culture of Narcissism: American Life in an Age of Diminishing Expectations", "type" : "book" }, "uris" : [ "http://www.mendeley.com/documents/?uuid=e0eeb042-9896-49cf-9759-b094cd5a1af6" ] } ], "mendeley" : { "formattedCitation" : "(Lasch 1991)", "manualFormatting" : "Lasch (1991)", "plainTextFormattedCitation" : "(Lasch 1991)", "previouslyFormattedCitation" : "(Lasch 1991)" }, "properties" : { "noteIndex" : 0 }, "schema" : "https://github.com/citation-style-language/schema/raw/master/csl-citation.json" }</w:instrText>
      </w:r>
      <w:r w:rsidRPr="00C3671E">
        <w:fldChar w:fldCharType="separate"/>
      </w:r>
      <w:r w:rsidRPr="00C3671E">
        <w:rPr>
          <w:noProof/>
        </w:rPr>
        <w:t>Lasch (1991)</w:t>
      </w:r>
      <w:r w:rsidRPr="00C3671E">
        <w:fldChar w:fldCharType="end"/>
      </w:r>
      <w:r w:rsidRPr="00C3671E">
        <w:t xml:space="preserve"> diagnose the contemporary US society as the </w:t>
      </w:r>
      <w:r w:rsidRPr="00C3671E">
        <w:rPr>
          <w:i/>
        </w:rPr>
        <w:t>Culture of Narcissism</w:t>
      </w:r>
      <w:r w:rsidRPr="00C3671E">
        <w:t xml:space="preserve">. This diagnosis is based on a shift of the most prevalent psychological and psychiatric individual diagnosis from obsessions and neuroses towards narcissism. </w:t>
      </w:r>
      <w:r w:rsidRPr="00C3671E">
        <w:fldChar w:fldCharType="begin" w:fldLock="1"/>
      </w:r>
      <w:r w:rsidRPr="00C3671E">
        <w:instrText>ADDIN CSL_CITATION { "citationItems" : [ { "id" : "ITEM-1", "itemData" : { "author" : [ { "dropping-particle" : "", "family" : "Lasch", "given" : "Christopher", "non-dropping-particle" : "", "parse-names" : false, "suffix" : "" } ], "id" : "ITEM-1", "issued" : { "date-parts" : [ [ "1991" ] ] }, "number-of-pages" : "282", "publisher" : "W. W. Norton &amp; Company", "publisher-place" : "New York", "title" : "The Culture of Narcissism: American Life in an Age of Diminishing Expectations", "type" : "book" }, "uris" : [ "http://www.mendeley.com/documents/?uuid=e0eeb042-9896-49cf-9759-b094cd5a1af6" ] } ], "mendeley" : { "formattedCitation" : "(Lasch 1991)", "manualFormatting" : "Lasch (1991)", "plainTextFormattedCitation" : "(Lasch 1991)", "previouslyFormattedCitation" : "(Lasch 1991)" }, "properties" : { "noteIndex" : 0 }, "schema" : "https://github.com/citation-style-language/schema/raw/master/csl-citation.json" }</w:instrText>
      </w:r>
      <w:r w:rsidRPr="00C3671E">
        <w:fldChar w:fldCharType="separate"/>
      </w:r>
      <w:r w:rsidRPr="00C3671E">
        <w:rPr>
          <w:noProof/>
        </w:rPr>
        <w:t>Lasch (1991)</w:t>
      </w:r>
      <w:r w:rsidRPr="00C3671E">
        <w:fldChar w:fldCharType="end"/>
      </w:r>
      <w:r w:rsidRPr="00C3671E">
        <w:t xml:space="preserve"> supposes that the most prevalent diagnosis is the most prevalent type of personality in a society as well as the characteristic of the whole society. These levels of social reality are interconnected, because ‘new social forms require new forms of personality, new modes of socialization, new ways of organizing experience’ </w:t>
      </w:r>
      <w:r w:rsidRPr="00C3671E">
        <w:fldChar w:fldCharType="begin" w:fldLock="1"/>
      </w:r>
      <w:r w:rsidRPr="00C3671E">
        <w:instrText>ADDIN CSL_CITATION { "citationItems" : [ { "id" : "ITEM-1", "itemData" : { "author" : [ { "dropping-particle" : "", "family" : "Lasch", "given" : "Christopher", "non-dropping-particle" : "", "parse-names" : false, "suffix" : "" } ], "id" : "ITEM-1", "issued" : { "date-parts" : [ [ "1991" ] ] }, "number-of-pages" : "282", "publisher" : "W. W. Norton &amp; Company", "publisher-place" : "New York", "title" : "The Culture of Narcissism: American Life in an Age of Diminishing Expectations", "type" : "book" }, "uris" : [ "http://www.mendeley.com/documents/?uuid=e0eeb042-9896-49cf-9759-b094cd5a1af6" ] } ], "mendeley" : { "formattedCitation" : "(Lasch 1991)", "manualFormatting" : "(Lasch 1991: 50)", "plainTextFormattedCitation" : "(Lasch 1991)", "previouslyFormattedCitation" : "(Lasch 1991)" }, "properties" : { "noteIndex" : 0 }, "schema" : "https://github.com/citation-style-language/schema/raw/master/csl-citation.json" }</w:instrText>
      </w:r>
      <w:r w:rsidRPr="00C3671E">
        <w:fldChar w:fldCharType="separate"/>
      </w:r>
      <w:r w:rsidRPr="00C3671E">
        <w:rPr>
          <w:noProof/>
        </w:rPr>
        <w:t>(Lasch 1991: 50)</w:t>
      </w:r>
      <w:r w:rsidRPr="00C3671E">
        <w:fldChar w:fldCharType="end"/>
      </w:r>
      <w:r w:rsidRPr="00C3671E">
        <w:t xml:space="preserve">, while each society shapes its members in a desirable </w:t>
      </w:r>
      <w:r w:rsidRPr="00C3671E">
        <w:lastRenderedPageBreak/>
        <w:t xml:space="preserve">way in the process of socialization. The new social form requiring narcissist personality is most of all the late capitalism, which benefit from a spread of narcissism both in production and consumption. Firstly, the narcissist is an ideal employee for an unstable labour market dominated by large corporations and bureaucratic organizations, since he is flexible, good in manipulation with others, entering an only shallow relationship, driven more by external condition than own corruptible personality, and longing for appreciation from others. Secondly, increasing consumption in a narcissistic society aims for escape from work, fulfilling inner self by the satisfaction of new needs invented by advertising, and getting an appreciation of others for a consumption of the right products in the right way </w:t>
      </w:r>
      <w:r w:rsidRPr="00C3671E">
        <w:fldChar w:fldCharType="begin" w:fldLock="1"/>
      </w:r>
      <w:r w:rsidRPr="00C3671E">
        <w:instrText>ADDIN CSL_CITATION { "citationItems" : [ { "id" : "ITEM-1", "itemData" : { "author" : [ { "dropping-particle" : "", "family" : "Lasch", "given" : "Christopher", "non-dropping-particle" : "", "parse-names" : false, "suffix" : "" } ], "id" : "ITEM-1", "issued" : { "date-parts" : [ [ "1991" ] ] }, "number-of-pages" : "282", "publisher" : "W. W. Norton &amp; Company", "publisher-place" : "New York", "title" : "The Culture of Narcissism: American Life in an Age of Diminishing Expectations", "type" : "book" }, "uris" : [ "http://www.mendeley.com/documents/?uuid=e0eeb042-9896-49cf-9759-b094cd5a1af6" ] } ], "mendeley" : { "formattedCitation" : "(Lasch 1991)", "plainTextFormattedCitation" : "(Lasch 1991)", "previouslyFormattedCitation" : "(Lasch 1991)" }, "properties" : { "noteIndex" : 0 }, "schema" : "https://github.com/citation-style-language/schema/raw/master/csl-citation.json" }</w:instrText>
      </w:r>
      <w:r w:rsidRPr="00C3671E">
        <w:fldChar w:fldCharType="separate"/>
      </w:r>
      <w:r w:rsidRPr="00C3671E">
        <w:rPr>
          <w:noProof/>
        </w:rPr>
        <w:t>(Lasch 1991)</w:t>
      </w:r>
      <w:r w:rsidRPr="00C3671E">
        <w:fldChar w:fldCharType="end"/>
      </w:r>
      <w:r w:rsidRPr="00C3671E">
        <w:t>.</w:t>
      </w:r>
    </w:p>
    <w:p w14:paraId="171F4CEE" w14:textId="77777777" w:rsidR="00676326" w:rsidRPr="00C3671E" w:rsidRDefault="00676326" w:rsidP="00676326">
      <w:pPr>
        <w:pStyle w:val="Newparagraph"/>
        <w:jc w:val="both"/>
      </w:pPr>
      <w:r w:rsidRPr="00C3671E">
        <w:t xml:space="preserve">Apart from </w:t>
      </w:r>
      <w:r w:rsidRPr="00C3671E">
        <w:rPr>
          <w:lang w:eastAsia="zh-CN"/>
        </w:rPr>
        <w:t>describing</w:t>
      </w:r>
      <w:r w:rsidRPr="00C3671E">
        <w:t xml:space="preserve"> cultural processes in the capitalist society, </w:t>
      </w:r>
      <w:r w:rsidRPr="00C3671E">
        <w:fldChar w:fldCharType="begin" w:fldLock="1"/>
      </w:r>
      <w:r w:rsidRPr="00C3671E">
        <w:instrText>ADDIN CSL_CITATION { "citationItems" : [ { "id" : "ITEM-1", "itemData" : { "author" : [ { "dropping-particle" : "", "family" : "Lasch", "given" : "Christopher", "non-dropping-particle" : "", "parse-names" : false, "suffix" : "" } ], "id" : "ITEM-1", "issued" : { "date-parts" : [ [ "1991" ] ] }, "number-of-pages" : "282", "publisher" : "W. W. Norton &amp; Company", "publisher-place" : "New York", "title" : "The Culture of Narcissism: American Life in an Age of Diminishing Expectations", "type" : "book" }, "uris" : [ "http://www.mendeley.com/documents/?uuid=e0eeb042-9896-49cf-9759-b094cd5a1af6" ] } ], "mendeley" : { "formattedCitation" : "(Lasch 1991)", "manualFormatting" : "Lasch (1991)", "plainTextFormattedCitation" : "(Lasch 1991)", "previouslyFormattedCitation" : "(Lasch 1991)" }, "properties" : { "noteIndex" : 0 }, "schema" : "https://github.com/citation-style-language/schema/raw/master/csl-citation.json" }</w:instrText>
      </w:r>
      <w:r w:rsidRPr="00C3671E">
        <w:fldChar w:fldCharType="separate"/>
      </w:r>
      <w:r w:rsidRPr="00C3671E">
        <w:rPr>
          <w:noProof/>
        </w:rPr>
        <w:t>Lasch (1991)</w:t>
      </w:r>
      <w:r w:rsidRPr="00C3671E">
        <w:fldChar w:fldCharType="end"/>
      </w:r>
      <w:r w:rsidRPr="00C3671E">
        <w:t xml:space="preserve"> also makes some provocative statements about groups of people involved in the production and consumption. First, one of the consequences of a shift from paternalism towards individualism and gender equality is enabling women and children to be emancipated producers and consumers. Second, the same can be said about older people, though </w:t>
      </w:r>
      <w:r w:rsidRPr="00C3671E">
        <w:fldChar w:fldCharType="begin" w:fldLock="1"/>
      </w:r>
      <w:r w:rsidRPr="00C3671E">
        <w:instrText>ADDIN CSL_CITATION { "citationItems" : [ { "id" : "ITEM-1", "itemData" : { "author" : [ { "dropping-particle" : "", "family" : "Lasch", "given" : "Christopher", "non-dropping-particle" : "", "parse-names" : false, "suffix" : "" } ], "id" : "ITEM-1", "issued" : { "date-parts" : [ [ "1991" ] ] }, "number-of-pages" : "282", "publisher" : "W. W. Norton &amp; Company", "publisher-place" : "New York", "title" : "The Culture of Narcissism: American Life in an Age of Diminishing Expectations", "type" : "book" }, "uris" : [ "http://www.mendeley.com/documents/?uuid=e0eeb042-9896-49cf-9759-b094cd5a1af6" ] } ], "mendeley" : { "formattedCitation" : "(Lasch 1991)", "manualFormatting" : "Lasch (1991)", "plainTextFormattedCitation" : "(Lasch 1991)", "previouslyFormattedCitation" : "(Lasch 1991)" }, "properties" : { "noteIndex" : 0 }, "schema" : "https://github.com/citation-style-language/schema/raw/master/csl-citation.json" }</w:instrText>
      </w:r>
      <w:r w:rsidRPr="00C3671E">
        <w:fldChar w:fldCharType="separate"/>
      </w:r>
      <w:r w:rsidRPr="00C3671E">
        <w:rPr>
          <w:noProof/>
        </w:rPr>
        <w:t>Lasch (1991)</w:t>
      </w:r>
      <w:r w:rsidRPr="00C3671E">
        <w:fldChar w:fldCharType="end"/>
      </w:r>
      <w:r w:rsidRPr="00C3671E">
        <w:t xml:space="preserve"> does not mention that explicitly. Old age and death are the largest dread of the society, in which members long for appreciation from others based on youth, charm, and beauty. A sense of generational discontinuity leads each generation to struggle for its own preservation and each individual to avoid ageing through keeping themselves active, starting new life projects, and striving for quality of life instead of meaning and acceptation of new roles </w:t>
      </w:r>
      <w:r w:rsidRPr="00C3671E">
        <w:fldChar w:fldCharType="begin" w:fldLock="1"/>
      </w:r>
      <w:r w:rsidRPr="00C3671E">
        <w:instrText>ADDIN CSL_CITATION { "citationItems" : [ { "id" : "ITEM-1", "itemData" : { "author" : [ { "dropping-particle" : "", "family" : "Lasch", "given" : "Christopher", "non-dropping-particle" : "", "parse-names" : false, "suffix" : "" } ], "id" : "ITEM-1", "issued" : { "date-parts" : [ [ "1991" ] ] }, "number-of-pages" : "282", "publisher" : "W. W. Norton &amp; Company", "publisher-place" : "New York", "title" : "The Culture of Narcissism: American Life in an Age of Diminishing Expectations", "type" : "book" }, "uris" : [ "http://www.mendeley.com/documents/?uuid=e0eeb042-9896-49cf-9759-b094cd5a1af6" ] } ], "mendeley" : { "formattedCitation" : "(Lasch 1991)", "plainTextFormattedCitation" : "(Lasch 1991)", "previouslyFormattedCitation" : "(Lasch 1991)" }, "properties" : { "noteIndex" : 0 }, "schema" : "https://github.com/citation-style-language/schema/raw/master/csl-citation.json" }</w:instrText>
      </w:r>
      <w:r w:rsidRPr="00C3671E">
        <w:fldChar w:fldCharType="separate"/>
      </w:r>
      <w:r w:rsidRPr="00C3671E">
        <w:rPr>
          <w:noProof/>
        </w:rPr>
        <w:t>(Lasch 1991)</w:t>
      </w:r>
      <w:r w:rsidRPr="00C3671E">
        <w:fldChar w:fldCharType="end"/>
      </w:r>
      <w:r w:rsidRPr="00C3671E">
        <w:t>.</w:t>
      </w:r>
    </w:p>
    <w:p w14:paraId="26D70627" w14:textId="4804FACC" w:rsidR="00676326" w:rsidRPr="00C3671E" w:rsidRDefault="00676326" w:rsidP="00676326">
      <w:pPr>
        <w:pStyle w:val="Newparagraph"/>
        <w:jc w:val="both"/>
      </w:pPr>
      <w:r w:rsidRPr="00C3671E">
        <w:t xml:space="preserve">The accusation of the system from taking increasingly more control over individual lives has a strong tradition in the field of sociology. More recent examples are colonization of the lifeworld </w:t>
      </w:r>
      <w:r w:rsidRPr="00C3671E">
        <w:fldChar w:fldCharType="begin" w:fldLock="1"/>
      </w:r>
      <w:r w:rsidRPr="00C3671E">
        <w:instrText>ADDIN CSL_CITATION { "citationItems" : [ { "id" : "ITEM-1", "itemData" : { "author" : [ { "dropping-particle" : "", "family" : "Habermas", "given" : "J\u00fcrgen", "non-dropping-particle" : "", "parse-names" : false, "suffix" : "" } ], "id" : "ITEM-1", "issued" : { "date-parts" : [ [ "1987" ] ] }, "publisher" : "Polity Press", "publisher-place" : "Cambridge", "title" : "The theory of communicative action. Vol. 2, Lifeworld and system: a critique of functionalist reason", "type" : "book" }, "uris" : [ "http://www.mendeley.com/documents/?uuid=7c95905a-9408-4271-9913-7b1cfd1dae8a" ] } ], "mendeley" : { "formattedCitation" : "(Habermas 1987)", "plainTextFormattedCitation" : "(Habermas 1987)", "previouslyFormattedCitation" : "(Habermas 1987)" }, "properties" : { "noteIndex" : 0 }, "schema" : "https://github.com/citation-style-language/schema/raw/master/csl-citation.json" }</w:instrText>
      </w:r>
      <w:r w:rsidRPr="00C3671E">
        <w:fldChar w:fldCharType="separate"/>
      </w:r>
      <w:r w:rsidRPr="00C3671E">
        <w:rPr>
          <w:noProof/>
        </w:rPr>
        <w:t>(Habermas 1987)</w:t>
      </w:r>
      <w:r w:rsidRPr="00C3671E">
        <w:fldChar w:fldCharType="end"/>
      </w:r>
      <w:r w:rsidRPr="00C3671E">
        <w:t xml:space="preserve">, systematization and categorization of the world in a process of modernization </w:t>
      </w:r>
      <w:r w:rsidRPr="00C3671E">
        <w:fldChar w:fldCharType="begin" w:fldLock="1"/>
      </w:r>
      <w:r w:rsidRPr="00C3671E">
        <w:instrText>ADDIN CSL_CITATION { "citationItems" : [ { "id" : "ITEM-1", "itemData" : { "author" : [ { "dropping-particle" : "", "family" : "Bauman", "given" : "Zygmunt", "non-dropping-particle" : "", "parse-names" : false, "suffix" : "" } ], "id" : "ITEM-1", "issued" : { "date-parts" : [ [ "1993" ] ] }, "number-of-pages" : "285", "publisher" : "Polity Press", "publisher-place" : "Cambridge", "title" : "Modernity and Ambivalence", "type" : "book" }, "uris" : [ "http://www.mendeley.com/documents/?uuid=8810b7ea-77ce-4f14-93a5-753e10906c84" ] } ], "mendeley" : { "formattedCitation" : "(Bauman 1993)", "plainTextFormattedCitation" : "(Bauman 1993)", "previouslyFormattedCitation" : "(Bauman 1993)" }, "properties" : { "noteIndex" : 0 }, "schema" : "https://github.com/citation-style-language/schema/raw/master/csl-citation.json" }</w:instrText>
      </w:r>
      <w:r w:rsidRPr="00C3671E">
        <w:fldChar w:fldCharType="separate"/>
      </w:r>
      <w:r w:rsidRPr="00C3671E">
        <w:rPr>
          <w:noProof/>
        </w:rPr>
        <w:t>(Bauman 1993)</w:t>
      </w:r>
      <w:r w:rsidRPr="00C3671E">
        <w:fldChar w:fldCharType="end"/>
      </w:r>
      <w:r w:rsidRPr="00C3671E">
        <w:t xml:space="preserve"> or disciplination by power and knowledge </w:t>
      </w:r>
      <w:r w:rsidRPr="00C3671E">
        <w:fldChar w:fldCharType="begin" w:fldLock="1"/>
      </w:r>
      <w:r w:rsidRPr="00C3671E">
        <w:instrText>ADDIN CSL_CITATION { "citationItems" : [ { "id" : "ITEM-1", "itemData" : { "author" : [ { "dropping-particle" : "", "family" : "Foucault", "given" : "Michel", "non-dropping-particle" : "", "parse-names" : false, "suffix" : "" } ], "id" : "ITEM-1", "issued" : { "date-parts" : [ [ "1979" ] ] }, "publisher" : "Vintage Books", "publisher-place" : "New York", "title" : "Discipline and punish : the birth of the prison", "type" : "book" }, "uris" : [ "http://www.mendeley.com/documents/?uuid=c3107a97-b4f8-4be2-987f-427e07bbf557" ] } ], "mendeley" : { "formattedCitation" : "(Foucault 1979)", "plainTextFormattedCitation" : "(Foucault 1979)", "previouslyFormattedCitation" : "(Foucault 1979)" }, "properties" : { "noteIndex" : 0 }, "schema" : "https://github.com/citation-style-language/schema/raw/master/csl-citation.json" }</w:instrText>
      </w:r>
      <w:r w:rsidRPr="00C3671E">
        <w:fldChar w:fldCharType="separate"/>
      </w:r>
      <w:r w:rsidRPr="00C3671E">
        <w:rPr>
          <w:noProof/>
        </w:rPr>
        <w:t>(Foucault 1979)</w:t>
      </w:r>
      <w:r w:rsidRPr="00C3671E">
        <w:fldChar w:fldCharType="end"/>
      </w:r>
      <w:r w:rsidRPr="00C3671E">
        <w:t xml:space="preserve">. Even the classical piece </w:t>
      </w:r>
      <w:r w:rsidRPr="00C3671E">
        <w:rPr>
          <w:i/>
        </w:rPr>
        <w:t>The protestant ethic and the spirit of capitalism</w:t>
      </w:r>
      <w:r w:rsidRPr="00C3671E">
        <w:t xml:space="preserve"> </w:t>
      </w:r>
      <w:r w:rsidRPr="00C3671E">
        <w:fldChar w:fldCharType="begin" w:fldLock="1"/>
      </w:r>
      <w:r w:rsidRPr="00C3671E">
        <w:instrText>ADDIN CSL_CITATION { "citationItems" : [ { "id" : "ITEM-1", "itemData" : { "author" : [ { "dropping-particle" : "", "family" : "Weber", "given" : "Max", "non-dropping-particle" : "", "parse-names" : false, "suffix" : "" } ], "id" : "ITEM-1", "issued" : { "date-parts" : [ [ "2001" ] ] }, "number-of-pages" : "271", "publisher" : "Routledge", "publisher-place" : "London", "title" : "The protestant ethic and the spirit of capitalism", "type" : "book" }, "uris" : [ "http://www.mendeley.com/documents/?uuid=2d673b26-35cd-4939-bc5d-d6459576253b" ] } ], "mendeley" : { "formattedCitation" : "(Weber 2001)", "plainTextFormattedCitation" : "(Weber 2001)", "previouslyFormattedCitation" : "(Weber 2001)" }, "properties" : { "noteIndex" : 0 }, "schema" : "https://github.com/citation-style-language/schema/raw/master/csl-citation.json" }</w:instrText>
      </w:r>
      <w:r w:rsidRPr="00C3671E">
        <w:fldChar w:fldCharType="separate"/>
      </w:r>
      <w:r w:rsidRPr="00C3671E">
        <w:rPr>
          <w:noProof/>
        </w:rPr>
        <w:t>(Weber 2001)</w:t>
      </w:r>
      <w:r w:rsidRPr="00C3671E">
        <w:fldChar w:fldCharType="end"/>
      </w:r>
      <w:r w:rsidRPr="00C3671E">
        <w:t xml:space="preserve"> describes how every aspect of life among working population has become shaped by rationality connected </w:t>
      </w:r>
      <w:r w:rsidRPr="00C3671E">
        <w:lastRenderedPageBreak/>
        <w:t xml:space="preserve">to self-discipline. Max </w:t>
      </w:r>
      <w:r w:rsidRPr="00C3671E">
        <w:fldChar w:fldCharType="begin" w:fldLock="1"/>
      </w:r>
      <w:r w:rsidRPr="00C3671E">
        <w:instrText>ADDIN CSL_CITATION { "citationItems" : [ { "id" : "ITEM-1", "itemData" : { "author" : [ { "dropping-particle" : "", "family" : "Weber", "given" : "Max", "non-dropping-particle" : "", "parse-names" : false, "suffix" : "" } ], "id" : "ITEM-1", "issued" : { "date-parts" : [ [ "2001" ] ] }, "number-of-pages" : "271", "publisher" : "Routledge", "publisher-place" : "London", "title" : "The protestant ethic and the spirit of capitalism", "type" : "book" }, "uris" : [ "http://www.mendeley.com/documents/?uuid=2d673b26-35cd-4939-bc5d-d6459576253b" ] } ], "mendeley" : { "formattedCitation" : "(Weber 2001)", "manualFormatting" : "Weber (2001)", "plainTextFormattedCitation" : "(Weber 2001)", "previouslyFormattedCitation" : "(Weber 2001)" }, "properties" : { "noteIndex" : 0 }, "schema" : "https://github.com/citation-style-language/schema/raw/master/csl-citation.json" }</w:instrText>
      </w:r>
      <w:r w:rsidRPr="00C3671E">
        <w:fldChar w:fldCharType="separate"/>
      </w:r>
      <w:r w:rsidRPr="00C3671E">
        <w:rPr>
          <w:noProof/>
        </w:rPr>
        <w:t>Weber (2001)</w:t>
      </w:r>
      <w:r w:rsidRPr="00C3671E">
        <w:fldChar w:fldCharType="end"/>
      </w:r>
      <w:r w:rsidRPr="00C3671E">
        <w:t xml:space="preserve"> illustrates how new vigorous working ethic emerged from religious ethic, which consequently drove lives of working population without a further need of religious foundations and became an iron cage of rationalism. This working ethic brought principles of rationality, control, effectiveness, and standardization that determined foundations of modern societies in the 20</w:t>
      </w:r>
      <w:r w:rsidRPr="00C3671E">
        <w:rPr>
          <w:vertAlign w:val="superscript"/>
        </w:rPr>
        <w:t>th</w:t>
      </w:r>
      <w:r w:rsidRPr="00C3671E">
        <w:t xml:space="preserve"> century </w:t>
      </w:r>
      <w:r w:rsidRPr="00C3671E">
        <w:fldChar w:fldCharType="begin" w:fldLock="1"/>
      </w:r>
      <w:r w:rsidRPr="00C3671E">
        <w:instrText>ADDIN CSL_CITATION { "citationItems" : [ { "id" : "ITEM-1", "itemData" : { "author" : [ { "dropping-particle" : "", "family" : "Ritzer", "given" : "George", "non-dropping-particle" : "", "parse-names" : false, "suffix" : "" } ], "id" : "ITEM-1", "issued" : { "date-parts" : [ [ "1993" ] ] }, "number-of-pages" : "221", "publisher" : "Pine Forge Press", "publisher-place" : "Thousand Oaks", "title" : "The McDonaldization of society: an investigation into the changing character of contemporary social life", "type" : "book" }, "uris" : [ "http://www.mendeley.com/documents/?uuid=c4d30817-84c4-4cab-b6da-c3a30ce353bb" ] } ], "mendeley" : { "formattedCitation" : "(Ritzer 1993)", "plainTextFormattedCitation" : "(Ritzer 1993)", "previouslyFormattedCitation" : "(Ritzer 1993)" }, "properties" : { "noteIndex" : 0 }, "schema" : "https://github.com/citation-style-language/schema/raw/master/csl-citation.json" }</w:instrText>
      </w:r>
      <w:r w:rsidRPr="00C3671E">
        <w:fldChar w:fldCharType="separate"/>
      </w:r>
      <w:r w:rsidRPr="00C3671E">
        <w:rPr>
          <w:noProof/>
        </w:rPr>
        <w:t>(Ritzer 1993)</w:t>
      </w:r>
      <w:r w:rsidRPr="00C3671E">
        <w:fldChar w:fldCharType="end"/>
      </w:r>
      <w:r w:rsidRPr="00C3671E">
        <w:t xml:space="preserve">, until they have become deteriorating under the emergence of the value shift </w:t>
      </w:r>
      <w:r w:rsidRPr="00C3671E">
        <w:fldChar w:fldCharType="begin" w:fldLock="1"/>
      </w:r>
      <w:r w:rsidR="001257AA" w:rsidRPr="00C3671E">
        <w:instrText>ADDIN CSL_CITATION { "citationItems" : [ { "id" : "ITEM-1", "itemData" : { "author" : [ { "dropping-particle" : "", "family" : "Ritzer", "given" : "George", "non-dropping-particle" : "", "parse-names" : false, "suffix" : "" } ], "id" : "ITEM-1", "issued" : { "date-parts" : [ [ "1993" ] ] }, "number-of-pages" : "221", "publisher" : "Pine Forge Press", "publisher-place" : "Thousand Oaks", "title" : "The McDonaldization of society: an investigation into the changing character of contemporary social life", "type" : "book" }, "uris" : [ "http://www.mendeley.com/documents/?uuid=c4d30817-84c4-4cab-b6da-c3a30ce353bb" ] }, { "id" : "ITEM-2", "itemData" : { "author" : [ { "dropping-particle" : "", "family" : "Lasch", "given" : "Christopher", "non-dropping-particle" : "", "parse-names" : false, "suffix" : "" } ], "id" : "ITEM-2", "issued" : { "date-parts" : [ [ "1991" ] ] }, "number-of-pages" : "282", "publisher" : "W. W. Norton &amp; Company", "publisher-place" : "New York", "title" : "The Culture of Narcissism: American Life in an Age of Diminishing Expectations", "type" : "book" }, "uris" : [ "http://www.mendeley.com/documents/?uuid=e0eeb042-9896-49cf-9759-b094cd5a1af6" ] }, { "id" : "ITEM-3", "itemData" : { "author" : [ { "dropping-particle" : "", "family" : "Bell", "given" : "Daniel", "non-dropping-particle" : "", "parse-names" : false, "suffix" : "" } ], "id" : "ITEM-3", "issued" : { "date-parts" : [ [ "1976" ] ] }, "number-of-pages" : "301", "publisher" : "Basic Books", "publisher-place" : "New York", "title" : "The cultural contradictions of capitalism", "type" : "book" }, "uris" : [ "http://www.mendeley.com/documents/?uuid=1339673b-bcc0-479d-92a2-98c31754838f" ] }, { "id" : "ITEM-4", "itemData" : { "author" : [ { "dropping-particle" : "", "family" : "Inglehart", "given" : "Ronald", "non-dropping-particle" : "", "parse-names" : false, "suffix" : "" } ], "id" : "ITEM-4", "issued" : { "date-parts" : [ [ "1990" ] ] }, "publisher" : "Princeton University Press", "publisher-place" : "Princeton", "title" : "Culture Shift in Advanced Industrial Society", "type" : "book" }, "uris" : [ "http://www.mendeley.com/documents/?uuid=25dc8f63-d26d-432e-8cdc-a1a2c72d612c" ] } ], "mendeley" : { "formattedCitation" : "(Bell 1976; Inglehart 1990; Lasch 1991; Ritzer 1993)", "plainTextFormattedCitation" : "(Bell 1976; Inglehart 1990; Lasch 1991; Ritzer 1993)", "previouslyFormattedCitation" : "(Bell 1976; Inglehart 1990; Lasch 1991; Ritzer 1993)" }, "properties" : { "noteIndex" : 0 }, "schema" : "https://github.com/citation-style-language/schema/raw/master/csl-citation.json" }</w:instrText>
      </w:r>
      <w:r w:rsidRPr="00C3671E">
        <w:fldChar w:fldCharType="separate"/>
      </w:r>
      <w:r w:rsidR="00A91559" w:rsidRPr="00C3671E">
        <w:rPr>
          <w:noProof/>
        </w:rPr>
        <w:t>(Bell 1976; Inglehart 1990; Lasch 1991; Ritzer 1993)</w:t>
      </w:r>
      <w:r w:rsidRPr="00C3671E">
        <w:fldChar w:fldCharType="end"/>
      </w:r>
      <w:r w:rsidRPr="00C3671E">
        <w:t>.</w:t>
      </w:r>
    </w:p>
    <w:p w14:paraId="2213C8C8" w14:textId="7FF720BC" w:rsidR="00676326" w:rsidRPr="00C3671E" w:rsidRDefault="00676326" w:rsidP="00676326">
      <w:pPr>
        <w:pStyle w:val="Newparagraph"/>
        <w:jc w:val="both"/>
      </w:pPr>
      <w:r w:rsidRPr="00C3671E">
        <w:t xml:space="preserve">The system </w:t>
      </w:r>
      <w:r w:rsidRPr="00C3671E">
        <w:rPr>
          <w:lang w:eastAsia="zh-CN"/>
        </w:rPr>
        <w:t>became</w:t>
      </w:r>
      <w:r w:rsidRPr="00C3671E">
        <w:t xml:space="preserve"> with control of the workforce as a crucial part of the early capitalism. Afterwards, it took process of socialization from families and started to shape needs of consumers of various age and gender </w:t>
      </w:r>
      <w:r w:rsidRPr="00C3671E">
        <w:fldChar w:fldCharType="begin" w:fldLock="1"/>
      </w:r>
      <w:r w:rsidR="001257AA" w:rsidRPr="00C3671E">
        <w:instrText>ADDIN CSL_CITATION { "citationItems" : [ { "id" : "ITEM-1", "itemData" : { "author" : [ { "dropping-particle" : "", "family" : "Lasch", "given" : "Christopher", "non-dropping-particle" : "", "parse-names" : false, "suffix" : "" } ], "id" : "ITEM-1", "issued" : { "date-parts" : [ [ "1991" ] ] }, "number-of-pages" : "282", "publisher" : "W. W. Norton &amp; Company", "publisher-place" : "New York", "title" : "The Culture of Narcissism: American Life in an Age of Diminishing Expectations", "type" : "book" }, "uris" : [ "http://www.mendeley.com/documents/?uuid=e0eeb042-9896-49cf-9759-b094cd5a1af6" ] }, { "id" : "ITEM-2", "itemData" : { "author" : [ { "dropping-particle" : "", "family" : "Fromm", "given" : "Erich", "non-dropping-particle" : "", "parse-names" : false, "suffix" : "" } ], "id" : "ITEM-2", "issued" : { "date-parts" : [ [ "1965" ] ] }, "number-of-pages" : "333", "publisher" : "Avon Books", "publisher-place" : "New York", "title" : "Escape from freedom", "type" : "book" }, "uris" : [ "http://www.mendeley.com/documents/?uuid=89e7187a-4bad-4c0b-a7dc-fc35c3e01ff7" ] } ], "mendeley" : { "formattedCitation" : "(Fromm 1965; Lasch 1991)", "plainTextFormattedCitation" : "(Fromm 1965; Lasch 1991)", "previouslyFormattedCitation" : "(Fromm 1965; Lasch 1991)" }, "properties" : { "noteIndex" : 0 }, "schema" : "https://github.com/citation-style-language/schema/raw/master/csl-citation.json" }</w:instrText>
      </w:r>
      <w:r w:rsidRPr="00C3671E">
        <w:fldChar w:fldCharType="separate"/>
      </w:r>
      <w:r w:rsidR="00A91559" w:rsidRPr="00C3671E">
        <w:rPr>
          <w:noProof/>
        </w:rPr>
        <w:t>(Fromm 1965; Lasch 1991)</w:t>
      </w:r>
      <w:r w:rsidRPr="00C3671E">
        <w:fldChar w:fldCharType="end"/>
      </w:r>
      <w:r w:rsidRPr="00C3671E">
        <w:t xml:space="preserve">. Currently, the system has devoted increasing attention to a colonization of older age as a stage of life, which was omitted for a long time but became important with its increasing potential to deliver new producers and consumers </w:t>
      </w:r>
      <w:r w:rsidRPr="00C3671E">
        <w:fldChar w:fldCharType="begin" w:fldLock="1"/>
      </w:r>
      <w:r w:rsidR="001257AA" w:rsidRPr="00C3671E">
        <w:instrText>ADDIN CSL_CITATION { "citationItems" : [ { "id" : "ITEM-1", "itemData" : { "DOI" : "10.1007/s12062-017-9174-6", "ISSN" : "1874-7884", "abstract" : "Why Active Ageing Matters\\r\\nBy the end of the first half of the twentieth century most European states had introduced public pension schemes of one sort or another. In doing so they were affirming the role of the state in providing individuals with a form of support that all but a few would struggle to provide for themselves. The objectives of these schemes were generally quite limited: to reduce the risk of poverty in old age by facilitating savings during working life. The rationale was simple: to provide access to financial support - a regular and reliable income \u2013 for a time of life when the ability to work was increasingly impaired by loss of health or functional ability. In the second half of the century, after the second world war, increasing affluence combined with a more demanding view of the responsibilities of government to improve the generosity of pensions and to expand welfare systems in ways that conferred other benefits on their older populations besides a basic pension income, including the provision of social care (e.g. care homes for older people who had no family and were unable to look after themselves in their own homes). Policy was still broadly conceived as a collective response to age-related losses that undermined independence.", "author" : [ { "dropping-particle" : "", "family" : "Zaidi", "given" : "Asghar", "non-dropping-particle" : "", "parse-names" : false, "suffix" : "" }, { "dropping-particle" : "", "family" : "Howse", "given" : "Kenneth", "non-dropping-particle" : "", "parse-names" : false, "suffix" : "" } ], "container-title" : "Journal of Population Ageing", "id" : "ITEM-1", "issue" : "1", "issued" : { "date-parts" : [ [ "2017" ] ] }, "page" : "1-10", "publisher" : "Journal of Population Ageing", "title" : "The Policy Discourse of Active Ageing: Some Reflections", "type" : "article-journal", "volume" : "10" }, "uris" : [ "http://www.mendeley.com/documents/?uuid=badd02a6-0ba4-4766-b6a7-a04a46414a57" ] }, { "id" : "ITEM-2", "itemData" : { "DOI" : "10.1016/j.ssci.2009.10.008", "ISBN" : "978-0-335-22269-8", "ISSN" : "1544-7529", "PMID" : "20762", "abstract" : "This book aims to convince readers that ageing is not boring, threatening or depressing, but that it has enormous relevance for the young and the old alike. Virpi Timonen provides an engaging introduction to the central social, economic and political aspects and impacts of ageing and makes the case for the importance of analysing ageing from a number of different perspectives. Using comparative international data, the author provides a detailed description of the process of population ageing, including increasing longevity, changes in fertility and variations in the health status of older populations", "author" : [ { "dropping-particle" : "", "family" : "Timonen", "given" : "Virpi", "non-dropping-particle" : "", "parse-names" : false, "suffix" : "" } ], "id" : "ITEM-2", "issued" : { "date-parts" : [ [ "2008" ] ] }, "publisher" : "Open University Press", "publisher-place" : "Maidenhead", "title" : "Ageing societies: A comparative introduction", "type" : "book" }, "uris" : [ "http://www.mendeley.com/documents/?uuid=62ec3e51-def8-4a0a-8206-06ee230cbb1a" ] }, { "id" : "ITEM-3", "itemData" : { "author" : [ { "dropping-particle" : "", "family" : "Timonen", "given" : "Virpi", "non-dropping-particle" : "", "parse-names" : false, "suffix" : "" } ], "id" : "ITEM-3", "issued" : { "date-parts" : [ [ "2016" ] ] }, "publisher" : "Policy Press Shorts Research", "publisher-place" : "Bristol", "title" : "Beyond successful and active ageing: A theory of model ageing", "type" : "book" }, "uris" : [ "http://www.mendeley.com/documents/?uuid=4c41af4a-05f8-46fd-bb8a-a893aaadda0a" ] }, { "id" : "ITEM-4", "itemData" : { "DOI" : "10.1007/s10433-016-0387-y", "ISSN" : "16139380", "author" : [ { "dropping-particle" : "", "family" : "Liu", "given" : "Huiying", "non-dropping-particle" : "", "parse-names" : false, "suffix" : "" }, { "dropping-particle" : "", "family" : "Lou", "given" : "Wei Qun", "non-dropping-particle" : "", "parse-names" : false, "suffix" : "" } ], "container-title" : "European Journal of Ageing", "id" : "ITEM-4", "issue" : "4", "issued" : { "date-parts" : [ [ "2016" ] ] }, "note" : "Liu, Lou 2016: Patterns of productive activity engagement among older adults in urban China\n(CHARLS), we performed a latent class analysis (LCA) on a national representative sample of adults aged 60 years and over\nLCA: working, grandchildren\u2019s care, parental care, spousal care, informal helping, and formal volunteering\nspouse carer (51.2 %), working grandparents (21.7 %), multifaceted contributor (16.6 %), and light-engaged volunteer (10.5 %)\nhow multiple productive activities intersect in later-life stages\nimplications for policy-makers, health care practitioners, and community advocates", "page" : "1-12", "publisher" : "Springer Netherlands", "title" : "Patterns of productive activity engagement among older adults in urban China", "type" : "article-journal", "volume" : "13" }, "uris" : [ "http://www.mendeley.com/documents/?uuid=b3817447-75b9-420d-870a-864efa90df96" ] } ], "mendeley" : { "formattedCitation" : "(Liu and Lou 2016; Timonen 2008, 2016; Zaidi and Howse 2017)", "plainTextFormattedCitation" : "(Liu and Lou 2016; Timonen 2008, 2016; Zaidi and Howse 2017)", "previouslyFormattedCitation" : "(Liu and Lou 2016; Timonen 2008, 2016; Zaidi and Howse 2017)" }, "properties" : { "noteIndex" : 0 }, "schema" : "https://github.com/citation-style-language/schema/raw/master/csl-citation.json" }</w:instrText>
      </w:r>
      <w:r w:rsidRPr="00C3671E">
        <w:fldChar w:fldCharType="separate"/>
      </w:r>
      <w:r w:rsidR="00A91559" w:rsidRPr="00C3671E">
        <w:rPr>
          <w:noProof/>
        </w:rPr>
        <w:t>(Liu and Lou 2016; Timonen 2008, 2016; Zaidi and Howse 2017)</w:t>
      </w:r>
      <w:r w:rsidRPr="00C3671E">
        <w:fldChar w:fldCharType="end"/>
      </w:r>
      <w:r w:rsidRPr="00C3671E">
        <w:t xml:space="preserve">. The process of colonization of the lifeworld is connected to increasing importance of experts for all areas of life </w:t>
      </w:r>
      <w:r w:rsidRPr="00C3671E">
        <w:fldChar w:fldCharType="begin" w:fldLock="1"/>
      </w:r>
      <w:r w:rsidR="001257AA" w:rsidRPr="00C3671E">
        <w:instrText>ADDIN CSL_CITATION { "citationItems" : [ { "id" : "ITEM-1", "itemData" : { "author" : [ { "dropping-particle" : "", "family" : "Lasch", "given" : "Christopher", "non-dropping-particle" : "", "parse-names" : false, "suffix" : "" } ], "id" : "ITEM-1", "issued" : { "date-parts" : [ [ "1991" ] ] }, "number-of-pages" : "282", "publisher" : "W. W. Norton &amp; Company", "publisher-place" : "New York", "title" : "The Culture of Narcissism: American Life in an Age of Diminishing Expectations", "type" : "book" }, "uris" : [ "http://www.mendeley.com/documents/?uuid=e0eeb042-9896-49cf-9759-b094cd5a1af6" ] }, { "id" : "ITEM-2", "itemData" : { "author" : [ { "dropping-particle" : "", "family" : "Giddens", "given" : "Anthony", "non-dropping-particle" : "", "parse-names" : false, "suffix" : "" } ], "id" : "ITEM-2", "issued" : { "date-parts" : [ [ "2003" ] ] }, "publisher" : "Sociologick\u00e9 nakladatelstv\u00ed", "publisher-place" : "Praha", "title" : "D\u016fsledky modernity", "type" : "book" }, "uris" : [ "http://www.mendeley.com/documents/?uuid=85d22def-ed42-49a1-81d8-5dc2be098110" ] } ], "mendeley" : { "formattedCitation" : "(Giddens 2003; Lasch 1991)", "plainTextFormattedCitation" : "(Giddens 2003; Lasch 1991)", "previouslyFormattedCitation" : "(Giddens 2003; Lasch 1991)" }, "properties" : { "noteIndex" : 0 }, "schema" : "https://github.com/citation-style-language/schema/raw/master/csl-citation.json" }</w:instrText>
      </w:r>
      <w:r w:rsidRPr="00C3671E">
        <w:fldChar w:fldCharType="separate"/>
      </w:r>
      <w:r w:rsidR="00A91559" w:rsidRPr="00C3671E">
        <w:rPr>
          <w:noProof/>
        </w:rPr>
        <w:t>(Giddens 2003; Lasch 1991)</w:t>
      </w:r>
      <w:r w:rsidRPr="00C3671E">
        <w:fldChar w:fldCharType="end"/>
      </w:r>
      <w:r w:rsidRPr="00C3671E">
        <w:t>. Consequently, these social processes lead to the interpretation of active ageing approach as another tool for retaking control by system represented by various experts, which draws on the current dread from ageing and death.</w:t>
      </w:r>
    </w:p>
    <w:p w14:paraId="6C0A667D" w14:textId="48CD1565" w:rsidR="00676326" w:rsidRPr="00C3671E" w:rsidRDefault="00676326" w:rsidP="00676326">
      <w:pPr>
        <w:pStyle w:val="Newparagraph"/>
        <w:jc w:val="both"/>
      </w:pPr>
      <w:r w:rsidRPr="00C3671E">
        <w:rPr>
          <w:i/>
        </w:rPr>
        <w:t>The Culture of Narcissism</w:t>
      </w:r>
      <w:r w:rsidRPr="00C3671E">
        <w:t xml:space="preserve"> </w:t>
      </w:r>
      <w:r w:rsidRPr="00C3671E">
        <w:fldChar w:fldCharType="begin" w:fldLock="1"/>
      </w:r>
      <w:r w:rsidRPr="00C3671E">
        <w:instrText>ADDIN CSL_CITATION { "citationItems" : [ { "id" : "ITEM-1", "itemData" : { "author" : [ { "dropping-particle" : "", "family" : "Lasch", "given" : "Christopher", "non-dropping-particle" : "", "parse-names" : false, "suffix" : "" } ], "id" : "ITEM-1", "issued" : { "date-parts" : [ [ "1991" ] ] }, "number-of-pages" : "282", "publisher" : "W. W. Norton &amp; Company", "publisher-place" : "New York", "title" : "The Culture of Narcissism: American Life in an Age of Diminishing Expectations", "type" : "book" }, "uris" : [ "http://www.mendeley.com/documents/?uuid=e0eeb042-9896-49cf-9759-b094cd5a1af6" ] } ], "mendeley" : { "formattedCitation" : "(Lasch 1991)", "plainTextFormattedCitation" : "(Lasch 1991)", "previouslyFormattedCitation" : "(Lasch 1991)" }, "properties" : { "noteIndex" : 0 }, "schema" : "https://github.com/citation-style-language/schema/raw/master/csl-citation.json" }</w:instrText>
      </w:r>
      <w:r w:rsidRPr="00C3671E">
        <w:fldChar w:fldCharType="separate"/>
      </w:r>
      <w:r w:rsidRPr="00C3671E">
        <w:rPr>
          <w:noProof/>
        </w:rPr>
        <w:t>(Lasch 1991)</w:t>
      </w:r>
      <w:r w:rsidRPr="00C3671E">
        <w:fldChar w:fldCharType="end"/>
      </w:r>
      <w:r w:rsidRPr="00C3671E">
        <w:t xml:space="preserve"> was written in the 70s before the formulation of active ageing approach by international bodies, but the resemblance is striking. This illustrates how active </w:t>
      </w:r>
      <w:r w:rsidRPr="00C3671E">
        <w:rPr>
          <w:lang w:eastAsia="zh-CN"/>
        </w:rPr>
        <w:t>ageing</w:t>
      </w:r>
      <w:r w:rsidRPr="00C3671E">
        <w:t xml:space="preserve"> is the product of a certain socio-cultural context or a segment of people living in this context </w:t>
      </w:r>
      <w:r w:rsidRPr="00C3671E">
        <w:fldChar w:fldCharType="begin" w:fldLock="1"/>
      </w:r>
      <w:r w:rsidR="001257AA" w:rsidRPr="00C3671E">
        <w:instrText>ADDIN CSL_CITATION { "citationItems" : [ { "id" : "ITEM-1", "itemData" : { "author" : [ { "dropping-particle" : "", "family" : "Lasch", "given" : "Christopher", "non-dropping-particle" : "", "parse-names" : false, "suffix" : "" } ], "id" : "ITEM-1", "issued" : { "date-parts" : [ [ "1991" ] ] }, "number-of-pages" : "282", "publisher" : "W. W. Norton &amp; Company", "publisher-place" : "New York", "title" : "The Culture of Narcissism: American Life in an Age of Diminishing Expectations", "type" : "book" }, "uris" : [ "http://www.mendeley.com/documents/?uuid=e0eeb042-9896-49cf-9759-b094cd5a1af6" ] }, { "id" : "ITEM-2", "itemData" : { "author" : [ { "dropping-particle" : "", "family" : "Inglehart", "given" : "Ronald", "non-dropping-particle" : "", "parse-names" : false, "suffix" : "" } ], "id" : "ITEM-2", "issued" : { "date-parts" : [ [ "1990" ] ] }, "publisher" : "Princeton University Press", "publisher-place" : "Princeton", "title" : "Culture Shift in Advanced Industrial Society", "type" : "book" }, "uris" : [ "http://www.mendeley.com/documents/?uuid=25dc8f63-d26d-432e-8cdc-a1a2c72d612c" ] }, { "id" : "ITEM-3", "itemData" : { "author" : [ { "dropping-particle" : "", "family" : "Timonen", "given" : "Virpi", "non-dropping-particle" : "", "parse-names" : false, "suffix" : "" } ], "id" : "ITEM-3", "issued" : { "date-parts" : [ [ "2016" ] ] }, "publisher" : "Policy Press Shorts Research", "publisher-place" : "Bristol", "title" : "Beyond successful and active ageing: A theory of model ageing", "type" : "book" }, "uris" : [ "http://www.mendeley.com/documents/?uuid=4c41af4a-05f8-46fd-bb8a-a893aaadda0a" ] } ], "mendeley" : { "formattedCitation" : "(Inglehart 1990; Lasch 1991; Timonen 2016)", "plainTextFormattedCitation" : "(Inglehart 1990; Lasch 1991; Timonen 2016)", "previouslyFormattedCitation" : "(Inglehart 1990; Lasch 1991; Timonen 2016)" }, "properties" : { "noteIndex" : 0 }, "schema" : "https://github.com/citation-style-language/schema/raw/master/csl-citation.json" }</w:instrText>
      </w:r>
      <w:r w:rsidRPr="00C3671E">
        <w:fldChar w:fldCharType="separate"/>
      </w:r>
      <w:r w:rsidR="00A91559" w:rsidRPr="00C3671E">
        <w:rPr>
          <w:noProof/>
        </w:rPr>
        <w:t>(Inglehart 1990; Lasch 1991; Timonen 2016)</w:t>
      </w:r>
      <w:r w:rsidRPr="00C3671E">
        <w:fldChar w:fldCharType="end"/>
      </w:r>
      <w:r w:rsidRPr="00C3671E">
        <w:t xml:space="preserve">. Moreover, this specific segment of people located in a social structure possesses own goals and worldviews </w:t>
      </w:r>
      <w:r w:rsidRPr="00C3671E">
        <w:fldChar w:fldCharType="begin" w:fldLock="1"/>
      </w:r>
      <w:r w:rsidR="001257AA" w:rsidRPr="00C3671E">
        <w:instrText>ADDIN CSL_CITATION { "citationItems" : [ { "id" : "ITEM-1", "itemData" : { "author" : [ { "dropping-particle" : "", "family" : "Mannheim", "given" : "Karl", "non-dropping-particle" : "", "parse-names" : false, "suffix" : "" } ], "id" : "ITEM-1", "issued" : { "date-parts" : [ [ "1936" ] ] }, "publisher" : "Harvest book", "publisher-place" : "New York", "title" : "Ideology and utopia: an introduction to the sociology of knowledge", "type" : "book" }, "uris" : [ "http://www.mendeley.com/documents/?uuid=fe494f75-acc4-461b-a581-ea375a9ddd21" ] }, { "id" : "ITEM-2", "itemData" : { "author" : [ { "dropping-particle" : "", "family" : "Bar-Tal", "given" : "Daniel", "non-dropping-particle" : "", "parse-names" : false, "suffix" : "" } ], "id" : "ITEM-2", "issued" : { "date-parts" : [ [ "2000" ] ] }, "publisher" : "SAGE Publications", "publisher-place" : "Thousand Oaks", "title" : "Shared Beliefs in a Society: Social Psychological Analysis", "type" : "book" }, "uris" : [ "http://www.mendeley.com/documents/?uuid=6c12565a-8376-4369-a90d-d4dd5f9a7f86" ] }, { "id" : "ITEM-3", "itemData" : { "author" : [ { "dropping-particle" : "", "family" : "Inglehart", "given" : "Ronald", "non-dropping-particle" : "", "parse-names" : false, "suffix" : "" } ], "id" : "ITEM-3", "issued" : { "date-parts" : [ [ "1977" ] ] }, "publisher" : "Princeton University Press", "publisher-place" : "Princeton", "title" : "The Silent Revolution: Changing Values and Political Styles Among Western Publics", "type" : "book" }, "uris" : [ "http://www.mendeley.com/documents/?uuid=237848b7-5a83-4982-aba3-022ca1557adf" ] } ], "mendeley" : { "formattedCitation" : "(Bar-Tal 2000; Inglehart 1977; Mannheim 1936)", "plainTextFormattedCitation" : "(Bar-Tal 2000; Inglehart 1977; Mannheim 1936)", "previouslyFormattedCitation" : "(Bar-Tal 2000; Inglehart 1977; Mannheim 1936)" }, "properties" : { "noteIndex" : 0 }, "schema" : "https://github.com/citation-style-language/schema/raw/master/csl-citation.json" }</w:instrText>
      </w:r>
      <w:r w:rsidRPr="00C3671E">
        <w:fldChar w:fldCharType="separate"/>
      </w:r>
      <w:r w:rsidR="00A91559" w:rsidRPr="00C3671E">
        <w:rPr>
          <w:noProof/>
        </w:rPr>
        <w:t>(Bar-Tal 2000; Inglehart 1977; Mannheim 1936)</w:t>
      </w:r>
      <w:r w:rsidRPr="00C3671E">
        <w:fldChar w:fldCharType="end"/>
      </w:r>
      <w:r w:rsidRPr="00C3671E">
        <w:t xml:space="preserve"> that can be expressed and followed through active ageing approach more than any needs of older adults or other external actors </w:t>
      </w:r>
      <w:r w:rsidRPr="00C3671E">
        <w:fldChar w:fldCharType="begin" w:fldLock="1"/>
      </w:r>
      <w:r w:rsidR="001257AA" w:rsidRPr="00C3671E">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"id" : "ITEM-2", "itemData" : { "DOI" : "10.1017/S0714980811000675", "ISBN" : "0714980811", "ISSN" : "0714-9808", "PMID" : "22373781", "abstract" : "Although some studies have confirmed positive associations between social engagement and well-being in later life, this study aimed to understand why some seniors cannot be engaged. The authors analyzed the lived experiences of 89 seniors in three rural communities in Canada, from semi-structured interviews and using the constant comparison method. Five factors make choices for social engagement in later life unequal among older adults who differ by gender, class, age, and health status. Profound engagement in care work, compulsory altruism, personal resources, objectively perceived and subjectively available engagement opportunities, and ageist barriers around paid work constrain choices for seniors who lack privilege in the context of a market economy, particularly for low-income older women. To avoid stigmatizing vulnerable older persons, societal barriers to meaningful activities must be addressed - for example, through provision of income security or by reversing inter- and intragenerational ageism in access to the labor market.", "author" : [ { "dropping-particle" : "", "family" : "Rozanova", "given" : "Julia", "non-dropping-particle" : "", "parse-names" : false, "suffix" : "" }, { "dropping-particle" : "", "family" : "Keating", "given" : "Norah", "non-dropping-particle" : "", "parse-names" : false, "suffix" : "" }, { "dropping-particle" : "", "family" : "Eales", "given" : "Jacquie", "non-dropping-particle" : "", "parse-names" : false, "suffix" : "" } ], "container-title" : "Canadian Journal on Aging / La Revue canadienne du vieillissement", "id" : "ITEM-2", "issue" : "01", "issued" : { "date-parts" : [ [ "2012" ] ] }, "note" : "Rozanova et al. 2012: Unequal Social Engagement for Older Adults: Constraints on Choice\nconcerns of social costs of ageing \u2192 ageing well perspective\ncritics emphasize the normative expectations this assumption carries \u2013 that those who are not well in later life may have themselves to blame because they haven\u2019t been sufficiently engaged (Katz, 2000 ; Laliberte-Rudman, 2006 )\nwell-being in later life is associated not with social engagement per se but with engagement in activities that an individual chooses freely and fi nds meaningful (Chapman, 2005 ; Katz, 2000 )\nJulia Rozanova et al.\naffected both by older individuals\u2019 personal character- istics and by community contexts. Researchers have noted that one important aspect in which rural com- munities may differ from urban areas is their lack of anonymity coupled with a tight-knit character (Keating, Swindle, &amp;amp; Fletcher, 2011 ). This aspect may facilitate the maintenance of social connectedness but at the same time block social engagement for some older individuals. For example, those who moved into the community as newcomers are typically viewed with some suspicion until they prove themselves in some way (Garland &amp;amp; Chakraborti, 2006 ). Other factors having an impact on social-engagement opportunities for rural older adults are the remoteness of some rural Canadian communities, a dwindling economy, and disparities of service infrastructure (Keating &amp;amp; Phillips, 2008 ).\nReview of the Literature Social Engagement of Older Adults\nSurvival through social engagement through activities that have a social component and are per- formed in relation to other people (Maier &amp;amp; Klumb, 2005 )\nsocial engagement may be affected by both structural inequalities and contextual factors\nthe lived experiences of 89 seniors in three rural communities in Canada from semi-structured interviews\nProfound engagement in care work, compulsory altruism, personal resources, objectively perceived and subjectively available engagement opportunities, and ageist barriers around paid work constrain choices especially for low-income older women\nsocietal barriers to meaningful activities must be addressed \u2013 through provision of income security or by reversing inter- and intragenerational ageism", "page" : "25-36", "title" : "Unequal Social Engagement for Older Adults: Constraints on Choice", "type" : "article-journal", "volume" : "31" }, "uris" : [ "http://www.mendeley.com/documents/?uuid=354042a3-40e3-4309-bec8-99c0941f3571" ] }, { "id" : "ITEM-3", "itemData" : { "author" : [ { "dropping-particle" : "", "family" : "Ebbinghaus", "given" : "Bernhard", "non-dropping-particle" : "", "parse-names" : false, "suffix" : "" } ], "chapter-number" : "9", "container-title" : "The politics of the New Welfare State", "editor" : [ { "dropping-particle" : "", "family" : "Bonoli", "given" : "Giuliano", "non-dropping-particle" : "", "parse-names" : false, "suffix" : "" } ], "id" : "ITEM-3", "issued" : { "date-parts" : [ [ "2012" ] ] }, "page" : "182-205", "publisher" : "Oxford University Press", "publisher-place" : "Oxford", "title" : "Europe\u2019s transformations towards a renewed pension system", "type" : "chapter" }, "uris" : [ "http://www.mendeley.com/documents/?uuid=5eb677ee-d907-44b8-a1ab-ea7c18ca7df3" ] } ], "mendeley" : { "formattedCitation" : "(Ebbinghaus 2012b; Rozanova et al. 2012; Timonen 2016)", "plainTextFormattedCitation" : "(Ebbinghaus 2012b; Rozanova et al. 2012; Timonen 2016)", "previouslyFormattedCitation" : "(Ebbinghaus 2012b; Rozanova et al. 2012; Timonen 2016)" }, "properties" : { "noteIndex" : 0 }, "schema" : "https://github.com/citation-style-language/schema/raw/master/csl-citation.json" }</w:instrText>
      </w:r>
      <w:r w:rsidRPr="00C3671E">
        <w:fldChar w:fldCharType="separate"/>
      </w:r>
      <w:r w:rsidR="00A91559" w:rsidRPr="00C3671E">
        <w:rPr>
          <w:noProof/>
        </w:rPr>
        <w:t>(Ebbinghaus 2012b; Rozanova et al. 2012; Timonen 2016)</w:t>
      </w:r>
      <w:r w:rsidRPr="00C3671E">
        <w:fldChar w:fldCharType="end"/>
      </w:r>
      <w:r w:rsidRPr="00C3671E">
        <w:t xml:space="preserve">. Proponents of active ageing disagree with similar accusations by referring to beneficial effects of promoted activities </w:t>
      </w:r>
      <w:r w:rsidRPr="00C3671E">
        <w:fldChar w:fldCharType="begin" w:fldLock="1"/>
      </w:r>
      <w:r w:rsidR="001257AA" w:rsidRPr="00C3671E">
        <w:instrText>ADDIN CSL_CITATION { "citationItems" : [ { "id" : "ITEM-1", "itemData" : { "DOI" : "10.1017/S0144686X10001091", "ISBN" : "0144686X (ISSN)", "ISSN" : "0144-686X", "PMID" : "59665633", "abstract" : "An engaged lifestyle is seen as an important component of successful ageing. Many older adults with high participation in social and leisure activities report positive wellbeing, a fact that fuelled the original activity theory and that continues to influence researchers, theorists and practitioners. This study's purpose is to review the conceptualisation and measurement of activity among older adults and the associations reported in the gerontological literature between specific dimensions of activity and wellbeing. We searched published studies that focused on social and leisure activity and wellbeing, and found 42 studies in 44 articles published between 1995 and 2009. They reported from one to 13 activity domains, the majority reporting two or three, such as informal , formal and solitary , or productive versus leisure . Domains associated with subjective wellbeing, health or survival included social, leisure, productive, physical, intellectual, service and solitary activities. Informal social activity has accumulated the most evidence of an influence on wellbeing. Individual descriptors such as gender or physical functioning sometimes moderate these associations, while contextual variables such as choice, meaning or perceived quality play intervening roles. Differences in definitions and measurement make it difficult to draw inferences about this body of evidence on the associations between activity and wellbeing. Activity theory serves as shorthand for these associations, but gerontology must better integrate developmental and psychological constructs into a refined, comprehensive activity theory.", "author" : [ { "dropping-particle" : "", "family" : "Adams", "given" : "Kathryn Betts", "non-dropping-particle" : "", "parse-names" : false, "suffix" : "" }, { "dropping-particle" : "", "family" : "Leibbrandt", "given" : "Sylvia", "non-dropping-particle" : "", "parse-names" : false, "suffix" : "" }, { "dropping-particle" : "", "family" : "Moon", "given" : "Heehyul", "non-dropping-particle" : "", "parse-names" : false, "suffix" : "" } ], "container-title" : "Ageing and Society", "id" : "ITEM-1", "issue" : "04", "issued" : { "date-parts" : [ [ "2011" ] ] }, "page" : "683-712", "title" : "A critical review of the literature on social and leisure activity and wellbeing in later life", "type" : "article-journal", "volume" : "31" }, "uris" : [ "http://www.mendeley.com/documents/?uuid=28bf1c76-83b5-46ba-8c9c-efd885614e50" ] }, { "id" : "ITEM-2", "itemData" : { "author" : [ { "dropping-particle" : "", "family" : "European Commission", "given" : "", "non-dropping-particle" : "", "parse-names" : false, "suffix" : "" } ], "id" : "ITEM-2", "issued" : { "date-parts" : [ [ "2013" ] ] }, "publisher" : "European Comission", "publisher-place" : "Brussels", "title" : "Introducing the Active Ageing Index. Policy brief", "type" : "book" }, "uris" : [ "http://www.mendeley.com/documents/?uuid=15ea840e-806d-4ce4-88d2-b847e7b3756b" ] }, { "id" : "ITEM-3", "itemData" : { "abstract" : "The report should be referred to as: UNECE/ European Commission (2015) \u201cActive Ageing Index 2014: Analytical Report\u201d, Report prepared by Asghar Zaidi of Centre for Research on Ageing, University of Southampton and David Stanton, under contract with United Nations Economic Commission for Europe (Geneva), co-funded by the European Commission\u2019s Directorate General for Employment, Social Affairs and Inclusion (Brussels).", "author" : [ { "dropping-particle" : "", "family" : "Zaidi", "given" : "Asghar", "non-dropping-particle" : "", "parse-names" : false, "suffix" : "" } ], "id" : "ITEM-3", "issue" : "April", "issued" : { "date-parts" : [ [ "2015" ] ] }, "number-of-pages" : "1-9", "publisher" : "UNECE", "publisher-place" : "Geneva", "title" : "Active Ageing Index 2014 Analytical Report", "type" : "book" }, "uris" : [ "http://www.mendeley.com/documents/?uuid=e5502369-34dc-4c1e-ad2d-b04716a04efe" ] }, { "id" : "ITEM-4", "itemData" : { "DOI" : "10.1007/s10433-017-0413-8", "ISBN" : "1043301704", "ISSN" : "16139380", "abstract" : "Several debates have emerged across the literature about the conceptualisation of active ageing. The aim of this study is to develop a model of the construct that is focused on the individual, including different elements of people\u2019s lives that have the potential to be modified by intervention programs. Moreover, the paper examines the contributions of active ageing to life satisfaction, as well as the possible predictive role of coping styles on active ageing. For this purpose, a representative sample of 404 Galician (Spain) community-dwelling older adults (aged \u226560 years) were interviewed using a structured survey. The results demonstrate that the proposed model composed of two broad categories is valid. The model comprises status variables (related to physical, psychological, and social health) as well as different types of activities, called processual variables. This model is tested using partial least squares (PLS) regression. The findings show that active ageing is a fourth-order, formative construct. In addition, PLS analyses indicate that active ageing has a moderate and positive path on life satisfaction and that coping styles may predict active ageing. The discussion highlights the potential of active ageing as a relevant concept for people\u2019s lives, drawing out policy implications and suggestions for further research.", "author" : [ { "dropping-particle" : "", "family" : "Marsillas", "given" : "Sara", "non-dropping-particle" : "", "parse-names" : false, "suffix" : "" }, { "dropping-particle" : "", "family" : "Donder", "given" : "Liesbeth", "non-dropping-particle" : "De", "parse-names" : false, "suffix" : "" }, { "dropping-particle" : "", "family" : "Kardol", "given" : "Tinie", "non-dropping-particle" : "", "parse-names" : false, "suffix" : "" }, { "dropping-particle" : "", "family" : "Regenmortel", "given" : "Sofie", "non-dropping-particle" : "van", "parse-names" : false, "suffix" : "" }, { "dropping-particle" : "", "family" : "Dury", "given" : "Sarah", "non-dropping-particle" : "", "parse-names" : false, "suffix" : "" }, { "dropping-particle" : "", "family" : "Brosens", "given" : "Dorien", "non-dropping-particle" : "", "parse-names" : false, "suffix" : "" }, { "dropping-particle" : "", "family" : "Smetcoren", "given" : "An Sofie", "non-dropping-particle" : "", "parse-names" : false, "suffix" : "" }, { "dropping-particle" : "", "family" : "Bra\u00f1a", "given" : "Teresa", "non-dropping-particle" : "", "parse-names" : false, "suffix" : "" }, { "dropping-particle" : "", "family" : "Varela", "given" : "Jes\u00fas", "non-dropping-particle" : "", "parse-names" : false, "suffix" : "" } ], "container-title" : "European Journal of Ageing", "id" : "ITEM-4", "issue" : "3", "issued" : { "date-parts" : [ [ "2017" ] ] }, "page" : "295-310", "title" : "Does active ageing contribute to life satisfaction for older people? Testing a new model of active ageing", "type" : "article-journal", "volume" : "14" }, "uris" : [ "http://www.mendeley.com/documents/?uuid=f4ca4b1e-010f-49fa-9c7f-5b6188337ddb" ] } ], "mendeley" : { "formattedCitation" : "(Adams et al. 2011; European Commission 2013; Marsillas et al. 2017; Zaidi 2015)", "plainTextFormattedCitation" : "(Adams et al. 2011; European Commission 2013; Marsillas et al. 2017; Zaidi 2015)", "previouslyFormattedCitation" : "(Adams et al. 2011; European Commission 2013; Marsillas et al. 2017; Zaidi 2015)" }, "properties" : { "noteIndex" : 0 }, "schema" : "https://github.com/citation-style-language/schema/raw/master/csl-citation.json" }</w:instrText>
      </w:r>
      <w:r w:rsidRPr="00C3671E">
        <w:fldChar w:fldCharType="separate"/>
      </w:r>
      <w:r w:rsidR="00A91559" w:rsidRPr="00C3671E">
        <w:rPr>
          <w:noProof/>
        </w:rPr>
        <w:t xml:space="preserve">(Adams et al. 2011; </w:t>
      </w:r>
      <w:r w:rsidR="00A91559" w:rsidRPr="00C3671E">
        <w:rPr>
          <w:noProof/>
        </w:rPr>
        <w:lastRenderedPageBreak/>
        <w:t>European Commission 2013; Marsillas et al. 2017; Zaidi 2015)</w:t>
      </w:r>
      <w:r w:rsidRPr="00C3671E">
        <w:fldChar w:fldCharType="end"/>
      </w:r>
      <w:r w:rsidRPr="00C3671E">
        <w:t xml:space="preserve"> or by presenting similarities between the expert and lay notions of a good later life </w:t>
      </w:r>
      <w:r w:rsidRPr="00C3671E">
        <w:fldChar w:fldCharType="begin" w:fldLock="1"/>
      </w:r>
      <w:r w:rsidR="001257AA" w:rsidRPr="00C3671E">
        <w:instrText>ADDIN CSL_CITATION { "citationItems" : [ { "id" : "ITEM-1", "itemData" : { "DOI" : "10.1007/s10433-005-0015-8", "ISBN" : "1613-9372", "ISSN" : "16139372", "abstract" : "This article focuses on the scientific study of quality of life in old age and summarises, on the one hand, what we know and, on the other, what further research is needed. It consists of three main parts, with an extended introduction charting the recent evolution of a European perspective on ageing. First of all, it emphasises the amorphous, multidimensional and complex nature of quality of life and the high level of inconsistency between scientists in their approach to this subject. Secondly, the article summarises the main areas of consensus about quality of life in old age - its dynamic multifaceted nature, the combination of life course and immediate influences, the similarities and differences in the factors determining quality of life between younger and older people, the most common associations with quality of life and the likely variations between groups, and the powerful role of subjective self-assessment. Thirdly, the main research priorities and gaps in knowledge are outlined, together with the key methodological issues which must be tackled if comparative, interdisciplinary research on quality of life is to develop further. The main sources for the article are two European Framework Programme projects-the one a small five-country comparison and the other a large multidimensional project which, among other things, has been developing recommendations for research on quality of life in old age and included an extensive literature review on this topic. The article also draws on the recently completed UK Growing Older Programme of research on extending quality of life. \u00a9 Springer-Verlag 2005.", "author" : [ { "dropping-particle" : "", "family" : "Walker", "given" : "Alan", "non-dropping-particle" : "", "parse-names" : false, "suffix" : "" } ], "container-title" : "European Journal of Ageing", "id" : "ITEM-1", "issue" : "1", "issued" : { "date-parts" : [ [ "2005" ] ] }, "page" : "2-12", "title" : "A European perspective on quality of life in old age", "type" : "article-journal", "volume" : "2" }, "uris" : [ "http://www.mendeley.com/documents/?uuid=cf601aee-0bb9-4c93-8902-46ae526562ed" ] }, { "id" : "ITEM-2", "itemData" : { "author" : [ { "dropping-particle" : "", "family" : "Timonen", "given" : "Virpi", "non-dropping-particle" : "", "parse-names" : false, "suffix" : "" } ], "id" : "ITEM-2", "issued" : { "date-parts" : [ [ "2016" ] ] }, "publisher" : "Policy Press Shorts Research", "publisher-place" : "Bristol", "title" : "Beyond successful and active ageing: A theory of model ageing", "type" : "book" }, "uris" : [ "http://www.mendeley.com/documents/?uuid=4c41af4a-05f8-46fd-bb8a-a893aaadda0a" ] }, { "id" : "ITEM-3", "itemData" : { "DOI" : "10.1093/geront/gnu028", "ISBN" : "0016-9013", "ISSN" : "1758-5341", "PMID" : "24846882", "abstract" : "Over the past two decades, \"active aging\" has emerged in Europe as the foremost policy response to the challenges of population aging. This article examines the concept of active aging and how it differs from that of \"successful aging.\" In particular, it shows how active aging presents a more holistic, life course-oriented approach than successful aging. We provide a critical perspective on active aging too by, first, tracing its emergence in Europe and then showing how, in practice, it has been dominated by a narrow economic or productivist perspective that prioritizes the extension of working life. It has also been gender blind. Nonetheless, it is argued that an active aging approach has the potential to enable countries to respond successfully to the challenges of population aging because of its comprehensive focus and emphasis on societal as well as individual responsibility. Finally, we set out the basic principles that need to be followed if the full potential of active aging is to be achieved.", "author" : [ { "dropping-particle" : "", "family" : "Foster", "given" : "Liam", "non-dropping-particle" : "", "parse-names" : false, "suffix" : "" }, { "dropping-particle" : "", "family" : "Walker", "given" : "Alan", "non-dropping-particle" : "", "parse-names" : false, "suffix" : "" } ], "container-title" : "The Gerontologist", "id" : "ITEM-3", "issue" : "1", "issued" : { "date-parts" : [ [ "2015" ] ] }, "note" : "Foster, Walker 2014: Active and Successful Aging: A Euroepean Policy perspective\n\u201cactive aging\u201d has emerged in Europe as the foremost policy response to the challenges of population aging\nactive aging presents a more holistic, life course\u2013oriented approach than successful aging\ncritique of active aging perspective - emergence in Europe\n- dominated by a narrow economic perspective\n- gender blind\nall together, this approach has the potential to respond successfully to the challenges of population aging because of its comprehensive focus and emphasis on societal as well as individual responsibility\nAA should enable to create own forms of activity, instead of focusing on a predetermined, limited number of domains, usually developed from an \u2018expert\u2019 perspective\u201d (Boudiny &amp;amp; Mortelmans, 2011, p. 12)\nThere is also a danger that the \u201chealth and well-being\u201d narrative retreats to become the preserve of a \u201cfourth age\u201d charac- terized by biological decline and consumption of welfare resources\nstructural and economic barriers to active aging must be addressed for a comprehensive approach\n\u2192\nInternational and European policy on work and retirement: Reinventing critical perspectives\nA critical perspective: Towards a broader understanding of \u2018active ageing\u2019\nNarratives of (in)active age- ing in poor deprived areas of Liverpool", "page" : "83-90", "title" : "Active and Successful Aging: A European Policy Perspective", "type" : "article-journal", "volume" : "55" }, "uris" : [ "http://www.mendeley.com/documents/?uuid=6ef8c660-30ca-4a4a-80c6-6c24c5f5b99d" ] } ], "mendeley" : { "formattedCitation" : "(Foster and Walker 2015; Timonen 2016; Walker 2005a)", "plainTextFormattedCitation" : "(Foster and Walker 2015; Timonen 2016; Walker 2005a)", "previouslyFormattedCitation" : "(Foster and Walker 2015; Timonen 2016; Walker 2005a)" }, "properties" : { "noteIndex" : 0 }, "schema" : "https://github.com/citation-style-language/schema/raw/master/csl-citation.json" }</w:instrText>
      </w:r>
      <w:r w:rsidRPr="00C3671E">
        <w:fldChar w:fldCharType="separate"/>
      </w:r>
      <w:r w:rsidR="00A91559" w:rsidRPr="00C3671E">
        <w:rPr>
          <w:noProof/>
        </w:rPr>
        <w:t>(Foster and Walker 2015; Timonen 2016; Walker 2005a)</w:t>
      </w:r>
      <w:r w:rsidRPr="00C3671E">
        <w:fldChar w:fldCharType="end"/>
      </w:r>
      <w:r w:rsidRPr="00C3671E">
        <w:t>.</w:t>
      </w:r>
    </w:p>
    <w:p w14:paraId="660AAE56" w14:textId="345B974C" w:rsidR="00676326" w:rsidRPr="00C3671E" w:rsidRDefault="00676326" w:rsidP="00676326">
      <w:pPr>
        <w:pStyle w:val="Newparagraph"/>
        <w:jc w:val="both"/>
      </w:pPr>
      <w:r w:rsidRPr="00C3671E">
        <w:t xml:space="preserve">Regardless of </w:t>
      </w:r>
      <w:r w:rsidRPr="00C3671E">
        <w:rPr>
          <w:lang w:eastAsia="zh-CN"/>
        </w:rPr>
        <w:t>the</w:t>
      </w:r>
      <w:r w:rsidRPr="00C3671E">
        <w:t xml:space="preserve"> question whether creators of active ageing approach follow more their own interests </w:t>
      </w:r>
      <w:r w:rsidRPr="00C3671E">
        <w:fldChar w:fldCharType="begin" w:fldLock="1"/>
      </w:r>
      <w:r w:rsidR="001257AA" w:rsidRPr="00C3671E">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"id" : "ITEM-2", "itemData" : { "DOI" : "10.1017/S0714980811000675", "ISBN" : "0714980811", "ISSN" : "0714-9808", "PMID" : "22373781", "abstract" : "Although some studies have confirmed positive associations between social engagement and well-being in later life, this study aimed to understand why some seniors cannot be engaged. The authors analyzed the lived experiences of 89 seniors in three rural communities in Canada, from semi-structured interviews and using the constant comparison method. Five factors make choices for social engagement in later life unequal among older adults who differ by gender, class, age, and health status. Profound engagement in care work, compulsory altruism, personal resources, objectively perceived and subjectively available engagement opportunities, and ageist barriers around paid work constrain choices for seniors who lack privilege in the context of a market economy, particularly for low-income older women. To avoid stigmatizing vulnerable older persons, societal barriers to meaningful activities must be addressed - for example, through provision of income security or by reversing inter- and intragenerational ageism in access to the labor market.", "author" : [ { "dropping-particle" : "", "family" : "Rozanova", "given" : "Julia", "non-dropping-particle" : "", "parse-names" : false, "suffix" : "" }, { "dropping-particle" : "", "family" : "Keating", "given" : "Norah", "non-dropping-particle" : "", "parse-names" : false, "suffix" : "" }, { "dropping-particle" : "", "family" : "Eales", "given" : "Jacquie", "non-dropping-particle" : "", "parse-names" : false, "suffix" : "" } ], "container-title" : "Canadian Journal on Aging / La Revue canadienne du vieillissement", "id" : "ITEM-2", "issue" : "01", "issued" : { "date-parts" : [ [ "2012" ] ] }, "note" : "Rozanova et al. 2012: Unequal Social Engagement for Older Adults: Constraints on Choice\nconcerns of social costs of ageing \u2192 ageing well perspective\ncritics emphasize the normative expectations this assumption carries \u2013 that those who are not well in later life may have themselves to blame because they haven\u2019t been sufficiently engaged (Katz, 2000 ; Laliberte-Rudman, 2006 )\nwell-being in later life is associated not with social engagement per se but with engagement in activities that an individual chooses freely and fi nds meaningful (Chapman, 2005 ; Katz, 2000 )\nJulia Rozanova et al.\naffected both by older individuals\u2019 personal character- istics and by community contexts. Researchers have noted that one important aspect in which rural com- munities may differ from urban areas is their lack of anonymity coupled with a tight-knit character (Keating, Swindle, &amp;amp; Fletcher, 2011 ). This aspect may facilitate the maintenance of social connectedness but at the same time block social engagement for some older individuals. For example, those who moved into the community as newcomers are typically viewed with some suspicion until they prove themselves in some way (Garland &amp;amp; Chakraborti, 2006 ). Other factors having an impact on social-engagement opportunities for rural older adults are the remoteness of some rural Canadian communities, a dwindling economy, and disparities of service infrastructure (Keating &amp;amp; Phillips, 2008 ).\nReview of the Literature Social Engagement of Older Adults\nSurvival through social engagement through activities that have a social component and are per- formed in relation to other people (Maier &amp;amp; Klumb, 2005 )\nsocial engagement may be affected by both structural inequalities and contextual factors\nthe lived experiences of 89 seniors in three rural communities in Canada from semi-structured interviews\nProfound engagement in care work, compulsory altruism, personal resources, objectively perceived and subjectively available engagement opportunities, and ageist barriers around paid work constrain choices especially for low-income older women\nsocietal barriers to meaningful activities must be addressed \u2013 through provision of income security or by reversing inter- and intragenerational ageism", "page" : "25-36", "title" : "Unequal Social Engagement for Older Adults: Constraints on Choice", "type" : "article-journal", "volume" : "31" }, "uris" : [ "http://www.mendeley.com/documents/?uuid=354042a3-40e3-4309-bec8-99c0941f3571" ] } ], "mendeley" : { "formattedCitation" : "(Rozanova et al. 2012; Timonen 2016)", "plainTextFormattedCitation" : "(Rozanova et al. 2012; Timonen 2016)", "previouslyFormattedCitation" : "(Rozanova et al. 2012; Timonen 2016)" }, "properties" : { "noteIndex" : 0 }, "schema" : "https://github.com/citation-style-language/schema/raw/master/csl-citation.json" }</w:instrText>
      </w:r>
      <w:r w:rsidRPr="00C3671E">
        <w:fldChar w:fldCharType="separate"/>
      </w:r>
      <w:r w:rsidR="00A91559" w:rsidRPr="00C3671E">
        <w:rPr>
          <w:noProof/>
        </w:rPr>
        <w:t>(Rozanova et al. 2012; Timonen 2016)</w:t>
      </w:r>
      <w:r w:rsidRPr="00C3671E">
        <w:fldChar w:fldCharType="end"/>
      </w:r>
      <w:r w:rsidRPr="00C3671E">
        <w:t xml:space="preserve"> or interests of older adults </w:t>
      </w:r>
      <w:r w:rsidRPr="00C3671E">
        <w:fldChar w:fldCharType="begin" w:fldLock="1"/>
      </w:r>
      <w:r w:rsidR="001257AA" w:rsidRPr="00C3671E">
        <w:instrText>ADDIN CSL_CITATION { "citationItems" : [ { "id" : "ITEM-1", "itemData" : { "DOI" : "10.1007/s10433-017-0413-8", "ISBN" : "1043301704", "ISSN" : "16139380", "abstract" : "Several debates have emerged across the literature about the conceptualisation of active ageing. The aim of this study is to develop a model of the construct that is focused on the individual, including different elements of people\u2019s lives that have the potential to be modified by intervention programs. Moreover, the paper examines the contributions of active ageing to life satisfaction, as well as the possible predictive role of coping styles on active ageing. For this purpose, a representative sample of 404 Galician (Spain) community-dwelling older adults (aged \u226560 years) were interviewed using a structured survey. The results demonstrate that the proposed model composed of two broad categories is valid. The model comprises status variables (related to physical, psychological, and social health) as well as different types of activities, called processual variables. This model is tested using partial least squares (PLS) regression. The findings show that active ageing is a fourth-order, formative construct. In addition, PLS analyses indicate that active ageing has a moderate and positive path on life satisfaction and that coping styles may predict active ageing. The discussion highlights the potential of active ageing as a relevant concept for people\u2019s lives, drawing out policy implications and suggestions for further research.", "author" : [ { "dropping-particle" : "", "family" : "Marsillas", "given" : "Sara", "non-dropping-particle" : "", "parse-names" : false, "suffix" : "" }, { "dropping-particle" : "", "family" : "Donder", "given" : "Liesbeth", "non-dropping-particle" : "De", "parse-names" : false, "suffix" : "" }, { "dropping-particle" : "", "family" : "Kardol", "given" : "Tinie", "non-dropping-particle" : "", "parse-names" : false, "suffix" : "" }, { "dropping-particle" : "", "family" : "Regenmortel", "given" : "Sofie", "non-dropping-particle" : "van", "parse-names" : false, "suffix" : "" }, { "dropping-particle" : "", "family" : "Dury", "given" : "Sarah", "non-dropping-particle" : "", "parse-names" : false, "suffix" : "" }, { "dropping-particle" : "", "family" : "Brosens", "given" : "Dorien", "non-dropping-particle" : "", "parse-names" : false, "suffix" : "" }, { "dropping-particle" : "", "family" : "Smetcoren", "given" : "An Sofie", "non-dropping-particle" : "", "parse-names" : false, "suffix" : "" }, { "dropping-particle" : "", "family" : "Bra\u00f1a", "given" : "Teresa", "non-dropping-particle" : "", "parse-names" : false, "suffix" : "" }, { "dropping-particle" : "", "family" : "Varela", "given" : "Jes\u00fas", "non-dropping-particle" : "", "parse-names" : false, "suffix" : "" } ], "container-title" : "European Journal of Ageing", "id" : "ITEM-1", "issue" : "3", "issued" : { "date-parts" : [ [ "2017" ] ] }, "page" : "295-310", "title" : "Does active ageing contribute to life satisfaction for older people? Testing a new model of active ageing", "type" : "article-journal", "volume" : "14" }, "uris" : [ "http://www.mendeley.com/documents/?uuid=f4ca4b1e-010f-49fa-9c7f-5b6188337ddb" ] }, { "id" : "ITEM-2", "itemData" : { "ISBN" : "9789287152404", "abstract" : "Foreword\\n\\nThe Council of Europe has a long tradition of producing population studies, and the work of the European Population Committee contributes to the understanding of the relationship between social policy and demographic issues in Europe. The findings of this work are published in the series Population studies, where topics covered include migration flows, national minorities, demographic\\nchanges and the labour market, the ageing of European populations and the demographic consequences of economic transition. These publications provide essential background information for implementing the Council of Europe\u2019s strategy for social cohesion: an integrated policy approach aimed at combating poverty and social exclusion through promoting access to social rights in areas\\nsuch as employment and training, health, social protection, housing, education and social services.\\n\\nThis volume takes as its starting point the changing age structure in European countries. This is characterised by the increase in the number of elderly persons and the decrease in the young and working populations. It reviews the demographic differences between European countries. The authors note that improved living conditions and effective health and social policies mean that the majority of younger elderly Europeans reach the third age in relatively good health and under conditions of some income security. They point out\\nthat whilst the effective age at retirement has been declining, it is only a minority of elderly people who use their free time in an active manner.\\n\\nThe authors examine the different public policy approaches and individual strategies developed in response to these societal changes and they make wide-ranging policy proposals for the development of active ageing strategies which address issues of employment, health, leisure and social cohesion.", "author" : [ { "dropping-particle" : "", "family" : "Avramov", "given" : "Dragana", "non-dropping-particle" : "", "parse-names" : false, "suffix" : "" }, { "dropping-particle" : "", "family" : "Maskova", "given" : "Miroslava", "non-dropping-particle" : "", "parse-names" : false, "suffix" : "" } ], "container-title" : "Population studies", "id" : "ITEM-2", "issue" : "41", "issued" : { "date-parts" : [ [ "2003" ] ] }, "number-of-pages" : "1-152", "publisher" : "Council of Europe Publishing", "publisher-place" : "Strasbourg", "title" : "Active ageing in Europe", "type" : "book", "volume" : "1" }, "uris" : [ "http://www.mendeley.com/documents/?uuid=7db55846-516c-430d-834c-164bd53456b9" ] }, { "id" : "ITEM-3", "itemData" : { "DOI" : "10.1093/geront/gnu028", "ISBN" : "0016-9013", "ISSN" : "1758-5341", "PMID" : "24846882", "abstract" : "Over the past two decades, \"active aging\" has emerged in Europe as the foremost policy response to the challenges of population aging. This article examines the concept of active aging and how it differs from that of \"successful aging.\" In particular, it shows how active aging presents a more holistic, life course-oriented approach than successful aging. We provide a critical perspective on active aging too by, first, tracing its emergence in Europe and then showing how, in practice, it has been dominated by a narrow economic or productivist perspective that prioritizes the extension of working life. It has also been gender blind. Nonetheless, it is argued that an active aging approach has the potential to enable countries to respond successfully to the challenges of population aging because of its comprehensive focus and emphasis on societal as well as individual responsibility. Finally, we set out the basic principles that need to be followed if the full potential of active aging is to be achieved.", "author" : [ { "dropping-particle" : "", "family" : "Foster", "given" : "Liam", "non-dropping-particle" : "", "parse-names" : false, "suffix" : "" }, { "dropping-particle" : "", "family" : "Walker", "given" : "Alan", "non-dropping-particle" : "", "parse-names" : false, "suffix" : "" } ], "container-title" : "The Gerontologist", "id" : "ITEM-3", "issue" : "1", "issued" : { "date-parts" : [ [ "2015" ] ] }, "note" : "Foster, Walker 2014: Active and Successful Aging: A Euroepean Policy perspective\n\u201cactive aging\u201d has emerged in Europe as the foremost policy response to the challenges of population aging\nactive aging presents a more holistic, life course\u2013oriented approach than successful aging\ncritique of active aging perspective - emergence in Europe\n- dominated by a narrow economic perspective\n- gender blind\nall together, this approach has the potential to respond successfully to the challenges of population aging because of its comprehensive focus and emphasis on societal as well as individual responsibility\nAA should enable to create own forms of activity, instead of focusing on a predetermined, limited number of domains, usually developed from an \u2018expert\u2019 perspective\u201d (Boudiny &amp;amp; Mortelmans, 2011, p. 12)\nThere is also a danger that the \u201chealth and well-being\u201d narrative retreats to become the preserve of a \u201cfourth age\u201d charac- terized by biological decline and consumption of welfare resources\nstructural and economic barriers to active aging must be addressed for a comprehensive approach\n\u2192\nInternational and European policy on work and retirement: Reinventing critical perspectives\nA critical perspective: Towards a broader understanding of \u2018active ageing\u2019\nNarratives of (in)active age- ing in poor deprived areas of Liverpool", "page" : "83-90", "title" : "Active and Successful Aging: A European Policy Perspective", "type" : "article-journal", "volume" : "55" }, "uris" : [ "http://www.mendeley.com/documents/?uuid=6ef8c660-30ca-4a4a-80c6-6c24c5f5b99d" ] }, { "id" : "ITEM-4", "itemData" : { "DOI" : "10.1080/713604647", "ISBN" : "1757-9139 (Print)\\r1757-9147 (Linking)", "ISSN" : "1368-5538", "PMID" : "21692392", "abstract" : "his Policy Framework is intended to inform discussion and the formulation of action plans that promote healthy and active ageing. It was developed by WHO\u2019s Ageing and Life Course Programme as a contribution to the Second United Nations World Assembly on Ageing, held in April 2002, in Madrid, Spain. The preliminary version, published in 2001 entitled Health and Ageing: A Discussion Paper, was translated into French and Spanish and widely circulated for feedback throughout 2001 (including at special workshops held in Brazil, Canada, the Netherlands, Spain and the United Kingdom). In January 2002, an expert group meeting was convened at the WHO Centre for Health Development (WKC) in Kobe, Japan, with 29 participants from 21 countries. De- tailed comments and recommendations from this meeting, as well as those received through the previous consultation process, were com- piled to complete this fi nal version. A complementary monograph entitled Active Ageing: From Evidence to Action is being prepared in collaboration with the Inter- national Association of Gerontology (IAG) and will be available at http://www.who.int/hpr/ ageing where more information about ageing from a life course perspective is also provided.", "author" : [ { "dropping-particle" : "", "family" : "WHO", "given" : "", "non-dropping-particle" : "", "parse-names" : false, "suffix" : "" } ], "id" : "ITEM-4", "issued" : { "date-parts" : [ [ "2002" ] ] }, "page" : "1-60", "publisher" : "World Health Organization", "publisher-place" : "Geneva", "title" : "Active Ageing: A Policy Framework", "type" : "article" }, "uris" : [ "http://www.mendeley.com/documents/?uuid=10ba559d-500f-4111-baae-06ebd9b96a0f" ] } ], "mendeley" : { "formattedCitation" : "(Avramov and Maskova 2003; Foster and Walker 2015; Marsillas et al. 2017; WHO 2002)", "plainTextFormattedCitation" : "(Avramov and Maskova 2003; Foster and Walker 2015; Marsillas et al. 2017; WHO 2002)", "previouslyFormattedCitation" : "(Avramov and Maskova 2003; Foster and Walker 2015; Marsillas et al. 2017; WHO 2002)" }, "properties" : { "noteIndex" : 0 }, "schema" : "https://github.com/citation-style-language/schema/raw/master/csl-citation.json" }</w:instrText>
      </w:r>
      <w:r w:rsidRPr="00C3671E">
        <w:fldChar w:fldCharType="separate"/>
      </w:r>
      <w:r w:rsidR="00A91559" w:rsidRPr="00C3671E">
        <w:rPr>
          <w:noProof/>
        </w:rPr>
        <w:t>(Avramov and Maskova 2003; Foster and Walker 2015; Marsillas et al. 2017; WHO 2002)</w:t>
      </w:r>
      <w:r w:rsidRPr="00C3671E">
        <w:fldChar w:fldCharType="end"/>
      </w:r>
      <w:r w:rsidRPr="00C3671E">
        <w:t xml:space="preserve">, this approach is strongly context dependent. This effort to change the perception of ageing and ageing experience itself emerged in the era of material prosperity, population ageing, and a shift in understanding of life and its meaning </w:t>
      </w:r>
      <w:r w:rsidRPr="00C3671E">
        <w:fldChar w:fldCharType="begin" w:fldLock="1"/>
      </w:r>
      <w:r w:rsidR="001257AA" w:rsidRPr="00C3671E">
        <w:instrText>ADDIN CSL_CITATION { "citationItems" : [ { "id" : "ITEM-1", "itemData" : { "author" : [ { "dropping-particle" : "", "family" : "Inglehart", "given" : "Ronald", "non-dropping-particle" : "", "parse-names" : false, "suffix" : "" }, { "dropping-particle" : "", "family" : "Norris", "given" : "Pipa", "non-dropping-particle" : "", "parse-names" : false, "suffix" : "" } ], "id" : "ITEM-1", "issued" : { "date-parts" : [ [ "2003" ] ] }, "publisher" : "Cambridge University Press", "publisher-place" : "Cambridge", "title" : "Rising tide: Gender equality and cultural change around the world", "type" : "book" }, "uris" : [ "http://www.mendeley.com/documents/?uuid=77985ed9-dd36-4dc3-bebd-c5bb6a4ce91f" ] }, { "id" : "ITEM-2", "itemData" : { "DOI" : "10.1007/s11205-015-1137-9", "ISSN" : "15730921", "author" : [ { "dropping-particle" : "", "family" : "Alexander", "given" : "Amy C.", "non-dropping-particle" : "", "parse-names" : false, "suffix" : "" }, { "dropping-particle" : "", "family" : "Inglehart", "given" : "Ronald", "non-dropping-particle" : "", "parse-names" : false, "suffix" : "" }, { "dropping-particle" : "", "family" : "Welzel", "given" : "Christian", "non-dropping-particle" : "", "parse-names" : false, "suffix" : "" } ], "container-title" : "Social Indicators Research", "id" : "ITEM-2", "issue" : "2", "issued" : { "date-parts" : [ [ "2016" ] ] }, "page" : "909-935", "publisher" : "Springer Netherlands", "title" : "Emancipating Sexuality: Breakthroughs into a Bulwark of Tradition", "type" : "article-journal", "volume" : "129" }, "uris" : [ "http://www.mendeley.com/documents/?uuid=cd31a09d-f87c-432a-821e-ec05b0e8853f" ] }, { "id" : "ITEM-3", "itemData" : { "DOI" : "10.1111/j.1728-4457.2010.00328.x", "ISBN" : "1728-4457", "ISSN" : "0098-7921", "PMID" : "20734551", "abstract" : "This article presents a narrative of the unfolding of the Second Demographic Transition (SDT) since the theory was first formulated in 1986. The first part recapitulates the foundations of the theory, and documents the spread of the SDT to the point that it now covers most European populations. Also for Europe, it focuses on the relationship between the SDT and the growing heterogeneity in period fertility levels. It is shown that the current positive relationship between SDT and TFR levels is not a violation of the SDT theory, but the outcome of a \" split correlation\" with different sub-narratives concerning the onset of fertility postponement and the degree of subsequent recuperation in two parts of Europe. The second part of the article addresses the issue of whether the SDT has spread or is currently spreading in industrialized Asian countries. Evidence gathered for Japan, South Korea, Hong Kong, Singapore, and Taiwan is presented. That evidence pertains to both the macro-level (national trends in postponement of marriage and parenthood, rise of cohabitation) and the micro-level (connections between individual values orientations and postponement of parenthood). Strong similarities are found with SDT patterns in Southern Europe, except for the fact that parenthood is still very rare among Asian cohabiting partners.", "author" : [ { "dropping-particle" : "", "family" : "Lesthaeghe", "given" : "Ron J.", "non-dropping-particle" : "", "parse-names" : false, "suffix" : "" } ], "container-title" : "Population and Development Review", "id" : "ITEM-3", "issue" : "2", "issued" : { "date-parts" : [ [ "2010" ] ] }, "page" : "211-251", "title" : "The Unfolding Story of the Second Demographic Transition", "type" : "article-journal", "volume" : "36" }, "uris" : [ "http://www.mendeley.com/documents/?uuid=93780951-a256-4841-8cc4-928586f4e0f4" ] }, { "id" : "ITEM-4", "itemData" : { "DOI" : "10.2307/3115262", "ISBN" : "0098-7921", "ISSN" : "00987921", "PMID" : "12669714", "abstract" : "The population of South-East Asia has recently passed the 500 million mark. Although growth is slowing, another 140 million may be added over the 20-year period 1995-2015. The additional population will be concentrated in the working ages and among the elderly. In many countries of the region \u2013 for example, Thailand, Indonesia and Vietnam \u2013 there will be little or no further growth in the number of children and adolescents. Almost all countries will continue to benefit for some time yet from a decline in dependency ratios that has been in train since the early 1970s. By the mid-1990s, the whole region had progressed three quarters of the way toward replacement level fertility, though individual country circumstances ranged from far below replacement fertility in Singapore to continued very high fertility in Lao PDR. A general theory explaining the varied fertility experiences of the different countries remains elusive. Although South-East Asia remains one of the world's least urbanized regions, urbanization is increasingly rapidly and the region contains some of the world's largest cities. Because of wide differences between countries in their mortality and fertility transitions, levels of urbanization, systems of governance, and ethnic and cultural background, the key issues facing population policy and approaches to dealing with them remain diverse.", "author" : [ { "dropping-particle" : "", "family" : "Kaa", "given" : "Dirk J.", "non-dropping-particle" : "van de", "parse-names" : false, "suffix" : "" } ], "container-title" : "Demography", "id" : "ITEM-4", "issue" : "1", "issued" : { "date-parts" : [ [ "2001" ] ] }, "page" : "290-331", "title" : "Postmodern Fertility Preferences: From changing value orientation to new behaviour", "type" : "article-journal", "volume" : "27" }, "uris" : [ "http://www.mendeley.com/documents/?uuid=73009768-2159-466d-a1a9-14d844f89bea" ] }, { "id" : "ITEM-5", "itemData" : { "author" : [ { "dropping-particle" : "", "family" : "Surkyn", "given" : "Johan", "non-dropping-particle" : "", "parse-names" : false, "suffix" : "" }, { "dropping-particle" : "", "family" : "Deboosere", "given" : "Patrick", "non-dropping-particle" : "", "parse-names" : false, "suffix" : "" }, { "dropping-particle" : "", "family" : "Bavel", "given" : "Jan", "non-dropping-particle" : "van", "parse-names" : false, "suffix" : "" } ], "id" : "ITEM-5", "issued" : { "date-parts" : [ [ "2008" ] ] }, "publisher" : "VUBPRESS", "publisher-place" : "Brussels", "title" : "Demographic Challenges for the 21st Century: A State of the Art in Demography", "type" : "book" }, "uris" : [ "http://www.mendeley.com/documents/?uuid=99a0b383-4ae3-4a47-895c-63651b1077d4" ] } ], "mendeley" : { "formattedCitation" : "(Alexander et al. 2016; Inglehart and Norris 2003; van de Kaa 2001; Lesthaeghe 2010; Surkyn, Deboosere, and van Bavel 2008)", "plainTextFormattedCitation" : "(Alexander et al. 2016; Inglehart and Norris 2003; van de Kaa 2001; Lesthaeghe 2010; Surkyn, Deboosere, and van Bavel 2008)", "previouslyFormattedCitation" : "(Alexander et al. 2016; Inglehart and Norris 2003; van de Kaa 2001; Lesthaeghe 2010; Surkyn, Deboosere, and van Bavel 2008)" }, "properties" : { "noteIndex" : 0 }, "schema" : "https://github.com/citation-style-language/schema/raw/master/csl-citation.json" }</w:instrText>
      </w:r>
      <w:r w:rsidRPr="00C3671E">
        <w:fldChar w:fldCharType="separate"/>
      </w:r>
      <w:r w:rsidR="00A91559" w:rsidRPr="00C3671E">
        <w:rPr>
          <w:noProof/>
        </w:rPr>
        <w:t>(Alexander et al. 2016; Inglehart and Norris 2003; van de Kaa 2001; Lesthaeghe 2010; Surkyn, Deboosere, and van Bavel 2008)</w:t>
      </w:r>
      <w:r w:rsidRPr="00C3671E">
        <w:fldChar w:fldCharType="end"/>
      </w:r>
      <w:r w:rsidRPr="00C3671E">
        <w:t xml:space="preserve">. Active ageing is a partly ideational and partly pragmatic approach adapting societies to changing conditions. Its ideational part relates to increasing stress on quality of life represented for instance by social indicators movement </w:t>
      </w:r>
      <w:r w:rsidRPr="00C3671E">
        <w:fldChar w:fldCharType="begin" w:fldLock="1"/>
      </w:r>
      <w:r w:rsidR="001257AA" w:rsidRPr="00C3671E">
        <w:instrText>ADDIN CSL_CITATION { "citationItems" : [ { "id" : "ITEM-1", "itemData" : { "DOI" : "10.1023/A:1006859511756", "ISBN" : "0303-8300", "ISSN" : "1573-0921", "PMID" : "9153", "abstract" : "Looks at ways in which quality of life can be measured, focusing on economic, social and subjective indicators. Explanation of subjective indicators; What are social indicators; How these indicators affect the quality of life; Methods used to measure the quality of life.", "author" : [ { "dropping-particle" : "", "family" : "Diener", "given" : "E D", "non-dropping-particle" : "", "parse-names" : false, "suffix" : "" }, { "dropping-particle" : "", "family" : "Suh", "given" : "Eunkook", "non-dropping-particle" : "", "parse-names" : false, "suffix" : "" } ], "container-title" : "Social Indicators Research", "id" : "ITEM-1", "issue" : "1/2", "issued" : { "date-parts" : [ [ "1997" ] ] }, "page" : "189-216", "title" : "Measuring quality of life: economic, social, and subjective indicators", "type" : "article-journal", "volume" : "40" }, "uris" : [ "http://www.mendeley.com/documents/?uuid=543c6a68-b01c-4bea-b8d7-b407b7b125a7" ] }, { "id" : "ITEM-2", "itemData" : { "DOI" : "10.2307/2224734", "ISSN" : "00130133", "author" : [ { "dropping-particle" : "", "family" : "Noll", "given" : "Heinz-Herbert", "non-dropping-particle" : "", "parse-names" : false, "suffix" : "" } ], "container-title" : "Advances in sociological knowledge", "id" : "ITEM-2", "issued" : { "date-parts" : [ [ "2004" ] ] }, "page" : "151-181", "publisher" : "VS Verlag f\u00fcr Sozialwissenschaften", "publisher-place" : "Wiesbaden", "title" : "Social Indicators and Quality of Life Research: Background, Achievements and Current Trends", "type" : "chapter" }, "uris" : [ "http://www.mendeley.com/documents/?uuid=39a902bd-debd-42ea-bd05-1689e2698f7e" ] } ], "mendeley" : { "formattedCitation" : "(Diener and Suh 1997; Noll 2004)", "plainTextFormattedCitation" : "(Diener and Suh 1997; Noll 2004)", "previouslyFormattedCitation" : "(Diener and Suh 1997; Noll 2004)" }, "properties" : { "noteIndex" : 0 }, "schema" : "https://github.com/citation-style-language/schema/raw/master/csl-citation.json" }</w:instrText>
      </w:r>
      <w:r w:rsidRPr="00C3671E">
        <w:fldChar w:fldCharType="separate"/>
      </w:r>
      <w:r w:rsidR="00A91559" w:rsidRPr="00C3671E">
        <w:rPr>
          <w:noProof/>
        </w:rPr>
        <w:t>(Diener and Suh 1997; Noll 2004)</w:t>
      </w:r>
      <w:r w:rsidRPr="00C3671E">
        <w:fldChar w:fldCharType="end"/>
      </w:r>
      <w:r w:rsidRPr="00C3671E">
        <w:t xml:space="preserve"> and cultural shift in understanding of the old age </w:t>
      </w:r>
      <w:r w:rsidRPr="00C3671E">
        <w:fldChar w:fldCharType="begin" w:fldLock="1"/>
      </w:r>
      <w:r w:rsidR="004F5010" w:rsidRPr="00C3671E">
        <w:instrText>ADDIN CSL_CITATION { "citationItems" : [ { "id" : "ITEM-1", "itemData" : { "ISSN" : "13368613", "author" : [ { "dropping-particle" : "", "family" : "Petrov\u00e1 Kafkov\u00e1", "given" : "Marcela", "non-dropping-particle" : "", "parse-names" : false, "suffix" : "" } ], "container-title" : "Sociologia", "id" : "ITEM-1", "issue" : "6", "issued" : { "date-parts" : [ [ "2016" ] ] }, "page" : "622-640", "title" : "The \u201cReal\u201d old age and the transition between the third and fourth age", "type" : "article-journal", "volume" : "48" }, "uris" : [ "http://www.mendeley.com/documents/?uuid=f8dc2dba-2bc5-4722-ba88-40a6289148c0" ] }, { "id" : "ITEM-2", "itemData" : { "author" : [ { "dropping-particle" : "", "family" : "Laslett", "given" : "Peter", "non-dropping-particle" : "", "parse-names" : false, "suffix" : "" } ], "id" : "ITEM-2", "issued" : { "date-parts" : [ [ "1991" ] ] }, "publisher" : "Harvard University Press", "publisher-place" : "Cambridge", "title" : "A Fresh Map of Life: The Emergence of the Third Age", "type" : "book" }, "uris" : [ "http://www.mendeley.com/documents/?uuid=795d7332-c5e9-45bf-a557-01e2177cf01c" ] } ], "mendeley" : { "formattedCitation" : "(Laslett 1991; Petrov\u00e1 Kafkov\u00e1 2016b)", "plainTextFormattedCitation" : "(Laslett 1991; Petrov\u00e1 Kafkov\u00e1 2016b)", "previouslyFormattedCitation" : "(Kafkov\u00e1 2016; Laslett 1991)" }, "properties" : { "noteIndex" : 0 }, "schema" : "https://github.com/citation-style-language/schema/raw/master/csl-citation.json" }</w:instrText>
      </w:r>
      <w:r w:rsidRPr="00C3671E">
        <w:fldChar w:fldCharType="separate"/>
      </w:r>
      <w:r w:rsidR="004F5010" w:rsidRPr="00C3671E">
        <w:rPr>
          <w:noProof/>
        </w:rPr>
        <w:t>(Laslett 1991; Petrová Kafková 2016b)</w:t>
      </w:r>
      <w:r w:rsidRPr="00C3671E">
        <w:fldChar w:fldCharType="end"/>
      </w:r>
      <w:r w:rsidRPr="00C3671E">
        <w:t>. The context-dependence of active ageing policies brings a question in which contexts and to which people it is applicable. The policy approach generally ignores this question and spreads throughout geographical and cultural contexts, and thus it puts in doubt its proclaimed beneficial effects. In sum, the consequences of any policy tool can be anticipated only if we know for under which (individual and societal) conditions this tool works as expected.</w:t>
      </w:r>
    </w:p>
    <w:p w14:paraId="42CF0CDB" w14:textId="77777777" w:rsidR="00676326" w:rsidRPr="00C3671E" w:rsidRDefault="00676326" w:rsidP="00676326">
      <w:pPr>
        <w:pStyle w:val="Nadpis3"/>
        <w:spacing w:line="480" w:lineRule="auto"/>
        <w:rPr>
          <w:rFonts w:ascii="Times New Roman" w:hAnsi="Times New Roman" w:cs="Times New Roman"/>
          <w:b w:val="0"/>
          <w:i/>
          <w:lang w:val="en-GB" w:eastAsia="zh-CN"/>
        </w:rPr>
      </w:pPr>
      <w:bookmarkStart w:id="18" w:name="_Toc512687729"/>
      <w:r w:rsidRPr="00C3671E">
        <w:rPr>
          <w:rFonts w:ascii="Times New Roman" w:hAnsi="Times New Roman" w:cs="Times New Roman"/>
          <w:b w:val="0"/>
          <w:i/>
          <w:lang w:val="en-GB" w:eastAsia="zh-CN"/>
        </w:rPr>
        <w:t>Individual factors shaping outcomes of activities</w:t>
      </w:r>
      <w:bookmarkEnd w:id="18"/>
    </w:p>
    <w:p w14:paraId="1C2D11D1" w14:textId="069B34D5" w:rsidR="00676326" w:rsidRPr="00C3671E" w:rsidRDefault="00676326" w:rsidP="00676326">
      <w:pPr>
        <w:suppressAutoHyphens/>
        <w:spacing w:line="480" w:lineRule="auto"/>
        <w:jc w:val="both"/>
        <w:rPr>
          <w:lang w:val="en-GB"/>
        </w:rPr>
      </w:pPr>
      <w:r w:rsidRPr="00C3671E">
        <w:rPr>
          <w:lang w:val="en-GB"/>
        </w:rPr>
        <w:t xml:space="preserve">The dependence of the effect and prevalence of specific activities on context have been illustrated both by theories and own descriptive results. Figures 1 to 6 </w:t>
      </w:r>
      <w:r w:rsidRPr="00C3671E">
        <w:rPr>
          <w:lang w:val="en-GB" w:eastAsia="zh-CN"/>
        </w:rPr>
        <w:t>show</w:t>
      </w:r>
      <w:r w:rsidRPr="00C3671E">
        <w:rPr>
          <w:lang w:val="en-GB"/>
        </w:rPr>
        <w:t xml:space="preserve"> how are activities promoted by active ageing approach unequally distributed across countries. Moreover, the chance of devoting to particular activities in later life is also shaped by individual and relational characteristics, such as class, gender, age, geographical location, education, and social capital </w:t>
      </w:r>
      <w:r w:rsidRPr="00C3671E">
        <w:rPr>
          <w:lang w:val="en-GB"/>
        </w:rPr>
        <w:lastRenderedPageBreak/>
        <w:fldChar w:fldCharType="begin" w:fldLock="1"/>
      </w:r>
      <w:r w:rsidR="001257AA" w:rsidRPr="00C3671E">
        <w:rPr>
          <w:lang w:val="en-GB"/>
        </w:rPr>
        <w:instrText>ADDIN CSL_CITATION { "citationItems" : [ { "id" : "ITEM-1", "itemData" : { "author" : [ { "dropping-particle" : "", "family" : "Holstein", "given" : "Martha B.", "non-dropping-particle" : "", "parse-names" : false, "suffix" : "" }, { "dropping-particle" : "", "family" : "Minkler", "given" : "Meredith", "non-dropping-particle" : "", "parse-names" : false, "suffix" : "" } ], "container-title" : "The Gerontologist", "id" : "ITEM-1", "issue" : "6", "issued" : { "date-parts" : [ [ "2003" ] ] }, "page" : "787-796", "title" : "Self, Society, and the \u2018\u2018New Gerontology\u2019\u2019", "type" : "article-journal", "volume" : "43" }, "uris" : [ "http://www.mendeley.com/documents/?uuid=7cd41c86-4367-404d-98af-62e6a77581cf" ] }, { "id" : "ITEM-2", "itemData" : { "author" : [ { "dropping-particle" : "", "family" : "Timonen", "given" : "Virpi", "non-dropping-particle" : "", "parse-names" : false, "suffix" : "" } ], "id" : "ITEM-2", "issued" : { "date-parts" : [ [ "2016" ] ] }, "publisher" : "Policy Press Shorts Research", "publisher-place" : "Bristol", "title" : "Beyond successful and active ageing: A theory of model ageing", "type" : "book" }, "uris" : [ "http://www.mendeley.com/documents/?uuid=4c41af4a-05f8-46fd-bb8a-a893aaadda0a" ] }, { "id" : "ITEM-3", "itemData" : { "DOI" : "10.1017/S0714980811000675", "ISBN" : "0714980811", "ISSN" : "0714-9808", "PMID" : "22373781", "abstract" : "Although some studies have confirmed positive associations between social engagement and well-being in later life, this study aimed to understand why some seniors cannot be engaged. The authors analyzed the lived experiences of 89 seniors in three rural communities in Canada, from semi-structured interviews and using the constant comparison method. Five factors make choices for social engagement in later life unequal among older adults who differ by gender, class, age, and health status. Profound engagement in care work, compulsory altruism, personal resources, objectively perceived and subjectively available engagement opportunities, and ageist barriers around paid work constrain choices for seniors who lack privilege in the context of a market economy, particularly for low-income older women. To avoid stigmatizing vulnerable older persons, societal barriers to meaningful activities must be addressed - for example, through provision of income security or by reversing inter- and intragenerational ageism in access to the labor market.", "author" : [ { "dropping-particle" : "", "family" : "Rozanova", "given" : "Julia", "non-dropping-particle" : "", "parse-names" : false, "suffix" : "" }, { "dropping-particle" : "", "family" : "Keating", "given" : "Norah", "non-dropping-particle" : "", "parse-names" : false, "suffix" : "" }, { "dropping-particle" : "", "family" : "Eales", "given" : "Jacquie", "non-dropping-particle" : "", "parse-names" : false, "suffix" : "" } ], "container-title" : "Canadian Journal on Aging / La Revue canadienne du vieillissement", "id" : "ITEM-3", "issue" : "01", "issued" : { "date-parts" : [ [ "2012" ] ] }, "note" : "Rozanova et al. 2012: Unequal Social Engagement for Older Adults: Constraints on Choice\nconcerns of social costs of ageing \u2192 ageing well perspective\ncritics emphasize the normative expectations this assumption carries \u2013 that those who are not well in later life may have themselves to blame because they haven\u2019t been sufficiently engaged (Katz, 2000 ; Laliberte-Rudman, 2006 )\nwell-being in later life is associated not with social engagement per se but with engagement in activities that an individual chooses freely and fi nds meaningful (Chapman, 2005 ; Katz, 2000 )\nJulia Rozanova et al.\naffected both by older individuals\u2019 personal character- istics and by community contexts. Researchers have noted that one important aspect in which rural com- munities may differ from urban areas is their lack of anonymity coupled with a tight-knit character (Keating, Swindle, &amp;amp; Fletcher, 2011 ). This aspect may facilitate the maintenance of social connectedness but at the same time block social engagement for some older individuals. For example, those who moved into the community as newcomers are typically viewed with some suspicion until they prove themselves in some way (Garland &amp;amp; Chakraborti, 2006 ). Other factors having an impact on social-engagement opportunities for rural older adults are the remoteness of some rural Canadian communities, a dwindling economy, and disparities of service infrastructure (Keating &amp;amp; Phillips, 2008 ).\nReview of the Literature Social Engagement of Older Adults\nSurvival through social engagement through activities that have a social component and are per- formed in relation to other people (Maier &amp;amp; Klumb, 2005 )\nsocial engagement may be affected by both structural inequalities and contextual factors\nthe lived experiences of 89 seniors in three rural communities in Canada from semi-structured interviews\nProfound engagement in care work, compulsory altruism, personal resources, objectively perceived and subjectively available engagement opportunities, and ageist barriers around paid work constrain choices especially for low-income older women\nsocietal barriers to meaningful activities must be addressed \u2013 through provision of income security or by reversing inter- and intragenerational ageism", "page" : "25-36", "title" : "Unequal Social Engagement for Older Adults: Constraints on Choice", "type" : "article-journal", "volume" : "31" }, "uris" : [ "http://www.mendeley.com/documents/?uuid=354042a3-40e3-4309-bec8-99c0941f3571" ] }, { "id" : "ITEM-4", "itemData" : { "DOI" : "10.1177/1350506809341513", "ISBN" : "0958-9287", "ISSN" : "0958-9287", "PMID" : "44896743", "abstract" : "In order to understand variations of quality of life in early old age, associations between economic status, socially productive activities and well-being are studied across 14 European countries. Information on three different types of productive activities and their exchange characteristics is included. We used the first two waves of the Survey of Health, Ageing and Retirement in Europe (SHARE) including some 15,000 retired men and women. Well-being is measured by a standardized quality of life measure (CASP-12). Findings of multilevel analyses show larger within country than between-country variability in prospective quality of life. Strong individual predictors were the experience of reciprocity in social productive activities and high socio-economic position. Continued participation in socially productive activities, in particular those that offer opportunities of experiencing reciprocity in exchange, improves prospective quality of life in early old age.", "author" : [ { "dropping-particle" : "", "family" : "Siegrist", "given" : "Johannes", "non-dropping-particle" : "", "parse-names" : false, "suffix" : "" }, { "dropping-particle" : "", "family" : "Wahrendorf", "given" : "Morten", "non-dropping-particle" : "", "parse-names" : false, "suffix" : "" } ], "container-title" : "Journal of European Social Policy", "id" : "ITEM-4", "issue" : "4", "issued" : { "date-parts" : [ [ "2009" ] ] }, "page" : "317-326", "title" : "Participation in socially productive activities and quality of life in early old age: findings from SHARE", "type" : "article-journal", "volume" : "19" }, "uris" : [ "http://www.mendeley.com/documents/?uuid=d6184dc7-ff41-4c97-a30a-bb2bd49a4212" ] }, { "id" : "ITEM-5", "itemData" : { "DOI" : "10.1007/s10433-015-0341-4", "ISSN" : "16139380", "abstract" : "This study explores older people\u2019s membership in political organizations by using data from the Survey on older people 2010, carried out by Spain\u2019s National Institute for older people and social services. The objectives were to describe the extent of this kind of participation among Spaniards aged 65 and over, and to analyze the factors that are associated with it. Results show that only slightly less than 7 % of the sample belonged to a political organization. To analyze the factors related to this membership, a set of models of multivariate analyses were run, including socioeconomic resources and participation in other types of active aging activity (participation in leisure, learning, and productive activities). Educational level, leisure activities, learning activities, and only volunteering in the case of productive activities were found to be associated with membership in political organizations. Results provide partial support for the socioeconomic resources model and suggest that engagement in leisure activities, learning activities, and volunteering might have an enhancing effect on membership in political organizations.", "author" : [ { "dropping-particle" : "", "family" : "Serrat", "given" : "Rodrigo", "non-dropping-particle" : "", "parse-names" : false, "suffix" : "" }, { "dropping-particle" : "", "family" : "Villar", "given" : "Feliciano", "non-dropping-particle" : "", "parse-names" : false, "suffix" : "" }, { "dropping-particle" : "", "family" : "Celdr\u00e1n", "given" : "Montserrat", "non-dropping-particle" : "", "parse-names" : false, "suffix" : "" } ], "container-title" : "European Journal of Ageing", "id" : "ITEM-5", "issue" : "3", "issued" : { "date-parts" : [ [ "2015" ] ] }, "page" : "239-247", "title" : "Factors associated with Spanish older people\u2019s membership in political organizations: the role of active aging activities", "type" : "article-journal", "volume" : "12" }, "uris" : [ "http://www.mendeley.com/documents/?uuid=916b36f3-3dc6-4f85-86e1-c170aa0e0234" ] }, { "id" : "ITEM-6", "itemData" : { "DOI" : "10.1007/s10433-016-0379-y", "ISSN" : "16139380", "author" : [ { "dropping-particle" : "", "family" : "Galenkamp", "given" : "Henrike", "non-dropping-particle" : "", "parse-names" : false, "suffix" : "" }, { "dropping-particle" : "", "family" : "Deeg", "given" : "Dorly J H", "non-dropping-particle" : "", "parse-names" : false, "suffix" : "" } ], "container-title" : "European Journal of Ageing", "id" : "ITEM-6", "issue" : "2", "issued" : { "date-parts" : [ [ "2016" ] ] }, "page" : "87-90", "publisher" : "Springer Netherlands", "title" : "Increasing social participation of older people: are there different barriers for those in poor health? Introduction to the special section", "type" : "article-journal", "volume" : "13" }, "uris" : [ "http://www.mendeley.com/documents/?uuid=1c5be590-ab80-4c8a-8b4f-58b175ad58fd" ] } ], "mendeley" : { "formattedCitation" : "(Galenkamp and Deeg 2016; Holstein and Minkler 2003; Rozanova et al. 2012; Serrat, Villar, and Celdr\u00e1n 2015; Siegrist and Wahrendorf 2009; Timonen 2016)", "plainTextFormattedCitation" : "(Galenkamp and Deeg 2016; Holstein and Minkler 2003; Rozanova et al. 2012; Serrat, Villar, and Celdr\u00e1n 2015; Siegrist and Wahrendorf 2009; Timonen 2016)", "previouslyFormattedCitation" : "(Galenkamp and Deeg 2016; Holstein and Minkler 2003; Rozanova et al. 2012; Serrat, Villar, and Celdr\u00e1n 2015; Siegrist and Wahrendorf 2009; Timonen 2016)" }, "properties" : { "noteIndex" : 0 }, "schema" : "https://github.com/citation-style-language/schema/raw/master/csl-citation.json" }</w:instrText>
      </w:r>
      <w:r w:rsidRPr="00C3671E">
        <w:rPr>
          <w:lang w:val="en-GB"/>
        </w:rPr>
        <w:fldChar w:fldCharType="separate"/>
      </w:r>
      <w:r w:rsidR="00A91559" w:rsidRPr="00C3671E">
        <w:rPr>
          <w:noProof/>
          <w:lang w:val="en-GB"/>
        </w:rPr>
        <w:t>(Galenkamp and Deeg 2016; Holstein and Minkler 2003; Rozanova et al. 2012; Serrat, Villar, and Celdrán 2015; Siegrist and Wahrendorf 2009; Timonen 2016)</w:t>
      </w:r>
      <w:r w:rsidRPr="00C3671E">
        <w:rPr>
          <w:lang w:val="en-GB"/>
        </w:rPr>
        <w:fldChar w:fldCharType="end"/>
      </w:r>
      <w:r w:rsidRPr="00C3671E">
        <w:rPr>
          <w:lang w:val="en-GB"/>
        </w:rPr>
        <w:t xml:space="preserve">. The same characteristics also shape the outcomes of activities </w:t>
      </w:r>
      <w:r w:rsidRPr="00C3671E">
        <w:rPr>
          <w:lang w:val="en-GB"/>
        </w:rPr>
        <w:fldChar w:fldCharType="begin" w:fldLock="1"/>
      </w:r>
      <w:r w:rsidR="001257AA" w:rsidRPr="00C3671E">
        <w:rPr>
          <w:lang w:val="en-GB"/>
        </w:rPr>
        <w:instrText>ADDIN CSL_CITATION { "citationItems" : [ { "id" : "ITEM-1", "itemData" : { "DOI" : "10.1017/S0144686X10001091", "ISBN" : "0144686X (ISSN)", "ISSN" : "0144-686X", "PMID" : "59665633", "abstract" : "An engaged lifestyle is seen as an important component of successful ageing. Many older adults with high participation in social and leisure activities report positive wellbeing, a fact that fuelled the original activity theory and that continues to influence researchers, theorists and practitioners. This study's purpose is to review the conceptualisation and measurement of activity among older adults and the associations reported in the gerontological literature between specific dimensions of activity and wellbeing. We searched published studies that focused on social and leisure activity and wellbeing, and found 42 studies in 44 articles published between 1995 and 2009. They reported from one to 13 activity domains, the majority reporting two or three, such as informal , formal and solitary , or productive versus leisure . Domains associated with subjective wellbeing, health or survival included social, leisure, productive, physical, intellectual, service and solitary activities. Informal social activity has accumulated the most evidence of an influence on wellbeing. Individual descriptors such as gender or physical functioning sometimes moderate these associations, while contextual variables such as choice, meaning or perceived quality play intervening roles. Differences in definitions and measurement make it difficult to draw inferences about this body of evidence on the associations between activity and wellbeing. Activity theory serves as shorthand for these associations, but gerontology must better integrate developmental and psychological constructs into a refined, comprehensive activity theory.", "author" : [ { "dropping-particle" : "", "family" : "Adams", "given" : "Kathryn Betts", "non-dropping-particle" : "", "parse-names" : false, "suffix" : "" }, { "dropping-particle" : "", "family" : "Leibbrandt", "given" : "Sylvia", "non-dropping-particle" : "", "parse-names" : false, "suffix" : "" }, { "dropping-particle" : "", "family" : "Moon", "given" : "Heehyul", "non-dropping-particle" : "", "parse-names" : false, "suffix" : "" } ], "container-title" : "Ageing and Society", "id" : "ITEM-1", "issue" : "04", "issued" : { "date-parts" : [ [ "2011" ] ] }, "page" : "683-712", "title" : "A critical review of the literature on social and leisure activity and wellbeing in later life", "type" : "article-journal", "volume" : "31" }, "uris" : [ "http://www.mendeley.com/documents/?uuid=28bf1c76-83b5-46ba-8c9c-efd885614e50" ] }, { "id" : "ITEM-2", "itemData" : { "DOI" : "10.1007/s10433-005-0018-5", "ISBN" : "1613-9372", "ISSN" : "16139372", "abstract" : "Social participation, defined as socially oriented sharing of individual resources, is often regarded as an important criterion of quality of life in old age. We distinguished three types of participation with respect to content, context, and resources required to participate: collective, productive, and political participation. Data from the multidisciplinary Berlin Aging Study were used to describe social participation of a very old population and to examine individual differences and changes over time. Analyses showed that social participation is cumulative. Individuals who engaged in political activities also took part in the other two types, and those who engaged in productive activities also participated in collective activities. Although many persons changed their social participation over the 4-year period, the cumulative pattern within the population remained unchanged. Educational and occupational resources were positively related to the intensity of social participation in old age, but changes in social participation could be better explained by age and health.", "author" : [ { "dropping-particle" : "", "family" : "Maier", "given" : "Heiner", "non-dropping-particle" : "", "parse-names" : false, "suffix" : "" }, { "dropping-particle" : "", "family" : "Klumb", "given" : "Petra L.", "non-dropping-particle" : "", "parse-names" : false, "suffix" : "" } ], "container-title" : "European Journal of Ageing", "id" : "ITEM-2", "issue" : "1", "issued" : { "date-parts" : [ [ "2005" ] ] }, "note" : "Maier, Klumb 2005: Social participation and survival at older ages: is the effect driven by activity content or context?\nbenefits of social activities: need for affiliation, role support, self-concept\nis it social interations (activity content) or presence of others (social context) what matters?\ninteresting diagram of all activities\nBerlin Aging Study, 70+\nmeasuring of all activities done yesterday\nsocial activities (interactions), social contexts (presence of others) \u2192 survival 10 years later\npresence of friends beneficial, presence of family not really\nsocial contexts significant predictor, social activities only without controls\neven nonsocial leisure activities positive effect: probably cognitive simulation+experience of competence", "page" : "31-39", "title" : "Social participation and survival at older ages: Is the effect driven by activity content or context?", "type" : "article-journal", "volume" : "2" }, "uris" : [ "http://www.mendeley.com/documents/?uuid=042b4337-82fd-4e1d-b5d5-fe5dc8b02102" ] }, { "id" : "ITEM-3", "itemData" : { "DOI" : "10.1007/s10433-012-0245-5", "ISBN" : "1613-9372", "ISSN" : "16139372", "abstract" : "Driven by socioemotional selectivity theory, this study examined whether age moderated the associations of volunteering motives with physical and psychological well-being in a sample of Hong Kong Chinese volunteers. Volunteering motives were measured by the volunteer functions inventory. Findings revealed that even after controlling for demographic characteristics and volunteering experience, age was related to higher social and value motives but lower career motives, and moderated the associations of social and protective motives with well-being. The associations of social motives with physical well-being were positive among older volunteers, but were negative among younger- and middle-aged volunteers. While protective motives were positively related to psychological well-being among all the volunteers, such effects were stronger among younger- and middle-aged volunteers than among older volunteers. Findings highlight the role of age in determining the relationship between volunteering motives and well-being. (PsycINFO Database Record (c) 2013 APA, all rights reserved) (journal abstract)", "author" : [ { "dropping-particle" : "", "family" : "Ho", "given" : "Yuen Wan", "non-dropping-particle" : "", "parse-names" : false, "suffix" : "" }, { "dropping-particle" : "", "family" : "You", "given" : "Jin", "non-dropping-particle" : "", "parse-names" : false, "suffix" : "" }, { "dropping-particle" : "", "family" : "Fung", "given" : "Helene H.", "non-dropping-particle" : "", "parse-names" : false, "suffix" : "" } ], "container-title" : "European Journal of Ageing", "id" : "ITEM-3", "issue" : "4", "issued" : { "date-parts" : [ [ "2012" ] ] }, "page" : "319-327", "title" : "The moderating role of age in the relationship between volunteering motives and well-being", "type" : "article-journal", "volume" : "9" }, "uris" : [ "http://www.mendeley.com/documents/?uuid=9df75077-3cf4-4bc0-a29d-323764e949fc" ] } ], "mendeley" : { "formattedCitation" : "(Adams et al. 2011; Ho, You, and Fung 2012; Maier and Klumb 2005)", "plainTextFormattedCitation" : "(Adams et al. 2011; Ho, You, and Fung 2012; Maier and Klumb 2005)", "previouslyFormattedCitation" : "(Adams et al. 2011; Ho, You, and Fung 2012; Maier and Klumb 2005)" }, "properties" : { "noteIndex" : 0 }, "schema" : "https://github.com/citation-style-language/schema/raw/master/csl-citation.json" }</w:instrText>
      </w:r>
      <w:r w:rsidRPr="00C3671E">
        <w:rPr>
          <w:lang w:val="en-GB"/>
        </w:rPr>
        <w:fldChar w:fldCharType="separate"/>
      </w:r>
      <w:r w:rsidR="00A91559" w:rsidRPr="00C3671E">
        <w:rPr>
          <w:noProof/>
          <w:lang w:val="en-GB"/>
        </w:rPr>
        <w:t>(Adams et al. 2011; Ho, You, and Fung 2012; Maier and Klumb 2005)</w:t>
      </w:r>
      <w:r w:rsidRPr="00C3671E">
        <w:rPr>
          <w:lang w:val="en-GB"/>
        </w:rPr>
        <w:fldChar w:fldCharType="end"/>
      </w:r>
      <w:r w:rsidRPr="00C3671E">
        <w:rPr>
          <w:lang w:val="en-GB"/>
        </w:rPr>
        <w:t xml:space="preserve">, as the same role can have different meaning for different people </w:t>
      </w:r>
      <w:r w:rsidRPr="00C3671E">
        <w:rPr>
          <w:lang w:val="en-GB"/>
        </w:rPr>
        <w:fldChar w:fldCharType="begin" w:fldLock="1"/>
      </w:r>
      <w:r w:rsidR="001257AA" w:rsidRPr="00C3671E">
        <w:rPr>
          <w:lang w:val="en-GB"/>
        </w:rPr>
        <w:instrText>ADDIN CSL_CITATION { "citationItems" : [ { "id" : "ITEM-1", "itemData" : { "author" : [ { "dropping-particle" : "", "family" : "Inglehart", "given" : "Ronald", "non-dropping-particle" : "", "parse-names" : false, "suffix" : "" } ], "id" : "ITEM-1", "issued" : { "date-parts" : [ [ "1990" ] ] }, "publisher" : "Princeton University Press", "publisher-place" : "Princeton", "title" : "Culture Shift in Advanced Industrial Society", "type" : "book" }, "uris" : [ "http://www.mendeley.com/documents/?uuid=25dc8f63-d26d-432e-8cdc-a1a2c72d612c" ] }, { "id" : "ITEM-2", "itemData" : { "author" : [ { "dropping-particle" : "", "family" : "Bourdieu", "given" : "Pierre", "non-dropping-particle" : "", "parse-names" : false, "suffix" : "" } ], "id" : "ITEM-2", "issued" : { "date-parts" : [ [ "1984" ] ] }, "publisher" : "Harvard University Press", "publisher-place" : "Cambridge", "title" : "Distinction: A Social Critique of the Judgement of Taste", "type" : "book" }, "uris" : [ "http://www.mendeley.com/documents/?uuid=1f223de9-cba1-40f3-aeca-c7ca486b4457" ] }, { "id" : "ITEM-3", "itemData" : { "author" : [ { "dropping-particle" : "", "family" : "Timonen", "given" : "Virpi", "non-dropping-particle" : "", "parse-names" : false, "suffix" : "" } ], "id" : "ITEM-3", "issued" : { "date-parts" : [ [ "2016" ] ] }, "publisher" : "Policy Press Shorts Research", "publisher-place" : "Bristol", "title" : "Beyond successful and active ageing: A theory of model ageing", "type" : "book" }, "uris" : [ "http://www.mendeley.com/documents/?uuid=4c41af4a-05f8-46fd-bb8a-a893aaadda0a" ] }, { "id" : "ITEM-4", "itemData" : { "DOI" : "10.1007/s10433-013-0294-4", "ISBN" : "1613-9372", "ISSN" : "1613-9372", "abstract" : "This study employs the concept of structured ambivalence to analyse the effect of grandchild care on quality of life (QoL) in different cultural contexts. We define structured ambivalence as the contradiction between behaviour and cultural norms. The analysis is based on the Survey of Health, Ageing and Retirement in Europe with 14 countries in the sample. We focus on grandparents aged 50 and over with at least one grandchild 12 years old or younger (n = 12,740). In countries with high grandparent obligations, grandparents who did not look after their grandchildren reported a lower quality of life. Compliance with such grandparental obligations (e.g. providing grandchild care in a country with high grandparent obligations) was found to increase the QoL of grandparents. Family policy should consider family practices that better match the realities of current grandparents\u2019 lives in order to reduce structured ambivalence and increase the QoL of grandparents.", "author" : [ { "dropping-particle" : "", "family" : "Neuberger", "given" : "Franz S.", "non-dropping-particle" : "", "parse-names" : false, "suffix" : "" }, { "dropping-particle" : "", "family" : "Haberkern", "given" : "Klaus", "non-dropping-particle" : "", "parse-names" : false, "suffix" : "" } ], "container-title" : "European Journal of Ageing", "id" : "ITEM-4", "issue" : "2", "issued" : { "date-parts" : [ [ "2014" ] ] }, "page" : "171-181", "title" : "Structured ambivalence in grandchild care and the quality of life among European grandparents", "type" : "article-journal", "volume" : "11" }, "uris" : [ "http://www.mendeley.com/documents/?uuid=f5b5cac1-e999-4c39-a97d-1363ab276312" ] }, { "id" : "ITEM-5", "itemData" : { "DOI" : "10.1017/S0144686X10001091", "ISBN" : "0144686X (ISSN)", "ISSN" : "0144-686X", "PMID" : "59665633", "abstract" : "An engaged lifestyle is seen as an important component of successful ageing. Many older adults with high participation in social and leisure activities report positive wellbeing, a fact that fuelled the original activity theory and that continues to influence researchers, theorists and practitioners. This study's purpose is to review the conceptualisation and measurement of activity among older adults and the associations reported in the gerontological literature between specific dimensions of activity and wellbeing. We searched published studies that focused on social and leisure activity and wellbeing, and found 42 studies in 44 articles published between 1995 and 2009. They reported from one to 13 activity domains, the majority reporting two or three, such as informal , formal and solitary , or productive versus leisure . Domains associated with subjective wellbeing, health or survival included social, leisure, productive, physical, intellectual, service and solitary activities. Informal social activity has accumulated the most evidence of an influence on wellbeing. Individual descriptors such as gender or physical functioning sometimes moderate these associations, while contextual variables such as choice, meaning or perceived quality play intervening roles. Differences in definitions and measurement make it difficult to draw inferences about this body of evidence on the associations between activity and wellbeing. Activity theory serves as shorthand for these associations, but gerontology must better integrate developmental and psychological constructs into a refined, comprehensive activity theory.", "author" : [ { "dropping-particle" : "", "family" : "Adams", "given" : "Kathryn Betts", "non-dropping-particle" : "", "parse-names" : false, "suffix" : "" }, { "dropping-particle" : "", "family" : "Leibbrandt", "given" : "Sylvia", "non-dropping-particle" : "", "parse-names" : false, "suffix" : "" }, { "dropping-particle" : "", "family" : "Moon", "given" : "Heehyul", "non-dropping-particle" : "", "parse-names" : false, "suffix" : "" } ], "container-title" : "Ageing and Society", "id" : "ITEM-5", "issue" : "04", "issued" : { "date-parts" : [ [ "2011" ] ] }, "page" : "683-712", "title" : "A critical review of the literature on social and leisure activity and wellbeing in later life", "type" : "article-journal", "volume" : "31" }, "uris" : [ "http://www.mendeley.com/documents/?uuid=28bf1c76-83b5-46ba-8c9c-efd885614e50" ] } ], "mendeley" : { "formattedCitation" : "(Adams et al. 2011; Bourdieu 1984; Inglehart 1990; Neuberger and Haberkern 2014; Timonen 2016)", "plainTextFormattedCitation" : "(Adams et al. 2011; Bourdieu 1984; Inglehart 1990; Neuberger and Haberkern 2014; Timonen 2016)", "previouslyFormattedCitation" : "(Adams et al. 2011; Bourdieu 1984; Inglehart 1990; Neuberger and Haberkern 2014; Timonen 2016)" }, "properties" : { "noteIndex" : 0 }, "schema" : "https://github.com/citation-style-language/schema/raw/master/csl-citation.json" }</w:instrText>
      </w:r>
      <w:r w:rsidRPr="00C3671E">
        <w:rPr>
          <w:lang w:val="en-GB"/>
        </w:rPr>
        <w:fldChar w:fldCharType="separate"/>
      </w:r>
      <w:r w:rsidR="00A91559" w:rsidRPr="00C3671E">
        <w:rPr>
          <w:noProof/>
          <w:lang w:val="en-GB"/>
        </w:rPr>
        <w:t>(Adams et al. 2011; Bourdieu 1984; Inglehart 1990; Neuberger and Haberkern 2014; Timonen 2016)</w:t>
      </w:r>
      <w:r w:rsidRPr="00C3671E">
        <w:rPr>
          <w:lang w:val="en-GB"/>
        </w:rPr>
        <w:fldChar w:fldCharType="end"/>
      </w:r>
      <w:r w:rsidRPr="00C3671E">
        <w:rPr>
          <w:lang w:val="en-GB"/>
        </w:rPr>
        <w:t>.</w:t>
      </w:r>
    </w:p>
    <w:p w14:paraId="081133C1" w14:textId="17DD168F" w:rsidR="00676326" w:rsidRPr="00C3671E" w:rsidRDefault="00676326" w:rsidP="00676326">
      <w:pPr>
        <w:pStyle w:val="Newparagraph"/>
        <w:jc w:val="both"/>
      </w:pPr>
      <w:r w:rsidRPr="00C3671E">
        <w:t xml:space="preserve">First, the effect of prolonged employment versus retirement as the most central role </w:t>
      </w:r>
      <w:r w:rsidRPr="00C3671E">
        <w:fldChar w:fldCharType="begin" w:fldLock="1"/>
      </w:r>
      <w:r w:rsidRPr="00C3671E">
        <w:instrText>ADDIN CSL_CITATION { "citationItems" : [ { "id" : "ITEM-1", "itemData" : { "DOI" : "10.1146/annurev.so.19.080193.002033", "ISBN" : "0360-0572", "ISSN" : "0360-0572", "abstract" : "Research on life transitions highlights the normative and nonnormative changes that individuals experience over time. During the past two decades, life course perspectives have provided a strategic context for studying the genesis of life transitions and their personal and social consequences. Both population-based and individual models of transitions have become more complex, focusing on the ways that social and historical contexts shape life transitions. At the individual level, progress has also been made in identifying the mechanisms by which transitions affect outcomes. Research on life transitions continues to grapple with two major issues-the challenges raised by heterogeneity, and the need to better link macro and micro perspectives-although advances have been made in both cases. One of the most promising characteristics of recent studies is cross-fertilization of concepts and methods from previously distinct research traditions: role theory, social stress theory, and life course sociology.", "author" : [ { "dropping-particle" : "", "family" : "George", "given" : "L K", "non-dropping-particle" : "", "parse-names" : false, "suffix" : "" } ], "container-title" : "Annual Review of Sociology", "id" : "ITEM-1", "issued" : { "date-parts" : [ [ "1993" ] ] }, "page" : "353-373", "title" : "Sociological-Perspectives on Life Transitions", "type" : "article-journal", "volume" : "19" }, "uris" : [ "http://www.mendeley.com/documents/?uuid=fe4e53a2-8342-41f2-bcb3-f1fb3380abb5" ] } ], "mendeley" : { "formattedCitation" : "(George 1993)", "plainTextFormattedCitation" : "(George 1993)", "previouslyFormattedCitation" : "(George 1993)" }, "properties" : { "noteIndex" : 0 }, "schema" : "https://github.com/citation-style-language/schema/raw/master/csl-citation.json" }</w:instrText>
      </w:r>
      <w:r w:rsidRPr="00C3671E">
        <w:fldChar w:fldCharType="separate"/>
      </w:r>
      <w:r w:rsidRPr="00C3671E">
        <w:rPr>
          <w:noProof/>
        </w:rPr>
        <w:t>(George 1993)</w:t>
      </w:r>
      <w:r w:rsidRPr="00C3671E">
        <w:fldChar w:fldCharType="end"/>
      </w:r>
      <w:r w:rsidRPr="00C3671E">
        <w:t xml:space="preserve"> is formed by characteristics of individual, activity, situation, and activity partners </w:t>
      </w:r>
      <w:r w:rsidRPr="00C3671E">
        <w:fldChar w:fldCharType="begin" w:fldLock="1"/>
      </w:r>
      <w:r w:rsidR="001257AA" w:rsidRPr="00C3671E">
        <w:instrText>ADDIN CSL_CITATION { "citationItems" : [ { "id" : "ITEM-1", "itemData" : { "DOI" : "10.1017/S0144686X10001091", "ISBN" : "0144686X (ISSN)", "ISSN" : "0144-686X", "PMID" : "59665633", "abstract" : "An engaged lifestyle is seen as an important component of successful ageing. Many older adults with high participation in social and leisure activities report positive wellbeing, a fact that fuelled the original activity theory and that continues to influence researchers, theorists and practitioners. This study's purpose is to review the conceptualisation and measurement of activity among older adults and the associations reported in the gerontological literature between specific dimensions of activity and wellbeing. We searched published studies that focused on social and leisure activity and wellbeing, and found 42 studies in 44 articles published between 1995 and 2009. They reported from one to 13 activity domains, the majority reporting two or three, such as informal , formal and solitary , or productive versus leisure . Domains associated with subjective wellbeing, health or survival included social, leisure, productive, physical, intellectual, service and solitary activities. Informal social activity has accumulated the most evidence of an influence on wellbeing. Individual descriptors such as gender or physical functioning sometimes moderate these associations, while contextual variables such as choice, meaning or perceived quality play intervening roles. Differences in definitions and measurement make it difficult to draw inferences about this body of evidence on the associations between activity and wellbeing. Activity theory serves as shorthand for these associations, but gerontology must better integrate developmental and psychological constructs into a refined, comprehensive activity theory.", "author" : [ { "dropping-particle" : "", "family" : "Adams", "given" : "Kathryn Betts", "non-dropping-particle" : "", "parse-names" : false, "suffix" : "" }, { "dropping-particle" : "", "family" : "Leibbrandt", "given" : "Sylvia", "non-dropping-particle" : "", "parse-names" : false, "suffix" : "" }, { "dropping-particle" : "", "family" : "Moon", "given" : "Heehyul", "non-dropping-particle" : "", "parse-names" : false, "suffix" : "" } ], "container-title" : "Ageing and Society", "id" : "ITEM-1", "issue" : "04", "issued" : { "date-parts" : [ [ "2011" ] ] }, "page" : "683-712", "title" : "A critical review of the literature on social and leisure activity and wellbeing in later life", "type" : "article-journal", "volume" : "31" }, "uris" : [ "http://www.mendeley.com/documents/?uuid=28bf1c76-83b5-46ba-8c9c-efd885614e50" ] } ], "mendeley" : { "formattedCitation" : "(Adams et al. 2011)", "plainTextFormattedCitation" : "(Adams et al. 2011)", "previouslyFormattedCitation" : "(Adams et al. 2011)" }, "properties" : { "noteIndex" : 0 }, "schema" : "https://github.com/citation-style-language/schema/raw/master/csl-citation.json" }</w:instrText>
      </w:r>
      <w:r w:rsidRPr="00C3671E">
        <w:fldChar w:fldCharType="separate"/>
      </w:r>
      <w:r w:rsidR="00AA6335" w:rsidRPr="00C3671E">
        <w:rPr>
          <w:noProof/>
        </w:rPr>
        <w:t>(Adams et al. 2011)</w:t>
      </w:r>
      <w:r w:rsidRPr="00C3671E">
        <w:fldChar w:fldCharType="end"/>
      </w:r>
      <w:r w:rsidRPr="00C3671E">
        <w:t xml:space="preserve">. Individual characteristics influencing the effect are gender, health, income, education, and marital status </w:t>
      </w:r>
      <w:r w:rsidRPr="00C3671E">
        <w:fldChar w:fldCharType="begin" w:fldLock="1"/>
      </w:r>
      <w:r w:rsidR="001257AA" w:rsidRPr="00C3671E">
        <w:instrText>ADDIN CSL_CITATION { "citationItems" : [ { "id" : "ITEM-1", "itemData" : { "DOI" : "10.1016/j.socec.2011.05.010", "ISBN" : "1053-5357", "ISSN" : "10535357", "abstract" : "This paper examines a wide range of determinants of retiree well-being of retirees. Using data from the 2000 Health and Retirement Study, increases in economic factors such as income lead to higher well-being, although relative income has a larger effect than absolute income. The strongest predictors are the voluntariness of entering retirement, pension characteristics, and health. Retirees \" forced\" to retire or have defined contribution pensions or bad health have significantly lower well-being. The results suggest a more nuanced approach in addressing retiree well-being than just a focus on the economic well-being of retirees. ?? 2011 Elsevier Inc.", "author" : [ { "dropping-particle" : "", "family" : "Bender", "given" : "Keith A.", "non-dropping-particle" : "", "parse-names" : false, "suffix" : "" } ], "container-title" : "Journal of Socio-Economics", "id" : "ITEM-1", "issue" : "4", "issued" : { "date-parts" : [ [ "2012" ] ] }, "page" : "424-433", "publisher" : "Elsevier Inc.", "title" : "An analysis of well-being in retirement: The role of pensions, health, and 'voluntariness' of retirement", "type" : "article-journal", "volume" : "41" }, "uris" : [ "http://www.mendeley.com/documents/?uuid=b93971aa-9931-4825-9234-2662dd4edc6f" ] }, { "id" : "ITEM-2", "itemData" : { "author" : [ { "dropping-particle" : "", "family" : "Kim", "given" : "Jungmeen E", "non-dropping-particle" : "", "parse-names" : false, "suffix" : "" }, { "dropping-particle" : "", "family" : "Moen", "given" : "Phyllis", "non-dropping-particle" : "", "parse-names" : false, "suffix" : "" } ], "container-title" : "Journal of Gerontology: Psychological Series", "id" : "ITEM-2", "issue" : "3", "issued" : { "date-parts" : [ [ "2002" ] ] }, "note" : "Kim, Moen 2002: Retirement Transitions, Gender, and Psychological Well-Being: A Life-Course, Ecological Model\nlongitudinal: retirement\u2192well-being (morale scale, CES-D); married 50-72\nmultiple imputations of missing values\nmoving out from demanding job loosing occupational attachments, network, and anchor for identity\nrole theory + life-course perspetive \u2192 role enhancement X role strain\ncontinuity theory - maintaining patterns, stability\na life-course, ecological model - best for this issue\n- locating transitions in the social contexts of other roles, relations, and developmental processes\n- process, linked lives, context\nthe relationship between retirement and psychological well-being must be viewed in a temporal, life course context\nmaking the transition to retirement within the last 2 years is associated with higher levels of morale for men, whereas being \u201ccontinuously\u201d retired is related to greater depressive symptoms among men\n- enjoyable \u201choneymoon\u201d phase proposed by Atchley (1976b) - right after the event of retirement there often is a euphoric, busy, honeymoon phase\nthe importance of resources and contexts of transitions (gender, prior level of well-being, spouses\u2019 circumstance, and changes in personal control, marital quality, subjective health, and income adequacy\n\u2192\nWomen\u2019s retirement: Policy implications of recent research\nIs retirement good or bad for subjective well-being?\nCouples\u2019 work/retirement transitions, gender, and marital quality\nMen\u2019s retirement and marital quality\nVolunteering and mortality among older adults: Findings from a national sample\nThe retiree identity: Gender and race differences", "page" : "212-222", "title" : "Retirement Transitions, Gender, and Psychological Well-Being: A Life-Course , Ecological Model", "type" : "article-journal", "volume" : "57" }, "uris" : [ "http://www.mendeley.com/documents/?uuid=d324d834-c4ee-483d-b637-cc2ca78095c1" ] }, { "id" : "ITEM-3", "itemData" : { "DOI" : "10.1177/0027950109345236", "ISBN" : "0027-9501, 0027-9501", "ISSN" : "0027-9501", "abstract" : "While much has been made of the value of employment relative to unemployment, much less is known about the value of work relative to retirement. Here we use two European panel datasets to show first that psychological well-being (measured on the EURO-D and GHQ scales) barely changes on average when individuals retire. However, there is a great deal of heterogeneity in the size of this change between job type and between individuals. Some gain on leaving work, while others experience substantial falls in well-being on retiring, suggesting that they may have preferred to carry on working. We suggest that the results of these analyses can help to inform policy aiming to encourage labour supply by older workers.", "author" : [ { "dropping-particle" : "", "family" : "Clark", "given" : "Andrew E", "non-dropping-particle" : "", "parse-names" : false, "suffix" : "" }, { "dropping-particle" : "", "family" : "Fawaz", "given" : "Yarine", "non-dropping-particle" : "", "parse-names" : false, "suffix" : "" } ], "container-title" : "National Institute Economic Review", "id" : "ITEM-3", "issue" : "1", "issued" : { "date-parts" : [ [ "2009" ] ] }, "page" : "88-103", "title" : "Valuing jobs via retirement: European Evidence", "type" : "article-journal", "volume" : "209" }, "uris" : [ "http://www.mendeley.com/documents/?uuid=f95f195c-cc3d-4968-8d7f-4b29c854cbf4" ] }, { "id" : "ITEM-4", "itemData" : { "DOI" : "10.1080/01490400902988275", "ISBN" : "0882-7974 (Print)\\r0882-7974 (Linking)", "ISSN" : "0149-0400", "PMID" : "17874946", "abstract" : "Contradictory positions have been advanced as to whether retirement has negative, positive, or no effects on subjective well-being. The authors investigated changes in life satisfaction in 1,456 German retirees. Using latent growth mixture modeling, the authors found 3 groups of people who experienced retirement differently. In Group 1, satisfaction declined at retirement but continued on a stable or increasing trajectory thereafter. Group 2 demonstrated a large increase in satisfaction at retirement but overall declining satisfaction. In Group 3, satisfaction showed a temporary very small increase at retirement. Groups differed by retirement age, gender, socioeconomic status, marital status, health, unemployment before retiring, and region. Thus, retirement is not a uniform transition, and resource-rich individuals are less likely to experience retirement-related change in satisfaction.", "author" : [ { "dropping-particle" : "", "family" : "Pinquart", "given" : "Martin", "non-dropping-particle" : "", "parse-names" : false, "suffix" : "" }, { "dropping-particle" : "", "family" : "Schindler", "given" : "Ines", "non-dropping-particle" : "", "parse-names" : false, "suffix" : "" } ], "container-title" : "Psychology and Aging", "id" : "ITEM-4", "issue" : "3", "issued" : { "date-parts" : [ [ "2007" ] ] }, "note" : "Pinquart, Schindler 2007: Changes of Life Satisfaction in the Transition to Retirement: A Latent-Class Approach\nthe authors found 3 groups of people who experienced retirement differently: 1. satisfaction declined and become stable or increasing, 2. large increase followed by overall decline (men), 3. a temporary small increase (dominant group with many married people)\nmultinomial logistic regression of differences between classes\ngroups differed in many personal chracteristics\nresource-rich individuals are less likely to experience retirement-related change in satisfaction\nSociological role theory points to employment as a fundamental\nrole\ncontinuity theory would suggest that retirement may be psychologically stressful because of the discontinuity in a central role or because individuals experience rolelessness\nAtchley (1974, 1976) has suggested a process model of retirement adjustment - Anticipatory attitudes etc.", "page" : "442-455", "title" : "Changes of life satisfaction in the transition to retirement: a latent-class approach", "type" : "article-journal", "volume" : "22" }, "uris" : [ "http://www.mendeley.com/documents/?uuid=d5c3e2c1-0130-4b23-b2b3-698c31b6e4e4" ] }, { "id" : "ITEM-5", "itemData" : { "DOI" : "10.1016/j.jvb.2008.12.010", "ISBN" : "0415384818", "ISSN" : "00018791", "abstract" : "This cross-sectional study examines three predictors of retirement adjustment: individual (demographic and health), psychosocial (work centrality), and organizational (conditions of workforce exit). It also examines the effect of work centrality on post-retirement activity levels. Survey data was collected from 394 retirees (aged 45-93 years). Results suggested that better psychological health, higher income, and being married predicted better retirement adjustment. Work centrality was neither related to retirement adjustment nor to post-retirement activity levels. Conditions of exit significantly predicted retirement adjustment, even after controlling for lower-level individual and psychosocial influences. Practical implications for the design of retirement planning programs and organizational exit strategies are discussed. ?? 2009 Elsevier Inc. All rights reserved.", "author" : [ { "dropping-particle" : "", "family" : "Wong", "given" : "Jessica Y.", "non-dropping-particle" : "", "parse-names" : false, "suffix" : "" }, { "dropping-particle" : "", "family" : "Earl", "given" : "Joanne K.", "non-dropping-particle" : "", "parse-names" : false, "suffix" : "" } ], "container-title" : "Journal of Vocational Behavior", "id" : "ITEM-5", "issue" : "1", "issued" : { "date-parts" : [ [ "2009" ] ] }, "note" : "Wong, Earl 2009: Towards an integrated model of individual, psychosocial, and organizational predictors of retirement adjustment\nAccording to role theory (e.g., George, 1993), individuals occupy a number of roles, each critical to the self concept and\npersonal identity\nThis cross-sectional study examines three predictors of retirement adjustment: individual (demographic and health), psychosocial (work centrality), and organizational (conditions of workforce exit)\nbetter psychological health, higher income, and being married predicted better retire- ment adjustment\nWork centrality was neither related to retirement adjustment nor to post-retirement activity levels", "page" : "1-13", "publisher" : "Elsevier Inc.", "title" : "Towards an integrated model of individual, psychosocial, and organizational predictors of retirement adjustment", "type" : "article-journal", "volume" : "75" }, "uris" : [ "http://www.mendeley.com/documents/?uuid=482f55ba-6cce-4d84-8512-ed86b3be5b64" ] } ], "mendeley" : { "formattedCitation" : "(Bender 2012; Clark and Fawaz 2009; Kim and Moen 2002; Pinquart and Schindler 2007; Wong and Earl 2009)", "plainTextFormattedCitation" : "(Bender 2012; Clark and Fawaz 2009; Kim and Moen 2002; Pinquart and Schindler 2007; Wong and Earl 2009)", "previouslyFormattedCitation" : "(Bender 2012; Clark and Fawaz 2009; Kim and Moen 2002; Pinquart and Schindler 2007; Wong and Earl 2009)" }, "properties" : { "noteIndex" : 0 }, "schema" : "https://github.com/citation-style-language/schema/raw/master/csl-citation.json" }</w:instrText>
      </w:r>
      <w:r w:rsidRPr="00C3671E">
        <w:fldChar w:fldCharType="separate"/>
      </w:r>
      <w:r w:rsidR="00A91559" w:rsidRPr="00C3671E">
        <w:rPr>
          <w:noProof/>
        </w:rPr>
        <w:t>(Bender 2012; Clark and Fawaz 2009; Kim and Moen 2002; Pinquart and Schindler 2007; Wong and Earl 2009)</w:t>
      </w:r>
      <w:r w:rsidRPr="00C3671E">
        <w:fldChar w:fldCharType="end"/>
      </w:r>
      <w:r w:rsidRPr="00C3671E">
        <w:t xml:space="preserve">. The voluntariness of retirement and type of job are some of the intervening characteristics of activity </w:t>
      </w:r>
      <w:r w:rsidRPr="00C3671E">
        <w:fldChar w:fldCharType="begin" w:fldLock="1"/>
      </w:r>
      <w:r w:rsidR="001257AA" w:rsidRPr="00C3671E">
        <w:instrText>ADDIN CSL_CITATION { "citationItems" : [ { "id" : "ITEM-1", "itemData" : { "DOI" : "10.1016/j.socec.2011.05.010", "ISBN" : "1053-5357", "ISSN" : "10535357", "abstract" : "This paper examines a wide range of determinants of retiree well-being of retirees. Using data from the 2000 Health and Retirement Study, increases in economic factors such as income lead to higher well-being, although relative income has a larger effect than absolute income. The strongest predictors are the voluntariness of entering retirement, pension characteristics, and health. Retirees \" forced\" to retire or have defined contribution pensions or bad health have significantly lower well-being. The results suggest a more nuanced approach in addressing retiree well-being than just a focus on the economic well-being of retirees. ?? 2011 Elsevier Inc.", "author" : [ { "dropping-particle" : "", "family" : "Bender", "given" : "Keith A.", "non-dropping-particle" : "", "parse-names" : false, "suffix" : "" } ], "container-title" : "Journal of Socio-Economics", "id" : "ITEM-1", "issue" : "4", "issued" : { "date-parts" : [ [ "2012" ] ] }, "page" : "424-433", "publisher" : "Elsevier Inc.", "title" : "An analysis of well-being in retirement: The role of pensions, health, and 'voluntariness' of retirement", "type" : "article-journal", "volume" : "41" }, "uris" : [ "http://www.mendeley.com/documents/?uuid=b93971aa-9931-4825-9234-2662dd4edc6f" ] }, { "id" : "ITEM-2", "itemData" : { "author" : [ { "dropping-particle" : "", "family" : "B\u00f6rsch-Supan", "given" : "Axel", "non-dropping-particle" : "", "parse-names" : false, "suffix" : "" }, { "dropping-particle" : "", "family" : "J\u00fcrges", "given" : "Hendrik", "non-dropping-particle" : "", "parse-names" : false, "suffix" : "" } ], "chapter-number" : "5", "container-title" : "Developments in the Economics of Aging", "editor" : [ { "dropping-particle" : "", "family" : "Wise", "given" : "David A", "non-dropping-particle" : "", "parse-names" : false, "suffix" : "" } ], "id" : "ITEM-2", "issued" : { "date-parts" : [ [ "2009" ] ] }, "page" : "173-202", "publisher" : "The University of Chicago Press", "publisher-place" : "Chicago and London", "title" : "Early retirement, social security and well-being in Germany", "type" : "chapter" }, "uris" : [ "http://www.mendeley.com/documents/?uuid=00833140-f4e8-4c23-8a40-f4fbdbfc5222" ] }, { "id" : "ITEM-3", "itemData" : { "DOI" : "10.1177/0027950109345236", "ISBN" : "0027-9501, 0027-9501", "ISSN" : "0027-9501", "abstract" : "While much has been made of the value of employment relative to unemployment, much less is known about the value of work relative to retirement. Here we use two European panel datasets to show first that psychological well-being (measured on the EURO-D and GHQ scales) barely changes on average when individuals retire. However, there is a great deal of heterogeneity in the size of this change between job type and between individuals. Some gain on leaving work, while others experience substantial falls in well-being on retiring, suggesting that they may have preferred to carry on working. We suggest that the results of these analyses can help to inform policy aiming to encourage labour supply by older workers.", "author" : [ { "dropping-particle" : "", "family" : "Clark", "given" : "Andrew E", "non-dropping-particle" : "", "parse-names" : false, "suffix" : "" }, { "dropping-particle" : "", "family" : "Fawaz", "given" : "Yarine", "non-dropping-particle" : "", "parse-names" : false, "suffix" : "" } ], "container-title" : "National Institute Economic Review", "id" : "ITEM-3", "issue" : "1", "issued" : { "date-parts" : [ [ "2009" ] ] }, "page" : "88-103", "title" : "Valuing jobs via retirement: European Evidence", "type" : "article-journal", "volume" : "209" }, "uris" : [ "http://www.mendeley.com/documents/?uuid=f95f195c-cc3d-4968-8d7f-4b29c854cbf4" ] }, { "id" : "ITEM-4", "itemData" : { "DOI" : "10.1177/0164027510364120.Work", "ISSN" : "0164-0275", "PMID" : "21430790", "abstract" : "This study presents an integrative model of early retirement using data from the Wisconsin Longitudinal Study. The model extends prior work by incorporating work-family conflict to capture the interaction between the work and family domains and by assuming proximal and distal predictors of early retirement. More precisely, the model suggests that family and job demands and resources predict family-to-work and work-to-family conflict, respectively. All of these factors are presumed to have only indirect effects on retirement timing via the intervening effect of quality of life measures, that is, marital satisfaction, job satisfaction and health. The authors assume that these three factors constitute predictors of early retirement in addition to socioeconomic status and the availability of a pension plan and health insurance. The model was tested with structural equation modeling techniques, and the results were supportive. Therefore, the proposed model offers a general framework for the integration of previous research findings. Keywords", "author" : [ { "dropping-particle" : "", "family" : "Kubicek", "given" : "Bettina", "non-dropping-particle" : "", "parse-names" : false, "suffix" : "" }, { "dropping-particle" : "", "family" : "Korunka", "given" : "Christian", "non-dropping-particle" : "", "parse-names" : false, "suffix" : "" }, { "dropping-particle" : "", "family" : "Raymo", "given" : "James M", "non-dropping-particle" : "", "parse-names" : false, "suffix" : "" } ], "container-title" : "Research on aging", "id" : "ITEM-4", "issue" : "4", "issued" : { "date-parts" : [ [ "2010" ] ] }, "note" : "Kubicek et al 2010: Work and Family Characteristics as Predictors of Early Retirement in Married Men and Women\nwork characteristics can be classified into two global categories, namely job demands and job resources\nintegrative model of early retirement using data from the Wisconsin Longitudinal Study\nwork-family conflict and family-work conflict measured by sets of items\ninteraction between the work and family domains and by assuming proximal and distal predictors of early retirement\nthe intervening effect of quality of life measures, that is, marital satisfaction, job satisfaction and health\nthree factors constitute predictors of early retirement in addition to socioeconomic status and the availability of a pension plan and health insurance\nmodel was tested with structural equation modeling techniques, and the results were supportive\nIn order to avoid creating cumulative disadvantages for workers in more strenuous jobs, it appears important to reduce inequalities through adequate job redesign", "page" : "467-498", "title" : "Work and Family Characteristics as Predictors of Early Retirement in Married Men and Women", "type" : "article-journal", "volume" : "32" }, "uris" : [ "http://www.mendeley.com/documents/?uuid=51c6a833-1015-4a7a-8b59-6ec3d6320aa3" ] } ], "mendeley" : { "formattedCitation" : "(Bender 2012; B\u00f6rsch-Supan and J\u00fcrges 2009; Clark and Fawaz 2009; Kubicek, Korunka, and Raymo 2010)", "plainTextFormattedCitation" : "(Bender 2012; B\u00f6rsch-Supan and J\u00fcrges 2009; Clark and Fawaz 2009; Kubicek, Korunka, and Raymo 2010)", "previouslyFormattedCitation" : "(Bender 2012; B\u00f6rsch-Supan and J\u00fcrges 2009; Clark and Fawaz 2009; Kubicek, Korunka, and Raymo 2010)" }, "properties" : { "noteIndex" : 0 }, "schema" : "https://github.com/citation-style-language/schema/raw/master/csl-citation.json" }</w:instrText>
      </w:r>
      <w:r w:rsidRPr="00C3671E">
        <w:fldChar w:fldCharType="separate"/>
      </w:r>
      <w:r w:rsidR="00A91559" w:rsidRPr="00C3671E">
        <w:rPr>
          <w:noProof/>
        </w:rPr>
        <w:t>(Bender 2012; Börsch-Supan and Jürges 2009; Clark and Fawaz 2009; Kubicek, Korunka, and Raymo 2010)</w:t>
      </w:r>
      <w:r w:rsidRPr="00C3671E">
        <w:fldChar w:fldCharType="end"/>
      </w:r>
      <w:r w:rsidRPr="00C3671E">
        <w:t xml:space="preserve">. Finally, examples of situational factors are pension characteristics, level of QoL before retirement, marital satisfaction, family situation, and retirement phase </w:t>
      </w:r>
      <w:r w:rsidRPr="00C3671E">
        <w:fldChar w:fldCharType="begin" w:fldLock="1"/>
      </w:r>
      <w:r w:rsidR="001257AA" w:rsidRPr="00C3671E">
        <w:instrText>ADDIN CSL_CITATION { "citationItems" : [ { "id" : "ITEM-1", "itemData" : { "DOI" : "10.1016/j.socec.2011.05.010", "ISBN" : "1053-5357", "ISSN" : "10535357", "abstract" : "This paper examines a wide range of determinants of retiree well-being of retirees. Using data from the 2000 Health and Retirement Study, increases in economic factors such as income lead to higher well-being, although relative income has a larger effect than absolute income. The strongest predictors are the voluntariness of entering retirement, pension characteristics, and health. Retirees \" forced\" to retire or have defined contribution pensions or bad health have significantly lower well-being. The results suggest a more nuanced approach in addressing retiree well-being than just a focus on the economic well-being of retirees. ?? 2011 Elsevier Inc.", "author" : [ { "dropping-particle" : "", "family" : "Bender", "given" : "Keith A.", "non-dropping-particle" : "", "parse-names" : false, "suffix" : "" } ], "container-title" : "Journal of Socio-Economics", "id" : "ITEM-1", "issue" : "4", "issued" : { "date-parts" : [ [ "2012" ] ] }, "page" : "424-433", "publisher" : "Elsevier Inc.", "title" : "An analysis of well-being in retirement: The role of pensions, health, and 'voluntariness' of retirement", "type" : "article-journal", "volume" : "41" }, "uris" : [ "http://www.mendeley.com/documents/?uuid=b93971aa-9931-4825-9234-2662dd4edc6f" ] }, { "id" : "ITEM-2", "itemData" : { "author" : [ { "dropping-particle" : "", "family" : "Kim", "given" : "Jungmeen E", "non-dropping-particle" : "", "parse-names" : false, "suffix" : "" }, { "dropping-particle" : "", "family" : "Moen", "given" : "Phyllis", "non-dropping-particle" : "", "parse-names" : false, "suffix" : "" } ], "container-title" : "Journal of Gerontology: Psychological Series", "id" : "ITEM-2", "issue" : "3", "issued" : { "date-parts" : [ [ "2002" ] ] }, "note" : "Kim, Moen 2002: Retirement Transitions, Gender, and Psychological Well-Being: A Life-Course, Ecological Model\nlongitudinal: retirement\u2192well-being (morale scale, CES-D); married 50-72\nmultiple imputations of missing values\nmoving out from demanding job loosing occupational attachments, network, and anchor for identity\nrole theory + life-course perspetive \u2192 role enhancement X role strain\ncontinuity theory - maintaining patterns, stability\na life-course, ecological model - best for this issue\n- locating transitions in the social contexts of other roles, relations, and developmental processes\n- process, linked lives, context\nthe relationship between retirement and psychological well-being must be viewed in a temporal, life course context\nmaking the transition to retirement within the last 2 years is associated with higher levels of morale for men, whereas being \u201ccontinuously\u201d retired is related to greater depressive symptoms among men\n- enjoyable \u201choneymoon\u201d phase proposed by Atchley (1976b) - right after the event of retirement there often is a euphoric, busy, honeymoon phase\nthe importance of resources and contexts of transitions (gender, prior level of well-being, spouses\u2019 circumstance, and changes in personal control, marital quality, subjective health, and income adequacy\n\u2192\nWomen\u2019s retirement: Policy implications of recent research\nIs retirement good or bad for subjective well-being?\nCouples\u2019 work/retirement transitions, gender, and marital quality\nMen\u2019s retirement and marital quality\nVolunteering and mortality among older adults: Findings from a national sample\nThe retiree identity: Gender and race differences", "page" : "212-222", "title" : "Retirement Transitions, Gender, and Psychological Well-Being: A Life-Course , Ecological Model", "type" : "article-journal", "volume" : "57" }, "uris" : [ "http://www.mendeley.com/documents/?uuid=d324d834-c4ee-483d-b637-cc2ca78095c1" ] }, { "id" : "ITEM-3", "itemData" : { "DOI" : "10.1007/s10902-012-9399-2", "ISSN" : "13894978", "abstract" : "This study examines the relationship between retirement and subjective well-being (SWB), utilizing international data from sixteen countries in Western Europe and the US. Differences in social security regimes are exploited to estimate the retirement decision such that it is exogenous to individual-level characteristics. Although results from traditional ordinary least squares suggest an ambiguous relationship between retirement and SWB, this is due to comparatively lower SWB among those who choose retirement. The removal of selection bias reveals a large, positive effect that fades over a few years, suggesting a multi-stage adjustment to retirement. Individuals facing formal retirement at age 65 or later experience an increase in SWB that is roughly equivalent in total value to that of individuals facing earlier retirement, and both groups return to trend by age 70. This suggests that raising the formal retirement age, which is widely discussed today by policymakers, is relatively neutral with regard to SWB in the long-term.", "author" : [ { "dropping-particle" : "", "family" : "Horner", "given" : "Elizabeth Mokyr", "non-dropping-particle" : "", "parse-names" : false, "suffix" : "" } ], "container-title" : "Journal of Happiness Studies", "id" : "ITEM-3", "issue" : "1", "issued" : { "date-parts" : [ [ "2014" ] ] }, "page" : "125-144", "title" : "Subjective Well-Being and Retirement: Analysis and Policy Recommendations", "type" : "article-journal", "volume" : "15" }, "uris" : [ "http://www.mendeley.com/documents/?uuid=84c4b7f5-4f4e-4a9c-9f0b-e26858f7c56a" ] }, { "id" : "ITEM-4", "itemData" : { "author" : [ { "dropping-particle" : "", "family" : "Atchley", "given" : "Robert C.", "non-dropping-particle" : "", "parse-names" : false, "suffix" : "" } ], "container-title" : "The Gerontologist", "id" : "ITEM-4", "issue" : "2", "issued" : { "date-parts" : [ [ "1989" ] ] }, "page" : "183-190", "title" : "A Continuty Theory of Normal Aging", "type" : "article-journal", "volume" : "29" }, "uris" : [ "http://www.mendeley.com/documents/?uuid=3270221c-47ea-45f3-a4ea-cc96a7df9c3a" ] }, { "id" : "ITEM-5", "itemData" : { "DOI" : "10.1080/01490400902988275", "ISBN" : "0882-7974 (Print)\\r0882-7974 (Linking)", "ISSN" : "0149-0400", "PMID" : "17874946", "abstract" : "Contradictory positions have been advanced as to whether retirement has negative, positive, or no effects on subjective well-being. The authors investigated changes in life satisfaction in 1,456 German retirees. Using latent growth mixture modeling, the authors found 3 groups of people who experienced retirement differently. In Group 1, satisfaction declined at retirement but continued on a stable or increasing trajectory thereafter. Group 2 demonstrated a large increase in satisfaction at retirement but overall declining satisfaction. In Group 3, satisfaction showed a temporary very small increase at retirement. Groups differed by retirement age, gender, socioeconomic status, marital status, health, unemployment before retiring, and region. Thus, retirement is not a uniform transition, and resource-rich individuals are less likely to experience retirement-related change in satisfaction.", "author" : [ { "dropping-particle" : "", "family" : "Pinquart", "given" : "Martin", "non-dropping-particle" : "", "parse-names" : false, "suffix" : "" }, { "dropping-particle" : "", "family" : "Schindler", "given" : "Ines", "non-dropping-particle" : "", "parse-names" : false, "suffix" : "" } ], "container-title" : "Psychology and Aging", "id" : "ITEM-5", "issue" : "3", "issued" : { "date-parts" : [ [ "2007" ] ] }, "note" : "Pinquart, Schindler 2007: Changes of Life Satisfaction in the Transition to Retirement: A Latent-Class Approach\nthe authors found 3 groups of people who experienced retirement differently: 1. satisfaction declined and become stable or increasing, 2. large increase followed by overall decline (men), 3. a temporary small increase (dominant group with many married people)\nmultinomial logistic regression of differences between classes\ngroups differed in many personal chracteristics\nresource-rich individuals are less likely to experience retirement-related change in satisfaction\nSociological role theory points to employment as a fundamental\nrole\ncontinuity theory would suggest that retirement may be psychologically stressful because of the discontinuity in a central role or because individuals experience rolelessness\nAtchley (1974, 1976) has suggested a process model of retirement adjustment - Anticipatory attitudes etc.", "page" : "442-455", "title" : "Changes of life satisfaction in the transition to retirement: a latent-class approach", "type" : "article-journal", "volume" : "22" }, "uris" : [ "http://www.mendeley.com/documents/?uuid=d5c3e2c1-0130-4b23-b2b3-698c31b6e4e4" ] }, { "id" : "ITEM-6", "itemData" : { "DOI" : "10.1037/0893-3200.18.1.250", "ISSN" : "0893-3200", "abstract" : "This study explored how daily changes in workday pace and end-of-the-workday mood were related to nightly variations in withdrawn and angry marital behavior. For 3 days, 82 husbands and wives from 42 couples completed questionnaires at the end of the workday and at bedtime. More negatively arousing workdays were linked with angrier marital behavior for women and less angry and more withdrawn behavior for men. Daily changes in workday pace predicted fluctuations in women's, but not men's, marital behavior. Several of these workday-marital behavior connections varied by level of marital satisfaction. In contrast to the gender differences in responses to workday stress, no differences were found in typical marital behaviors. These findings suggest that gender differences are enhanced under stress.", "author" : [ { "dropping-particle" : "", "family" : "Schulz", "given" : "Martin S", "non-dropping-particle" : "", "parse-names" : false, "suffix" : "" }, { "dropping-particle" : "", "family" : "Cowan", "given" : "Philip A", "non-dropping-particle" : "", "parse-names" : false, "suffix" : "" }, { "dropping-particle" : "", "family" : "Cowan", "given" : "C P", "non-dropping-particle" : "", "parse-names" : false, "suffix" : "" }, { "dropping-particle" : "", "family" : "Brennan", "given" : "Robert T", "non-dropping-particle" : "", "parse-names" : false, "suffix" : "" } ], "container-title" : "Journal of Family Psychology:", "id" : "ITEM-6", "issue" : "1", "issued" : { "date-parts" : [ [ "2004" ] ] }, "page" : "250-263", "title" : "Coming home upset: Gender, marital satisfaction, and the daily spillover of workday experience into couple interactions", "type" : "article-journal", "volume" : "18" }, "uris" : [ "http://www.mendeley.com/documents/?uuid=09a0e532-1418-4bf5-af9e-1cde643ea3dc" ] } ], "mendeley" : { "formattedCitation" : "(Atchley 1989; Bender 2012; Horner 2014; Kim and Moen 2002; Pinquart and Schindler 2007; Schulz et al. 2004)", "plainTextFormattedCitation" : "(Atchley 1989; Bender 2012; Horner 2014; Kim and Moen 2002; Pinquart and Schindler 2007; Schulz et al. 2004)", "previouslyFormattedCitation" : "(Atchley 1989; Bender 2012; Horner 2014; Kim and Moen 2002; Pinquart and Schindler 2007; Schulz et al. 2004)" }, "properties" : { "noteIndex" : 0 }, "schema" : "https://github.com/citation-style-language/schema/raw/master/csl-citation.json" }</w:instrText>
      </w:r>
      <w:r w:rsidRPr="00C3671E">
        <w:fldChar w:fldCharType="separate"/>
      </w:r>
      <w:r w:rsidR="00A91559" w:rsidRPr="00C3671E">
        <w:rPr>
          <w:noProof/>
        </w:rPr>
        <w:t>(Atchley 1989; Bender 2012; Horner 2014; Kim and Moen 2002; Pinquart and Schindler 2007; Schulz et al. 2004)</w:t>
      </w:r>
      <w:r w:rsidRPr="00C3671E">
        <w:fldChar w:fldCharType="end"/>
      </w:r>
      <w:r w:rsidRPr="00C3671E">
        <w:t>.</w:t>
      </w:r>
    </w:p>
    <w:p w14:paraId="16FB28C4" w14:textId="617A581E" w:rsidR="00676326" w:rsidRPr="00C3671E" w:rsidRDefault="00676326" w:rsidP="00676326">
      <w:pPr>
        <w:pStyle w:val="Newparagraph"/>
        <w:jc w:val="both"/>
        <w:rPr>
          <w:lang w:eastAsia="zh-CN"/>
        </w:rPr>
      </w:pPr>
      <w:r w:rsidRPr="00C3671E">
        <w:t xml:space="preserve">Second, a </w:t>
      </w:r>
      <w:r w:rsidRPr="00C3671E">
        <w:rPr>
          <w:lang w:eastAsia="zh-CN"/>
        </w:rPr>
        <w:t>similar</w:t>
      </w:r>
      <w:r w:rsidRPr="00C3671E">
        <w:t xml:space="preserve"> division of intervening factors as for the effect of prolonged employment can be applied to the effect of caregiving in later life. The more positive effect of providing care concerns women, those with a lower level of education, religiously involved older adults, and individuals occupying fewer roles </w:t>
      </w:r>
      <w:r w:rsidRPr="00C3671E">
        <w:fldChar w:fldCharType="begin" w:fldLock="1"/>
      </w:r>
      <w:r w:rsidR="001257AA" w:rsidRPr="00C3671E">
        <w:instrText>ADDIN CSL_CITATION { "citationItems" : [ { "id" : "ITEM-1", "itemData" : { "DOI" : "10.1007/s10433-013-0276-6", "ISBN" : "1613-9380; 1613-9372", "ISSN" : "16139372", "abstract" : "Based on the caregiver stress model, we examined how care demands, caregiver motivation, coping style and external support are associated with positive evaluation and caregiver burden among spousal, adult child and other types of care relations. Data from a sample of Dutch informal caregivers of 1,685 older persons (55 and older) were analyzed employing multivariate linear regression analyses for each of the care relationship types. Spouses (N = 206) report high positive evaluation and high burden, adult children (N = 1,093) report low positive evaluation, and other caregivers (N = 386) report high positive evaluation and a low burden. Multivariate linear regression analyses showed that motives and external support were important for positive evaluation but the impact varied among types of caregivers, whereas care demands and not asking for help were associated with burden for all types. Only among \u2018other\u2019 caregiver relationships, positive evaluation was negatively associated with burden. It is concluded that results confirm the dual nature of caregiving among spouses and children. The care context and motivation of the different types of caregivers explain their differences in care evaluation. Various interventions for types of caregivers are discussed. (PsycINFO Database Record (c) 2014 APA, all rights reserved) (journal abstract)", "author" : [ { "dropping-particle" : "", "family" : "Broese van Groenou", "given" : "Marjolein I.", "non-dropping-particle" : "", "parse-names" : false, "suffix" : "" }, { "dropping-particle" : "", "family" : "Boer", "given" : "Alice", "non-dropping-particle" : "de", "parse-names" : false, "suffix" : "" }, { "dropping-particle" : "", "family" : "Iedema", "given" : "Jurjen", "non-dropping-particle" : "", "parse-names" : false, "suffix" : "" } ], "container-title" : "European Journal of Ageing", "id" : "ITEM-1", "issue" : "4", "issued" : { "date-parts" : [ [ "2013" ] ] }, "page" : "301-311", "title" : "Positive and negative evaluation of caregiving among three different types of informal care relationships", "type" : "article-journal", "volume" : "10" }, "uris" : [ "http://www.mendeley.com/documents/?uuid=e39ec068-a7a1-4bd1-bbf4-2717643670f7" ] }, { "id" : "ITEM-2", "itemData" : { "author" : [ { "dropping-particle" : "", "family" : "Kim", "given" : "Jungmeen E", "non-dropping-particle" : "", "parse-names" : false, "suffix" : "" }, { "dropping-particle" : "", "family" : "Moen", "given" : "Phyllis", "non-dropping-particle" : "", "parse-names" : false, "suffix" : "" } ], "container-title" : "Journal of Gerontology: Psychological Series", "id" : "ITEM-2", "issue" : "3", "issued" : { "date-parts" : [ [ "2002" ] ] }, "note" : "Kim, Moen 2002: Retirement Transitions, Gender, and Psychological Well-Being: A Life-Course, Ecological Model\nlongitudinal: retirement\u2192well-being (morale scale, CES-D); married 50-72\nmultiple imputations of missing values\nmoving out from demanding job loosing occupational attachments, network, and anchor for identity\nrole theory + life-course perspetive \u2192 role enhancement X role strain\ncontinuity theory - maintaining patterns, stability\na life-course, ecological model - best for this issue\n- locating transitions in the social contexts of other roles, relations, and developmental processes\n- process, linked lives, context\nthe relationship between retirement and psychological well-being must be viewed in a temporal, life course context\nmaking the transition to retirement within the last 2 years is associated with higher levels of morale for men, whereas being \u201ccontinuously\u201d retired is related to greater depressive symptoms among men\n- enjoyable \u201choneymoon\u201d phase proposed by Atchley (1976b) - right after the event of retirement there often is a euphoric, busy, honeymoon phase\nthe importance of resources and contexts of transitions (gender, prior level of well-being, spouses\u2019 circumstance, and changes in personal control, marital quality, subjective health, and income adequacy\n\u2192\nWomen\u2019s retirement: Policy implications of recent research\nIs retirement good or bad for subjective well-being?\nCouples\u2019 work/retirement transitions, gender, and marital quality\nMen\u2019s retirement and marital quality\nVolunteering and mortality among older adults: Findings from a national sample\nThe retiree identity: Gender and race differences", "page" : "212-222", "title" : "Retirement Transitions, Gender, and Psychological Well-Being: A Life-Course , Ecological Model", "type" : "article-journal", "volume" : "57" }, "uris" : [ "http://www.mendeley.com/documents/?uuid=d324d834-c4ee-483d-b637-cc2ca78095c1" ] } ], "mendeley" : { "formattedCitation" : "(Broese van Groenou, de Boer, and Iedema 2013; Kim and Moen 2002)", "plainTextFormattedCitation" : "(Broese van Groenou, de Boer, and Iedema 2013; Kim and Moen 2002)", "previouslyFormattedCitation" : "(Broese van Groenou, de Boer, and Iedema 2013; Kim and Moen 2002)" }, "properties" : { "noteIndex" : 0 }, "schema" : "https://github.com/citation-style-language/schema/raw/master/csl-citation.json" }</w:instrText>
      </w:r>
      <w:r w:rsidRPr="00C3671E">
        <w:fldChar w:fldCharType="separate"/>
      </w:r>
      <w:r w:rsidR="00A91559" w:rsidRPr="00C3671E">
        <w:rPr>
          <w:noProof/>
        </w:rPr>
        <w:t>(Broese van Groenou, de Boer, and Iedema 2013; Kim and Moen 2002)</w:t>
      </w:r>
      <w:r w:rsidRPr="00C3671E">
        <w:fldChar w:fldCharType="end"/>
      </w:r>
      <w:r w:rsidRPr="00C3671E">
        <w:t>. Regarding characteristics of caregiving, the</w:t>
      </w:r>
      <w:r w:rsidRPr="00C3671E">
        <w:rPr>
          <w:lang w:eastAsia="zh-CN"/>
        </w:rPr>
        <w:t xml:space="preserve"> less intensive </w:t>
      </w:r>
      <w:r w:rsidRPr="00C3671E">
        <w:rPr>
          <w:lang w:eastAsia="zh-CN"/>
        </w:rPr>
        <w:fldChar w:fldCharType="begin" w:fldLock="1"/>
      </w:r>
      <w:r w:rsidR="001257AA" w:rsidRPr="00C3671E">
        <w:rPr>
          <w:lang w:eastAsia="zh-CN"/>
        </w:rPr>
        <w:instrText>ADDIN CSL_CITATION { "citationItems" : [ { "id" : "ITEM-1", "itemData" : { "DOI" : "10.1093/ageing/28.3.307", "ISBN" : "0002-0729 (Print)\\r0002-0729 (Linking)", "ISSN" : "00020729", "PMID" : "10475869", "abstract" : "OBJECTIVE: To assess distress in a sample of carers who were selected from a community survey rather than recruited via community-service agencies.\\n\\nMETHODS: A community survey was carried out on 630 people aged 75 or over living in Sydney, Australia. Informants nominated by these elderly people were divided into full carer (n = 21), partial carer (n = 187) and non-carer groups (n = 344). Informants completed the General Health Questionnaire (a continuous measure of psychiatric symptoms), the life satisfaction index (a measure of well-being) and the interpersonal bonding measure (a measure of quality of the relationship with the elderly person). Elderly participants had a medical examination, were assessed for disability and were questioned about use of services.\\n\\nRESULTS: Elderly people who had a full carer were more disabled and had more medical diagnoses. Full, but not partial, carers reported more psychiatric symptoms and lower life satisfaction. In multivariate analysis, the main determinant of carer distress was a relationship in which the carer felt controlled by the elderly person.\\n\\nCONCLUSION: When carers are selected from a population-based sample, only those who are full carers are more distressed. However, relationship factors are the most important determinant of distress.", "author" : [ { "dropping-particle" : "", "family" : "Broe", "given" : "Gerald A.", "non-dropping-particle" : "", "parse-names" : false, "suffix" : "" }, { "dropping-particle" : "", "family" : "Jorm", "given" : "Anthony F.", "non-dropping-particle" : "", "parse-names" : false, "suffix" : "" }, { "dropping-particle" : "", "family" : "Creasey", "given" : "Helen", "non-dropping-particle" : "", "parse-names" : false, "suffix" : "" }, { "dropping-particle" : "", "family" : "Casey", "given" : "Barney", "non-dropping-particle" : "", "parse-names" : false, "suffix" : "" }, { "dropping-particle" : "", "family" : "Bennett", "given" : "Hayley", "non-dropping-particle" : "", "parse-names" : false, "suffix" : "" }, { "dropping-particle" : "", "family" : "Cullen", "given" : "John", "non-dropping-particle" : "", "parse-names" : false, "suffix" : "" }, { "dropping-particle" : "", "family" : "Edelbrock", "given" : "Dorothy", "non-dropping-particle" : "", "parse-names" : false, "suffix" : "" }, { "dropping-particle" : "", "family" : "Waite", "given" : "Louise", "non-dropping-particle" : "", "parse-names" : false, "suffix" : "" }, { "dropping-particle" : "", "family" : "Grayson", "given" : "David", "non-dropping-particle" : "", "parse-names" : false, "suffix" : "" } ], "container-title" : "Age and Ageing", "id" : "ITEM-1", "issue" : "3", "issued" : { "date-parts" : [ [ "1999" ] ] }, "page" : "307-311", "title" : "Carer distress in the general population: Results from the Sydney Older Persons Study", "type" : "article-journal", "volume" : "28" }, "uris" : [ "http://www.mendeley.com/documents/?uuid=f72f8fdf-7fa8-44a6-a4b7-915036579ee2" ] }, { "id" : "ITEM-2", "itemData" : { "DOI" : "10.1177/003288553401400202", "ISBN" : "9789264097759", "ISSN" : "0032-8855", "PMID" : "24443734", "abstract" : "When a young person is jobless, it also damages family, community, and country", "author" : [ { "dropping-particle" : "", "family" : "Colombo", "given" : "Francesca", "non-dropping-particle" : "", "parse-names" : false, "suffix" : "" }, { "dropping-particle" : "", "family" : "Llena-Nozal", "given" : "Ana", "non-dropping-particle" : "", "parse-names" : false, "suffix" : "" }, { "dropping-particle" : "", "family" : "Mercier", "given" : "J\u00e9r\u00f4me", "non-dropping-particle" : "", "parse-names" : false, "suffix" : "" }, { "dropping-particle" : "", "family" : "Tjadens", "given" : "Frits", "non-dropping-particle" : "", "parse-names" : false, "suffix" : "" } ], "id" : "ITEM-2", "issued" : { "date-parts" : [ [ "2011" ] ] }, "publisher" : "OECD Publishing", "publisher-place" : "Paris", "title" : "Help Wanted? Providing and Paying for Long-Term Care", "type" : "book" }, "uris" : [ "http://www.mendeley.com/documents/?uuid=0369a866-d1da-45d0-b6c4-0d3653bc82c7" ] }, { "id" : "ITEM-3", "itemData" : { "DOI" : "10.1007/s10433-013-0276-6", "ISBN" : "1613-9380; 1613-9372", "ISSN" : "16139372", "abstract" : "Based on the caregiver stress model, we examined how care demands, caregiver motivation, coping style and external support are associated with positive evaluation and caregiver burden among spousal, adult child and other types of care relations. Data from a sample of Dutch informal caregivers of 1,685 older persons (55 and older) were analyzed employing multivariate linear regression analyses for each of the care relationship types. Spouses (N = 206) report high positive evaluation and high burden, adult children (N = 1,093) report low positive evaluation, and other caregivers (N = 386) report high positive evaluation and a low burden. Multivariate linear regression analyses showed that motives and external support were important for positive evaluation but the impact varied among types of caregivers, whereas care demands and not asking for help were associated with burden for all types. Only among \u2018other\u2019 caregiver relationships, positive evaluation was negatively associated with burden. It is concluded that results confirm the dual nature of caregiving among spouses and children. The care context and motivation of the different types of caregivers explain their differences in care evaluation. Various interventions for types of caregivers are discussed. (PsycINFO Database Record (c) 2014 APA, all rights reserved) (journal abstract)", "author" : [ { "dropping-particle" : "", "family" : "Broese van Groenou", "given" : "Marjolein I.", "non-dropping-particle" : "", "parse-names" : false, "suffix" : "" }, { "dropping-particle" : "", "family" : "Boer", "given" : "Alice", "non-dropping-particle" : "de", "parse-names" : false, "suffix" : "" }, { "dropping-particle" : "", "family" : "Iedema", "given" : "Jurjen", "non-dropping-particle" : "", "parse-names" : false, "suffix" : "" } ], "container-title" : "European Journal of Ageing", "id" : "ITEM-3", "issue" : "4", "issued" : { "date-parts" : [ [ "2013" ] ] }, "page" : "301-311", "title" : "Positive and negative evaluation of caregiving among three different types of informal care relationships", "type" : "article-journal", "volume" : "10" }, "uris" : [ "http://www.mendeley.com/documents/?uuid=e39ec068-a7a1-4bd1-bbf4-2717643670f7" ] } ], "mendeley" : { "formattedCitation" : "(Broe et al. 1999; Broese van Groenou et al. 2013; Colombo et al. 2011)", "manualFormatting" : "(Broe et al. 1999; Broese van Groenou et al. 2013; Colombo et al. 2011)", "plainTextFormattedCitation" : "(Broe et al. 1999; Broese van Groenou et al. 2013; Colombo et al. 2011)", "previouslyFormattedCitation" : "(Broe et al. 1999; Broese van Groenou et al. 2013; Colombo et al. 2011)" }, "properties" : { "noteIndex" : 0 }, "schema" : "https://github.com/citation-style-language/schema/raw/master/csl-citation.json" }</w:instrText>
      </w:r>
      <w:r w:rsidRPr="00C3671E">
        <w:rPr>
          <w:lang w:eastAsia="zh-CN"/>
        </w:rPr>
        <w:fldChar w:fldCharType="separate"/>
      </w:r>
      <w:r w:rsidRPr="00C3671E">
        <w:rPr>
          <w:noProof/>
          <w:lang w:eastAsia="zh-CN"/>
        </w:rPr>
        <w:t xml:space="preserve">(Broe </w:t>
      </w:r>
      <w:r w:rsidRPr="00C3671E">
        <w:rPr>
          <w:i/>
          <w:noProof/>
          <w:lang w:eastAsia="zh-CN"/>
        </w:rPr>
        <w:t>et al.</w:t>
      </w:r>
      <w:r w:rsidRPr="00C3671E">
        <w:rPr>
          <w:noProof/>
          <w:lang w:eastAsia="zh-CN"/>
        </w:rPr>
        <w:t xml:space="preserve"> 1999; Broese van Groenou </w:t>
      </w:r>
      <w:r w:rsidRPr="00C3671E">
        <w:rPr>
          <w:i/>
          <w:noProof/>
          <w:lang w:eastAsia="zh-CN"/>
        </w:rPr>
        <w:t xml:space="preserve">et al. </w:t>
      </w:r>
      <w:r w:rsidRPr="00C3671E">
        <w:rPr>
          <w:noProof/>
          <w:lang w:eastAsia="zh-CN"/>
        </w:rPr>
        <w:t xml:space="preserve">2013; Colombo </w:t>
      </w:r>
      <w:r w:rsidRPr="00C3671E">
        <w:rPr>
          <w:i/>
          <w:noProof/>
          <w:lang w:eastAsia="zh-CN"/>
        </w:rPr>
        <w:t>et al.</w:t>
      </w:r>
      <w:r w:rsidRPr="00C3671E">
        <w:rPr>
          <w:noProof/>
          <w:lang w:eastAsia="zh-CN"/>
        </w:rPr>
        <w:t xml:space="preserve"> 2011)</w:t>
      </w:r>
      <w:r w:rsidRPr="00C3671E">
        <w:rPr>
          <w:lang w:eastAsia="zh-CN"/>
        </w:rPr>
        <w:fldChar w:fldCharType="end"/>
      </w:r>
      <w:r w:rsidRPr="00C3671E">
        <w:rPr>
          <w:lang w:eastAsia="zh-CN"/>
        </w:rPr>
        <w:t xml:space="preserve"> and more voluntary </w:t>
      </w:r>
      <w:r w:rsidRPr="00C3671E">
        <w:rPr>
          <w:lang w:eastAsia="zh-CN"/>
        </w:rPr>
        <w:fldChar w:fldCharType="begin" w:fldLock="1"/>
      </w:r>
      <w:r w:rsidR="001257AA" w:rsidRPr="00C3671E">
        <w:rPr>
          <w:lang w:eastAsia="zh-CN"/>
        </w:rPr>
        <w:instrText>ADDIN CSL_CITATION { "citationItems" : [ { "id" : "ITEM-1", "itemData" : { "author" : [ { "dropping-particle" : "", "family" : "Lowenstein", "given" : "Ariela", "non-dropping-particle" : "", "parse-names" : false, "suffix" : "" }, { "dropping-particle" : "", "family" : "Katz", "given" : "Ruth", "non-dropping-particle" : "", "parse-names" : false, "suffix" : "" }, { "dropping-particle" : "", "family" : "Gur-Yaish", "given" : "Nurit", "non-dropping-particle" : "", "parse-names" : false, "suffix" : "" } ], "chapter-number" : "5", "container-title" : "Caregiving Contexts: Cultural, Familial, and Societal Implications", "editor" : [ { "dropping-particle" : "", "family" : "Davey", "given" : "Adam", "non-dropping-particle" : "", "parse-names" : false, "suffix" : "" }, { "dropping-particle" : "", "family" : "Szinovacz", "given" : "Maximiliane E", "non-dropping-particle" : "", "parse-names" : false, "suffix" : "" } ], "id" : "ITEM-1", "issued" : { "date-parts" : [ [ "2008" ] ] }, "page" : "93-114", "publisher" : "Springer Publishing Company", "publisher-place" : "New York", "title" : "Cross-national v ariations in Elder Care: Antecedents and outcomes", "type" : "chapter" }, "uris" : [ "http://www.mendeley.com/documents/?uuid=f018b976-3d6d-444e-ab31-0664a763a2dc" ] }, { "id" : "ITEM-2", "itemData" : { "DOI" : "10.1007/s10433-013-0276-6", "ISBN" : "1613-9380; 1613-9372", "ISSN" : "16139372", "abstract" : "Based on the caregiver stress model, we examined how care demands, caregiver motivation, coping style and external support are associated with positive evaluation and caregiver burden among spousal, adult child and other types of care relations. Data from a sample of Dutch informal caregivers of 1,685 older persons (55 and older) were analyzed employing multivariate linear regression analyses for each of the care relationship types. Spouses (N = 206) report high positive evaluation and high burden, adult children (N = 1,093) report low positive evaluation, and other caregivers (N = 386) report high positive evaluation and a low burden. Multivariate linear regression analyses showed that motives and external support were important for positive evaluation but the impact varied among types of caregivers, whereas care demands and not asking for help were associated with burden for all types. Only among \u2018other\u2019 caregiver relationships, positive evaluation was negatively associated with burden. It is concluded that results confirm the dual nature of caregiving among spouses and children. The care context and motivation of the different types of caregivers explain their differences in care evaluation. Various interventions for types of caregivers are discussed. (PsycINFO Database Record (c) 2014 APA, all rights reserved) (journal abstract)", "author" : [ { "dropping-particle" : "", "family" : "Broese van Groenou", "given" : "Marjolein I.", "non-dropping-particle" : "", "parse-names" : false, "suffix" : "" }, { "dropping-particle" : "", "family" : "Boer", "given" : "Alice", "non-dropping-particle" : "de", "parse-names" : false, "suffix" : "" }, { "dropping-particle" : "", "family" : "Iedema", "given" : "Jurjen", "non-dropping-particle" : "", "parse-names" : false, "suffix" : "" } ], "container-title" : "European Journal of Ageing", "id" : "ITEM-2", "issue" : "4", "issued" : { "date-parts" : [ [ "2013" ] ] }, "page" : "301-311", "title" : "Positive and negative evaluation of caregiving among three different types of informal care relationships", "type" : "article-journal", "volume" : "10" }, "uris" : [ "http://www.mendeley.com/documents/?uuid=e39ec068-a7a1-4bd1-bbf4-2717643670f7" ] } ], "mendeley" : { "formattedCitation" : "(Broese van Groenou et al. 2013; Lowenstein, Katz, and Gur-Yaish 2008)", "manualFormatting" : "(Broese van Groenou et al. 2013; Lowenstein et al. 2008)", "plainTextFormattedCitation" : "(Broese van Groenou et al. 2013; Lowenstein, Katz, and Gur-Yaish 2008)", "previouslyFormattedCitation" : "(Broese van Groenou et al. 2013; Lowenstein, Katz, and Gur-Yaish 2008)" }, "properties" : { "noteIndex" : 0 }, "schema" : "https://github.com/citation-style-language/schema/raw/master/csl-citation.json" }</w:instrText>
      </w:r>
      <w:r w:rsidRPr="00C3671E">
        <w:rPr>
          <w:lang w:eastAsia="zh-CN"/>
        </w:rPr>
        <w:fldChar w:fldCharType="separate"/>
      </w:r>
      <w:r w:rsidRPr="00C3671E">
        <w:rPr>
          <w:noProof/>
          <w:lang w:eastAsia="zh-CN"/>
        </w:rPr>
        <w:t xml:space="preserve">(Broese van Groenou </w:t>
      </w:r>
      <w:r w:rsidRPr="00C3671E">
        <w:rPr>
          <w:i/>
          <w:noProof/>
          <w:lang w:eastAsia="zh-CN"/>
        </w:rPr>
        <w:t>et al.</w:t>
      </w:r>
      <w:r w:rsidRPr="00C3671E">
        <w:rPr>
          <w:noProof/>
          <w:lang w:eastAsia="zh-CN"/>
        </w:rPr>
        <w:t xml:space="preserve"> 2013; Lowenstein </w:t>
      </w:r>
      <w:r w:rsidRPr="00C3671E">
        <w:rPr>
          <w:i/>
          <w:noProof/>
          <w:lang w:eastAsia="zh-CN"/>
        </w:rPr>
        <w:t>et al.</w:t>
      </w:r>
      <w:r w:rsidRPr="00C3671E">
        <w:rPr>
          <w:noProof/>
          <w:lang w:eastAsia="zh-CN"/>
        </w:rPr>
        <w:t xml:space="preserve"> 2008)</w:t>
      </w:r>
      <w:r w:rsidRPr="00C3671E">
        <w:rPr>
          <w:lang w:eastAsia="zh-CN"/>
        </w:rPr>
        <w:fldChar w:fldCharType="end"/>
      </w:r>
      <w:r w:rsidRPr="00C3671E">
        <w:t xml:space="preserve"> provision of care </w:t>
      </w:r>
      <w:r w:rsidRPr="00C3671E">
        <w:rPr>
          <w:lang w:eastAsia="zh-CN"/>
        </w:rPr>
        <w:t xml:space="preserve">seems to have more positive outcomes, while the effect of multiplicity of care remains unclear </w:t>
      </w:r>
      <w:r w:rsidRPr="00C3671E">
        <w:rPr>
          <w:lang w:eastAsia="zh-CN"/>
        </w:rPr>
        <w:fldChar w:fldCharType="begin" w:fldLock="1"/>
      </w:r>
      <w:r w:rsidR="001257AA" w:rsidRPr="00C3671E">
        <w:rPr>
          <w:lang w:eastAsia="zh-CN"/>
        </w:rPr>
        <w:instrText>ADDIN CSL_CITATION { "citationItems" : [ { "id" : "ITEM-1", "itemData" : { "DOI" : "10.1017/S0144686X07006629", "ISBN" : "1469-1779", "ISSN" : "0144-686X", "abstract" : "Gerontologists have emphasised that older adults are not only recipients of support but also important support providers. Using data from the first wave of the Netherlands Kinship Panel Study of 727 middle-generation adults aged 45 to 79 years, we examined the associations between loneliness and giving support up, across and down family lineages. Overall, the findings were consistent more with an altruism perspective, that giving brings rewards, than with an exchange perspective, which emphasises the costs of giving support. The results showed an inverse relationship between the number of generations supported and loneliness, and that those engaged in balanced exchanges with family members in three generations (parents, siblings and children) were generally the least lonely. As regards the direction of support giving, the findings showed that the association between giving support and loneliness was insignificant if the support was for parents, negative for support to siblings, and positive for support to children. Imbalanced support exchanges were differentially associated with loneliness, and depended on the type of family relationship involved. Non-reciprocated support made parents more vulnerable to loneliness, whereas non-reciprocated giving in sibling ties was associated with low levels of loneliness. Imbalanced support giving in relationships with parents was not associated with loneliness.", "author" : [ { "dropping-particle" : "", "family" : "Jong Gierveld", "given" : "Jenny", "non-dropping-particle" : "De", "parse-names" : false, "suffix" : "" }, { "dropping-particle" : "", "family" : "Dykstra", "given" : "Pearl A.", "non-dropping-particle" : "", "parse-names" : false, "suffix" : "" } ], "container-title" : "Ageing and Society", "id" : "ITEM-1", "issue" : "02", "issued" : { "date-parts" : [ [ "2008" ] ] }, "page" : "271-287", "title" : "Virtue is its own reward? Support-giving in the family and loneliness in middle and old age", "type" : "article-journal", "volume" : "28" }, "uris" : [ "http://www.mendeley.com/documents/?uuid=51cd63fa-a8cd-488c-be10-d4ffd8214b5c" ] }, { "id" : "ITEM-2", "itemData" : { "DOI" : "10.1016/j.appdev.2009.06.001", "ISBN" : "0193-3973", "ISSN" : "01933973", "PMID" : "20161605", "abstract" : "The current study examined the association between membership in the sandwich generation, defined as providing care to both children and parents or in-laws, and five health behaviors: checking the food label for health value when buying foods, using a seat belt, choosing foods based on health value, exercising regularly, and cigarette smoking. Participants (N = 4943) were from a longitudinal study of a midwestern community-based sample. Regression analyses tested the unique effect of sandwich generation membership on health behaviors above and beyond demographic factors and prior levels of the same behavior. Compared to other caregivers and noncaregivers, multigenerational caregivers were less likely to check food labels and choose foods based on health values. Multigenerational caregivers were less likely than noncaregivers and those who cared for children only to use seat belts, and they smoked marginally more cigarettes per day than those groups. Multigenerational caregivers were less likely than noncaregivers and those who cared for parents/in-laws only to exercise regularly. Thus, in general, healthy behaviors were diminished for multigenerational caregivers. \u00a9 2009 Elsevier Inc. All rights reserved.", "author" : [ { "dropping-particle" : "", "family" : "Chassin", "given" : "Laurie", "non-dropping-particle" : "", "parse-names" : false, "suffix" : "" }, { "dropping-particle" : "", "family" : "Macy", "given" : "Jon T.", "non-dropping-particle" : "", "parse-names" : false, "suffix" : "" }, { "dropping-particle" : "", "family" : "Seo", "given" : "Dong Chul", "non-dropping-particle" : "", "parse-names" : false, "suffix" : "" }, { "dropping-particle" : "", "family" : "Presson", "given" : "Clark C.", "non-dropping-particle" : "", "parse-names" : false, "suffix" : "" }, { "dropping-particle" : "", "family" : "Sherman", "given" : "Steven J.", "non-dropping-particle" : "", "parse-names" : false, "suffix" : "" } ], "container-title" : "Journal of Applied Developmental Psychology", "id" : "ITEM-2", "issue" : "1", "issued" : { "date-parts" : [ [ "2010" ] ] }, "page" : "38-46", "publisher" : "Elsevier Inc.", "title" : "The association between membership in the sandwich generation and health behaviors: A longitudinal study", "type" : "article-journal", "volume" : "31" }, "uris" : [ "http://www.mendeley.com/documents/?uuid=0894864d-1724-4906-9fe3-73d53bee3cb8" ] } ], "mendeley" : { "formattedCitation" : "(Chassin et al. 2010; De Jong Gierveld and Dykstra 2008)", "plainTextFormattedCitation" : "(Chassin et al. 2010; De Jong Gierveld and Dykstra 2008)", "previouslyFormattedCitation" : "(Chassin et al. 2010; De Jong Gierveld and Dykstra 2008)" }, "properties" : { "noteIndex" : 0 }, "schema" : "https://github.com/citation-style-language/schema/raw/master/csl-citation.json" }</w:instrText>
      </w:r>
      <w:r w:rsidRPr="00C3671E">
        <w:rPr>
          <w:lang w:eastAsia="zh-CN"/>
        </w:rPr>
        <w:fldChar w:fldCharType="separate"/>
      </w:r>
      <w:r w:rsidR="00A91559" w:rsidRPr="00C3671E">
        <w:rPr>
          <w:noProof/>
          <w:lang w:eastAsia="zh-CN"/>
        </w:rPr>
        <w:t>(Chassin et al. 2010; De Jong Gierveld and Dykstra 2008)</w:t>
      </w:r>
      <w:r w:rsidRPr="00C3671E">
        <w:rPr>
          <w:lang w:eastAsia="zh-CN"/>
        </w:rPr>
        <w:fldChar w:fldCharType="end"/>
      </w:r>
      <w:r w:rsidRPr="00C3671E">
        <w:rPr>
          <w:lang w:eastAsia="zh-CN"/>
        </w:rPr>
        <w:t xml:space="preserve">. Another important factor is the relationship to a receiver of care, since the effect is more beneficial if there is a strong bond between caregiver and receiver, but </w:t>
      </w:r>
      <w:r w:rsidRPr="00C3671E">
        <w:rPr>
          <w:lang w:eastAsia="zh-CN"/>
        </w:rPr>
        <w:lastRenderedPageBreak/>
        <w:t xml:space="preserve">also if they are not partners  and if the exchanges of help are close to balanced </w:t>
      </w:r>
      <w:r w:rsidRPr="00C3671E">
        <w:rPr>
          <w:lang w:eastAsia="zh-CN"/>
        </w:rPr>
        <w:fldChar w:fldCharType="begin" w:fldLock="1"/>
      </w:r>
      <w:r w:rsidR="001257AA" w:rsidRPr="00C3671E">
        <w:rPr>
          <w:lang w:eastAsia="zh-CN"/>
        </w:rPr>
        <w:instrText>ADDIN CSL_CITATION { "citationItems" : [ { "id" : "ITEM-1", "itemData" : { "DOI" : "10.1007/s10433-013-0276-6", "ISBN" : "1613-9380; 1613-9372", "ISSN" : "16139372", "abstract" : "Based on the caregiver stress model, we examined how care demands, caregiver motivation, coping style and external support are associated with positive evaluation and caregiver burden among spousal, adult child and other types of care relations. Data from a sample of Dutch informal caregivers of 1,685 older persons (55 and older) were analyzed employing multivariate linear regression analyses for each of the care relationship types. Spouses (N = 206) report high positive evaluation and high burden, adult children (N = 1,093) report low positive evaluation, and other caregivers (N = 386) report high positive evaluation and a low burden. Multivariate linear regression analyses showed that motives and external support were important for positive evaluation but the impact varied among types of caregivers, whereas care demands and not asking for help were associated with burden for all types. Only among \u2018other\u2019 caregiver relationships, positive evaluation was negatively associated with burden. It is concluded that results confirm the dual nature of caregiving among spouses and children. The care context and motivation of the different types of caregivers explain their differences in care evaluation. Various interventions for types of caregivers are discussed. (PsycINFO Database Record (c) 2014 APA, all rights reserved) (journal abstract)", "author" : [ { "dropping-particle" : "", "family" : "Broese van Groenou", "given" : "Marjolein I.", "non-dropping-particle" : "", "parse-names" : false, "suffix" : "" }, { "dropping-particle" : "", "family" : "Boer", "given" : "Alice", "non-dropping-particle" : "de", "parse-names" : false, "suffix" : "" }, { "dropping-particle" : "", "family" : "Iedema", "given" : "Jurjen", "non-dropping-particle" : "", "parse-names" : false, "suffix" : "" } ], "container-title" : "European Journal of Ageing", "id" : "ITEM-1", "issue" : "4", "issued" : { "date-parts" : [ [ "2013" ] ] }, "page" : "301-311", "title" : "Positive and negative evaluation of caregiving among three different types of informal care relationships", "type" : "article-journal", "volume" : "10" }, "uris" : [ "http://www.mendeley.com/documents/?uuid=e39ec068-a7a1-4bd1-bbf4-2717643670f7" ] }, { "id" : "ITEM-2", "itemData" : { "DOI" : "10.1017/S0144686X07006629", "ISBN" : "1469-1779", "ISSN" : "0144-686X", "abstract" : "Gerontologists have emphasised that older adults are not only recipients of support but also important support providers. Using data from the first wave of the Netherlands Kinship Panel Study of 727 middle-generation adults aged 45 to 79 years, we examined the associations between loneliness and giving support up, across and down family lineages. Overall, the findings were consistent more with an altruism perspective, that giving brings rewards, than with an exchange perspective, which emphasises the costs of giving support. The results showed an inverse relationship between the number of generations supported and loneliness, and that those engaged in balanced exchanges with family members in three generations (parents, siblings and children) were generally the least lonely. As regards the direction of support giving, the findings showed that the association between giving support and loneliness was insignificant if the support was for parents, negative for support to siblings, and positive for support to children. Imbalanced support exchanges were differentially associated with loneliness, and depended on the type of family relationship involved. Non-reciprocated support made parents more vulnerable to loneliness, whereas non-reciprocated giving in sibling ties was associated with low levels of loneliness. Imbalanced support giving in relationships with parents was not associated with loneliness.", "author" : [ { "dropping-particle" : "", "family" : "Jong Gierveld", "given" : "Jenny", "non-dropping-particle" : "De", "parse-names" : false, "suffix" : "" }, { "dropping-particle" : "", "family" : "Dykstra", "given" : "Pearl A.", "non-dropping-particle" : "", "parse-names" : false, "suffix" : "" } ], "container-title" : "Ageing and Society", "id" : "ITEM-2", "issue" : "02", "issued" : { "date-parts" : [ [ "2008" ] ] }, "page" : "271-287", "title" : "Virtue is its own reward? Support-giving in the family and loneliness in middle and old age", "type" : "article-journal", "volume" : "28" }, "uris" : [ "http://www.mendeley.com/documents/?uuid=51cd63fa-a8cd-488c-be10-d4ffd8214b5c" ] } ], "mendeley" : { "formattedCitation" : "(Broese van Groenou et al. 2013; De Jong Gierveld and Dykstra 2008)", "plainTextFormattedCitation" : "(Broese van Groenou et al. 2013; De Jong Gierveld and Dykstra 2008)", "previouslyFormattedCitation" : "(Broese van Groenou et al. 2013; De Jong Gierveld and Dykstra 2008)" }, "properties" : { "noteIndex" : 0 }, "schema" : "https://github.com/citation-style-language/schema/raw/master/csl-citation.json" }</w:instrText>
      </w:r>
      <w:r w:rsidRPr="00C3671E">
        <w:rPr>
          <w:lang w:eastAsia="zh-CN"/>
        </w:rPr>
        <w:fldChar w:fldCharType="separate"/>
      </w:r>
      <w:r w:rsidR="00A91559" w:rsidRPr="00C3671E">
        <w:rPr>
          <w:noProof/>
          <w:lang w:eastAsia="zh-CN"/>
        </w:rPr>
        <w:t>(Broese van Groenou et al. 2013; De Jong Gierveld and Dykstra 2008)</w:t>
      </w:r>
      <w:r w:rsidRPr="00C3671E">
        <w:rPr>
          <w:lang w:eastAsia="zh-CN"/>
        </w:rPr>
        <w:fldChar w:fldCharType="end"/>
      </w:r>
      <w:r w:rsidRPr="00C3671E">
        <w:rPr>
          <w:lang w:eastAsia="zh-CN"/>
        </w:rPr>
        <w:t>.</w:t>
      </w:r>
    </w:p>
    <w:p w14:paraId="3C579CC7" w14:textId="33D697D8" w:rsidR="00676326" w:rsidRPr="00C3671E" w:rsidRDefault="00676326" w:rsidP="00676326">
      <w:pPr>
        <w:pStyle w:val="Newparagraph"/>
        <w:jc w:val="both"/>
      </w:pPr>
      <w:r w:rsidRPr="00C3671E">
        <w:t xml:space="preserve">Third, the effect of social activities is shaped by various </w:t>
      </w:r>
      <w:r w:rsidRPr="00C3671E">
        <w:rPr>
          <w:lang w:eastAsia="zh-CN"/>
        </w:rPr>
        <w:t>circumstances</w:t>
      </w:r>
      <w:r w:rsidRPr="00C3671E">
        <w:t xml:space="preserve"> as well </w:t>
      </w:r>
      <w:r w:rsidRPr="00C3671E">
        <w:fldChar w:fldCharType="begin" w:fldLock="1"/>
      </w:r>
      <w:r w:rsidR="001257AA" w:rsidRPr="00C3671E">
        <w:instrText>ADDIN CSL_CITATION { "citationItems" : [ { "id" : "ITEM-1", "itemData" : { "DOI" : "10.1017/S0144686X10001091", "ISBN" : "0144686X (ISSN)", "ISSN" : "0144-686X", "PMID" : "59665633", "abstract" : "An engaged lifestyle is seen as an important component of successful ageing. Many older adults with high participation in social and leisure activities report positive wellbeing, a fact that fuelled the original activity theory and that continues to influence researchers, theorists and practitioners. This study's purpose is to review the conceptualisation and measurement of activity among older adults and the associations reported in the gerontological literature between specific dimensions of activity and wellbeing. We searched published studies that focused on social and leisure activity and wellbeing, and found 42 studies in 44 articles published between 1995 and 2009. They reported from one to 13 activity domains, the majority reporting two or three, such as informal , formal and solitary , or productive versus leisure . Domains associated with subjective wellbeing, health or survival included social, leisure, productive, physical, intellectual, service and solitary activities. Informal social activity has accumulated the most evidence of an influence on wellbeing. Individual descriptors such as gender or physical functioning sometimes moderate these associations, while contextual variables such as choice, meaning or perceived quality play intervening roles. Differences in definitions and measurement make it difficult to draw inferences about this body of evidence on the associations between activity and wellbeing. Activity theory serves as shorthand for these associations, but gerontology must better integrate developmental and psychological constructs into a refined, comprehensive activity theory.", "author" : [ { "dropping-particle" : "", "family" : "Adams", "given" : "Kathryn Betts", "non-dropping-particle" : "", "parse-names" : false, "suffix" : "" }, { "dropping-particle" : "", "family" : "Leibbrandt", "given" : "Sylvia", "non-dropping-particle" : "", "parse-names" : false, "suffix" : "" }, { "dropping-particle" : "", "family" : "Moon", "given" : "Heehyul", "non-dropping-particle" : "", "parse-names" : false, "suffix" : "" } ], "container-title" : "Ageing and Society", "id" : "ITEM-1", "issue" : "04", "issued" : { "date-parts" : [ [ "2011" ] ] }, "page" : "683-712", "title" : "A critical review of the literature on social and leisure activity and wellbeing in later life", "type" : "article-journal", "volume" : "31" }, "uris" : [ "http://www.mendeley.com/documents/?uuid=28bf1c76-83b5-46ba-8c9c-efd885614e50" ] } ], "mendeley" : { "formattedCitation" : "(Adams et al. 2011)", "plainTextFormattedCitation" : "(Adams et al. 2011)", "previouslyFormattedCitation" : "(Adams et al. 2011)" }, "properties" : { "noteIndex" : 0 }, "schema" : "https://github.com/citation-style-language/schema/raw/master/csl-citation.json" }</w:instrText>
      </w:r>
      <w:r w:rsidRPr="00C3671E">
        <w:fldChar w:fldCharType="separate"/>
      </w:r>
      <w:r w:rsidR="00AA6335" w:rsidRPr="00C3671E">
        <w:rPr>
          <w:noProof/>
        </w:rPr>
        <w:t>(Adams et al. 2011)</w:t>
      </w:r>
      <w:r w:rsidRPr="00C3671E">
        <w:fldChar w:fldCharType="end"/>
      </w:r>
      <w:r w:rsidRPr="00C3671E">
        <w:t xml:space="preserve">. The literature review of </w:t>
      </w:r>
      <w:r w:rsidRPr="00C3671E">
        <w:fldChar w:fldCharType="begin" w:fldLock="1"/>
      </w:r>
      <w:r w:rsidR="001257AA" w:rsidRPr="00C3671E">
        <w:instrText>ADDIN CSL_CITATION { "citationItems" : [ { "id" : "ITEM-1", "itemData" : { "DOI" : "10.1017/S0144686X10001091", "ISBN" : "0144686X (ISSN)", "ISSN" : "0144-686X", "PMID" : "59665633", "abstract" : "An engaged lifestyle is seen as an important component of successful ageing. Many older adults with high participation in social and leisure activities report positive wellbeing, a fact that fuelled the original activity theory and that continues to influence researchers, theorists and practitioners. This study's purpose is to review the conceptualisation and measurement of activity among older adults and the associations reported in the gerontological literature between specific dimensions of activity and wellbeing. We searched published studies that focused on social and leisure activity and wellbeing, and found 42 studies in 44 articles published between 1995 and 2009. They reported from one to 13 activity domains, the majority reporting two or three, such as informal , formal and solitary , or productive versus leisure . Domains associated with subjective wellbeing, health or survival included social, leisure, productive, physical, intellectual, service and solitary activities. Informal social activity has accumulated the most evidence of an influence on wellbeing. Individual descriptors such as gender or physical functioning sometimes moderate these associations, while contextual variables such as choice, meaning or perceived quality play intervening roles. Differences in definitions and measurement make it difficult to draw inferences about this body of evidence on the associations between activity and wellbeing. Activity theory serves as shorthand for these associations, but gerontology must better integrate developmental and psychological constructs into a refined, comprehensive activity theory.", "author" : [ { "dropping-particle" : "", "family" : "Adams", "given" : "Kathryn Betts", "non-dropping-particle" : "", "parse-names" : false, "suffix" : "" }, { "dropping-particle" : "", "family" : "Leibbrandt", "given" : "Sylvia", "non-dropping-particle" : "", "parse-names" : false, "suffix" : "" }, { "dropping-particle" : "", "family" : "Moon", "given" : "Heehyul", "non-dropping-particle" : "", "parse-names" : false, "suffix" : "" } ], "container-title" : "Ageing and Society", "id" : "ITEM-1", "issue" : "04", "issued" : { "date-parts" : [ [ "2011" ] ] }, "page" : "683-712", "title" : "A critical review of the literature on social and leisure activity and wellbeing in later life", "type" : "article-journal", "volume" : "31" }, "uris" : [ "http://www.mendeley.com/documents/?uuid=28bf1c76-83b5-46ba-8c9c-efd885614e50" ] } ], "mendeley" : { "formattedCitation" : "(Adams et al. 2011)", "manualFormatting" : "Adams et al. (2011)", "plainTextFormattedCitation" : "(Adams et al. 2011)", "previouslyFormattedCitation" : "(Adams et al. 2011)" }, "properties" : { "noteIndex" : 0 }, "schema" : "https://github.com/citation-style-language/schema/raw/master/csl-citation.json" }</w:instrText>
      </w:r>
      <w:r w:rsidRPr="00C3671E">
        <w:fldChar w:fldCharType="separate"/>
      </w:r>
      <w:r w:rsidRPr="00C3671E">
        <w:rPr>
          <w:noProof/>
        </w:rPr>
        <w:t>Adams et al. (2011)</w:t>
      </w:r>
      <w:r w:rsidRPr="00C3671E">
        <w:fldChar w:fldCharType="end"/>
      </w:r>
      <w:r w:rsidRPr="00C3671E">
        <w:t xml:space="preserve"> focus on the mediators and moderators of the impact of social and physical activities in later life and conclude “that the activity/wellbeing relationship must take into account background variables or moderators, the type of activity, including its content and context, and potential mediators in the form of cognitive appraisals of the activity’s benefits to the individual” </w:t>
      </w:r>
      <w:r w:rsidRPr="00C3671E">
        <w:fldChar w:fldCharType="begin" w:fldLock="1"/>
      </w:r>
      <w:r w:rsidR="001257AA" w:rsidRPr="00C3671E">
        <w:instrText>ADDIN CSL_CITATION { "citationItems" : [ { "id" : "ITEM-1", "itemData" : { "DOI" : "10.1017/S0144686X10001091", "ISBN" : "0144686X (ISSN)", "ISSN" : "0144-686X", "PMID" : "59665633", "abstract" : "An engaged lifestyle is seen as an important component of successful ageing. Many older adults with high participation in social and leisure activities report positive wellbeing, a fact that fuelled the original activity theory and that continues to influence researchers, theorists and practitioners. This study's purpose is to review the conceptualisation and measurement of activity among older adults and the associations reported in the gerontological literature between specific dimensions of activity and wellbeing. We searched published studies that focused on social and leisure activity and wellbeing, and found 42 studies in 44 articles published between 1995 and 2009. They reported from one to 13 activity domains, the majority reporting two or three, such as informal , formal and solitary , or productive versus leisure . Domains associated with subjective wellbeing, health or survival included social, leisure, productive, physical, intellectual, service and solitary activities. Informal social activity has accumulated the most evidence of an influence on wellbeing. Individual descriptors such as gender or physical functioning sometimes moderate these associations, while contextual variables such as choice, meaning or perceived quality play intervening roles. Differences in definitions and measurement make it difficult to draw inferences about this body of evidence on the associations between activity and wellbeing. Activity theory serves as shorthand for these associations, but gerontology must better integrate developmental and psychological constructs into a refined, comprehensive activity theory.", "author" : [ { "dropping-particle" : "", "family" : "Adams", "given" : "Kathryn Betts", "non-dropping-particle" : "", "parse-names" : false, "suffix" : "" }, { "dropping-particle" : "", "family" : "Leibbrandt", "given" : "Sylvia", "non-dropping-particle" : "", "parse-names" : false, "suffix" : "" }, { "dropping-particle" : "", "family" : "Moon", "given" : "Heehyul", "non-dropping-particle" : "", "parse-names" : false, "suffix" : "" } ], "container-title" : "Ageing and Society", "id" : "ITEM-1", "issue" : "04", "issued" : { "date-parts" : [ [ "2011" ] ] }, "page" : "683-712", "title" : "A critical review of the literature on social and leisure activity and wellbeing in later life", "type" : "article-journal", "volume" : "31" }, "uris" : [ "http://www.mendeley.com/documents/?uuid=28bf1c76-83b5-46ba-8c9c-efd885614e50" ] } ], "mendeley" : { "formattedCitation" : "(Adams et al. 2011)", "manualFormatting" : "(Adams et al. 2011: 706)", "plainTextFormattedCitation" : "(Adams et al. 2011)", "previouslyFormattedCitation" : "(Adams et al. 2011)" }, "properties" : { "noteIndex" : 0 }, "schema" : "https://github.com/citation-style-language/schema/raw/master/csl-citation.json" }</w:instrText>
      </w:r>
      <w:r w:rsidRPr="00C3671E">
        <w:fldChar w:fldCharType="separate"/>
      </w:r>
      <w:r w:rsidRPr="00C3671E">
        <w:rPr>
          <w:noProof/>
        </w:rPr>
        <w:t>(Adams et al. 2011: 706)</w:t>
      </w:r>
      <w:r w:rsidRPr="00C3671E">
        <w:fldChar w:fldCharType="end"/>
      </w:r>
      <w:r w:rsidRPr="00C3671E">
        <w:t xml:space="preserve">. </w:t>
      </w:r>
      <w:r w:rsidRPr="00C3671E">
        <w:fldChar w:fldCharType="begin" w:fldLock="1"/>
      </w:r>
      <w:r w:rsidR="001257AA" w:rsidRPr="00C3671E">
        <w:instrText>ADDIN CSL_CITATION { "citationItems" : [ { "id" : "ITEM-1", "itemData" : { "DOI" : "10.1007/s10433-012-0245-5", "ISBN" : "1613-9372", "ISSN" : "16139372", "abstract" : "Driven by socioemotional selectivity theory, this study examined whether age moderated the associations of volunteering motives with physical and psychological well-being in a sample of Hong Kong Chinese volunteers. Volunteering motives were measured by the volunteer functions inventory. Findings revealed that even after controlling for demographic characteristics and volunteering experience, age was related to higher social and value motives but lower career motives, and moderated the associations of social and protective motives with well-being. The associations of social motives with physical well-being were positive among older volunteers, but were negative among younger- and middle-aged volunteers. While protective motives were positively related to psychological well-being among all the volunteers, such effects were stronger among younger- and middle-aged volunteers than among older volunteers. Findings highlight the role of age in determining the relationship between volunteering motives and well-being. (PsycINFO Database Record (c) 2013 APA, all rights reserved) (journal abstract)", "author" : [ { "dropping-particle" : "", "family" : "Ho", "given" : "Yuen Wan", "non-dropping-particle" : "", "parse-names" : false, "suffix" : "" }, { "dropping-particle" : "", "family" : "You", "given" : "Jin", "non-dropping-particle" : "", "parse-names" : false, "suffix" : "" }, { "dropping-particle" : "", "family" : "Fung", "given" : "Helene H.", "non-dropping-particle" : "", "parse-names" : false, "suffix" : "" } ], "container-title" : "European Journal of Ageing", "id" : "ITEM-1", "issue" : "4", "issued" : { "date-parts" : [ [ "2012" ] ] }, "page" : "319-327", "title" : "The moderating role of age in the relationship between volunteering motives and well-being", "type" : "article-journal", "volume" : "9" }, "uris" : [ "http://www.mendeley.com/documents/?uuid=9df75077-3cf4-4bc0-a29d-323764e949fc" ] } ], "mendeley" : { "formattedCitation" : "(Ho et al. 2012)", "manualFormatting" : "Ho et al. (2012)", "plainTextFormattedCitation" : "(Ho et al. 2012)", "previouslyFormattedCitation" : "(Ho et al. 2012)" }, "properties" : { "noteIndex" : 0 }, "schema" : "https://github.com/citation-style-language/schema/raw/master/csl-citation.json" }</w:instrText>
      </w:r>
      <w:r w:rsidRPr="00C3671E">
        <w:fldChar w:fldCharType="separate"/>
      </w:r>
      <w:r w:rsidRPr="00C3671E">
        <w:rPr>
          <w:noProof/>
        </w:rPr>
        <w:t>Ho et al. (2012)</w:t>
      </w:r>
      <w:r w:rsidRPr="00C3671E">
        <w:fldChar w:fldCharType="end"/>
      </w:r>
      <w:r w:rsidRPr="00C3671E">
        <w:t xml:space="preserve"> add another study and conclude that volunteering is more beneficial for younger and middle-aged than older volunteers. Finally, as the life course perspective assumes </w:t>
      </w:r>
      <w:r w:rsidRPr="00C3671E">
        <w:fldChar w:fldCharType="begin" w:fldLock="1"/>
      </w:r>
      <w:r w:rsidR="001257AA" w:rsidRPr="00C3671E">
        <w:instrText>ADDIN CSL_CITATION { "citationItems" : [ { "id" : "ITEM-1", "itemData" : { "DOI" : "10.1146/annurev.so.19.080193.002033", "ISBN" : "0360-0572", "ISSN" : "0360-0572", "abstract" : "Research on life transitions highlights the normative and nonnormative changes that individuals experience over time. During the past two decades, life course perspectives have provided a strategic context for studying the genesis of life transitions and their personal and social consequences. Both population-based and individual models of transitions have become more complex, focusing on the ways that social and historical contexts shape life transitions. At the individual level, progress has also been made in identifying the mechanisms by which transitions affect outcomes. Research on life transitions continues to grapple with two major issues-the challenges raised by heterogeneity, and the need to better link macro and micro perspectives-although advances have been made in both cases. One of the most promising characteristics of recent studies is cross-fertilization of concepts and methods from previously distinct research traditions: role theory, social stress theory, and life course sociology.", "author" : [ { "dropping-particle" : "", "family" : "George", "given" : "L K", "non-dropping-particle" : "", "parse-names" : false, "suffix" : "" } ], "container-title" : "Annual Review of Sociology", "id" : "ITEM-1", "issued" : { "date-parts" : [ [ "1993" ] ] }, "page" : "353-373", "title" : "Sociological-Perspectives on Life Transitions", "type" : "article-journal", "volume" : "19" }, "uris" : [ "http://www.mendeley.com/documents/?uuid=fe4e53a2-8342-41f2-bcb3-f1fb3380abb5" ] }, { "id" : "ITEM-2", "itemData" : { "author" : [ { "dropping-particle" : "", "family" : "Kim", "given" : "Jungmeen E", "non-dropping-particle" : "", "parse-names" : false, "suffix" : "" }, { "dropping-particle" : "", "family" : "Moen", "given" : "Phyllis", "non-dropping-particle" : "", "parse-names" : false, "suffix" : "" } ], "container-title" : "Journal of Gerontology: Psychological Series", "id" : "ITEM-2", "issue" : "3", "issued" : { "date-parts" : [ [ "2002" ] ] }, "note" : "Kim, Moen 2002: Retirement Transitions, Gender, and Psychological Well-Being: A Life-Course, Ecological Model\nlongitudinal: retirement\u2192well-being (morale scale, CES-D); married 50-72\nmultiple imputations of missing values\nmoving out from demanding job loosing occupational attachments, network, and anchor for identity\nrole theory + life-course perspetive \u2192 role enhancement X role strain\ncontinuity theory - maintaining patterns, stability\na life-course, ecological model - best for this issue\n- locating transitions in the social contexts of other roles, relations, and developmental processes\n- process, linked lives, context\nthe relationship between retirement and psychological well-being must be viewed in a temporal, life course context\nmaking the transition to retirement within the last 2 years is associated with higher levels of morale for men, whereas being \u201ccontinuously\u201d retired is related to greater depressive symptoms among men\n- enjoyable \u201choneymoon\u201d phase proposed by Atchley (1976b) - right after the event of retirement there often is a euphoric, busy, honeymoon phase\nthe importance of resources and contexts of transitions (gender, prior level of well-being, spouses\u2019 circumstance, and changes in personal control, marital quality, subjective health, and income adequacy\n\u2192\nWomen\u2019s retirement: Policy implications of recent research\nIs retirement good or bad for subjective well-being?\nCouples\u2019 work/retirement transitions, gender, and marital quality\nMen\u2019s retirement and marital quality\nVolunteering and mortality among older adults: Findings from a national sample\nThe retiree identity: Gender and race differences", "page" : "212-222", "title" : "Retirement Transitions, Gender, and Psychological Well-Being: A Life-Course , Ecological Model", "type" : "article-journal", "volume" : "57" }, "uris" : [ "http://www.mendeley.com/documents/?uuid=d324d834-c4ee-483d-b637-cc2ca78095c1" ] }, { "id" : "ITEM-3", "itemData" : { "DOI" : "10.2190/8Q46-GJX4-M2VM-W60V", "ISBN" : "0091-4150 (Print)", "ISSN" : "0091-4150", "PMID" : "16454480", "abstract" : "This study explores how grandchild care in conjunction with grandparents' retirement affects depressive symptoms, using data from the Health and Retirement Survey. The findings demonstrate that retirement moderates the influence of grandchild care obligations on well-being, measured by depressive symptoms. For retired men, freedom from grandchild care obligations is associated with heightened well-being. Among women, continued employment seems to protect against potential negative effects of extensive grandchild care obligations on well-being. The results for men seem most in line with the argument that family care obligations spoil retirement, whereas the results for women suggest a scenario that is most compatible with the role enhancement thesis.", "author" : [ { "dropping-particle" : "", "family" : "Szinovacz", "given" : "Maximiliane E", "non-dropping-particle" : "", "parse-names" : false, "suffix" : "" }, { "dropping-particle" : "", "family" : "Davey", "given" : "Adam", "non-dropping-particle" : "", "parse-names" : false, "suffix" : "" } ], "container-title" : "International journal of aging &amp; human development", "id" : "ITEM-3", "issue" : "1", "issued" : { "date-parts" : [ [ "2006" ] ] }, "page" : "1-20", "title" : "Effects of retirement and grandchild care on depressive symptoms.", "type" : "article-journal", "volume" : "62" }, "uris" : [ "http://www.mendeley.com/documents/?uuid=8f001e1e-4a57-4a2b-8d78-1d7814bf6fe2" ] } ], "mendeley" : { "formattedCitation" : "(George 1993; Kim and Moen 2002; Szinovacz and Davey 2006)", "plainTextFormattedCitation" : "(George 1993; Kim and Moen 2002; Szinovacz and Davey 2006)", "previouslyFormattedCitation" : "(George 1993; Kim and Moen 2002; Szinovacz and Davey 2006)" }, "properties" : { "noteIndex" : 0 }, "schema" : "https://github.com/citation-style-language/schema/raw/master/csl-citation.json" }</w:instrText>
      </w:r>
      <w:r w:rsidRPr="00C3671E">
        <w:fldChar w:fldCharType="separate"/>
      </w:r>
      <w:r w:rsidR="00A91559" w:rsidRPr="00C3671E">
        <w:rPr>
          <w:noProof/>
        </w:rPr>
        <w:t>(George 1993; Kim and Moen 2002; Szinovacz and Davey 2006)</w:t>
      </w:r>
      <w:r w:rsidRPr="00C3671E">
        <w:fldChar w:fldCharType="end"/>
      </w:r>
      <w:r w:rsidRPr="00C3671E">
        <w:t xml:space="preserve">, outcomes of one activity can be shaped by presence or absence by other activities. This is supported by </w:t>
      </w:r>
      <w:r w:rsidRPr="00C3671E">
        <w:fldChar w:fldCharType="begin" w:fldLock="1"/>
      </w:r>
      <w:r w:rsidRPr="00C3671E">
        <w:instrText>ADDIN CSL_CITATION { "citationItems" : [ { "id" : "ITEM-1", "itemData" : { "DOI" : "10.1111/joop.12003", "ISBN" : "09631798", "ISSN" : "09631798", "PMID" : "90563210", "abstract" : "This study examines the impact of engaging in seven types of activities on depression and quality of life in retirees and older workers over a period of 2 years, using a sample from the survey of health, ageing and retirement in Europe. Longitudinal data were available from 2,813 retirees and 1,372 older employees. Our results showed that volunteering, providing help and going to sports or social clubs at the baseline improved retirees\u2019 quality of lifeover a period of 2 years. No direct effects of engaging in activities were found for older employees. Moreover, higher depression at the baseline fostered the depression experience at the follow-up in those retirees and older employees who were caring for disabled adults at baseline. In retirees with higher depression at baseline, participation in religious organizations was associated with a greater decrease in depression at follow-up than in those who had lower levels of depression at baseline. For older employees, taking part in political or community organizations at baselinewas related to a greater decrease in depression at follow-up than in those employees who experienced higher initial depression.", "author" : [ { "dropping-particle" : "", "family" : "Poto\u010dnik", "given" : "Kristina", "non-dropping-particle" : "", "parse-names" : false, "suffix" : "" }, { "dropping-particle" : "", "family" : "Sonnentag", "given" : "Sabine", "non-dropping-particle" : "", "parse-names" : false, "suffix" : "" } ], "container-title" : "Journal of Occupational and Organizational Psychology", "id" : "ITEM-1", "issue" : "4", "issued" : { "date-parts" : [ [ "2013" ] ] }, "page" : "497-521", "title" : "A longitudinal study of well-being in older workers and retirees: The role of engaging in different types of activities", "type" : "article-journal", "volume" : "86" }, "uris" : [ "http://www.mendeley.com/documents/?uuid=5889bc5d-921b-416d-a3eb-706b9facb5cf" ] } ], "mendeley" : { "formattedCitation" : "(Poto\u010dnik and Sonnentag 2013)", "manualFormatting" : "Poto\u010dnik and Sonnentag (2013)", "plainTextFormattedCitation" : "(Poto\u010dnik and Sonnentag 2013)", "previouslyFormattedCitation" : "(Poto\u010dnik and Sonnentag 2013)" }, "properties" : { "noteIndex" : 0 }, "schema" : "https://github.com/citation-style-language/schema/raw/master/csl-citation.json" }</w:instrText>
      </w:r>
      <w:r w:rsidRPr="00C3671E">
        <w:fldChar w:fldCharType="separate"/>
      </w:r>
      <w:r w:rsidRPr="00C3671E">
        <w:rPr>
          <w:noProof/>
        </w:rPr>
        <w:t>Potočnik and Sonnentag (2013)</w:t>
      </w:r>
      <w:r w:rsidRPr="00C3671E">
        <w:fldChar w:fldCharType="end"/>
      </w:r>
      <w:r w:rsidRPr="00C3671E">
        <w:t>, who found the positive effect of volunteering, going to sports, and providing help for retirees but not for working individuals of comparable characteristics.</w:t>
      </w:r>
    </w:p>
    <w:p w14:paraId="08265344" w14:textId="77777777" w:rsidR="00676326" w:rsidRPr="00C3671E" w:rsidRDefault="00676326" w:rsidP="00676326">
      <w:pPr>
        <w:pStyle w:val="Nadpis3"/>
        <w:spacing w:line="480" w:lineRule="auto"/>
        <w:rPr>
          <w:rFonts w:ascii="Times New Roman" w:hAnsi="Times New Roman" w:cs="Times New Roman"/>
          <w:b w:val="0"/>
          <w:i/>
          <w:lang w:val="en-GB" w:eastAsia="zh-CN"/>
        </w:rPr>
      </w:pPr>
      <w:bookmarkStart w:id="19" w:name="_Toc512687730"/>
      <w:r w:rsidRPr="00C3671E">
        <w:rPr>
          <w:rFonts w:ascii="Times New Roman" w:hAnsi="Times New Roman" w:cs="Times New Roman"/>
          <w:b w:val="0"/>
          <w:i/>
          <w:lang w:val="en-GB" w:eastAsia="zh-CN"/>
        </w:rPr>
        <w:t>Macro-factors shaping outcomes of activities</w:t>
      </w:r>
      <w:bookmarkEnd w:id="19"/>
    </w:p>
    <w:p w14:paraId="41550A6E" w14:textId="77777777" w:rsidR="00676326" w:rsidRPr="00C3671E" w:rsidRDefault="00676326" w:rsidP="00676326">
      <w:pPr>
        <w:suppressAutoHyphens/>
        <w:spacing w:line="480" w:lineRule="auto"/>
        <w:jc w:val="both"/>
        <w:rPr>
          <w:lang w:val="en-GB"/>
        </w:rPr>
      </w:pPr>
      <w:r w:rsidRPr="00C3671E">
        <w:rPr>
          <w:lang w:val="en-GB"/>
        </w:rPr>
        <w:t xml:space="preserve">The outcomes of activities promoted by active ageing approach are also influenced by macro-factors. This area of research is not so developed as both cross-national data and techniques for its analysis has become broadly available only recently. Hence, this thesis capitalizes on the current opportunities for quantitative analysis in this area and takes the impact of macro-factors on </w:t>
      </w:r>
      <w:r w:rsidRPr="00C3671E">
        <w:rPr>
          <w:noProof/>
          <w:lang w:val="en-GB" w:eastAsia="zh-CN"/>
        </w:rPr>
        <w:t>activity</w:t>
      </w:r>
      <w:r w:rsidRPr="00C3671E">
        <w:rPr>
          <w:lang w:val="en-GB"/>
        </w:rPr>
        <w:t xml:space="preserve"> outcome as one of its crucial aims. Still, some more or less direct findings that can inspire future research already exist for each type of the most important activities in later life.</w:t>
      </w:r>
    </w:p>
    <w:p w14:paraId="767DF6AC" w14:textId="7C54C26C" w:rsidR="00676326" w:rsidRPr="00C3671E" w:rsidRDefault="00676326" w:rsidP="00676326">
      <w:pPr>
        <w:pStyle w:val="Newparagraph"/>
        <w:jc w:val="both"/>
      </w:pPr>
      <w:r w:rsidRPr="00C3671E">
        <w:t xml:space="preserve">First, the importance of paid work in later life may depend on several economic, institutional, and cultural factors. Older adults with a higher risk of poverty, long-term unemployment, unstable job situation, and those living alone financially depend more on a paid job </w:t>
      </w:r>
      <w:r w:rsidRPr="00C3671E">
        <w:fldChar w:fldCharType="begin" w:fldLock="1"/>
      </w:r>
      <w:r w:rsidR="001257AA" w:rsidRPr="00C3671E">
        <w:instrText>ADDIN CSL_CITATION { "citationItems" : [ { "id" : "ITEM-1", "itemData" : { "DOI" : "10.1017/S0144686X1400035X", "ISBN" : "0144-686X", "ISSN" : "0144-686X", "PMID" : "103631598", "abstract" : "Faced with demographic ageing, European policy makers since the mid-1990s have taken a turn from fostering early retirement to promoting longer working life by reducing early exit incentives and facilitating work continuation. However, it remains open whether these reforms are yet reflected in the retirement plans and preferences of future pensioners\u2019 cohorts. Using most recent data on desired retirement ages from the fifth wave of the European Social Survey (2010/11 wave), this paper empirically investigates how far current policy reforms are in line with the retirement age preferences of older workers aged 45 and over. Results show that older workers approaching retirement ages still intend to retire before the politically envisioned age of 65, and in many cases also before nationally defined standard retirement ages. Despite visible progress in implementing active ageing measures, the challenge of motivating older workers to continue working until or even beyond retirement ages thus remains. At the same time, there are regime-specific problem groups that face difficulties in adjusting to the active ageing paradigm of longer working life. Especially in countries with little employment support, those with unstable work careers, employment interruptions and few financial resources are at a high risk of being crowded out from late career employment and thus from the possibility of ensuring a decent standard of living in old age.", "author" : [ { "dropping-particle" : "", "family" : "Hof\u00e4cker", "given" : "Dirk", "non-dropping-particle" : "", "parse-names" : false, "suffix" : "" } ], "container-title" : "Ageing &amp; Society", "id" : "ITEM-1", "issue" : "07", "issued" : { "date-parts" : [ [ "2015" ] ] }, "page" : "1529-1556", "title" : "In line or at odds with active ageing policies? Exploring patterns of retirement preferences in Europe", "type" : "article-journal", "volume" : "35" }, "uris" : [ "http://www.mendeley.com/documents/?uuid=4475c386-f8dc-4818-8918-2dd7e514f58a" ] }, { "id" : "ITEM-2", "itemData" : { "author" : [ { "dropping-particle" : "", "family" : "Ebbinghaus", "given" : "Bernhard", "non-dropping-particle" : "", "parse-names" : false, "suffix" : "" } ], "chapter-number" : "9", "container-title" : "The politics of the New Welfare State", "editor" : [ { "dropping-particle" : "", "family" : "Bonoli", "given" : "Giuliano", "non-dropping-particle" : "", "parse-names" : false, "suffix" : "" } ], "id" : "ITEM-2", "issued" : { "date-parts" : [ [ "2012" ] ] }, "page" : "182-205", "publisher" : "Oxford University Press", "publisher-place" : "Oxford", "title" : "Europe\u2019s transformations towards a renewed pension system", "type" : "chapter" }, "uris" : [ "http://www.mendeley.com/documents/?uuid=5eb677ee-d907-44b8-a1ab-ea7c18ca7df3" ] }, { "id" : "ITEM-3", "itemData" : { "DOI" : "10.1007/s00391-014-0669-y", "ISSN" : "0948-6704", "PMID" : "25117859", "abstract" : "BACKGROUND: Population ageing, demographic change and the financial crisis has put the financial sustainability of the German pension system at risk. In reaction to these challenges, Germany recently abandoned generous early retirement policies and moved towards policies encouraging higher employment among the elderly.\\n\\nOBJECTIVES: In this article we evaluate how these labour market and pension policies affected the retirement decisions of older workers in Germany over the last three decades. Complementing previous research on early retirement, we focus in particular on those working past the mandatory retirement age of 65 years and examine whether the composition of this group of postretirement-age workers has changed over time.\\n\\nDATA AND METHODS: We analyse pooled cross-sectional data from three rounds of the German Ageing Survey which allow us to cover the last three decades from 1980 to 2008. Estimating multinomial logit models we distinguish explanatory factors on the individual, organizational and institutional level that frame the decision to leave the labour market before the age of 65, to stop working at 65 or to work past 65.\\n\\nRESULTS: Over the last three decades, the share of German workers leaving the labour market after the mandatory retirement age of 65 has increased markedly. This trend towards working longer has changed particularly among the low educated workforce which in previous decades traditionally has exhibited a tendency to retire early. In contrast to high-skilled workers, the decision to work longer among low-educated workers is mainly driven by financial need (and is usually not in line with their desire or their ability to work for longer).\\n\\nCONCLUSION: Our findings suggest an increase in social inequality in retirement decisions as a result of the policy shift towards activation. We conclude by arguing for a more fine-grained understanding of the reasons why people work longer. Such research would provide valuable insights into how to design future labour market and pension reforms preventing a rise in social inequalities.", "author" : [ { "dropping-particle" : "", "family" : "Hof\u00e4cker", "given" : "Dirk", "non-dropping-particle" : "", "parse-names" : false, "suffix" : "" }, { "dropping-particle" : "", "family" : "Naumann", "given" : "Elias", "non-dropping-particle" : "", "parse-names" : false, "suffix" : "" } ], "container-title" : "Zeitschrift f\u00fcr Gerontologie und Geriatrie", "id" : "ITEM-3", "issue" : "5", "issued" : { "date-parts" : [ [ "2015" ] ] }, "page" : "473-479", "title" : "The emerging trend of work beyond retirement age in Germany", "type" : "article-journal", "volume" : "48" }, "uris" : [ "http://www.mendeley.com/documents/?uuid=0547dc71-32a3-4661-aab8-693057b101cb" ] } ], "mendeley" : { "formattedCitation" : "(Ebbinghaus 2012b; Hof\u00e4cker 2015; Hof\u00e4cker and Naumann 2015)", "plainTextFormattedCitation" : "(Ebbinghaus 2012b; Hof\u00e4cker 2015; Hof\u00e4cker and Naumann 2015)", "previouslyFormattedCitation" : "(Ebbinghaus 2012b; Hof\u00e4cker 2015; Hof\u00e4cker and Naumann 2015)" }, "properties" : { "noteIndex" : 0 }, "schema" : "https://github.com/citation-style-language/schema/raw/master/csl-citation.json" }</w:instrText>
      </w:r>
      <w:r w:rsidRPr="00C3671E">
        <w:fldChar w:fldCharType="separate"/>
      </w:r>
      <w:r w:rsidR="00A91559" w:rsidRPr="00C3671E">
        <w:rPr>
          <w:noProof/>
        </w:rPr>
        <w:t>(Ebbinghaus 2012b; Hofäcker 2015; Hofäcker and Naumann 2015)</w:t>
      </w:r>
      <w:r w:rsidRPr="00C3671E">
        <w:fldChar w:fldCharType="end"/>
      </w:r>
      <w:r w:rsidRPr="00C3671E">
        <w:t xml:space="preserve">. This may be a factor </w:t>
      </w:r>
      <w:r w:rsidRPr="00C3671E">
        <w:lastRenderedPageBreak/>
        <w:t xml:space="preserve">motivating them to work longer and benefit from the employment by maintaining some living standard, though the prolonged working career is rather forced by circumstances in such cases. The outcomes of working versus retirement can be also shaped by institutional settings including pension system and official retirement age, which vary considerably in the European context </w:t>
      </w:r>
      <w:r w:rsidRPr="00C3671E">
        <w:fldChar w:fldCharType="begin" w:fldLock="1"/>
      </w:r>
      <w:r w:rsidR="001257AA" w:rsidRPr="00C3671E">
        <w:instrText>ADDIN CSL_CITATION { "citationItems" : [ { "id" : "ITEM-1", "itemData" : { "DOI" : "10.1007/s10902-012-9399-2", "ISSN" : "13894978", "abstract" : "This study examines the relationship between retirement and subjective well-being (SWB), utilizing international data from sixteen countries in Western Europe and the US. Differences in social security regimes are exploited to estimate the retirement decision such that it is exogenous to individual-level characteristics. Although results from traditional ordinary least squares suggest an ambiguous relationship between retirement and SWB, this is due to comparatively lower SWB among those who choose retirement. The removal of selection bias reveals a large, positive effect that fades over a few years, suggesting a multi-stage adjustment to retirement. Individuals facing formal retirement at age 65 or later experience an increase in SWB that is roughly equivalent in total value to that of individuals facing earlier retirement, and both groups return to trend by age 70. This suggests that raising the formal retirement age, which is widely discussed today by policymakers, is relatively neutral with regard to SWB in the long-term.", "author" : [ { "dropping-particle" : "", "family" : "Horner", "given" : "Elizabeth Mokyr", "non-dropping-particle" : "", "parse-names" : false, "suffix" : "" } ], "container-title" : "Journal of Happiness Studies", "id" : "ITEM-1", "issue" : "1", "issued" : { "date-parts" : [ [ "2014" ] ] }, "page" : "125-144", "title" : "Subjective Well-Being and Retirement: Analysis and Policy Recommendations", "type" : "article-journal", "volume" : "15" }, "uris" : [ "http://www.mendeley.com/documents/?uuid=84c4b7f5-4f4e-4a9c-9f0b-e26858f7c56a" ] }, { "id" : "ITEM-2", "itemData" : { "author" : [ { "dropping-particle" : "", "family" : "Ebbinghaus", "given" : "Bernhard", "non-dropping-particle" : "", "parse-names" : false, "suffix" : "" } ], "chapter-number" : "9", "container-title" : "The politics of the New Welfare State", "editor" : [ { "dropping-particle" : "", "family" : "Bonoli", "given" : "Giuliano", "non-dropping-particle" : "", "parse-names" : false, "suffix" : "" } ], "id" : "ITEM-2", "issued" : { "date-parts" : [ [ "2012" ] ] }, "page" : "182-205", "publisher" : "Oxford University Press", "publisher-place" : "Oxford", "title" : "Europe\u2019s transformations towards a renewed pension system", "type" : "chapter" }, "uris" : [ "http://www.mendeley.com/documents/?uuid=5eb677ee-d907-44b8-a1ab-ea7c18ca7df3" ] }, { "id" : "ITEM-3", "itemData" : { "URL" : "https://tradingeconomics.com/country-list/retirement-age-women", "accessed" : { "date-parts" : [ [ "2017", "10", "19" ] ] }, "author" : [ { "dropping-particle" : "", "family" : "Trading Economics", "given" : "", "non-dropping-particle" : "", "parse-names" : false, "suffix" : "" } ], "id" : "ITEM-3", "issued" : { "date-parts" : [ [ "2017" ] ] }, "title" : "Retirement age of men and women", "type" : "webpage" }, "uris" : [ "http://www.mendeley.com/documents/?uuid=e150edc8-7bcd-4394-a592-b839489dd4f4" ] } ], "mendeley" : { "formattedCitation" : "(Ebbinghaus 2012b; Horner 2014; Trading Economics 2017)", "plainTextFormattedCitation" : "(Ebbinghaus 2012b; Horner 2014; Trading Economics 2017)", "previouslyFormattedCitation" : "(Ebbinghaus 2012b; Horner 2014; Trading Economics 2017)" }, "properties" : { "noteIndex" : 0 }, "schema" : "https://github.com/citation-style-language/schema/raw/master/csl-citation.json" }</w:instrText>
      </w:r>
      <w:r w:rsidRPr="00C3671E">
        <w:fldChar w:fldCharType="separate"/>
      </w:r>
      <w:r w:rsidR="00A91559" w:rsidRPr="00C3671E">
        <w:rPr>
          <w:noProof/>
        </w:rPr>
        <w:t>(Ebbinghaus 2012b; Horner 2014; Trading Economics 2017)</w:t>
      </w:r>
      <w:r w:rsidRPr="00C3671E">
        <w:fldChar w:fldCharType="end"/>
      </w:r>
      <w:r w:rsidRPr="00C3671E">
        <w:t xml:space="preserve">. Finally, important parts of the cultural framework are in this case value of work in a society and meanings connected to a paid job </w:t>
      </w:r>
      <w:r w:rsidRPr="00C3671E">
        <w:fldChar w:fldCharType="begin" w:fldLock="1"/>
      </w:r>
      <w:r w:rsidR="001257AA" w:rsidRPr="00C3671E">
        <w:instrText>ADDIN CSL_CITATION { "citationItems" : [ { "id" : "ITEM-1", "itemData" : { "DOI" : "10.1177/0018726711435180", "ISBN" : "0018-7267\\r1741-282X", "ISSN" : "0018-7267", "PMID" : "4035", "abstract" : "In this article, the authors critically examine themes that have become associated with work and retirement in the context of demographic change. Two discourses are looked at in detail, those of \u2018active\u2019 and \u2018productive\u2019 ageing, with a focus upon International and European social policy. Drawing on the work of Foucault and others, the emergence of a dominant discourse and its effects on policy-based understandings of ageing are examined. A new orthodoxy of ageing subjectivity is identified, restricting the social contribution of older adults to work and work-like activities. A subtext refers to the co-option of liberal gerontological priorities into new and socially rigid forms of identity that legitimize particular ways of growing old. The authors conclude that a radical re-positioning, inspired by mature identity, is required to rely less upon economically determined roles and more upon alternative grounding in existential life tasks and experience to give space for a \u2018mature subjectivity\u2019 and a desirable \u2018mature subject\u2019.", "author" : [ { "dropping-particle" : "", "family" : "Moulaert", "given" : "Thibauld", "non-dropping-particle" : "", "parse-names" : false, "suffix" : "" }, { "dropping-particle" : "", "family" : "Biggs", "given" : "Simon", "non-dropping-particle" : "", "parse-names" : false, "suffix" : "" } ], "container-title" : "Human Relations", "id" : "ITEM-1", "issue" : "1", "issued" : { "date-parts" : [ [ "2013" ] ] }, "page" : "23-43", "title" : "International and European policy on work and retirement: Reinventing critical perspectives on active ageing and mature subjectivity", "type" : "article-journal", "volume" : "66" }, "uris" : [ "http://www.mendeley.com/documents/?uuid=67729728-4602-49d9-ae72-d5f3efb3e94c" ] }, { "id" : "ITEM-2", "itemData" : { "author" : [ { "dropping-particle" : "", "family" : "Inglehart", "given" : "Ronald", "non-dropping-particle" : "", "parse-names" : false, "suffix" : "" } ], "id" : "ITEM-2", "issued" : { "date-parts" : [ [ "1990" ] ] }, "publisher" : "Princeton University Press", "publisher-place" : "Princeton", "title" : "Culture Shift in Advanced Industrial Society", "type" : "book" }, "uris" : [ "http://www.mendeley.com/documents/?uuid=25dc8f63-d26d-432e-8cdc-a1a2c72d612c" ] }, { "id" : "ITEM-3", "itemData" : { "ISBN" : "0038-0288", "ISSN" : "00380288", "abstract" : "In an ageing Czech society, the age of retirement has become an important issue in the debates over how to reform the pension system. In this article, which deals with the transition to retirement, the central questions posed are what perspective Czechs have on the liming of their retirement, and whether they are beginning to prepare themselves for the eventuality that they will have to retire much later than has thus far been the case. Using the results from various Czech representative surveys, the paper uncovers the paradox of early retirement. This consists of contradictory links. The Czechs know that their society is ageing, that they are living longer and that the number of pensioners is increasing. They know also that after retirement their level of income (pension) will decrease substantially, having a serious impact on their standard of living. Yet despite these facts, middle-aged and elderly Czechs (45 years and older) not only are opposed to any increase in the statutory retirement age, but more frequently they even indicate a preference for early retirement. Interestingly, research conducted among the elderly has shown that many of those who are already retired today admit that they did not really want to retire. This article tries to find an explanation for this paradox in the mentality that exists with regard to retirement, which was formed by the peculiarities of the socialist labor market, and/or in the psychology of the life course. [ABSTRACT FROM AUTHOR]", "author" : [ { "dropping-particle" : "", "family" : "Rabu\u0161ic", "given" : "Ladislav", "non-dropping-particle" : "", "parse-names" : false, "suffix" : "" } ], "container-title" : "Czech Sociological Review", "id" : "ITEM-3", "issue" : "3", "issued" : { "date-parts" : [ [ "2004" ] ] }, "page" : "319-342", "title" : "Why Are They All So Eager to Retire? (On the Transition to Retirement in the Czech Republic)", "type" : "article-journal", "volume" : "40" }, "uris" : [ "http://www.mendeley.com/documents/?uuid=a0999320-2b47-4cab-8456-0195c7554410" ] } ], "mendeley" : { "formattedCitation" : "(Inglehart 1990; Moulaert and Biggs 2013; Rabu\u0161ic 2004)", "plainTextFormattedCitation" : "(Inglehart 1990; Moulaert and Biggs 2013; Rabu\u0161ic 2004)", "previouslyFormattedCitation" : "(Inglehart 1990; Moulaert and Biggs 2013; Rabu\u0161ic 2004)" }, "properties" : { "noteIndex" : 0 }, "schema" : "https://github.com/citation-style-language/schema/raw/master/csl-citation.json" }</w:instrText>
      </w:r>
      <w:r w:rsidRPr="00C3671E">
        <w:fldChar w:fldCharType="separate"/>
      </w:r>
      <w:r w:rsidR="00A91559" w:rsidRPr="00C3671E">
        <w:rPr>
          <w:noProof/>
        </w:rPr>
        <w:t>(Inglehart 1990; Moulaert and Biggs 2013; Rabušic 2004)</w:t>
      </w:r>
      <w:r w:rsidRPr="00C3671E">
        <w:fldChar w:fldCharType="end"/>
      </w:r>
      <w:r w:rsidRPr="00C3671E">
        <w:t>.</w:t>
      </w:r>
    </w:p>
    <w:p w14:paraId="596D2715" w14:textId="08637A42" w:rsidR="00676326" w:rsidRPr="00C3671E" w:rsidRDefault="00676326" w:rsidP="00676326">
      <w:pPr>
        <w:pStyle w:val="Newparagraph"/>
        <w:jc w:val="both"/>
      </w:pPr>
      <w:r w:rsidRPr="00C3671E">
        <w:t xml:space="preserve">Second, outcomes of caregiving depend on social norms, and subsequently on the availability of formal care in a given country </w:t>
      </w:r>
      <w:r w:rsidRPr="00C3671E">
        <w:fldChar w:fldCharType="begin" w:fldLock="1"/>
      </w:r>
      <w:r w:rsidR="001257AA" w:rsidRPr="00C3671E">
        <w:instrText>ADDIN CSL_CITATION { "citationItems" : [ { "id" : "ITEM-1", "itemData" : { "DOI" : "10.1007/s10433-013-0294-4", "ISBN" : "1613-9372", "ISSN" : "1613-9372", "abstract" : "This study employs the concept of structured ambivalence to analyse the effect of grandchild care on quality of life (QoL) in different cultural contexts. We define structured ambivalence as the contradiction between behaviour and cultural norms. The analysis is based on the Survey of Health, Ageing and Retirement in Europe with 14 countries in the sample. We focus on grandparents aged 50 and over with at least one grandchild 12 years old or younger (n = 12,740). In countries with high grandparent obligations, grandparents who did not look after their grandchildren reported a lower quality of life. Compliance with such grandparental obligations (e.g. providing grandchild care in a country with high grandparent obligations) was found to increase the QoL of grandparents. Family policy should consider family practices that better match the realities of current grandparents\u2019 lives in order to reduce structured ambivalence and increase the QoL of grandparents.", "author" : [ { "dropping-particle" : "", "family" : "Neuberger", "given" : "Franz S.", "non-dropping-particle" : "", "parse-names" : false, "suffix" : "" }, { "dropping-particle" : "", "family" : "Haberkern", "given" : "Klaus", "non-dropping-particle" : "", "parse-names" : false, "suffix" : "" } ], "container-title" : "European Journal of Ageing", "id" : "ITEM-1", "issue" : "2", "issued" : { "date-parts" : [ [ "2014" ] ] }, "page" : "171-181", "title" : "Structured ambivalence in grandchild care and the quality of life among European grandparents", "type" : "article-journal", "volume" : "11" }, "uris" : [ "http://www.mendeley.com/documents/?uuid=f5b5cac1-e999-4c39-a97d-1363ab276312" ] }, { "id" : "ITEM-2", "itemData" : { "DOI" : "10.1007/s10680-014-9336-7", "ISBN" : "1068001493367", "ISSN" : "15729885", "abstract" : "We analyse the impact of the provision of care on the health and quality of life (QoL) of adult female informal caregivers using a representative sample drawn from the survey of health, ageing and retirement in Europe (SHARE). We match each informal caregiver with a non-carer using propensity score matching and test whether matched individuals differ on self-assessed health and a functional indicator of QoL and whether this relationship differs across European regions. We find a North-South gradient both for self-assessed health and QoL, and our results show that the provision of caregiving to close relatives in Europe impacts on the caregivers' QoL and health in a way that depends on their geographical location, the degree of formal care and specific cultural and social factors of the area. We find that informal caregiving is a complex phenomenon which may bring both psychological rewards and distress to providers of care and this complexity, along with the geographical gradient highlight the importance of ensuring that policies match the needs of individual carers in their own geographical areas and cultural contexts. [ABSTRACT FROM AUTHOR] Copyright of European Journal of Population is the property of Springer Science &amp; Business Media B.V.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"Novi", "given" : "Cinzia", "non-dropping-particle" : "Di", "parse-names" : false, "suffix" : "" }, { "dropping-particle" : "", "family" : "Jacobs", "given" : "Rowena", "non-dropping-particle" : "", "parse-names" : false, "suffix" : "" }, { "dropping-particle" : "", "family" : "Migheli", "given" : "Matteo", "non-dropping-particle" : "", "parse-names" : false, "suffix" : "" } ], "container-title" : "European Journal of Population", "id" : "ITEM-2", "issue" : "3", "issued" : { "date-parts" : [ [ "2015" ] ] }, "page" : "309-333", "publisher" : "Springer Netherlands", "title" : "The Quality of Life of Female Informal Caregivers: From Scandinavia to the Mediterranean Sea", "type" : "article-journal", "volume" : "31" }, "uris" : [ "http://www.mendeley.com/documents/?uuid=1ccc65b6-fa56-4844-8194-2bfe00ef56d5" ] } ], "mendeley" : { "formattedCitation" : "(Neuberger and Haberkern 2014; Di Novi et al. 2015)", "plainTextFormattedCitation" : "(Neuberger and Haberkern 2014; Di Novi et al. 2015)", "previouslyFormattedCitation" : "(Neuberger and Haberkern 2014; Di Novi et al. 2015)" }, "properties" : { "noteIndex" : 0 }, "schema" : "https://github.com/citation-style-language/schema/raw/master/csl-citation.json" }</w:instrText>
      </w:r>
      <w:r w:rsidRPr="00C3671E">
        <w:fldChar w:fldCharType="separate"/>
      </w:r>
      <w:r w:rsidR="00A91559" w:rsidRPr="00C3671E">
        <w:rPr>
          <w:noProof/>
        </w:rPr>
        <w:t>(Neuberger and Haberkern 2014; Di Novi et al. 2015)</w:t>
      </w:r>
      <w:r w:rsidRPr="00C3671E">
        <w:fldChar w:fldCharType="end"/>
      </w:r>
      <w:r w:rsidRPr="00C3671E">
        <w:t xml:space="preserve">. </w:t>
      </w:r>
      <w:r w:rsidRPr="00C3671E">
        <w:fldChar w:fldCharType="begin" w:fldLock="1"/>
      </w:r>
      <w:r w:rsidR="001257AA" w:rsidRPr="00C3671E">
        <w:instrText>ADDIN CSL_CITATION { "citationItems" : [ { "id" : "ITEM-1", "itemData" : { "DOI" : "10.1007/s10433-013-0294-4", "ISBN" : "1613-9372", "ISSN" : "1613-9372", "abstract" : "This study employs the concept of structured ambivalence to analyse the effect of grandchild care on quality of life (QoL) in different cultural contexts. We define structured ambivalence as the contradiction between behaviour and cultural norms. The analysis is based on the Survey of Health, Ageing and Retirement in Europe with 14 countries in the sample. We focus on grandparents aged 50 and over with at least one grandchild 12 years old or younger (n = 12,740). In countries with high grandparent obligations, grandparents who did not look after their grandchildren reported a lower quality of life. Compliance with such grandparental obligations (e.g. providing grandchild care in a country with high grandparent obligations) was found to increase the QoL of grandparents. Family policy should consider family practices that better match the realities of current grandparents\u2019 lives in order to reduce structured ambivalence and increase the QoL of grandparents.", "author" : [ { "dropping-particle" : "", "family" : "Neuberger", "given" : "Franz S.", "non-dropping-particle" : "", "parse-names" : false, "suffix" : "" }, { "dropping-particle" : "", "family" : "Haberkern", "given" : "Klaus", "non-dropping-particle" : "", "parse-names" : false, "suffix" : "" } ], "container-title" : "European Journal of Ageing", "id" : "ITEM-1", "issue" : "2", "issued" : { "date-parts" : [ [ "2014" ] ] }, "page" : "171-181", "title" : "Structured ambivalence in grandchild care and the quality of life among European grandparents", "type" : "article-journal", "volume" : "11" }, "uris" : [ "http://www.mendeley.com/documents/?uuid=f5b5cac1-e999-4c39-a97d-1363ab276312" ] }, { "id" : "ITEM-2", "itemData" : { "DOI" : "10.1007/s10680-014-9336-7", "ISBN" : "1068001493367", "ISSN" : "15729885", "abstract" : "We analyse the impact of the provision of care on the health and quality of life (QoL) of adult female informal caregivers using a representative sample drawn from the survey of health, ageing and retirement in Europe (SHARE). We match each informal caregiver with a non-carer using propensity score matching and test whether matched individuals differ on self-assessed health and a functional indicator of QoL and whether this relationship differs across European regions. We find a North-South gradient both for self-assessed health and QoL, and our results show that the provision of caregiving to close relatives in Europe impacts on the caregivers' QoL and health in a way that depends on their geographical location, the degree of formal care and specific cultural and social factors of the area. We find that informal caregiving is a complex phenomenon which may bring both psychological rewards and distress to providers of care and this complexity, along with the geographical gradient highlight the importance of ensuring that policies match the needs of individual carers in their own geographical areas and cultural contexts. [ABSTRACT FROM AUTHOR] Copyright of European Journal of Population is the property of Springer Science &amp; Business Media B.V.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"Novi", "given" : "Cinzia", "non-dropping-particle" : "Di", "parse-names" : false, "suffix" : "" }, { "dropping-particle" : "", "family" : "Jacobs", "given" : "Rowena", "non-dropping-particle" : "", "parse-names" : false, "suffix" : "" }, { "dropping-particle" : "", "family" : "Migheli", "given" : "Matteo", "non-dropping-particle" : "", "parse-names" : false, "suffix" : "" } ], "container-title" : "European Journal of Population", "id" : "ITEM-2", "issue" : "3", "issued" : { "date-parts" : [ [ "2015" ] ] }, "page" : "309-333", "publisher" : "Springer Netherlands", "title" : "The Quality of Life of Female Informal Caregivers: From Scandinavia to the Mediterranean Sea", "type" : "article-journal", "volume" : "31" }, "uris" : [ "http://www.mendeley.com/documents/?uuid=1ccc65b6-fa56-4844-8194-2bfe00ef56d5" ] } ], "mendeley" : { "formattedCitation" : "(Neuberger and Haberkern 2014; Di Novi et al. 2015)", "manualFormatting" : "Neuberger and Haberkern (2014)", "plainTextFormattedCitation" : "(Neuberger and Haberkern 2014; Di Novi et al. 2015)", "previouslyFormattedCitation" : "(Neuberger and Haberkern 2014; Di Novi et al. 2015)" }, "properties" : { "noteIndex" : 0 }, "schema" : "https://github.com/citation-style-language/schema/raw/master/csl-citation.json" }</w:instrText>
      </w:r>
      <w:r w:rsidRPr="00C3671E">
        <w:fldChar w:fldCharType="separate"/>
      </w:r>
      <w:r w:rsidRPr="00C3671E">
        <w:rPr>
          <w:noProof/>
        </w:rPr>
        <w:t>Neuberger and Haberkern (2014)</w:t>
      </w:r>
      <w:r w:rsidRPr="00C3671E">
        <w:fldChar w:fldCharType="end"/>
      </w:r>
      <w:r w:rsidRPr="00C3671E">
        <w:t xml:space="preserve"> identified the more beneficial provision of care in countries with stronger familial norms, because caregivers more comply both to individual and social values, but also because reference category of people not providing care fail to follow the norm in such a case. Similar effect as strong familial norms has a weaker welfare state and lower availability of formal care, as the latter is a consequence of the former </w:t>
      </w:r>
      <w:r w:rsidRPr="00C3671E">
        <w:fldChar w:fldCharType="begin" w:fldLock="1"/>
      </w:r>
      <w:r w:rsidRPr="00C3671E">
        <w:instrText>ADDIN CSL_CITATION { "citationItems" : [ { "id" : "ITEM-1", "itemData" : { "author" : [ { "dropping-particle" : "", "family" : "Sobotka", "given" : "Tom\u00e1\u0161", "non-dropping-particle" : "", "parse-names" : false, "suffix" : "" } ], "chapter-number" : "2", "container-title" : "Demographic Challenges for the 21st Century: A State of the Art in Demography", "editor" : [ { "dropping-particle" : "", "family" : "Surkyn", "given" : "Johan", "non-dropping-particle" : "", "parse-names" : false, "suffix" : "" }, { "dropping-particle" : "", "family" : "Deboosere", "given" : "Patrick", "non-dropping-particle" : "", "parse-names" : false, "suffix" : "" }, { "dropping-particle" : "", "family" : "Bavel", "given" : "Jan", "non-dropping-particle" : "Van", "parse-names" : false, "suffix" : "" } ], "id" : "ITEM-1", "issued" : { "date-parts" : [ [ "2008" ] ] }, "page" : "27-90", "publisher" : "VUBPRESS", "publisher-place" : "Brussels", "title" : "Does Persistent Low Fertility Threaten the Future of European Populations?", "type" : "chapter" }, "uris" : [ "http://www.mendeley.com/documents/?uuid=7c401ab6-8cb9-4643-99c1-3a0eea4e238b" ] } ], "mendeley" : { "formattedCitation" : "(Sobotka 2008a)", "plainTextFormattedCitation" : "(Sobotka 2008a)", "previouslyFormattedCitation" : "(Sobotka 2008a)" }, "properties" : { "noteIndex" : 0 }, "schema" : "https://github.com/citation-style-language/schema/raw/master/csl-citation.json" }</w:instrText>
      </w:r>
      <w:r w:rsidRPr="00C3671E">
        <w:fldChar w:fldCharType="separate"/>
      </w:r>
      <w:r w:rsidRPr="00C3671E">
        <w:rPr>
          <w:noProof/>
        </w:rPr>
        <w:t>(Sobotka 2008a)</w:t>
      </w:r>
      <w:r w:rsidRPr="00C3671E">
        <w:fldChar w:fldCharType="end"/>
      </w:r>
      <w:r w:rsidRPr="00C3671E">
        <w:t xml:space="preserve">. Thus, lower availability of formal care creates an environment, in which intensive caregiving leads to higher feelings of pleasure and self-realisation, but also to lower control and autonomy </w:t>
      </w:r>
      <w:r w:rsidRPr="00C3671E">
        <w:fldChar w:fldCharType="begin" w:fldLock="1"/>
      </w:r>
      <w:r w:rsidR="001257AA" w:rsidRPr="00C3671E">
        <w:instrText>ADDIN CSL_CITATION { "citationItems" : [ { "id" : "ITEM-1", "itemData" : { "DOI" : "10.1007/s10680-014-9336-7", "ISBN" : "1068001493367", "ISSN" : "15729885", "abstract" : "We analyse the impact of the provision of care on the health and quality of life (QoL) of adult female informal caregivers using a representative sample drawn from the survey of health, ageing and retirement in Europe (SHARE). We match each informal caregiver with a non-carer using propensity score matching and test whether matched individuals differ on self-assessed health and a functional indicator of QoL and whether this relationship differs across European regions. We find a North-South gradient both for self-assessed health and QoL, and our results show that the provision of caregiving to close relatives in Europe impacts on the caregivers' QoL and health in a way that depends on their geographical location, the degree of formal care and specific cultural and social factors of the area. We find that informal caregiving is a complex phenomenon which may bring both psychological rewards and distress to providers of care and this complexity, along with the geographical gradient highlight the importance of ensuring that policies match the needs of individual carers in their own geographical areas and cultural contexts. [ABSTRACT FROM AUTHOR] Copyright of European Journal of Population is the property of Springer Science &amp; Business Media B.V.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"Novi", "given" : "Cinzia", "non-dropping-particle" : "Di", "parse-names" : false, "suffix" : "" }, { "dropping-particle" : "", "family" : "Jacobs", "given" : "Rowena", "non-dropping-particle" : "", "parse-names" : false, "suffix" : "" }, { "dropping-particle" : "", "family" : "Migheli", "given" : "Matteo", "non-dropping-particle" : "", "parse-names" : false, "suffix" : "" } ], "container-title" : "European Journal of Population", "id" : "ITEM-1", "issue" : "3", "issued" : { "date-parts" : [ [ "2015" ] ] }, "page" : "309-333", "publisher" : "Springer Netherlands", "title" : "The Quality of Life of Female Informal Caregivers: From Scandinavia to the Mediterranean Sea", "type" : "article-journal", "volume" : "31" }, "uris" : [ "http://www.mendeley.com/documents/?uuid=1ccc65b6-fa56-4844-8194-2bfe00ef56d5" ] } ], "mendeley" : { "formattedCitation" : "(Di Novi et al. 2015)", "plainTextFormattedCitation" : "(Di Novi et al. 2015)", "previouslyFormattedCitation" : "(Di Novi et al. 2015)" }, "properties" : { "noteIndex" : 0 }, "schema" : "https://github.com/citation-style-language/schema/raw/master/csl-citation.json" }</w:instrText>
      </w:r>
      <w:r w:rsidRPr="00C3671E">
        <w:fldChar w:fldCharType="separate"/>
      </w:r>
      <w:r w:rsidR="00AA6335" w:rsidRPr="00C3671E">
        <w:rPr>
          <w:noProof/>
        </w:rPr>
        <w:t>(Di Novi et al. 2015)</w:t>
      </w:r>
      <w:r w:rsidRPr="00C3671E">
        <w:fldChar w:fldCharType="end"/>
      </w:r>
      <w:r w:rsidRPr="00C3671E">
        <w:t>.</w:t>
      </w:r>
    </w:p>
    <w:p w14:paraId="4B81418C" w14:textId="396B9451" w:rsidR="00676326" w:rsidRPr="00C3671E" w:rsidRDefault="00676326" w:rsidP="00676326">
      <w:pPr>
        <w:pStyle w:val="Newparagraph"/>
        <w:jc w:val="both"/>
      </w:pPr>
      <w:r w:rsidRPr="00C3671E">
        <w:t xml:space="preserve">Third, </w:t>
      </w:r>
      <w:r w:rsidRPr="00C3671E">
        <w:fldChar w:fldCharType="begin" w:fldLock="1"/>
      </w:r>
      <w:r w:rsidRPr="00C3671E">
        <w:instrText>ADDIN CSL_CITATION { "citationItems" : [ { "id" : "ITEM-1", "itemData" : { "DOI" : "10.1093/esr/jcq023", "ISBN" : "0266-7215", "ISSN" : "02667215", "abstract" : "This article aims to improve our understanding of the societal determinants of older people\u2019s participation in non-market productive activities. Based on micro-data from the Survey of Health, Ageing and Retirement in Europe, we estimate logistic multilevel models for individuals\u2019 engagement in formal volunteering, informal helping, and caring across 11 countries. The results partially support hypotheses regarding the relationship between specific macro-level variables and individuals\u2019 productive engagement at older ages. While our measure of societal images of aging does not exhibit statistically significant associations with any of the activities considered here, our hypotheses concerning a positive relationship between greater political and religious freedom as well as the provision of welfare state services and older individuals\u2019 propensity to engage in productive aging are largely confirmed. We interpret these findings as evidence suggesting that both longstanding cultural elements of a society as well as contemporary welfare state interventions constitute reference frames and opportunity structures which older individuals perceive as relevant for their decision whether to participate in volunteering, helping, or caring.", "author" : [ { "dropping-particle" : "", "family" : "Hank", "given" : "Karsten", "non-dropping-particle" : "", "parse-names" : false, "suffix" : "" } ], "container-title" : "European Sociological Review", "id" : "ITEM-1", "issue" : "4", "issued" : { "date-parts" : [ [ "2011" ] ] }, "page" : "526-541", "title" : "Societal determinants of productive aging: A multilevel analysis across 11 European Countries", "type" : "article-journal", "volume" : "27" }, "uris" : [ "http://www.mendeley.com/documents/?uuid=fbcecccf-f864-4ae9-9b90-33a7d02f7393" ] } ], "mendeley" : { "formattedCitation" : "(Hank 2011)", "manualFormatting" : "Hank (2011)", "plainTextFormattedCitation" : "(Hank 2011)", "previouslyFormattedCitation" : "(Hank 2011)" }, "properties" : { "noteIndex" : 0 }, "schema" : "https://github.com/citation-style-language/schema/raw/master/csl-citation.json" }</w:instrText>
      </w:r>
      <w:r w:rsidRPr="00C3671E">
        <w:fldChar w:fldCharType="separate"/>
      </w:r>
      <w:r w:rsidRPr="00C3671E">
        <w:rPr>
          <w:noProof/>
        </w:rPr>
        <w:t>Hank (2011)</w:t>
      </w:r>
      <w:r w:rsidRPr="00C3671E">
        <w:fldChar w:fldCharType="end"/>
      </w:r>
      <w:r w:rsidRPr="00C3671E">
        <w:t xml:space="preserve"> illustrates that volunteering and informal help is more prevalent in societies with higher civil and political liberties and in countries with the stronger welfare state. He concludes that ‘both longstanding cultural elements of a society, such as its religious tradition, as well as contemporary welfare state interventions constitute reference frames’ </w:t>
      </w:r>
      <w:r w:rsidRPr="00C3671E">
        <w:fldChar w:fldCharType="begin" w:fldLock="1"/>
      </w:r>
      <w:r w:rsidRPr="00C3671E">
        <w:instrText>ADDIN CSL_CITATION { "citationItems" : [ { "id" : "ITEM-1", "itemData" : { "DOI" : "10.1093/esr/jcq023", "ISBN" : "0266-7215", "ISSN" : "02667215", "abstract" : "This article aims to improve our understanding of the societal determinants of older people\u2019s participation in non-market productive activities. Based on micro-data from the Survey of Health, Ageing and Retirement in Europe, we estimate logistic multilevel models for individuals\u2019 engagement in formal volunteering, informal helping, and caring across 11 countries. The results partially support hypotheses regarding the relationship between specific macro-level variables and individuals\u2019 productive engagement at older ages. While our measure of societal images of aging does not exhibit statistically significant associations with any of the activities considered here, our hypotheses concerning a positive relationship between greater political and religious freedom as well as the provision of welfare state services and older individuals\u2019 propensity to engage in productive aging are largely confirmed. We interpret these findings as evidence suggesting that both longstanding cultural elements of a society as well as contemporary welfare state interventions constitute reference frames and opportunity structures which older individuals perceive as relevant for their decision whether to participate in volunteering, helping, or caring.", "author" : [ { "dropping-particle" : "", "family" : "Hank", "given" : "Karsten", "non-dropping-particle" : "", "parse-names" : false, "suffix" : "" } ], "container-title" : "European Sociological Review", "id" : "ITEM-1", "issue" : "4", "issued" : { "date-parts" : [ [ "2011" ] ] }, "page" : "526-541", "title" : "Societal determinants of productive aging: A multilevel analysis across 11 European Countries", "type" : "article-journal", "volume" : "27" }, "uris" : [ "http://www.mendeley.com/documents/?uuid=fbcecccf-f864-4ae9-9b90-33a7d02f7393" ] } ], "mendeley" : { "formattedCitation" : "(Hank 2011)", "manualFormatting" : "(Hank 2011", "plainTextFormattedCitation" : "(Hank 2011)", "previouslyFormattedCitation" : "(Hank 2011)" }, "properties" : { "noteIndex" : 0 }, "schema" : "https://github.com/citation-style-language/schema/raw/master/csl-citation.json" }</w:instrText>
      </w:r>
      <w:r w:rsidRPr="00C3671E">
        <w:fldChar w:fldCharType="separate"/>
      </w:r>
      <w:r w:rsidRPr="00C3671E">
        <w:rPr>
          <w:noProof/>
        </w:rPr>
        <w:t>(Hank 2011</w:t>
      </w:r>
      <w:r w:rsidRPr="00C3671E">
        <w:fldChar w:fldCharType="end"/>
      </w:r>
      <w:r w:rsidRPr="00C3671E">
        <w:t xml:space="preserve">: 536) for social participation of older adults. The research directly examining the contextual differences of the effect of social participation is missing. Nevertheless, we may assume that the outcome of particular activities depends on individual/social values, their </w:t>
      </w:r>
      <w:r w:rsidRPr="00C3671E">
        <w:lastRenderedPageBreak/>
        <w:t xml:space="preserve">congruence with the activity, and its meaning under given conditions </w:t>
      </w:r>
      <w:r w:rsidRPr="00C3671E">
        <w:fldChar w:fldCharType="begin" w:fldLock="1"/>
      </w:r>
      <w:r w:rsidR="001257AA" w:rsidRPr="00C3671E">
        <w:instrText>ADDIN CSL_CITATION { "citationItems" : [ { "id" : "ITEM-1", "itemData" : { "DOI" : "10.1007/s10433-013-0294-4", "ISBN" : "1613-9372", "ISSN" : "1613-9372", "abstract" : "This study employs the concept of structured ambivalence to analyse the effect of grandchild care on quality of life (QoL) in different cultural contexts. We define structured ambivalence as the contradiction between behaviour and cultural norms. The analysis is based on the Survey of Health, Ageing and Retirement in Europe with 14 countries in the sample. We focus on grandparents aged 50 and over with at least one grandchild 12 years old or younger (n = 12,740). In countries with high grandparent obligations, grandparents who did not look after their grandchildren reported a lower quality of life. Compliance with such grandparental obligations (e.g. providing grandchild care in a country with high grandparent obligations) was found to increase the QoL of grandparents. Family policy should consider family practices that better match the realities of current grandparents\u2019 lives in order to reduce structured ambivalence and increase the QoL of grandparents.", "author" : [ { "dropping-particle" : "", "family" : "Neuberger", "given" : "Franz S.", "non-dropping-particle" : "", "parse-names" : false, "suffix" : "" }, { "dropping-particle" : "", "family" : "Haberkern", "given" : "Klaus", "non-dropping-particle" : "", "parse-names" : false, "suffix" : "" } ], "container-title" : "European Journal of Ageing", "id" : "ITEM-1", "issue" : "2", "issued" : { "date-parts" : [ [ "2014" ] ] }, "page" : "171-181", "title" : "Structured ambivalence in grandchild care and the quality of life among European grandparents", "type" : "article-journal", "volume" : "11" }, "uris" : [ "http://www.mendeley.com/documents/?uuid=f5b5cac1-e999-4c39-a97d-1363ab276312" ] }, { "id" : "ITEM-2", "itemData" : { "author" : [ { "dropping-particle" : "", "family" : "Inglehart", "given" : "Ronald", "non-dropping-particle" : "", "parse-names" : false, "suffix" : "" } ], "id" : "ITEM-2", "issued" : { "date-parts" : [ [ "1990" ] ] }, "publisher" : "Princeton University Press", "publisher-place" : "Princeton", "title" : "Culture Shift in Advanced Industrial Society", "type" : "book" }, "uris" : [ "http://www.mendeley.com/documents/?uuid=25dc8f63-d26d-432e-8cdc-a1a2c72d612c" ] }, { "id" : "ITEM-3", "itemData" : { "author" : [ { "dropping-particle" : "", "family" : "Timonen", "given" : "Virpi", "non-dropping-particle" : "", "parse-names" : false, "suffix" : "" } ], "id" : "ITEM-3", "issued" : { "date-parts" : [ [ "2016" ] ] }, "publisher" : "Policy Press Shorts Research", "publisher-place" : "Bristol", "title" : "Beyond successful and active ageing: A theory of model ageing", "type" : "book" }, "uris" : [ "http://www.mendeley.com/documents/?uuid=4c41af4a-05f8-46fd-bb8a-a893aaadda0a" ] }, { "id" : "ITEM-4", "itemData" : { "DOI" : "10.1155/2012/382972", "ISBN" : "1687-7071 (Electronic)\\r1687-7063 (Linking)", "ISSN" : "16877063", "PMID" : "23193396", "abstract" : "Background. In the beginning of the 21st century, the world summit on population taking place in Madrid approved active ageing, WHO (2002) as the main objective of health and social policies for old people. Few studies have been done on the scientific validity of the construct. This study aims to validate the construct of active ageing and test empirically the WHO (2002) model of Active Ageing in a sample of community-dwelling seniors. Methods. 1322 old people living in the community were interviewed using an extensive assessment protocol to measure WHO's determinants of active ageing and performed an exploratory factor analysis followed by a confirmatory factor analyses. Results. We did not confirm the active ageing model, as most of the groups of determinants are either not independent or not significant. We got to a six-factor model (health, psychological component, cognitive performance, social relationships, biobehavioural component, and personality) explaining 54.6% of total variance. Conclusion. The present paper shows that there are objective as well as subjective variables contributing to active ageing and that psychological variables seem to give a very important contribute to the construct. The profile of active ageing is expected to vary between contexts and cultures and can be used to guide specific community and individually based interventions.", "author" : [ { "dropping-particle" : "", "family" : "Pa\u00fal", "given" : "Constan\u00e7a", "non-dropping-particle" : "", "parse-names" : false, "suffix" : "" }, { "dropping-particle" : "", "family" : "Ribeiro", "given" : "Oscar", "non-dropping-particle" : "", "parse-names" : false, "suffix" : "" }, { "dropping-particle" : "", "family" : "Teixeira", "given" : "Laetitia", "non-dropping-particle" : "", "parse-names" : false, "suffix" : "" } ], "container-title" : "Current Gerontology and Geriatrics Research", "id" : "ITEM-4", "issued" : { "date-parts" : [ [ "2012" ] ] }, "page" : "1435\u20131445", "title" : "Active ageing: An empirical approach to the WHO model", "type" : "article-journal", "volume" : "1" }, "uris" : [ "http://www.mendeley.com/documents/?uuid=73567974-9290-48dc-99c3-764e60b50855" ] } ], "mendeley" : { "formattedCitation" : "(Inglehart 1990; Neuberger and Haberkern 2014; Pa\u00fal et al. 2012; Timonen 2016)", "plainTextFormattedCitation" : "(Inglehart 1990; Neuberger and Haberkern 2014; Pa\u00fal et al. 2012; Timonen 2016)", "previouslyFormattedCitation" : "(Inglehart 1990; Neuberger and Haberkern 2014; Pa\u00fal et al. 2012; Timonen 2016)" }, "properties" : { "noteIndex" : 0 }, "schema" : "https://github.com/citation-style-language/schema/raw/master/csl-citation.json" }</w:instrText>
      </w:r>
      <w:r w:rsidRPr="00C3671E">
        <w:fldChar w:fldCharType="separate"/>
      </w:r>
      <w:r w:rsidR="00A91559" w:rsidRPr="00C3671E">
        <w:rPr>
          <w:noProof/>
        </w:rPr>
        <w:t>(Inglehart 1990; Neuberger and Haberkern 2014; Paúl et al. 2012; Timonen 2016)</w:t>
      </w:r>
      <w:r w:rsidRPr="00C3671E">
        <w:fldChar w:fldCharType="end"/>
      </w:r>
      <w:r w:rsidRPr="00C3671E">
        <w:t>.</w:t>
      </w:r>
    </w:p>
    <w:p w14:paraId="38BC676F" w14:textId="14131A5D" w:rsidR="00676326" w:rsidRPr="00C3671E" w:rsidRDefault="00676326" w:rsidP="00676326">
      <w:pPr>
        <w:pStyle w:val="Nadpis2"/>
        <w:spacing w:line="480" w:lineRule="auto"/>
        <w:rPr>
          <w:sz w:val="26"/>
          <w:szCs w:val="26"/>
          <w:lang w:val="en-GB"/>
        </w:rPr>
      </w:pPr>
      <w:bookmarkStart w:id="20" w:name="_Toc512687731"/>
      <w:r w:rsidRPr="00C3671E">
        <w:rPr>
          <w:sz w:val="26"/>
          <w:szCs w:val="26"/>
          <w:lang w:val="en-GB"/>
        </w:rPr>
        <w:t>Aims of the dissertation</w:t>
      </w:r>
      <w:bookmarkEnd w:id="20"/>
    </w:p>
    <w:p w14:paraId="2ED8E36B" w14:textId="77777777" w:rsidR="00676326" w:rsidRPr="00C3671E" w:rsidRDefault="00676326" w:rsidP="00676326">
      <w:pPr>
        <w:pStyle w:val="Newparagraph"/>
        <w:jc w:val="both"/>
      </w:pPr>
      <w:r w:rsidRPr="00C3671E">
        <w:t xml:space="preserve">The thesis </w:t>
      </w:r>
      <w:r w:rsidRPr="00C3671E">
        <w:rPr>
          <w:i/>
        </w:rPr>
        <w:t>Role dynamics of older adults and their consequences</w:t>
      </w:r>
      <w:r w:rsidRPr="00C3671E">
        <w:t xml:space="preserve"> aims to utilize the existing knowledge and the current possibilities of quantitative analysis in several ways. First, it focuses only on roles (performed in a form of activities) supported by active ageing policies, as these roles are most relevant for contemporary older Europeans. Second, each part of the text is devoted to a different set of activities, their benefits and detriments according to existing research. Third, the dissertation examines the effect of each type of activity by the most appropriate method statistical analysis in order to improve current knowledge and inspire future research to a use of less orthodox and more beneficial methods. In this way, the dissertation tries to make its best from the prescribed format by providing as complex picture of consequences produced by an implementation of active ageing as possible.</w:t>
      </w:r>
    </w:p>
    <w:p w14:paraId="51994E65" w14:textId="77777777" w:rsidR="00676326" w:rsidRPr="00C3671E" w:rsidRDefault="00676326" w:rsidP="00676326">
      <w:pPr>
        <w:pStyle w:val="Nadpis1"/>
        <w:spacing w:line="480" w:lineRule="auto"/>
        <w:rPr>
          <w:lang w:val="en-GB"/>
        </w:rPr>
      </w:pPr>
      <w:r w:rsidRPr="00C3671E">
        <w:rPr>
          <w:lang w:val="en-GB"/>
        </w:rPr>
        <w:br w:type="page"/>
      </w:r>
      <w:bookmarkStart w:id="21" w:name="_Toc512687732"/>
      <w:r w:rsidRPr="00C3671E">
        <w:rPr>
          <w:sz w:val="36"/>
          <w:szCs w:val="36"/>
          <w:lang w:val="en-GB" w:eastAsia="zh-CN"/>
        </w:rPr>
        <w:lastRenderedPageBreak/>
        <w:t>Chapter 2: Data and methods</w:t>
      </w:r>
      <w:bookmarkEnd w:id="21"/>
    </w:p>
    <w:p w14:paraId="01616052" w14:textId="77777777" w:rsidR="00676326" w:rsidRPr="00C3671E" w:rsidRDefault="00676326" w:rsidP="00676326">
      <w:pPr>
        <w:pStyle w:val="Nadpis2"/>
        <w:spacing w:line="480" w:lineRule="auto"/>
        <w:rPr>
          <w:sz w:val="26"/>
          <w:szCs w:val="26"/>
          <w:lang w:val="en-GB"/>
        </w:rPr>
      </w:pPr>
      <w:bookmarkStart w:id="22" w:name="_Toc512687733"/>
      <w:r w:rsidRPr="00C3671E">
        <w:rPr>
          <w:sz w:val="26"/>
          <w:szCs w:val="26"/>
          <w:lang w:val="en-GB"/>
        </w:rPr>
        <w:t>Data</w:t>
      </w:r>
      <w:bookmarkEnd w:id="22"/>
    </w:p>
    <w:p w14:paraId="0FB8E549" w14:textId="49F64367" w:rsidR="00676326" w:rsidRPr="00C3671E" w:rsidRDefault="00676326" w:rsidP="00676326">
      <w:pPr>
        <w:suppressAutoHyphens/>
        <w:spacing w:line="480" w:lineRule="auto"/>
        <w:jc w:val="both"/>
        <w:rPr>
          <w:lang w:val="en-GB"/>
        </w:rPr>
      </w:pPr>
      <w:r w:rsidRPr="00C3671E">
        <w:rPr>
          <w:lang w:val="en-GB"/>
        </w:rPr>
        <w:t xml:space="preserve">This dissertation tests the assumption that the roles supported by active ageing approach are beneficial for older adults in the European context. Employing contextual approach </w:t>
      </w:r>
      <w:r w:rsidRPr="00C3671E">
        <w:rPr>
          <w:lang w:val="en-GB"/>
        </w:rPr>
        <w:fldChar w:fldCharType="begin" w:fldLock="1"/>
      </w:r>
      <w:r w:rsidR="001257AA" w:rsidRPr="00C3671E">
        <w:rPr>
          <w:lang w:val="en-GB"/>
        </w:rPr>
        <w:instrText>ADDIN CSL_CITATION { "citationItems" : [ { "id" : "ITEM-1", "itemData" : { "DOI" : "10.1177/0003122412444721", "author" : [ { "dropping-particle" : "", "family" : "Marks", "given" : "Stephen R", "non-dropping-particle" : "", "parse-names" : false, "suffix" : "" } ], "container-title" : "American Sociological Review", "id" : "ITEM-1", "issue" : "6", "issued" : { "date-parts" : [ [ "1977" ] ] }, "note" : "Marks 1977: Multiple Roles and Role Strain: Some Notes on Human Energy, Time and Commitment\nFreud: human enegry is scarce, one can either built civilization or make love\nnatural &amp;quot;scarcity&amp;quot; approach to human energy, stressing the overdemanding nature of multiple roles\nscarcity approach: general theory, social criticism\nscarcity approach+multiple roles - Goode, Slater, Coser\nX In contrast, a seldom used &amp;quot;expansion&amp;quot; approach provides an energy-creation theory of multiple roles rather than a &amp;quot;spending&amp;quot; or &amp;quot;drain&amp;quot; theory\nthe expansion approach to human energy - Durkheim\nhuman physiology implies that human activity produces as well as consumes energy\nA theory of scarcity excuses explains how strain or overload is generally rooted in one such system", "page" : "921-936", "title" : "Multiple Roles and Role Strain: Some Notes on Human Energy, Time and Commitment", "type" : "article-journal", "volume" : "42" }, "uris" : [ "http://www.mendeley.com/documents/?uuid=d18e877c-f5c0-4df1-9f1d-009444ce26e3" ] }, { "id" : "ITEM-2", "itemData" : { "author" : [ { "dropping-particle" : "", "family" : "Bronfenbrenner", "given" : "Urie", "non-dropping-particle" : "", "parse-names" : false, "suffix" : "" } ], "container-title" : "Developmental Psychology", "id" : "ITEM-2", "issue" : "6", "issued" : { "date-parts" : [ [ "1986" ] ] }, "page" : "723-742", "title" : "Ecology of the family as a context for human development: research perspectives", "type" : "article-journal", "volume" : "22" }, "uris" : [ "http://www.mendeley.com/documents/?uuid=914637a8-15ad-4ca9-89fd-0e132df3bbfe" ] } ], "mendeley" : { "formattedCitation" : "(Bronfenbrenner 1986; Marks 1977)", "plainTextFormattedCitation" : "(Bronfenbrenner 1986; Marks 1977)", "previouslyFormattedCitation" : "(Bronfenbrenner 1986; Marks 1977)" }, "properties" : { "noteIndex" : 0 }, "schema" : "https://github.com/citation-style-language/schema/raw/master/csl-citation.json" }</w:instrText>
      </w:r>
      <w:r w:rsidRPr="00C3671E">
        <w:rPr>
          <w:lang w:val="en-GB"/>
        </w:rPr>
        <w:fldChar w:fldCharType="separate"/>
      </w:r>
      <w:r w:rsidR="00A91559" w:rsidRPr="00C3671E">
        <w:rPr>
          <w:noProof/>
          <w:lang w:val="en-GB"/>
        </w:rPr>
        <w:t>(Bronfenbrenner 1986; Marks 1977)</w:t>
      </w:r>
      <w:r w:rsidRPr="00C3671E">
        <w:rPr>
          <w:lang w:val="en-GB"/>
        </w:rPr>
        <w:fldChar w:fldCharType="end"/>
      </w:r>
      <w:r w:rsidRPr="00C3671E">
        <w:rPr>
          <w:lang w:val="en-GB"/>
        </w:rPr>
        <w:t>, the study also examines in more detail which supported roles are beneficial under what circumstances. The assumed associations are tested within a quantitative paradigm on a cross-national panel data from the project Survey of Health, Ageing and Retirement in Europe (SHARE).</w:t>
      </w:r>
    </w:p>
    <w:p w14:paraId="4340DD8A" w14:textId="47B4CD19" w:rsidR="00676326" w:rsidRPr="00C3671E" w:rsidRDefault="00676326" w:rsidP="00676326">
      <w:pPr>
        <w:pStyle w:val="Newparagraph"/>
        <w:jc w:val="both"/>
      </w:pPr>
      <w:r w:rsidRPr="00C3671E">
        <w:t xml:space="preserve">SHARE is a panel survey conducted since 2004 in many European countries. Overall, 21 countries participated in at least one wave of data collection and 9 countries participated in all six waves. labelled as ‘one of the crucial pillars of the European Research Area’ </w:t>
      </w:r>
      <w:r w:rsidRPr="00C3671E">
        <w:fldChar w:fldCharType="begin" w:fldLock="1"/>
      </w:r>
      <w:r w:rsidR="001257AA" w:rsidRPr="00C3671E">
        <w:instrText>ADDIN CSL_CITATION { "citationItems" : [ { "id" : "ITEM-1", "itemData" : { "DOI" : "10.1093/ije/dyt088", "ISBN" : "0300-5771", "ISSN" : "03005771", "PMID" : "23778574", "abstract" : "SHARE is a unique panel database of micro data on health, socio-economic status and social and family networks covering most of the European Union and Israel. To date, SHARE has collected three panel waves (2004, 2006, 2010) of current living circumstances and retrospective life histories (2008, SHARELIFE); 6 additional waves are planned until 2024. The more than 150 000 interviews give a broad picture of life after the age of 50 years, measuring physical and mental health, economic and non-economic activities, income and wealth, transfers of time and money within and outside the family as well as life satisfaction and well-being. The data are available to the scientific community free of charge at www.share-project.org after registration. SHARE is harmonized with the US Health and Retirement Study (HRS) and the English Longitudinal Study of Ageing (ELSA) and has become a role model for several ageing surveys worldwide. SHARE's scientific power is based on its panel design that grasps the dynamic character of the ageing process, its multidisciplinary approach that delivers the full picture of individual and societal ageing, and its cross-nationally ex-ante harmonized design that permits international comparisons of health, economic and social outcomes in Europe and the USA.", "author" : [ { "dropping-particle" : "", "family" : "B\u00f6rsch-Supan", "given" : "Axel", "non-dropping-particle" : "", "parse-names" : false, "suffix" : "" }, { "dropping-particle" : "", "family" : "Brandt", "given" : "Martina", "non-dropping-particle" : "", "parse-names" : false, "suffix" : "" }, { "dropping-particle" : "", "family" : "Hunkler", "given" : "Christian", "non-dropping-particle" : "", "parse-names" : false, "suffix" : "" }, { "dropping-particle" : "", "family" : "Kneip", "given" : "Thorsten", "non-dropping-particle" : "", "parse-names" : false, "suffix" : "" }, { "dropping-particle" : "", "family" : "Korbmacher", "given" : "Julie", "non-dropping-particle" : "", "parse-names" : false, "suffix" : "" }, { "dropping-particle" : "", "family" : "Malter", "given" : "Frederic", "non-dropping-particle" : "", "parse-names" : false, "suffix" : "" }, { "dropping-particle" : "", "family" : "Schaan", "given" : "Barbara", "non-dropping-particle" : "", "parse-names" : false, "suffix" : "" }, { "dropping-particle" : "", "family" : "Stuck", "given" : "Stephanie", "non-dropping-particle" : "", "parse-names" : false, "suffix" : "" }, { "dropping-particle" : "", "family" : "Zuber", "given" : "Sabrina", "non-dropping-particle" : "", "parse-names" : false, "suffix" : "" } ], "container-title" : "International Journal of Epidemiology", "id" : "ITEM-1", "issue" : "4", "issued" : { "date-parts" : [ [ "2013" ] ] }, "page" : "992-1001", "title" : "Data resource profile: The Survey of Health, Ageing and Retirement in Europe (SHARE)", "type" : "article-journal", "volume" : "42" }, "uris" : [ "http://www.mendeley.com/documents/?uuid=a62ea0f6-9469-4439-98a6-a5f414d5782a" ] } ], "mendeley" : { "formattedCitation" : "(B\u00f6rsch-Supan et al. 2013)", "manualFormatting" : "(B\u00f6rsch-Supan et al. 2013", "plainTextFormattedCitation" : "(B\u00f6rsch-Supan et al. 2013)", "previouslyFormattedCitation" : "(B\u00f6rsch-Supan et al. 2013)" }, "properties" : { "noteIndex" : 0 }, "schema" : "https://github.com/citation-style-language/schema/raw/master/csl-citation.json" }</w:instrText>
      </w:r>
      <w:r w:rsidRPr="00C3671E">
        <w:fldChar w:fldCharType="separate"/>
      </w:r>
      <w:r w:rsidRPr="00C3671E">
        <w:rPr>
          <w:noProof/>
        </w:rPr>
        <w:t>(Börsch-Supan et al. 2013</w:t>
      </w:r>
      <w:r w:rsidRPr="00C3671E">
        <w:fldChar w:fldCharType="end"/>
      </w:r>
      <w:r w:rsidRPr="00C3671E">
        <w:t>: 993</w:t>
      </w:r>
      <w:r w:rsidRPr="00C3671E">
        <w:rPr>
          <w:noProof/>
        </w:rPr>
        <w:t>)</w:t>
      </w:r>
      <w:r w:rsidRPr="00C3671E">
        <w:t xml:space="preserve"> and listed on the roadmap of the European Strategy Forum on Research Infrastructures the as the only project devoted to population ageing </w:t>
      </w:r>
      <w:r w:rsidRPr="00C3671E">
        <w:fldChar w:fldCharType="begin" w:fldLock="1"/>
      </w:r>
      <w:r w:rsidRPr="00C3671E">
        <w:instrText>ADDIN CSL_CITATION { "citationItems" : [ { "id" : "ITEM-1", "itemData" : { "author" : [ { "dropping-particle" : "", "family" : "ESFRI", "given" : "", "non-dropping-particle" : "", "parse-names" : false, "suffix" : "" } ], "id" : "ITEM-1", "issued" : { "date-parts" : [ [ "2016" ] ] }, "number-of-pages" : "206", "title" : "Infrastructures, Strategy Report on Research", "type" : "report" }, "uris" : [ "http://www.mendeley.com/documents/?uuid=e3294726-df02-4c5b-8a4b-1db1d259cefe" ] } ], "mendeley" : { "formattedCitation" : "(ESFRI 2016)", "plainTextFormattedCitation" : "(ESFRI 2016)", "previouslyFormattedCitation" : "(ESFRI 2016)" }, "properties" : { "noteIndex" : 0 }, "schema" : "https://github.com/citation-style-language/schema/raw/master/csl-citation.json" }</w:instrText>
      </w:r>
      <w:r w:rsidRPr="00C3671E">
        <w:fldChar w:fldCharType="separate"/>
      </w:r>
      <w:r w:rsidRPr="00C3671E">
        <w:rPr>
          <w:noProof/>
        </w:rPr>
        <w:t>(ESFRI 2016)</w:t>
      </w:r>
      <w:r w:rsidRPr="00C3671E">
        <w:fldChar w:fldCharType="end"/>
      </w:r>
      <w:r w:rsidRPr="00C3671E">
        <w:t xml:space="preserve">. The project provides data on health, employment, family, cognitive skills, activities, quality of life, and other areas of life connected to ageing. Data are collected on the national samples of the 50+ population through a method of Computer-Assisted Personal Interviews repeated over time. Wave 3 contains a different set of questions, while other five waves conducted between 2004 and 2015 contain the same questions </w:t>
      </w:r>
      <w:r w:rsidRPr="00C3671E">
        <w:fldChar w:fldCharType="begin" w:fldLock="1"/>
      </w:r>
      <w:r w:rsidRPr="00C3671E">
        <w:instrText>ADDIN CSL_CITATION { "citationItems" : [ { "id" : "ITEM-1", "itemData" : { "ISBN" : "978-3-00-049309-6", "abstract" : "This volume documents the most important questionnaire innovations, methodological advancements\\nand new procedures introduced during the fifth wave of the Survey of Health, Ageing and Retirement\\nin Europe (SHARE). SHARE\u2019s main aim is to provide data on individuals as they age and their\\nenvironment in order to analyse the process of individual and population ageing in depth. SHARE is a\\ndistributed European research infrastructure which provides data for social scientists, including demographers,\\neconomists, psychologists, sociologists, biologists, epidemiologists, public health and health\\npolicy experts who are interested in population aging.\\nCovering the key areas of life, namely health, socio-economics and social networks, SHARE includes\\na great variety of information: health variables (e.g. self-reported health, health conditions, physical\\nand cognitive functioning, health behavior, use of health care facilities), bio-markers (e.g. grip strength,\\nbody-mass index, peak flow; and piloting dried blood spots, waist circumference, blood pressure), psychological\\nvariables (e.g. mental health, well-being, life satisfaction), economic variables (current work\\nactivity, job characteristics, opportunities to work past retirement age, sources and composition of current\\nincome, wealth and consumption, housing, education), and social support variables (e.g. assistance\\nwithin families, transfers of income and assets, volunteer activities) as well as social network information\\n(e.g. contacts, proximity, satisfaction with network). Researchers may download the SHARE data free of\\ncharge from the project\u2019s website at www.share-project.org.\\nSHARE combines multi-disciplinarity with being genuinely multi-national. In Wave 5, we collected interview\\ndata from about 85,000 individuals aged 50 or over from 19 countries. Moreover, SHARE is harmonized\\nwith the U.S. Health and Retirement Study (HRS) and the English Longitudinal Study of Ageing\\n(ELSA). Studies in Korea, Japan, China, India, and Brazil follow these models. Rigorous procedural guidelines,\\nelectronic tools, and instruments are designed to ensure an ex-ante harmonized cross-national design.", "author" : [ { "dropping-particle" : "", "family" : "Malter", "given" : "Frederick", "non-dropping-particle" : "", "parse-names" : false, "suffix" : "" }, { "dropping-particle" : "", "family" : "B\u00f6rsch-Supan", "given" : "Axel", "non-dropping-particle" : "", "parse-names" : false, "suffix" : "" } ], "id" : "ITEM-1", "issued" : { "date-parts" : [ [ "2015" ] ] }, "publisher" : "Max Planck Institute for Social Law and Social Policy", "publisher-place" : "M\u00fcnchen", "title" : "SHARE Wave 5: Innovations &amp; Methodology", "type" : "book" }, "uris" : [ "http://www.mendeley.com/documents/?uuid=b83b3795-d196-4225-9432-0b43439052bd" ] } ], "mendeley" : { "formattedCitation" : "(Malter and B\u00f6rsch-Supan 2015)", "plainTextFormattedCitation" : "(Malter and B\u00f6rsch-Supan 2015)", "previouslyFormattedCitation" : "(Malter and B\u00f6rsch-Supan 2015)" }, "properties" : { "noteIndex" : 0 }, "schema" : "https://github.com/citation-style-language/schema/raw/master/csl-citation.json" }</w:instrText>
      </w:r>
      <w:r w:rsidRPr="00C3671E">
        <w:fldChar w:fldCharType="separate"/>
      </w:r>
      <w:r w:rsidRPr="00C3671E">
        <w:rPr>
          <w:noProof/>
        </w:rPr>
        <w:t>(Malter and Börsch-Supan 2015)</w:t>
      </w:r>
      <w:r w:rsidRPr="00C3671E">
        <w:fldChar w:fldCharType="end"/>
      </w:r>
      <w:r w:rsidRPr="00C3671E">
        <w:t>, which enables to study individual changes over time.</w:t>
      </w:r>
    </w:p>
    <w:p w14:paraId="2A7FC912" w14:textId="77777777" w:rsidR="00676326" w:rsidRPr="00C3671E" w:rsidRDefault="00676326" w:rsidP="00676326">
      <w:pPr>
        <w:pStyle w:val="Newparagraph"/>
        <w:jc w:val="both"/>
      </w:pPr>
      <w:r w:rsidRPr="00C3671E">
        <w:t xml:space="preserve">Six waves of SHARE were </w:t>
      </w:r>
      <w:r w:rsidRPr="00C3671E">
        <w:rPr>
          <w:lang w:eastAsia="zh-CN"/>
        </w:rPr>
        <w:t>conducted</w:t>
      </w:r>
      <w:r w:rsidRPr="00C3671E">
        <w:t xml:space="preserve"> in 2004, 2007, 2009, 2011, 2013, and 2015 with potential overlap to the next year in some countries. 9 countries participated in six waves – Austria, Belgium, Denmark, France, Germany, Italy, Spain, Sweden, and Switzerland – and two countries in five of them – Czechia and the Netherlands. In a prospect of time, especially </w:t>
      </w:r>
      <w:r w:rsidRPr="00C3671E">
        <w:lastRenderedPageBreak/>
        <w:t>countries from Post-communist part of Europe joined the project, which now provides the data from countries representing main European regions.</w:t>
      </w:r>
    </w:p>
    <w:p w14:paraId="03516FBD" w14:textId="23E1E1B9" w:rsidR="00676326" w:rsidRPr="00C3671E" w:rsidRDefault="00676326" w:rsidP="00676326">
      <w:pPr>
        <w:pStyle w:val="Newparagraph"/>
        <w:jc w:val="both"/>
      </w:pPr>
      <w:r w:rsidRPr="00C3671E">
        <w:t xml:space="preserve">Countries participating in SHARE use their own methods of sampling, but each of them uses household as a sample unit </w:t>
      </w:r>
      <w:r w:rsidRPr="00C3671E">
        <w:rPr>
          <w:lang w:eastAsia="zh-CN"/>
        </w:rPr>
        <w:t>and</w:t>
      </w:r>
      <w:r w:rsidRPr="00C3671E">
        <w:t xml:space="preserve"> interviews all household members 50+ and their spouses within a randomly chose households. Details on national-specific sampling, sample sizes, response rates, and other methodological details are presented in </w:t>
      </w:r>
      <w:r w:rsidRPr="00C3671E">
        <w:fldChar w:fldCharType="begin" w:fldLock="1"/>
      </w:r>
      <w:r w:rsidR="001257AA" w:rsidRPr="00C3671E">
        <w:instrText>ADDIN CSL_CITATION { "citationItems" : [ { "id" : "ITEM-1", "itemData" : { "ISBN" : "2006028812", "author" : [ { "dropping-particle" : "", "family" : "Bergmann", "given" : "Michael", "non-dropping-particle" : "", "parse-names" : false, "suffix" : "" }, { "dropping-particle" : "", "family" : "Kneip", "given" : "Thorsten", "non-dropping-particle" : "", "parse-names" : false, "suffix" : "" }, { "dropping-particle" : "De", "family" : "Luca", "given" : "Giuseppe", "non-dropping-particle" : "", "parse-names" : false, "suffix" : "" }, { "dropping-particle" : "", "family" : "Scherpenzeel", "given" : "Annette", "non-dropping-particle" : "", "parse-names" : false, "suffix" : "" } ], "collection-title" : "SHARE Working Paper Series", "id" : "ITEM-1", "issued" : { "date-parts" : [ [ "2017" ] ] }, "number" : "31-2017", "publisher-place" : "Munich", "title" : "Survey participation in the Survey of Health, Ageing and Retirement in Europe (SHARE), Wave 1-6. Based on Release 6.0.0 (March 2017).", "type" : "report" }, "uris" : [ "http://www.mendeley.com/documents/?uuid=d650221e-63ad-434a-a415-c2aed1030ad0" ] } ], "mendeley" : { "formattedCitation" : "(Bergmann et al. 2017)", "manualFormatting" : "Bergmann et al. (2017)", "plainTextFormattedCitation" : "(Bergmann et al. 2017)", "previouslyFormattedCitation" : "(Bergmann et al. 2017)" }, "properties" : { "noteIndex" : 0 }, "schema" : "https://github.com/citation-style-language/schema/raw/master/csl-citation.json" }</w:instrText>
      </w:r>
      <w:r w:rsidRPr="00C3671E">
        <w:fldChar w:fldCharType="separate"/>
      </w:r>
      <w:r w:rsidRPr="00C3671E">
        <w:rPr>
          <w:noProof/>
        </w:rPr>
        <w:t>Bergmann et al. (2017)</w:t>
      </w:r>
      <w:r w:rsidRPr="00C3671E">
        <w:fldChar w:fldCharType="end"/>
      </w:r>
      <w:r w:rsidRPr="00C3671E">
        <w:t xml:space="preserve">. Sample sizes differ across waves and countries, as the shared methodological approach is developed successively. Nevertheless, the general approach of the project is refreshing the panel samples whenever possible and interviewing a few thousands of respondents for each country </w:t>
      </w:r>
      <w:r w:rsidRPr="00C3671E">
        <w:fldChar w:fldCharType="begin" w:fldLock="1"/>
      </w:r>
      <w:r w:rsidR="001257AA" w:rsidRPr="00C3671E">
        <w:instrText>ADDIN CSL_CITATION { "citationItems" : [ { "id" : "ITEM-1", "itemData" : { "ISBN" : "2006028812", "author" : [ { "dropping-particle" : "", "family" : "Bergmann", "given" : "Michael", "non-dropping-particle" : "", "parse-names" : false, "suffix" : "" }, { "dropping-particle" : "", "family" : "Kneip", "given" : "Thorsten", "non-dropping-particle" : "", "parse-names" : false, "suffix" : "" }, { "dropping-particle" : "De", "family" : "Luca", "given" : "Giuseppe", "non-dropping-particle" : "", "parse-names" : false, "suffix" : "" }, { "dropping-particle" : "", "family" : "Scherpenzeel", "given" : "Annette", "non-dropping-particle" : "", "parse-names" : false, "suffix" : "" } ], "collection-title" : "SHARE Working Paper Series", "id" : "ITEM-1", "issued" : { "date-parts" : [ [ "2017" ] ] }, "number" : "31-2017", "publisher-place" : "Munich", "title" : "Survey participation in the Survey of Health, Ageing and Retirement in Europe (SHARE), Wave 1-6. Based on Release 6.0.0 (March 2017).", "type" : "report" }, "uris" : [ "http://www.mendeley.com/documents/?uuid=d650221e-63ad-434a-a415-c2aed1030ad0" ] } ], "mendeley" : { "formattedCitation" : "(Bergmann et al. 2017)", "plainTextFormattedCitation" : "(Bergmann et al. 2017)", "previouslyFormattedCitation" : "(Bergmann et al. 2017)" }, "properties" : { "noteIndex" : 0 }, "schema" : "https://github.com/citation-style-language/schema/raw/master/csl-citation.json" }</w:instrText>
      </w:r>
      <w:r w:rsidRPr="00C3671E">
        <w:fldChar w:fldCharType="separate"/>
      </w:r>
      <w:r w:rsidR="00AA6335" w:rsidRPr="00C3671E">
        <w:rPr>
          <w:noProof/>
        </w:rPr>
        <w:t>(Bergmann et al. 2017)</w:t>
      </w:r>
      <w:r w:rsidRPr="00C3671E">
        <w:fldChar w:fldCharType="end"/>
      </w:r>
      <w:r w:rsidRPr="00C3671E">
        <w:t xml:space="preserve"> to enable more complex statistical procedures performed also on specific subsamples.</w:t>
      </w:r>
    </w:p>
    <w:p w14:paraId="663861FA" w14:textId="4E8E1411" w:rsidR="00676326" w:rsidRPr="00C3671E" w:rsidRDefault="00676326" w:rsidP="00676326">
      <w:pPr>
        <w:pStyle w:val="Newparagraph"/>
        <w:jc w:val="both"/>
      </w:pPr>
      <w:r w:rsidRPr="00C3671E">
        <w:t xml:space="preserve">The goal of this study is to </w:t>
      </w:r>
      <w:r w:rsidRPr="00C3671E">
        <w:rPr>
          <w:lang w:eastAsia="zh-CN"/>
        </w:rPr>
        <w:t>inquire</w:t>
      </w:r>
      <w:r w:rsidRPr="00C3671E">
        <w:t xml:space="preserve"> the effect of each examined activity/set of activities in a way that seems the most beneficial for a current state of the knowledge. Therefore, various analytical methods address various specific problems and data from SHARE are used both in cross-national and longitudinal form. While it is a usual practice to analyse SHARE data together as one sample of European populations </w:t>
      </w:r>
      <w:r w:rsidRPr="00C3671E">
        <w:fldChar w:fldCharType="begin" w:fldLock="1"/>
      </w:r>
      <w:r w:rsidR="001257AA" w:rsidRPr="00C3671E">
        <w:instrText>ADDIN CSL_CITATION { "citationItems" : [ { "id" : "ITEM-1", "itemData" : { "DOI" : "10.1007/s10433-013-0269-5", "ISBN" : "1613-9372", "ISSN" : "16139372", "abstract" : "This study examined the social network correlates of improvement in lower extremity mobility among respondents aged 65 and older from the longitudinal sample of the Survey of Health, Ageing and Retirement in Europe. The study focused on those who self-reported having difficulties with four lower extremity functions: (1) walking 100 m; (2) rising from a seated position; (3) climbing flights of steps; and (4) stooping, kneeling, or crouching. Multivariate logistic regression analyses revealed that social networks were variously associated with improvement in lower extremity function at the two-year follow-up. The findings suggest that under certain circumstances, a lack of social support in late life may actually promote mobility improvement. The research also shows that family networks are not always facilitative of mobility improvement. This is in contrast to previously published social network research positing that supportive relationships help foster health and buffer stressors in late life. Family caregivers and social services should keep this in mind when devising treatment plans upon discharge from the hospital and implementing care management plans for frail older persons in the community. \u00a9 2013 Springer-Verlag Berlin Heidelberg.", "author" : [ { "dropping-particle" : "", "family" : "Litwin", "given" : "Howard", "non-dropping-particle" : "", "parse-names" : false, "suffix" : "" }, { "dropping-particle" : "", "family" : "Stoeckel", "given" : "Kimberly J.", "non-dropping-particle" : "", "parse-names" : false, "suffix" : "" } ], "container-title" : "European Journal of Ageing", "id" : "ITEM-1", "issue" : "3", "issued" : { "date-parts" : [ [ "2013" ] ] }, "page" : "159-169", "title" : "Social network and mobility improvement among older Europeans: The ambiguous role of family ties", "type" : "article-journal", "volume" : "10" }, "uris" : [ "http://www.mendeley.com/documents/?uuid=883af5d2-68db-4eb0-ad5a-66dd817ab996" ] }, { "id" : "ITEM-2", "itemData" : { "DOI" : "10.1007/s11150-016-9322-4", "ISSN" : "15737152", "abstract" : "Against the background of rapid population ageing, studying social participation in later life is of particular relevance within the framework of active ageing. Although caring for grandchildren has taken a central role for older persons due to unprecedented overlap between grandparents' and their grandchildren's lives, whether the relationship between grandparental childcare and social activities is characterised by cumulation or competition remains under-explored. Grandparental childcare may increase the purpose in life for grandparents, stimulating their social participation, or it may impose time and energy constraints on it. This study aims to assess the effect of providing grandchild care on participation in social activities for people aged 50-85 in Europe. Using an instrumental variable approach on data from the Survey of Health, Ageing and Retirement in Europe, we find no significant negative effects of grandchild care on engagement in at least one social activity. However, regular provision of grandchild care has a significant negative effect on the number of activities in which grandmothers participate. When considering the activities separately by type we also find, for grandmothers only, a negative effect on volunteering, engagement in educational or training courses and participation in political or community-related organisation.", "author" : [ { "dropping-particle" : "", "family" : "Arpino", "given" : "Bruno", "non-dropping-particle" : "", "parse-names" : false, "suffix" : "" }, { "dropping-particle" : "", "family" : "Bordone", "given" : "Valeria", "non-dropping-particle" : "", "parse-names" : false, "suffix" : "" } ], "container-title" : "Review of Economics of the Household", "id" : "ITEM-2", "issue" : "1", "issued" : { "date-parts" : [ [ "2017" ] ] }, "page" : "135-174", "title" : "Regular provision of grandchild care and participation in social activities", "type" : "article-journal", "volume" : "15" }, "uris" : [ "http://www.mendeley.com/documents/?uuid=9addf098-b8d1-4700-aa06-de499378d7e2" ] }, { "id" : "ITEM-3", "itemData" : { "DOI" : "10.1111/joop.12003", "ISBN" : "09631798", "ISSN" : "09631798", "PMID" : "90563210", "abstract" : "This study examines the impact of engaging in seven types of activities on depression and quality of life in retirees and older workers over a period of 2 years, using a sample from the survey of health, ageing and retirement in Europe. Longitudinal data were available from 2,813 retirees and 1,372 older employees. Our results showed that volunteering, providing help and going to sports or social clubs at the baseline improved retirees\u2019 quality of lifeover a period of 2 years. No direct effects of engaging in activities were found for older employees. Moreover, higher depression at the baseline fostered the depression experience at the follow-up in those retirees and older employees who were caring for disabled adults at baseline. In retirees with higher depression at baseline, participation in religious organizations was associated with a greater decrease in depression at follow-up than in those who had lower levels of depression at baseline. For older employees, taking part in political or community organizations at baselinewas related to a greater decrease in depression at follow-up than in those employees who experienced higher initial depression.", "author" : [ { "dropping-particle" : "", "family" : "Poto\u010dnik", "given" : "Kristina", "non-dropping-particle" : "", "parse-names" : false, "suffix" : "" }, { "dropping-particle" : "", "family" : "Sonnentag", "given" : "Sabine", "non-dropping-particle" : "", "parse-names" : false, "suffix" : "" } ], "container-title" : "Journal of Occupational and Organizational Psychology", "id" : "ITEM-3", "issue" : "4", "issued" : { "date-parts" : [ [ "2013" ] ] }, "page" : "497-521", "title" : "A longitudinal study of well-being in older workers and retirees: The role of engaging in different types of activities", "type" : "article-journal", "volume" : "86" }, "uris" : [ "http://www.mendeley.com/documents/?uuid=5889bc5d-921b-416d-a3eb-706b9facb5cf" ] } ], "mendeley" : { "formattedCitation" : "(Arpino and Bordone 2017; Litwin and Stoeckel 2013; Poto\u010dnik and Sonnentag 2013)", "plainTextFormattedCitation" : "(Arpino and Bordone 2017; Litwin and Stoeckel 2013; Poto\u010dnik and Sonnentag 2013)", "previouslyFormattedCitation" : "(Arpino and Bordone 2017; Litwin and Stoeckel 2013; Poto\u010dnik and Sonnentag 2013)" }, "properties" : { "noteIndex" : 0 }, "schema" : "https://github.com/citation-style-language/schema/raw/master/csl-citation.json" }</w:instrText>
      </w:r>
      <w:r w:rsidRPr="00C3671E">
        <w:fldChar w:fldCharType="separate"/>
      </w:r>
      <w:r w:rsidR="00A91559" w:rsidRPr="00C3671E">
        <w:rPr>
          <w:noProof/>
        </w:rPr>
        <w:t>(Arpino and Bordone 2017; Litwin and Stoeckel 2013; Potočnik and Sonnentag 2013)</w:t>
      </w:r>
      <w:r w:rsidRPr="00C3671E">
        <w:fldChar w:fldCharType="end"/>
      </w:r>
      <w:r w:rsidRPr="00C3671E">
        <w:t>, this study aims to examine the impact of macro-context on the central relationship of activities and subjective quality of life. Hence, it is suitable that SHARE comprises countries from all European regions – this fact makes possible to study the relationship within specific economic, structural, and cultural contexts.</w:t>
      </w:r>
    </w:p>
    <w:p w14:paraId="1C139622" w14:textId="034124C7" w:rsidR="00676326" w:rsidRPr="00C3671E" w:rsidRDefault="00676326" w:rsidP="00676326">
      <w:pPr>
        <w:pStyle w:val="Newparagraph"/>
        <w:jc w:val="both"/>
      </w:pPr>
      <w:r w:rsidRPr="00C3671E">
        <w:t>19 countries participating in SHARE are members of the EU (Israel is dropped from all analyses, while West-European Switzerland constitutes the 20</w:t>
      </w:r>
      <w:r w:rsidRPr="00C3671E">
        <w:rPr>
          <w:vertAlign w:val="superscript"/>
        </w:rPr>
        <w:t>th</w:t>
      </w:r>
      <w:r w:rsidRPr="00C3671E">
        <w:t xml:space="preserve"> country). Thus, social policies, public discourse, and social norms of all included countries are influenced by active ageing policies as the official approach of EU to the topic of sustainable ageing </w:t>
      </w:r>
      <w:r w:rsidRPr="00C3671E">
        <w:fldChar w:fldCharType="begin" w:fldLock="1"/>
      </w:r>
      <w:r w:rsidR="001257AA" w:rsidRPr="00C3671E">
        <w:instrText>ADDIN CSL_CITATION { "citationItems" : [ { "id" : "ITEM-1", "itemData" : { "DOI" : "10.1080/13880290902938435", "author" : [ { "dropping-particle" : "", "family" : "Commission of the European Communities", "given" : "", "non-dropping-particle" : "", "parse-names" : false, "suffix" : "" } ], "id" : "ITEM-1", "issued" : { "date-parts" : [ [ "2002" ] ] }, "page" : "1-15", "publisher-place" : "Brussels", "title" : "Europe's response to World Ageing: Promoting economic and social progress in an ageing world", "type" : "article" }, "uris" : [ "http://www.mendeley.com/documents/?uuid=c682390e-0125-49b7-955f-2b0f9b56c771" ] }, { "id" : "ITEM-2", "itemData" : { "author" : [ { "dropping-particle" : "", "family" : "EU Council", "given" : "", "non-dropping-particle" : "", "parse-names" : false, "suffix" : "" } ], "id" : "ITEM-2", "issued" : { "date-parts" : [ [ "2012" ] ] }, "publisher" : "EU Council", "publisher-place" : "Brussels", "title" : "Council Declaration on the European Year for Active Ageing and Solidarity between Generations (2012): The Way Forward", "type" : "book" }, "uris" : [ "http://www.mendeley.com/documents/?uuid=bc232528-fad4-4b15-bede-b113103dbe49" ] } ], "mendeley" : { "formattedCitation" : "(Commission of the European Communities 2002; EU Council 2012)", "plainTextFormattedCitation" : "(Commission of the European Communities 2002; EU Council 2012)", "previouslyFormattedCitation" : "(Commission of the European Communities 2002; EU Council 2012)" }, "properties" : { "noteIndex" : 0 }, "schema" : "https://github.com/citation-style-language/schema/raw/master/csl-citation.json" }</w:instrText>
      </w:r>
      <w:r w:rsidRPr="00C3671E">
        <w:fldChar w:fldCharType="separate"/>
      </w:r>
      <w:r w:rsidR="00A91559" w:rsidRPr="00C3671E">
        <w:rPr>
          <w:noProof/>
        </w:rPr>
        <w:t>(Commission of the European Communities 2002; EU Council 2012)</w:t>
      </w:r>
      <w:r w:rsidRPr="00C3671E">
        <w:fldChar w:fldCharType="end"/>
      </w:r>
      <w:r w:rsidRPr="00C3671E">
        <w:t xml:space="preserve">. Furthermore, active ageing approach usually </w:t>
      </w:r>
      <w:r w:rsidRPr="00C3671E">
        <w:lastRenderedPageBreak/>
        <w:t xml:space="preserve">set up no upper age limit its target population </w:t>
      </w:r>
      <w:r w:rsidRPr="00C3671E">
        <w:fldChar w:fldCharType="begin" w:fldLock="1"/>
      </w:r>
      <w:r w:rsidR="001257AA" w:rsidRPr="00C3671E">
        <w:instrText>ADDIN CSL_CITATION { "citationItems" : [ { "id" : "ITEM-1", "itemData" : { "DOI" : "10.1093/geront/gnu028", "ISBN" : "0016-9013", "ISSN" : "1758-5341", "PMID" : "24846882", "abstract" : "Over the past two decades, \"active aging\" has emerged in Europe as the foremost policy response to the challenges of population aging. This article examines the concept of active aging and how it differs from that of \"successful aging.\" In particular, it shows how active aging presents a more holistic, life course-oriented approach than successful aging. We provide a critical perspective on active aging too by, first, tracing its emergence in Europe and then showing how, in practice, it has been dominated by a narrow economic or productivist perspective that prioritizes the extension of working life. It has also been gender blind. Nonetheless, it is argued that an active aging approach has the potential to enable countries to respond successfully to the challenges of population aging because of its comprehensive focus and emphasis on societal as well as individual responsibility. Finally, we set out the basic principles that need to be followed if the full potential of active aging is to be achieved.", "author" : [ { "dropping-particle" : "", "family" : "Foster", "given" : "Liam", "non-dropping-particle" : "", "parse-names" : false, "suffix" : "" }, { "dropping-particle" : "", "family" : "Walker", "given" : "Alan", "non-dropping-particle" : "", "parse-names" : false, "suffix" : "" } ], "container-title" : "The Gerontologist", "id" : "ITEM-1", "issue" : "1", "issued" : { "date-parts" : [ [ "2015" ] ] }, "note" : "Foster, Walker 2014: Active and Successful Aging: A Euroepean Policy perspective\n\u201cactive aging\u201d has emerged in Europe as the foremost policy response to the challenges of population aging\nactive aging presents a more holistic, life course\u2013oriented approach than successful aging\ncritique of active aging perspective - emergence in Europe\n- dominated by a narrow economic perspective\n- gender blind\nall together, this approach has the potential to respond successfully to the challenges of population aging because of its comprehensive focus and emphasis on societal as well as individual responsibility\nAA should enable to create own forms of activity, instead of focusing on a predetermined, limited number of domains, usually developed from an \u2018expert\u2019 perspective\u201d (Boudiny &amp;amp; Mortelmans, 2011, p. 12)\nThere is also a danger that the \u201chealth and well-being\u201d narrative retreats to become the preserve of a \u201cfourth age\u201d charac- terized by biological decline and consumption of welfare resources\nstructural and economic barriers to active aging must be addressed for a comprehensive approach\n\u2192\nInternational and European policy on work and retirement: Reinventing critical perspectives\nA critical perspective: Towards a broader understanding of \u2018active ageing\u2019\nNarratives of (in)active age- ing in poor deprived areas of Liverpool", "page" : "83-90", "title" : "Active and Successful Aging: A European Policy Perspective", "type" : "article-journal", "volume" : "55" }, "uris" : [ "http://www.mendeley.com/documents/?uuid=6ef8c660-30ca-4a4a-80c6-6c24c5f5b99d" ] }, { "id" : "ITEM-2", "itemData" : { "DOI" : "10.1007/s10433-017-0413-8", "ISBN" : "1043301704", "ISSN" : "16139380", "abstract" : "Several debates have emerged across the literature about the conceptualisation of active ageing. The aim of this study is to develop a model of the construct that is focused on the individual, including different elements of people\u2019s lives that have the potential to be modified by intervention programs. Moreover, the paper examines the contributions of active ageing to life satisfaction, as well as the possible predictive role of coping styles on active ageing. For this purpose, a representative sample of 404 Galician (Spain) community-dwelling older adults (aged \u226560 years) were interviewed using a structured survey. The results demonstrate that the proposed model composed of two broad categories is valid. The model comprises status variables (related to physical, psychological, and social health) as well as different types of activities, called processual variables. This model is tested using partial least squares (PLS) regression. The findings show that active ageing is a fourth-order, formative construct. In addition, PLS analyses indicate that active ageing has a moderate and positive path on life satisfaction and that coping styles may predict active ageing. The discussion highlights the potential of active ageing as a relevant concept for people\u2019s lives, drawing out policy implications and suggestions for further research.", "author" : [ { "dropping-particle" : "", "family" : "Marsillas", "given" : "Sara", "non-dropping-particle" : "", "parse-names" : false, "suffix" : "" }, { "dropping-particle" : "", "family" : "Donder", "given" : "Liesbeth", "non-dropping-particle" : "De", "parse-names" : false, "suffix" : "" }, { "dropping-particle" : "", "family" : "Kardol", "given" : "Tinie", "non-dropping-particle" : "", "parse-names" : false, "suffix" : "" }, { "dropping-particle" : "", "family" : "Regenmortel", "given" : "Sofie", "non-dropping-particle" : "van", "parse-names" : false, "suffix" : "" }, { "dropping-particle" : "", "family" : "Dury", "given" : "Sarah", "non-dropping-particle" : "", "parse-names" : false, "suffix" : "" }, { "dropping-particle" : "", "family" : "Brosens", "given" : "Dorien", "non-dropping-particle" : "", "parse-names" : false, "suffix" : "" }, { "dropping-particle" : "", "family" : "Smetcoren", "given" : "An Sofie", "non-dropping-particle" : "", "parse-names" : false, "suffix" : "" }, { "dropping-particle" : "", "family" : "Bra\u00f1a", "given" : "Teresa", "non-dropping-particle" : "", "parse-names" : false, "suffix" : "" }, { "dropping-particle" : "", "family" : "Varela", "given" : "Jes\u00fas", "non-dropping-particle" : "", "parse-names" : false, "suffix" : "" } ], "container-title" : "European Journal of Ageing", "id" : "ITEM-2", "issue" : "3", "issued" : { "date-parts" : [ [ "2017" ] ] }, "page" : "295-310", "title" : "Does active ageing contribute to life satisfaction for older people? Testing a new model of active ageing", "type" : "article-journal", "volume" : "14" }, "uris" : [ "http://www.mendeley.com/documents/?uuid=f4ca4b1e-010f-49fa-9c7f-5b6188337ddb" ] }, { "id" : "ITEM-3", "itemData" : { "author" : [ { "dropping-particle" : "", "family" : "EU Council", "given" : "", "non-dropping-particle" : "", "parse-names" : false, "suffix" : "" } ], "id" : "ITEM-3", "issued" : { "date-parts" : [ [ "2012" ] ] }, "publisher" : "EU Council", "publisher-place" : "Brussels", "title" : "Council Declaration on the European Year for Active Ageing and Solidarity between Generations (2012): The Way Forward", "type" : "book" }, "uris" : [ "http://www.mendeley.com/documents/?uuid=bc232528-fad4-4b15-bede-b113103dbe49" ] } ], "mendeley" : { "formattedCitation" : "(EU Council 2012; Foster and Walker 2015; Marsillas et al. 2017)", "plainTextFormattedCitation" : "(EU Council 2012; Foster and Walker 2015; Marsillas et al. 2017)", "previouslyFormattedCitation" : "(EU Council 2012; Foster and Walker 2015; Marsillas et al. 2017)" }, "properties" : { "noteIndex" : 0 }, "schema" : "https://github.com/citation-style-language/schema/raw/master/csl-citation.json" }</w:instrText>
      </w:r>
      <w:r w:rsidRPr="00C3671E">
        <w:fldChar w:fldCharType="separate"/>
      </w:r>
      <w:r w:rsidR="00A91559" w:rsidRPr="00C3671E">
        <w:rPr>
          <w:noProof/>
        </w:rPr>
        <w:t>(EU Council 2012; Foster and Walker 2015; Marsillas et al. 2017)</w:t>
      </w:r>
      <w:r w:rsidRPr="00C3671E">
        <w:fldChar w:fldCharType="end"/>
      </w:r>
      <w:r w:rsidRPr="00C3671E">
        <w:t xml:space="preserve">, while the bottom age limit can be 50 </w:t>
      </w:r>
      <w:r w:rsidRPr="00C3671E">
        <w:fldChar w:fldCharType="begin" w:fldLock="1"/>
      </w:r>
      <w:r w:rsidR="001257AA" w:rsidRPr="00C3671E">
        <w:instrText>ADDIN CSL_CITATION { "citationItems" : [ { "id" : "ITEM-1", "itemData" : { "DOI" : "10.1093/ije/dyu067", "ISBN" : "0300-5771", "ISSN" : "14643685", "PMID" : "24671021", "abstract" : "The Health and Retirement Study (HRS) is a nationally representative longitudinal survey of more than 37 000 individuals over age 50 in 23 000 households in the USA. The survey, which has been fielded every 2 years since 1992, was established to provide a national resource for data on the changing health and economic circumstances associated with ageing at both individual and population levels. Its multidisciplinary approach is focused on four broad topics-income and wealth; health, cognition and use of healthcare services; work and retirement; and family connections. HRS data are also linked at the individual level to administrative records from Social Security and Medicare, Veteran's Administration, the National Death Index and employer-provided pension plan information. Since 2006, data collection has expanded to include biomarkers and genetics as well as much greater depth in psychology and social context. This blend of economic, health and psychosocial information provides unprecedented potential to study increasingly complex questions about ageing and retirement. The HRS has been a leading force for rapid release of data while simultaneously protecting the confidentiality of respondents. Three categories of data-public, sensitive and restricted-can be accessed through procedures described on the HRS website (hrsonline.isr.umich.edu).", "author" : [ { "dropping-particle" : "", "family" : "Sonnega", "given" : "Amanda", "non-dropping-particle" : "", "parse-names" : false, "suffix" : "" }, { "dropping-particle" : "", "family" : "Faul", "given" : "Jessica D.", "non-dropping-particle" : "", "parse-names" : false, "suffix" : "" }, { "dropping-particle" : "", "family" : "Ofstedal", "given" : "Mary Beth", "non-dropping-particle" : "", "parse-names" : false, "suffix" : "" }, { "dropping-particle" : "", "family" : "Langa", "given" : "Kenneth M.", "non-dropping-particle" : "", "parse-names" : false, "suffix" : "" }, { "dropping-particle" : "", "family" : "Phillips", "given" : "John W.R.", "non-dropping-particle" : "", "parse-names" : false, "suffix" : "" }, { "dropping-particle" : "", "family" : "Weir", "given" : "David R.", "non-dropping-particle" : "", "parse-names" : false, "suffix" : "" } ], "container-title" : "International Journal of Epidemiology", "id" : "ITEM-1", "issue" : "2", "issued" : { "date-parts" : [ [ "2014" ] ] }, "page" : "576-585", "title" : "Cohort profile: The Health and Retirement Study (HRS)", "type" : "article-journal", "volume" : "43" }, "uris" : [ "http://www.mendeley.com/documents/?uuid=f3ea3354-6341-429b-94b2-aea7c0566367" ] }, { "id" : "ITEM-2", "itemData" : { "DOI" : "10.1093/ije/dyt088", "ISBN" : "0300-5771", "ISSN" : "03005771", "PMID" : "23778574", "abstract" : "SHARE is a unique panel database of micro data on health, socio-economic status and social and family networks covering most of the European Union and Israel. To date, SHARE has collected three panel waves (2004, 2006, 2010) of current living circumstances and retrospective life histories (2008, SHARELIFE); 6 additional waves are planned until 2024. The more than 150 000 interviews give a broad picture of life after the age of 50 years, measuring physical and mental health, economic and non-economic activities, income and wealth, transfers of time and money within and outside the family as well as life satisfaction and well-being. The data are available to the scientific community free of charge at www.share-project.org after registration. SHARE is harmonized with the US Health and Retirement Study (HRS) and the English Longitudinal Study of Ageing (ELSA) and has become a role model for several ageing surveys worldwide. SHARE's scientific power is based on its panel design that grasps the dynamic character of the ageing process, its multidisciplinary approach that delivers the full picture of individual and societal ageing, and its cross-nationally ex-ante harmonized design that permits international comparisons of health, economic and social outcomes in Europe and the USA.", "author" : [ { "dropping-particle" : "", "family" : "B\u00f6rsch-Supan", "given" : "Axel", "non-dropping-particle" : "", "parse-names" : false, "suffix" : "" }, { "dropping-particle" : "", "family" : "Brandt", "given" : "Martina", "non-dropping-particle" : "", "parse-names" : false, "suffix" : "" }, { "dropping-particle" : "", "family" : "Hunkler", "given" : "Christian", "non-dropping-particle" : "", "parse-names" : false, "suffix" : "" }, { "dropping-particle" : "", "family" : "Kneip", "given" : "Thorsten", "non-dropping-particle" : "", "parse-names" : false, "suffix" : "" }, { "dropping-particle" : "", "family" : "Korbmacher", "given" : "Julie", "non-dropping-particle" : "", "parse-names" : false, "suffix" : "" }, { "dropping-particle" : "", "family" : "Malter", "given" : "Frederic", "non-dropping-particle" : "", "parse-names" : false, "suffix" : "" }, { "dropping-particle" : "", "family" : "Schaan", "given" : "Barbara", "non-dropping-particle" : "", "parse-names" : false, "suffix" : "" }, { "dropping-particle" : "", "family" : "Stuck", "given" : "Stephanie", "non-dropping-particle" : "", "parse-names" : false, "suffix" : "" }, { "dropping-particle" : "", "family" : "Zuber", "given" : "Sabrina", "non-dropping-particle" : "", "parse-names" : false, "suffix" : "" } ], "container-title" : "International Journal of Epidemiology", "id" : "ITEM-2", "issue" : "4", "issued" : { "date-parts" : [ [ "2013" ] ] }, "page" : "992-1001", "title" : "Data resource profile: The Survey of Health, Ageing and Retirement in Europe (SHARE)", "type" : "article-journal", "volume" : "42" }, "uris" : [ "http://www.mendeley.com/documents/?uuid=a62ea0f6-9469-4439-98a6-a5f414d5782a" ] } ], "mendeley" : { "formattedCitation" : "(B\u00f6rsch-Supan et al. 2013; Sonnega et al. 2014)", "plainTextFormattedCitation" : "(B\u00f6rsch-Supan et al. 2013; Sonnega et al. 2014)", "previouslyFormattedCitation" : "(B\u00f6rsch-Supan et al. 2013; Sonnega et al. 2014)" }, "properties" : { "noteIndex" : 0 }, "schema" : "https://github.com/citation-style-language/schema/raw/master/csl-citation.json" }</w:instrText>
      </w:r>
      <w:r w:rsidRPr="00C3671E">
        <w:fldChar w:fldCharType="separate"/>
      </w:r>
      <w:r w:rsidR="00A91559" w:rsidRPr="00C3671E">
        <w:rPr>
          <w:noProof/>
        </w:rPr>
        <w:t>(Börsch-Supan et al. 2013; Sonnega et al. 2014)</w:t>
      </w:r>
      <w:r w:rsidRPr="00C3671E">
        <w:fldChar w:fldCharType="end"/>
      </w:r>
      <w:r w:rsidRPr="00C3671E">
        <w:t xml:space="preserve"> or 55 </w:t>
      </w:r>
      <w:r w:rsidRPr="00C3671E">
        <w:fldChar w:fldCharType="begin" w:fldLock="1"/>
      </w:r>
      <w:r w:rsidR="001257AA" w:rsidRPr="00C3671E">
        <w:instrText>ADDIN CSL_CITATION { "citationItems" : [ { "id" : "ITEM-1", "itemData" : { "author" : [ { "dropping-particle" : "", "family" : "European Commission", "given" : "", "non-dropping-particle" : "", "parse-names" : false, "suffix" : "" } ], "id" : "ITEM-1", "issued" : { "date-parts" : [ [ "2013" ] ] }, "publisher" : "European Comission", "publisher-place" : "Brussels", "title" : "Introducing the Active Ageing Index. Policy brief", "type" : "book" }, "uris" : [ "http://www.mendeley.com/documents/?uuid=15ea840e-806d-4ce4-88d2-b847e7b3756b" ] }, { "id" : "ITEM-2", "itemData" : { "abstract" : "The report should be referred to as: UNECE/ European Commission (2015) \u201cActive Ageing Index 2014: Analytical Report\u201d, Report prepared by Asghar Zaidi of Centre for Research on Ageing, University of Southampton and David Stanton, under contract with United Nations Economic Commission for Europe (Geneva), co-funded by the European Commission\u2019s Directorate General for Employment, Social Affairs and Inclusion (Brussels).", "author" : [ { "dropping-particle" : "", "family" : "Zaidi", "given" : "Asghar", "non-dropping-particle" : "", "parse-names" : false, "suffix" : "" } ], "id" : "ITEM-2", "issue" : "April", "issued" : { "date-parts" : [ [ "2015" ] ] }, "number-of-pages" : "1-9", "publisher" : "UNECE", "publisher-place" : "Geneva", "title" : "Active Ageing Index 2014 Analytical Report", "type" : "book" }, "uris" : [ "http://www.mendeley.com/documents/?uuid=e5502369-34dc-4c1e-ad2d-b04716a04efe" ] } ], "mendeley" : { "formattedCitation" : "(European Commission 2013; Zaidi 2015)", "plainTextFormattedCitation" : "(European Commission 2013; Zaidi 2015)", "previouslyFormattedCitation" : "(European Commission 2013; Zaidi 2015)" }, "properties" : { "noteIndex" : 0 }, "schema" : "https://github.com/citation-style-language/schema/raw/master/csl-citation.json" }</w:instrText>
      </w:r>
      <w:r w:rsidRPr="00C3671E">
        <w:fldChar w:fldCharType="separate"/>
      </w:r>
      <w:r w:rsidR="00A91559" w:rsidRPr="00C3671E">
        <w:rPr>
          <w:noProof/>
        </w:rPr>
        <w:t>(European Commission 2013; Zaidi 2015)</w:t>
      </w:r>
      <w:r w:rsidRPr="00C3671E">
        <w:fldChar w:fldCharType="end"/>
      </w:r>
      <w:r w:rsidRPr="00C3671E">
        <w:t>. Based on this geographical and age definition of active ageing as the official approach, data of the national samples representative for populations 50+ provided by SHARE suits to the goals of this thesis. SHARE does not include all EU members, and even if it did, it would not be possible to reach something as results representative for EU population. This is not possible even more, since the whole sample is rarely analysed together and the results for subsamples usually vary. Hence, the results refer to national populations involved in a particular analysis and the findings of the dissertation provide evidence on difference within EU and within national states, so a higher level of generalization would be inadequate.</w:t>
      </w:r>
    </w:p>
    <w:p w14:paraId="36734675" w14:textId="5EE8A2AA" w:rsidR="00676326" w:rsidRPr="00C3671E" w:rsidRDefault="00676326" w:rsidP="00676326">
      <w:pPr>
        <w:pStyle w:val="Newparagraph"/>
        <w:jc w:val="both"/>
      </w:pPr>
      <w:r w:rsidRPr="00C3671E">
        <w:t xml:space="preserve">The main topic of this work is the effect of roles supported by the policy of active ageing in later life on subjective quality of life and it obviously needs indicators of the main concepts. SHARE asks on performance and its frequency of all main activities connected to active ageing, as mentioned in the main documents </w:t>
      </w:r>
      <w:r w:rsidRPr="00C3671E">
        <w:fldChar w:fldCharType="begin" w:fldLock="1"/>
      </w:r>
      <w:r w:rsidR="001257AA" w:rsidRPr="00C3671E">
        <w:instrText>ADDIN CSL_CITATION { "citationItems" : [ { "id" : "ITEM-1", "itemData" : { "DOI" : "10.1155/2013/261819", "ISBN" : "1687-7063 (Print)\\r1687-7063 (Linking)", "ISSN" : "16877063", "PMID" : "23346109", "abstract" : "Although the CIS countries are connected together by the legacy of breaking away from the Soviet Union, they have had a distinctive transition course and are rather diverse in terms of the population ageing challenges and policy responses in place. The commonality is that a comprehensive national strategy on ageing is lacking, and many of necessary reforms were put aside owing to political uncertainties, lack of societal consensus, and financial instability. The notion of active ageing is associated with the term \u201caccelerated ageing,\u201d which is understood to be an individual living a life under harsh living conditions or a society experiencing rapid increases in the relative number of older persons, and therefore it carries a negative connotation. Yet, in the same spirit as the European Year for Active Ageing and Solidarity between Generations 2012, the CIS countries have initiated sectoral programmes towards enhancing employment of older workers, social participation of older people in the society in a wider sense and also measures promoting health and independent living of older persons.", "author" : [ { "dropping-particle" : "", "family" : "Sidorenko", "given" : "Alexandre", "non-dropping-particle" : "", "parse-names" : false, "suffix" : "" }, { "dropping-particle" : "", "family" : "Zaidi", "given" : "Asghar", "non-dropping-particle" : "", "parse-names" : false, "suffix" : "" } ], "container-title" : "Current Gerontology and Geriatrics Research", "id" : "ITEM-1", "issued" : { "date-parts" : [ [ "2013" ] ] }, "title" : "Active ageing in CIS countries: Semantics, challenges, and responses", "type" : "article-journal", "volume" : "2013" }, "uris" : [ "http://www.mendeley.com/documents/?uuid=e29d0189-6a11-45cc-98ca-eb1949558eb6" ] }, { "id" : "ITEM-2", "itemData" : { "ISBN" : "9789287152404", "abstract" : "Foreword\\n\\nThe Council of Europe has a long tradition of producing population studies, and the work of the European Population Committee contributes to the understanding of the relationship between social policy and demographic issues in Europe. The findings of this work are published in the series Population studies, where topics covered include migration flows, national minorities, demographic\\nchanges and the labour market, the ageing of European populations and the demographic consequences of economic transition. These publications provide essential background information for implementing the Council of Europe\u2019s strategy for social cohesion: an integrated policy approach aimed at combating poverty and social exclusion through promoting access to social rights in areas\\nsuch as employment and training, health, social protection, housing, education and social services.\\n\\nThis volume takes as its starting point the changing age structure in European countries. This is characterised by the increase in the number of elderly persons and the decrease in the young and working populations. It reviews the demographic differences between European countries. The authors note that improved living conditions and effective health and social policies mean that the majority of younger elderly Europeans reach the third age in relatively good health and under conditions of some income security. They point out\\nthat whilst the effective age at retirement has been declining, it is only a minority of elderly people who use their free time in an active manner.\\n\\nThe authors examine the different public policy approaches and individual strategies developed in response to these societal changes and they make wide-ranging policy proposals for the development of active ageing strategies which address issues of employment, health, leisure and social cohesion.", "author" : [ { "dropping-particle" : "", "family" : "Avramov", "given" : "Dragana", "non-dropping-particle" : "", "parse-names" : false, "suffix" : "" }, { "dropping-particle" : "", "family" : "Maskova", "given" : "Miroslava", "non-dropping-particle" : "", "parse-names" : false, "suffix" : "" } ], "container-title" : "Population studies", "id" : "ITEM-2", "issue" : "41", "issued" : { "date-parts" : [ [ "2003" ] ] }, "number-of-pages" : "1-152", "publisher" : "Council of Europe Publishing", "publisher-place" : "Strasbourg", "title" : "Active ageing in Europe", "type" : "book", "volume" : "1" }, "uris" : [ "http://www.mendeley.com/documents/?uuid=7db55846-516c-430d-834c-164bd53456b9" ] }, { "id" : "ITEM-3", "itemData" : { "author" : [ { "dropping-particle" : "", "family" : "EU Council", "given" : "", "non-dropping-particle" : "", "parse-names" : false, "suffix" : "" } ], "id" : "ITEM-3", "issued" : { "date-parts" : [ [ "2012" ] ] }, "publisher" : "EU Council", "publisher-place" : "Brussels", "title" : "Council Declaration on the European Year for Active Ageing and Solidarity between Generations (2012): The Way Forward", "type" : "book" }, "uris" : [ "http://www.mendeley.com/documents/?uuid=bc232528-fad4-4b15-bede-b113103dbe49" ] }, { "id" : "ITEM-4", "itemData" : { "DOI" : "10.4017/gt.2011.10.01.014.00", "ISBN" : "9789279215070", "ISSN" : "1569-111X", "abstract" : "In response to the demographic challenge which all EU Member States are facing, the European Union has designated 2012 as the European Year for Active Ageing and Solidarity between Generations. Active ageing is defined by the World Health Organisation as the process of optimising opportunities for health, participation and security in order to enhance quality of life as people age. Eurostat is marking the European Year 2012 by presenting in this book statistics on topics related to Active Ageing and Solidarity between Generations, such as demography, healthcare, pensions, volunteering and adult learning. Tis publication has been produced in collaboration with the Directorate-General for Employment, Social Affairs and Inclusion and Eurofound, the European Foundation for the Improvement of Living and Working Conditions.", "author" : [ { "dropping-particle" : "", "family" : "Eurostat", "given" : "", "non-dropping-particle" : "", "parse-names" : false, "suffix" : "" } ], "id" : "ITEM-4", "issued" : { "date-parts" : [ [ "2012" ] ] }, "number-of-pages" : "147", "title" : "Active ageing and solidarity between generations", "type" : "book" }, "uris" : [ "http://www.mendeley.com/documents/?uuid=1dd08e23-fc88-436d-8418-971846dbc156" ] } ], "mendeley" : { "formattedCitation" : "(Avramov and Maskova 2003; EU Council 2012; Eurostat 2012; Sidorenko and Zaidi 2013)", "plainTextFormattedCitation" : "(Avramov and Maskova 2003; EU Council 2012; Eurostat 2012; Sidorenko and Zaidi 2013)", "previouslyFormattedCitation" : "(Avramov and Maskova 2003; EU Council 2012; Eurostat 2012; Sidorenko and Zaidi 2013)" }, "properties" : { "noteIndex" : 0 }, "schema" : "https://github.com/citation-style-language/schema/raw/master/csl-citation.json" }</w:instrText>
      </w:r>
      <w:r w:rsidRPr="00C3671E">
        <w:fldChar w:fldCharType="separate"/>
      </w:r>
      <w:r w:rsidR="00A91559" w:rsidRPr="00C3671E">
        <w:rPr>
          <w:noProof/>
        </w:rPr>
        <w:t>(Avramov and Maskova 2003; EU Council 2012; Eurostat 2012; Sidorenko and Zaidi 2013)</w:t>
      </w:r>
      <w:r w:rsidRPr="00C3671E">
        <w:fldChar w:fldCharType="end"/>
      </w:r>
      <w:r w:rsidRPr="00C3671E">
        <w:t xml:space="preserve"> or measured in Active Ageing Index </w:t>
      </w:r>
      <w:r w:rsidRPr="00C3671E">
        <w:fldChar w:fldCharType="begin" w:fldLock="1"/>
      </w:r>
      <w:r w:rsidR="001257AA" w:rsidRPr="00C3671E">
        <w:instrText>ADDIN CSL_CITATION { "citationItems" : [ { "id" : "ITEM-1", "itemData" : { "author" : [ { "dropping-particle" : "", "family" : "European Commission", "given" : "", "non-dropping-particle" : "", "parse-names" : false, "suffix" : "" } ], "id" : "ITEM-1", "issued" : { "date-parts" : [ [ "2013" ] ] }, "publisher" : "European Comission", "publisher-place" : "Brussels", "title" : "Introducing the Active Ageing Index. Policy brief", "type" : "book" }, "uris" : [ "http://www.mendeley.com/documents/?uuid=15ea840e-806d-4ce4-88d2-b847e7b3756b" ] }, { "id" : "ITEM-2", "itemData" : { "abstract" : "The report should be referred to as: UNECE/ European Commission (2015) \u201cActive Ageing Index 2014: Analytical Report\u201d, Report prepared by Asghar Zaidi of Centre for Research on Ageing, University of Southampton and David Stanton, under contract with United Nations Economic Commission for Europe (Geneva), co-funded by the European Commission\u2019s Directorate General for Employment, Social Affairs and Inclusion (Brussels).", "author" : [ { "dropping-particle" : "", "family" : "Zaidi", "given" : "Asghar", "non-dropping-particle" : "", "parse-names" : false, "suffix" : "" } ], "id" : "ITEM-2", "issue" : "April", "issued" : { "date-parts" : [ [ "2015" ] ] }, "number-of-pages" : "1-9", "publisher" : "UNECE", "publisher-place" : "Geneva", "title" : "Active Ageing Index 2014 Analytical Report", "type" : "book" }, "uris" : [ "http://www.mendeley.com/documents/?uuid=e5502369-34dc-4c1e-ad2d-b04716a04efe" ] } ], "mendeley" : { "formattedCitation" : "(European Commission 2013; Zaidi 2015)", "plainTextFormattedCitation" : "(European Commission 2013; Zaidi 2015)", "previouslyFormattedCitation" : "(European Commission 2013; Zaidi 2015)" }, "properties" : { "noteIndex" : 0 }, "schema" : "https://github.com/citation-style-language/schema/raw/master/csl-citation.json" }</w:instrText>
      </w:r>
      <w:r w:rsidRPr="00C3671E">
        <w:fldChar w:fldCharType="separate"/>
      </w:r>
      <w:r w:rsidR="00A91559" w:rsidRPr="00C3671E">
        <w:rPr>
          <w:noProof/>
        </w:rPr>
        <w:t>(European Commission 2013; Zaidi 2015)</w:t>
      </w:r>
      <w:r w:rsidRPr="00C3671E">
        <w:fldChar w:fldCharType="end"/>
      </w:r>
      <w:r w:rsidRPr="00C3671E">
        <w:t>. The activities are namely labour force participation, caregiving (more types), volunteering, political participation, educational courses, participation in religious, sport or social organization, and physical activities.</w:t>
      </w:r>
    </w:p>
    <w:p w14:paraId="7F62C181" w14:textId="77777777" w:rsidR="00676326" w:rsidRPr="00C3671E" w:rsidRDefault="00676326" w:rsidP="00676326">
      <w:pPr>
        <w:pStyle w:val="Nadpis2"/>
        <w:spacing w:line="480" w:lineRule="auto"/>
        <w:rPr>
          <w:sz w:val="26"/>
          <w:szCs w:val="26"/>
          <w:lang w:val="en-GB"/>
        </w:rPr>
      </w:pPr>
      <w:bookmarkStart w:id="23" w:name="_Toc512687734"/>
      <w:r w:rsidRPr="00C3671E">
        <w:rPr>
          <w:sz w:val="26"/>
          <w:szCs w:val="26"/>
          <w:lang w:val="en-GB"/>
        </w:rPr>
        <w:t>Methods</w:t>
      </w:r>
      <w:bookmarkEnd w:id="23"/>
    </w:p>
    <w:p w14:paraId="0AA66B40" w14:textId="77777777" w:rsidR="00676326" w:rsidRPr="00C3671E" w:rsidRDefault="00676326" w:rsidP="00676326">
      <w:pPr>
        <w:suppressAutoHyphens/>
        <w:spacing w:line="480" w:lineRule="auto"/>
        <w:jc w:val="both"/>
        <w:rPr>
          <w:lang w:val="en-GB"/>
        </w:rPr>
      </w:pPr>
      <w:r w:rsidRPr="00C3671E">
        <w:rPr>
          <w:lang w:val="en-GB"/>
        </w:rPr>
        <w:t xml:space="preserve">The thesis uses only the quantitative methods of data analysis, while its empirical parts are both led by and contrasted with existing theories and qualitative studies. The analyses are processed with the help of two statistical programmes – Stata 12 and IBM SPSS Statistics 24 – as a) each </w:t>
      </w:r>
      <w:r w:rsidRPr="00C3671E">
        <w:rPr>
          <w:lang w:val="en-GB"/>
        </w:rPr>
        <w:lastRenderedPageBreak/>
        <w:t xml:space="preserve">of them is suitable for other statistical techniques and b) some analyses could be replicated in the second software to check errors in coding. </w:t>
      </w:r>
    </w:p>
    <w:p w14:paraId="2D6D339E" w14:textId="77777777" w:rsidR="00676326" w:rsidRPr="00C3671E" w:rsidRDefault="00676326" w:rsidP="00676326">
      <w:pPr>
        <w:pStyle w:val="Newparagraph"/>
        <w:jc w:val="both"/>
      </w:pPr>
      <w:r w:rsidRPr="00C3671E">
        <w:t xml:space="preserve">This work contains different forms of comparative analysis, which is omnipresent in the sociology in its broader form but forms a specific area of social research in its narrower form. The narrower conception of comparative analysis in social sciences can be defined as ‘the description and explanation of similarities and differences (mainly differences) of conditions or outcomes among large-scale social units, usually regions, nations, societies and cultures’ </w:t>
      </w:r>
      <w:r w:rsidRPr="00C3671E">
        <w:fldChar w:fldCharType="begin" w:fldLock="1"/>
      </w:r>
      <w:r w:rsidRPr="00C3671E">
        <w:instrText>ADDIN CSL_CITATION { "citationItems" : [ { "id" : "ITEM-1", "itemData" : { "author" : [ { "dropping-particle" : "", "family" : "Smelser", "given" : "Neil J", "non-dropping-particle" : "", "parse-names" : false, "suffix" : "" } ], "container-title" : "International Sociology", "id" : "ITEM-1", "issue" : "4", "issued" : { "date-parts" : [ [ "2003" ] ] }, "page" : "643-657", "title" : "On Comparative Analysis, Interdisciplinarity and Internationalizaion in Sociology", "type" : "article-journal", "volume" : "18" }, "uris" : [ "http://www.mendeley.com/documents/?uuid=d3093764-fe73-4e81-8b63-9902489da0b7" ] } ], "mendeley" : { "formattedCitation" : "(Smelser 2003)", "manualFormatting" : "(Smelser 2003: 645)", "plainTextFormattedCitation" : "(Smelser 2003)", "previouslyFormattedCitation" : "(Smelser 2003)" }, "properties" : { "noteIndex" : 0 }, "schema" : "https://github.com/citation-style-language/schema/raw/master/csl-citation.json" }</w:instrText>
      </w:r>
      <w:r w:rsidRPr="00C3671E">
        <w:fldChar w:fldCharType="separate"/>
      </w:r>
      <w:r w:rsidRPr="00C3671E">
        <w:rPr>
          <w:noProof/>
        </w:rPr>
        <w:t>(Smelser 2003: 645)</w:t>
      </w:r>
      <w:r w:rsidRPr="00C3671E">
        <w:fldChar w:fldCharType="end"/>
      </w:r>
      <w:r w:rsidRPr="00C3671E">
        <w:t xml:space="preserve">. Comparative analysis in this sense contains mostly quantitative studies of cross-national phenomena. This type of research should avoid both radical positivism in a form of an irreflexive use of the same indicators across different contexts and radical relativism seen by </w:t>
      </w:r>
      <w:r w:rsidRPr="00C3671E">
        <w:fldChar w:fldCharType="begin" w:fldLock="1"/>
      </w:r>
      <w:r w:rsidRPr="00C3671E">
        <w:instrText>ADDIN CSL_CITATION { "citationItems" : [ { "id" : "ITEM-1", "itemData" : { "author" : [ { "dropping-particle" : "", "family" : "Smelser", "given" : "Neil J", "non-dropping-particle" : "", "parse-names" : false, "suffix" : "" } ], "container-title" : "International Sociology", "id" : "ITEM-1", "issue" : "4", "issued" : { "date-parts" : [ [ "2003" ] ] }, "page" : "643-657", "title" : "On Comparative Analysis, Interdisciplinarity and Internationalizaion in Sociology", "type" : "article-journal", "volume" : "18" }, "uris" : [ "http://www.mendeley.com/documents/?uuid=d3093764-fe73-4e81-8b63-9902489da0b7" ] } ], "mendeley" : { "formattedCitation" : "(Smelser 2003)", "manualFormatting" : "Smelser (2003)", "plainTextFormattedCitation" : "(Smelser 2003)", "previouslyFormattedCitation" : "(Smelser 2003)" }, "properties" : { "noteIndex" : 0 }, "schema" : "https://github.com/citation-style-language/schema/raw/master/csl-citation.json" }</w:instrText>
      </w:r>
      <w:r w:rsidRPr="00C3671E">
        <w:fldChar w:fldCharType="separate"/>
      </w:r>
      <w:r w:rsidRPr="00C3671E">
        <w:rPr>
          <w:noProof/>
        </w:rPr>
        <w:t>Smelser (2003)</w:t>
      </w:r>
      <w:r w:rsidRPr="00C3671E">
        <w:fldChar w:fldCharType="end"/>
      </w:r>
      <w:r w:rsidRPr="00C3671E">
        <w:t xml:space="preserve"> as ‘a misguided extension of a valid critique to a point of anti-scientism and methodological paralysis’ </w:t>
      </w:r>
      <w:r w:rsidRPr="00C3671E">
        <w:fldChar w:fldCharType="begin" w:fldLock="1"/>
      </w:r>
      <w:r w:rsidRPr="00C3671E">
        <w:instrText>ADDIN CSL_CITATION { "citationItems" : [ { "id" : "ITEM-1", "itemData" : { "author" : [ { "dropping-particle" : "", "family" : "Smelser", "given" : "Neil J", "non-dropping-particle" : "", "parse-names" : false, "suffix" : "" } ], "container-title" : "International Sociology", "id" : "ITEM-1", "issue" : "4", "issued" : { "date-parts" : [ [ "2003" ] ] }, "page" : "643-657", "title" : "On Comparative Analysis, Interdisciplinarity and Internationalizaion in Sociology", "type" : "article-journal", "volume" : "18" }, "uris" : [ "http://www.mendeley.com/documents/?uuid=d3093764-fe73-4e81-8b63-9902489da0b7" ] } ], "mendeley" : { "formattedCitation" : "(Smelser 2003)", "manualFormatting" : "(Smelser 2003: 649)", "plainTextFormattedCitation" : "(Smelser 2003)", "previouslyFormattedCitation" : "(Smelser 2003)" }, "properties" : { "noteIndex" : 0 }, "schema" : "https://github.com/citation-style-language/schema/raw/master/csl-citation.json" }</w:instrText>
      </w:r>
      <w:r w:rsidRPr="00C3671E">
        <w:fldChar w:fldCharType="separate"/>
      </w:r>
      <w:r w:rsidRPr="00C3671E">
        <w:rPr>
          <w:noProof/>
        </w:rPr>
        <w:t>(Smelser 2003: 649)</w:t>
      </w:r>
      <w:r w:rsidRPr="00C3671E">
        <w:fldChar w:fldCharType="end"/>
      </w:r>
      <w:r w:rsidRPr="00C3671E">
        <w:t>. This dissertation takes a position of post-positivism reflecting potential biases of human knowledge, but also considering quantitative analysis as the best technique for understanding certain questions, if it is used cautiously and connected to theory and qualitative studies. The comparative analysis here employs the existing data collected by international experts, the presence of some unifying features of the European context, and also the methodologically sensitive approach of the author using a different type of analysis for each research question.</w:t>
      </w:r>
    </w:p>
    <w:p w14:paraId="5162052C" w14:textId="77777777" w:rsidR="00676326" w:rsidRPr="00C3671E" w:rsidRDefault="00676326" w:rsidP="00676326">
      <w:pPr>
        <w:pStyle w:val="Newparagraph"/>
        <w:jc w:val="both"/>
      </w:pPr>
      <w:r w:rsidRPr="00C3671E">
        <w:t xml:space="preserve">The four main empirical parts capitalize on four different statistical techniques, which all aim to answer a </w:t>
      </w:r>
      <w:r w:rsidRPr="00C3671E">
        <w:rPr>
          <w:lang w:eastAsia="zh-CN"/>
        </w:rPr>
        <w:t>research</w:t>
      </w:r>
      <w:r w:rsidRPr="00C3671E">
        <w:t xml:space="preserve"> question in possibly the most precise and comprehensible way. Each of these techniques is briefly overviewed. The chosen methods and procedures of statistical analysis have several aims:</w:t>
      </w:r>
    </w:p>
    <w:p w14:paraId="386D3B7B" w14:textId="77777777" w:rsidR="00676326" w:rsidRPr="00C3671E" w:rsidRDefault="00676326" w:rsidP="00676326">
      <w:pPr>
        <w:suppressAutoHyphens/>
        <w:spacing w:line="480" w:lineRule="auto"/>
        <w:jc w:val="both"/>
        <w:rPr>
          <w:noProof/>
          <w:lang w:val="en-GB" w:eastAsia="zh-CN"/>
        </w:rPr>
      </w:pPr>
      <w:r w:rsidRPr="00C3671E">
        <w:rPr>
          <w:noProof/>
          <w:lang w:val="en-GB" w:eastAsia="zh-CN"/>
        </w:rPr>
        <w:t>1) to bring a valuable contribution to the existing literature</w:t>
      </w:r>
    </w:p>
    <w:p w14:paraId="518FB6FF" w14:textId="77777777" w:rsidR="00676326" w:rsidRPr="00C3671E" w:rsidRDefault="00676326" w:rsidP="00676326">
      <w:pPr>
        <w:suppressAutoHyphens/>
        <w:spacing w:line="480" w:lineRule="auto"/>
        <w:jc w:val="both"/>
        <w:rPr>
          <w:noProof/>
          <w:lang w:val="en-GB" w:eastAsia="zh-CN"/>
        </w:rPr>
      </w:pPr>
      <w:r w:rsidRPr="00C3671E">
        <w:rPr>
          <w:noProof/>
          <w:lang w:val="en-GB" w:eastAsia="zh-CN"/>
        </w:rPr>
        <w:t>2) examine the relationship between roles and quality of life in a methodologically vigorous way</w:t>
      </w:r>
    </w:p>
    <w:p w14:paraId="116C4243" w14:textId="77777777" w:rsidR="00676326" w:rsidRPr="00C3671E" w:rsidRDefault="00676326" w:rsidP="00676326">
      <w:pPr>
        <w:suppressAutoHyphens/>
        <w:spacing w:line="480" w:lineRule="auto"/>
        <w:jc w:val="both"/>
        <w:rPr>
          <w:noProof/>
          <w:lang w:val="en-GB" w:eastAsia="zh-CN"/>
        </w:rPr>
      </w:pPr>
      <w:r w:rsidRPr="00C3671E">
        <w:rPr>
          <w:noProof/>
          <w:lang w:val="en-GB" w:eastAsia="zh-CN"/>
        </w:rPr>
        <w:lastRenderedPageBreak/>
        <w:t>3) reflect the role of individual characteristics and inequalities within societies</w:t>
      </w:r>
    </w:p>
    <w:p w14:paraId="0136ADDB" w14:textId="77777777" w:rsidR="00676326" w:rsidRPr="00C3671E" w:rsidRDefault="00676326" w:rsidP="00676326">
      <w:pPr>
        <w:suppressAutoHyphens/>
        <w:spacing w:line="480" w:lineRule="auto"/>
        <w:jc w:val="both"/>
        <w:rPr>
          <w:noProof/>
          <w:lang w:val="en-GB" w:eastAsia="zh-CN"/>
        </w:rPr>
      </w:pPr>
      <w:r w:rsidRPr="00C3671E">
        <w:rPr>
          <w:noProof/>
          <w:lang w:val="en-GB" w:eastAsia="zh-CN"/>
        </w:rPr>
        <w:t>4) reflect the role of macro-conditions and inequalities between societies</w:t>
      </w:r>
    </w:p>
    <w:p w14:paraId="29B84FCD" w14:textId="77777777" w:rsidR="00676326" w:rsidRPr="00C3671E" w:rsidRDefault="00676326" w:rsidP="00676326">
      <w:pPr>
        <w:suppressAutoHyphens/>
        <w:spacing w:line="480" w:lineRule="auto"/>
        <w:jc w:val="both"/>
        <w:rPr>
          <w:noProof/>
          <w:lang w:val="en-GB" w:eastAsia="zh-CN"/>
        </w:rPr>
      </w:pPr>
      <w:r w:rsidRPr="00C3671E">
        <w:rPr>
          <w:noProof/>
          <w:lang w:val="en-GB" w:eastAsia="zh-CN"/>
        </w:rPr>
        <w:t>5) build a causal relationship, if possible</w:t>
      </w:r>
    </w:p>
    <w:p w14:paraId="1EDA2984" w14:textId="77777777" w:rsidR="00676326" w:rsidRPr="00C3671E" w:rsidRDefault="00676326" w:rsidP="00676326">
      <w:pPr>
        <w:pStyle w:val="Newparagraph"/>
        <w:jc w:val="both"/>
        <w:rPr>
          <w:lang w:eastAsia="zh-CN"/>
        </w:rPr>
      </w:pPr>
      <w:r w:rsidRPr="00C3671E">
        <w:rPr>
          <w:lang w:eastAsia="zh-CN"/>
        </w:rPr>
        <w:t xml:space="preserve">Chapter 3 uses multilevel logistic regression with one macro-variable and one cross-level interaction. Multilevel modelling in this analysis enables to control for both individual and national factors and their interaction </w:t>
      </w:r>
      <w:r w:rsidRPr="00C3671E">
        <w:rPr>
          <w:lang w:eastAsia="zh-CN"/>
        </w:rPr>
        <w:fldChar w:fldCharType="begin" w:fldLock="1"/>
      </w:r>
      <w:r w:rsidRPr="00C3671E">
        <w:rPr>
          <w:lang w:eastAsia="zh-CN"/>
        </w:rPr>
        <w:instrText>ADDIN CSL_CITATION { "citationItems" : [ { "id" : "ITEM-1", "itemData" : { "author" : [ { "dropping-particle" : "", "family" : "Rabe-Hesketh", "given" : "Sophia", "non-dropping-particle" : "", "parse-names" : false, "suffix" : "" }, { "dropping-particle" : "", "family" : "Skrondal", "given" : "Anders", "non-dropping-particle" : "", "parse-names" : false, "suffix" : "" } ], "id" : "ITEM-1", "issued" : { "date-parts" : [ [ "2008" ] ] }, "publisher" : "Stata Press", "publisher-place" : "College Station", "title" : "Multilevel and longitudinal modeling using Stata", "type" : "book" }, "uris" : [ "http://www.mendeley.com/documents/?uuid=f7671f03-8069-48ee-a277-af3d39f8009b" ] } ], "mendeley" : { "formattedCitation" : "(Rabe-Hesketh and Skrondal 2008)", "plainTextFormattedCitation" : "(Rabe-Hesketh and Skrondal 2008)", "previouslyFormattedCitation" : "(Rabe-Hesketh and Skrondal 2008)" }, "properties" : { "noteIndex" : 0 }, "schema" : "https://github.com/citation-style-language/schema/raw/master/csl-citation.json" }</w:instrText>
      </w:r>
      <w:r w:rsidRPr="00C3671E">
        <w:rPr>
          <w:lang w:eastAsia="zh-CN"/>
        </w:rPr>
        <w:fldChar w:fldCharType="separate"/>
      </w:r>
      <w:r w:rsidRPr="00C3671E">
        <w:rPr>
          <w:noProof/>
          <w:lang w:eastAsia="zh-CN"/>
        </w:rPr>
        <w:t>(Rabe-Hesketh and Skrondal 2008)</w:t>
      </w:r>
      <w:r w:rsidRPr="00C3671E">
        <w:rPr>
          <w:lang w:eastAsia="zh-CN"/>
        </w:rPr>
        <w:fldChar w:fldCharType="end"/>
      </w:r>
      <w:r w:rsidRPr="00C3671E">
        <w:rPr>
          <w:lang w:eastAsia="zh-CN"/>
        </w:rPr>
        <w:t xml:space="preserve">. More specifically, it is a mean towards establishing the effect of availability of formal care on a) QoL and b) on the effect of informal care itself. The method produces valuable empirical findings, though the number of available SHARE countries enables to have only one macro-predictor </w:t>
      </w:r>
      <w:r w:rsidRPr="00C3671E">
        <w:rPr>
          <w:lang w:eastAsia="zh-CN"/>
        </w:rPr>
        <w:fldChar w:fldCharType="begin" w:fldLock="1"/>
      </w:r>
      <w:r w:rsidRPr="00C3671E">
        <w:rPr>
          <w:lang w:eastAsia="zh-CN"/>
        </w:rPr>
        <w:instrText>ADDIN CSL_CITATION { "citationItems" : [ { "id" : "ITEM-1", "itemData" : { "DOI" : "10.1093/esr/jcq023", "ISBN" : "0266-7215", "ISSN" : "02667215", "abstract" : "This article aims to improve our understanding of the societal determinants of older people\u2019s participation in non-market productive activities. Based on micro-data from the Survey of Health, Ageing and Retirement in Europe, we estimate logistic multilevel models for individuals\u2019 engagement in formal volunteering, informal helping, and caring across 11 countries. The results partially support hypotheses regarding the relationship between specific macro-level variables and individuals\u2019 productive engagement at older ages. While our measure of societal images of aging does not exhibit statistically significant associations with any of the activities considered here, our hypotheses concerning a positive relationship between greater political and religious freedom as well as the provision of welfare state services and older individuals\u2019 propensity to engage in productive aging are largely confirmed. We interpret these findings as evidence suggesting that both longstanding cultural elements of a society as well as contemporary welfare state interventions constitute reference frames and opportunity structures which older individuals perceive as relevant for their decision whether to participate in volunteering, helping, or caring.", "author" : [ { "dropping-particle" : "", "family" : "Hank", "given" : "Karsten", "non-dropping-particle" : "", "parse-names" : false, "suffix" : "" } ], "container-title" : "European Sociological Review", "id" : "ITEM-1", "issue" : "4", "issued" : { "date-parts" : [ [ "2011" ] ] }, "page" : "526-541", "title" : "Societal determinants of productive aging: A multilevel analysis across 11 European Countries", "type" : "article-journal", "volume" : "27" }, "uris" : [ "http://www.mendeley.com/documents/?uuid=fbcecccf-f864-4ae9-9b90-33a7d02f7393" ] } ], "mendeley" : { "formattedCitation" : "(Hank 2011)", "plainTextFormattedCitation" : "(Hank 2011)", "previouslyFormattedCitation" : "(Hank 2011)" }, "properties" : { "noteIndex" : 0 }, "schema" : "https://github.com/citation-style-language/schema/raw/master/csl-citation.json" }</w:instrText>
      </w:r>
      <w:r w:rsidRPr="00C3671E">
        <w:rPr>
          <w:lang w:eastAsia="zh-CN"/>
        </w:rPr>
        <w:fldChar w:fldCharType="separate"/>
      </w:r>
      <w:r w:rsidRPr="00C3671E">
        <w:rPr>
          <w:noProof/>
          <w:lang w:eastAsia="zh-CN"/>
        </w:rPr>
        <w:t>(Hank 2011)</w:t>
      </w:r>
      <w:r w:rsidRPr="00C3671E">
        <w:rPr>
          <w:lang w:eastAsia="zh-CN"/>
        </w:rPr>
        <w:fldChar w:fldCharType="end"/>
      </w:r>
      <w:r w:rsidRPr="00C3671E">
        <w:rPr>
          <w:lang w:eastAsia="zh-CN"/>
        </w:rPr>
        <w:t xml:space="preserve">. Further, </w:t>
      </w:r>
      <w:r w:rsidRPr="00C3671E">
        <w:rPr>
          <w:lang w:eastAsia="zh-CN"/>
        </w:rPr>
        <w:fldChar w:fldCharType="begin" w:fldLock="1"/>
      </w:r>
      <w:r w:rsidRPr="00C3671E">
        <w:rPr>
          <w:lang w:eastAsia="zh-CN"/>
        </w:rPr>
        <w:instrText>ADDIN CSL_CITATION { "citationItems" : [ { "id" : "ITEM-1", "itemData" : { "DOI" : "10.1093/esr/jcv059", "ISBN" : "9780470380758", "ISSN" : "14682672", "PMID" : "25246403", "abstract" : "Country effects on outcomes for individuals are often analysed using multilevel (hierarchical) models applied to harmonized multi-country data sets such as ESS, EU-SILC, EVS, ISSP, and SHARE. We point out problems with the assessment of country effects that appear not to be widely appreciated, and develop our arguments using Monte Carlo simulation analysis of multilevel linear and logit mod- els. With large sample sizes of individuals within each country but only a small number of countries, analysts can reliably estimate individual-level effects but estimates of parameters summarizing coun- try effects are likely to be unreliable. Multilevel modelling methods are no panacea", "author" : [ { "dropping-particle" : "", "family" : "Bryan", "given" : "Mark L.", "non-dropping-particle" : "", "parse-names" : false, "suffix" : "" }, { "dropping-particle" : "", "family" : "Jenkins", "given" : "Stephen P.", "non-dropping-particle" : "", "parse-names" : false, "suffix" : "" } ], "container-title" : "European Sociological Review", "id" : "ITEM-1", "issue" : "1", "issued" : { "date-parts" : [ [ "2016" ] ] }, "page" : "3-22", "title" : "Multilevel modelling of country effects: A cautionary tale", "type" : "article-journal", "volume" : "32" }, "uris" : [ "http://www.mendeley.com/documents/?uuid=3aaabf70-3e0e-465f-a238-a414d79c5c67" ] } ], "mendeley" : { "formattedCitation" : "(Bryan and Jenkins 2016)", "manualFormatting" : "Bryan and Jenkins (2016)", "plainTextFormattedCitation" : "(Bryan and Jenkins 2016)", "previouslyFormattedCitation" : "(Bryan and Jenkins 2016)" }, "properties" : { "noteIndex" : 0 }, "schema" : "https://github.com/citation-style-language/schema/raw/master/csl-citation.json" }</w:instrText>
      </w:r>
      <w:r w:rsidRPr="00C3671E">
        <w:rPr>
          <w:lang w:eastAsia="zh-CN"/>
        </w:rPr>
        <w:fldChar w:fldCharType="separate"/>
      </w:r>
      <w:r w:rsidRPr="00C3671E">
        <w:rPr>
          <w:noProof/>
          <w:lang w:eastAsia="zh-CN"/>
        </w:rPr>
        <w:t>Bryan and Jenkins (2016)</w:t>
      </w:r>
      <w:r w:rsidRPr="00C3671E">
        <w:rPr>
          <w:lang w:eastAsia="zh-CN"/>
        </w:rPr>
        <w:fldChar w:fldCharType="end"/>
      </w:r>
      <w:r w:rsidRPr="00C3671E">
        <w:rPr>
          <w:lang w:eastAsia="zh-CN"/>
        </w:rPr>
        <w:t xml:space="preserve"> argue that coefficients are generally unstable with less than 25 countries. Therefore, other chapters of the dissertation explore other methods of determining the effect of macro-context.</w:t>
      </w:r>
    </w:p>
    <w:p w14:paraId="32777B38" w14:textId="14F9EABF" w:rsidR="00676326" w:rsidRPr="00C3671E" w:rsidRDefault="00676326" w:rsidP="00676326">
      <w:pPr>
        <w:pStyle w:val="Newparagraph"/>
        <w:jc w:val="both"/>
        <w:rPr>
          <w:lang w:eastAsia="zh-CN"/>
        </w:rPr>
      </w:pPr>
      <w:r w:rsidRPr="00C3671E">
        <w:rPr>
          <w:lang w:eastAsia="zh-CN"/>
        </w:rPr>
        <w:t xml:space="preserve">Chapter 4 does not estimate any macro-effect directly, but it produces separate results for four socio-culturally distinguishable European regions. Economically active and inactive respondents are matched into pairs in each region by propensity score matching to produce pairs comparable in all known characteristics except the treatment variable – prolonged working career </w:t>
      </w:r>
      <w:r w:rsidRPr="00C3671E">
        <w:rPr>
          <w:lang w:eastAsia="zh-CN"/>
        </w:rPr>
        <w:fldChar w:fldCharType="begin" w:fldLock="1"/>
      </w:r>
      <w:r w:rsidR="001257AA" w:rsidRPr="00C3671E">
        <w:rPr>
          <w:lang w:eastAsia="zh-CN"/>
        </w:rPr>
        <w:instrText>ADDIN CSL_CITATION { "citationItems" : [ { "id" : "ITEM-1", "itemData" : { "author" : [ { "dropping-particle" : "", "family" : "Guo", "given" : "Shenyang", "non-dropping-particle" : "", "parse-names" : false, "suffix" : "" }, { "dropping-particle" : "", "family" : "Fraser", "given" : "Mark W.", "non-dropping-particle" : "", "parse-names" : false, "suffix" : "" } ], "id" : "ITEM-1", "issued" : { "date-parts" : [ [ "2010" ] ] }, "publisher" : "SAGE Publications", "publisher-place" : "Los Angeles", "title" : "Propensity score analysis", "type" : "book" }, "uris" : [ "http://www.mendeley.com/documents/?uuid=120a1036-b80d-4ac9-a122-504878340dbd" ] }, { "id" : "ITEM-2", "itemData" : { "DOI" : "10.1093/biomet/70.1.41", "ISBN" : "0006-3444", "ISSN" : "0006-3444", "PMID" : "179", "abstract" : "SUMMARY The propensity score is the conditional probability of assignment to a particular treatment given a vector of observed covariates. Both large and small sample theory show that adjustment for the scalar propensity score is sufficient to remove bias due to all observed covariates. Applications include: (i) matched sampling on the univariate propensity score, which is a generalization of discriminant matching, (ii) multivariate adjustment by subclassification on the propensity score where the same subclasses are used to estimate treatment effects for all outcome variables and in all subpopulations, and (iii) visual representation of multivariate covariance adjustment by a two- dimensional plot.", "author" : [ { "dropping-particle" : "", "family" : "Rosenbaum", "given" : "Paul", "non-dropping-particle" : "", "parse-names" : false, "suffix" : "" }, { "dropping-particle" : "", "family" : "Rubin", "given" : "Donald", "non-dropping-particle" : "", "parse-names" : false, "suffix" : "" } ], "container-title" : "Biometrika", "id" : "ITEM-2", "issue" : "1", "issued" : { "date-parts" : [ [ "1983" ] ] }, "page" : "41-55", "title" : "The Central Role of the Propensity Score in Observational Studies for Causal Effects", "type" : "article-journal", "volume" : "70" }, "uris" : [ "http://www.mendeley.com/documents/?uuid=5463d54a-2bc2-47da-976b-f788825267dc" ] } ], "mendeley" : { "formattedCitation" : "(Guo and Fraser 2010; Rosenbaum and Rubin 1983)", "plainTextFormattedCitation" : "(Guo and Fraser 2010; Rosenbaum and Rubin 1983)", "previouslyFormattedCitation" : "(Guo and Fraser 2010; Rosenbaum and Rubin 1983)" }, "properties" : { "noteIndex" : 0 }, "schema" : "https://github.com/citation-style-language/schema/raw/master/csl-citation.json" }</w:instrText>
      </w:r>
      <w:r w:rsidRPr="00C3671E">
        <w:rPr>
          <w:lang w:eastAsia="zh-CN"/>
        </w:rPr>
        <w:fldChar w:fldCharType="separate"/>
      </w:r>
      <w:r w:rsidR="00A91559" w:rsidRPr="00C3671E">
        <w:rPr>
          <w:noProof/>
          <w:lang w:eastAsia="zh-CN"/>
        </w:rPr>
        <w:t>(Guo and Fraser 2010; Rosenbaum and Rubin 1983)</w:t>
      </w:r>
      <w:r w:rsidRPr="00C3671E">
        <w:rPr>
          <w:lang w:eastAsia="zh-CN"/>
        </w:rPr>
        <w:fldChar w:fldCharType="end"/>
      </w:r>
      <w:r w:rsidRPr="00C3671E">
        <w:rPr>
          <w:lang w:eastAsia="zh-CN"/>
        </w:rPr>
        <w:t xml:space="preserve">. After reducing bias by a successful matching, the expected effect of staying in a labour force on four domains of QoL is produced. This procedure, very similar to procedure applied by </w:t>
      </w:r>
      <w:r w:rsidRPr="00C3671E">
        <w:rPr>
          <w:lang w:eastAsia="zh-CN"/>
        </w:rPr>
        <w:fldChar w:fldCharType="begin" w:fldLock="1"/>
      </w:r>
      <w:r w:rsidR="001257AA" w:rsidRPr="00C3671E">
        <w:rPr>
          <w:lang w:eastAsia="zh-CN"/>
        </w:rPr>
        <w:instrText>ADDIN CSL_CITATION { "citationItems" : [ { "id" : "ITEM-1", "itemData" : { "DOI" : "10.1007/s10680-014-9336-7", "ISBN" : "1068001493367", "ISSN" : "15729885", "abstract" : "We analyse the impact of the provision of care on the health and quality of life (QoL) of adult female informal caregivers using a representative sample drawn from the survey of health, ageing and retirement in Europe (SHARE). We match each informal caregiver with a non-carer using propensity score matching and test whether matched individuals differ on self-assessed health and a functional indicator of QoL and whether this relationship differs across European regions. We find a North-South gradient both for self-assessed health and QoL, and our results show that the provision of caregiving to close relatives in Europe impacts on the caregivers' QoL and health in a way that depends on their geographical location, the degree of formal care and specific cultural and social factors of the area. We find that informal caregiving is a complex phenomenon which may bring both psychological rewards and distress to providers of care and this complexity, along with the geographical gradient highlight the importance of ensuring that policies match the needs of individual carers in their own geographical areas and cultural contexts. [ABSTRACT FROM AUTHOR] Copyright of European Journal of Population is the property of Springer Science &amp; Business Media B.V.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"Novi", "given" : "Cinzia", "non-dropping-particle" : "Di", "parse-names" : false, "suffix" : "" }, { "dropping-particle" : "", "family" : "Jacobs", "given" : "Rowena", "non-dropping-particle" : "", "parse-names" : false, "suffix" : "" }, { "dropping-particle" : "", "family" : "Migheli", "given" : "Matteo", "non-dropping-particle" : "", "parse-names" : false, "suffix" : "" } ], "container-title" : "European Journal of Population", "id" : "ITEM-1", "issue" : "3", "issued" : { "date-parts" : [ [ "2015" ] ] }, "page" : "309-333", "publisher" : "Springer Netherlands", "title" : "The Quality of Life of Female Informal Caregivers: From Scandinavia to the Mediterranean Sea", "type" : "article-journal", "volume" : "31" }, "uris" : [ "http://www.mendeley.com/documents/?uuid=1ccc65b6-fa56-4844-8194-2bfe00ef56d5" ] } ], "mendeley" : { "formattedCitation" : "(Di Novi et al. 2015)", "manualFormatting" : "Di Novi, Jacobs, and Migheli (2015)", "plainTextFormattedCitation" : "(Di Novi et al. 2015)", "previouslyFormattedCitation" : "(Di Novi et al. 2015)" }, "properties" : { "noteIndex" : 0 }, "schema" : "https://github.com/citation-style-language/schema/raw/master/csl-citation.json" }</w:instrText>
      </w:r>
      <w:r w:rsidRPr="00C3671E">
        <w:rPr>
          <w:lang w:eastAsia="zh-CN"/>
        </w:rPr>
        <w:fldChar w:fldCharType="separate"/>
      </w:r>
      <w:r w:rsidRPr="00C3671E">
        <w:rPr>
          <w:noProof/>
          <w:lang w:eastAsia="zh-CN"/>
        </w:rPr>
        <w:t>Di Novi, Jacobs, and Migheli (2015)</w:t>
      </w:r>
      <w:r w:rsidRPr="00C3671E">
        <w:rPr>
          <w:lang w:eastAsia="zh-CN"/>
        </w:rPr>
        <w:fldChar w:fldCharType="end"/>
      </w:r>
      <w:r w:rsidRPr="00C3671E">
        <w:rPr>
          <w:lang w:eastAsia="zh-CN"/>
        </w:rPr>
        <w:t xml:space="preserve"> for estimating the effect of caregiving, set the differences in the key effect across Europe and their possible explanations.</w:t>
      </w:r>
    </w:p>
    <w:p w14:paraId="2CBECF66" w14:textId="1AC7AC97" w:rsidR="00676326" w:rsidRPr="00C3671E" w:rsidRDefault="00676326" w:rsidP="00676326">
      <w:pPr>
        <w:pStyle w:val="Newparagraph"/>
        <w:jc w:val="both"/>
        <w:rPr>
          <w:lang w:eastAsia="zh-CN"/>
        </w:rPr>
      </w:pPr>
      <w:r w:rsidRPr="00C3671E">
        <w:rPr>
          <w:lang w:eastAsia="zh-CN"/>
        </w:rPr>
        <w:t xml:space="preserve">The differences in the effect of social participation are presented in a more descriptive way in chapter 5. The analysis capitalizes on a consistent beneficial effect of social participation in later life from previous research </w:t>
      </w:r>
      <w:r w:rsidRPr="00C3671E">
        <w:rPr>
          <w:lang w:eastAsia="zh-CN"/>
        </w:rPr>
        <w:fldChar w:fldCharType="begin" w:fldLock="1"/>
      </w:r>
      <w:r w:rsidR="001257AA" w:rsidRPr="00C3671E">
        <w:rPr>
          <w:lang w:eastAsia="zh-CN"/>
        </w:rPr>
        <w:instrText>ADDIN CSL_CITATION { "citationItems" : [ { "id" : "ITEM-1", "itemData" : { "DOI" : "10.1017/S0144686X10001091", "ISBN" : "0144686X (ISSN)", "ISSN" : "0144-686X", "PMID" : "59665633", "abstract" : "An engaged lifestyle is seen as an important component of successful ageing. Many older adults with high participation in social and leisure activities report positive wellbeing, a fact that fuelled the original activity theory and that continues to influence researchers, theorists and practitioners. This study's purpose is to review the conceptualisation and measurement of activity among older adults and the associations reported in the gerontological literature between specific dimensions of activity and wellbeing. We searched published studies that focused on social and leisure activity and wellbeing, and found 42 studies in 44 articles published between 1995 and 2009. They reported from one to 13 activity domains, the majority reporting two or three, such as informal , formal and solitary , or productive versus leisure . Domains associated with subjective wellbeing, health or survival included social, leisure, productive, physical, intellectual, service and solitary activities. Informal social activity has accumulated the most evidence of an influence on wellbeing. Individual descriptors such as gender or physical functioning sometimes moderate these associations, while contextual variables such as choice, meaning or perceived quality play intervening roles. Differences in definitions and measurement make it difficult to draw inferences about this body of evidence on the associations between activity and wellbeing. Activity theory serves as shorthand for these associations, but gerontology must better integrate developmental and psychological constructs into a refined, comprehensive activity theory.", "author" : [ { "dropping-particle" : "", "family" : "Adams", "given" : "Kathryn Betts", "non-dropping-particle" : "", "parse-names" : false, "suffix" : "" }, { "dropping-particle" : "", "family" : "Leibbrandt", "given" : "Sylvia", "non-dropping-particle" : "", "parse-names" : false, "suffix" : "" }, { "dropping-particle" : "", "family" : "Moon", "given" : "Heehyul", "non-dropping-particle" : "", "parse-names" : false, "suffix" : "" } ], "container-title" : "Ageing and Society", "id" : "ITEM-1", "issue" : "04", "issued" : { "date-parts" : [ [ "2011" ] ] }, "page" : "683-712", "title" : "A critical review of the literature on social and leisure activity and wellbeing in later life", "type" : "article-journal", "volume" : "31" }, "uris" : [ "http://www.mendeley.com/documents/?uuid=28bf1c76-83b5-46ba-8c9c-efd885614e50" ] }, { "id" : "ITEM-2", "itemData" : { "DOI" : "10.1016/j.maturitas.2011.08.010", "ISBN" : "1912156083", "ISSN" : "03785122", "PMID" : "21958942", "abstract" : "The year 2011 was declared the 'European Year of Volunteering' to recognise the contribution volunteers make to society. Such cross-national events reflect the high profile of volunteering and political imperatives to promote it. The purpose of this review is to provide a comprehensive review of current knowledge (articles published between 2005 and 2011) regarding the role of volunteering in improving older people's quality of life (QoL) and to identify areas requiring further research. Volunteering was defined as an activity that is freely chosen, does not involve remuneration and helps or benefits those beyond an individual's immediate family. Our search identified 22 studies and 5 review articles that addressed the benefits of volunteering on older people's quality of life. Most of the research had been conducted in the United States, Canada and Australia using data from longitudinal studies. The majority of the studies concluded that there is a positive association between older people's quality of life and engagement in volunteering. Due to the study designs and the heterogeneity of the research, causality is difficult to demonstrate and the knowledge the studies bring to the subject is variable. This review shows that volunteering may help to maintain and possibly improve some older adults' quality of life. However, there are still major gaps in our understanding of who actually benefits, the social and cultural context of volunteering and its role in reducing health and social inequalities. ?? 2011 Elsevier Ireland Ltd.", "author" : [ { "dropping-particle" : "", "family" : "Cattan", "given" : "Mima", "non-dropping-particle" : "", "parse-names" : false, "suffix" : "" }, { "dropping-particle" : "", "family" : "Hogg", "given" : "Eddy", "non-dropping-particle" : "", "parse-names" : false, "suffix" : "" }, { "dropping-particle" : "", "family" : "Hardill", "given" : "Irene", "non-dropping-particle" : "", "parse-names" : false, "suffix" : "" } ], "container-title" : "Maturitas", "id" : "ITEM-2", "issue" : "4", "issued" : { "date-parts" : [ [ "2011" ] ] }, "page" : "328-332", "publisher" : "Elsevier Ireland Ltd", "title" : "Improving quality of life in ageing populations: What can volunteering do?", "type" : "article-journal", "volume" : "70" }, "uris" : [ "http://www.mendeley.com/documents/?uuid=7cb6e6b7-58ca-474e-a4fe-923493357f55" ] }, { "id" : "ITEM-3", "itemData" : { "DOI" : "10.1111/joop.12003", "ISBN" : "09631798", "ISSN" : "09631798", "PMID" : "90563210", "abstract" : "This study examines the impact of engaging in seven types of activities on depression and quality of life in retirees and older workers over a period of 2 years, using a sample from the survey of health, ageing and retirement in Europe. Longitudinal data were available from 2,813 retirees and 1,372 older employees. Our results showed that volunteering, providing help and going to sports or social clubs at the baseline improved retirees\u2019 quality of lifeover a period of 2 years. No direct effects of engaging in activities were found for older employees. Moreover, higher depression at the baseline fostered the depression experience at the follow-up in those retirees and older employees who were caring for disabled adults at baseline. In retirees with higher depression at baseline, participation in religious organizations was associated with a greater decrease in depression at follow-up than in those who had lower levels of depression at baseline. For older employees, taking part in political or community organizations at baselinewas related to a greater decrease in depression at follow-up than in those employees who experienced higher initial depression.", "author" : [ { "dropping-particle" : "", "family" : "Poto\u010dnik", "given" : "Kristina", "non-dropping-particle" : "", "parse-names" : false, "suffix" : "" }, { "dropping-particle" : "", "family" : "Sonnentag", "given" : "Sabine", "non-dropping-particle" : "", "parse-names" : false, "suffix" : "" } ], "container-title" : "Journal of Occupational and Organizational Psychology", "id" : "ITEM-3", "issue" : "4", "issued" : { "date-parts" : [ [ "2013" ] ] }, "page" : "497-521", "title" : "A longitudinal study of well-being in older workers and retirees: The role of engaging in different types of activities", "type" : "article-journal", "volume" : "86" }, "uris" : [ "http://www.mendeley.com/documents/?uuid=5889bc5d-921b-416d-a3eb-706b9facb5cf" ] } ], "mendeley" : { "formattedCitation" : "(Adams et al. 2011; Cattan, Hogg, and Hardill 2011; Poto\u010dnik and Sonnentag 2013)", "plainTextFormattedCitation" : "(Adams et al. 2011; Cattan, Hogg, and Hardill 2011; Poto\u010dnik and Sonnentag 2013)", "previouslyFormattedCitation" : "(Adams et al. 2011; Cattan, Hogg, and Hardill 2011; Poto\u010dnik and Sonnentag 2013)" }, "properties" : { "noteIndex" : 0 }, "schema" : "https://github.com/citation-style-language/schema/raw/master/csl-citation.json" }</w:instrText>
      </w:r>
      <w:r w:rsidRPr="00C3671E">
        <w:rPr>
          <w:lang w:eastAsia="zh-CN"/>
        </w:rPr>
        <w:fldChar w:fldCharType="separate"/>
      </w:r>
      <w:r w:rsidR="00A91559" w:rsidRPr="00C3671E">
        <w:rPr>
          <w:noProof/>
          <w:lang w:eastAsia="zh-CN"/>
        </w:rPr>
        <w:t>(Adams et al. 2011; Cattan, Hogg, and Hardill 2011; Potočnik and Sonnentag 2013)</w:t>
      </w:r>
      <w:r w:rsidRPr="00C3671E">
        <w:rPr>
          <w:lang w:eastAsia="zh-CN"/>
        </w:rPr>
        <w:fldChar w:fldCharType="end"/>
      </w:r>
      <w:r w:rsidRPr="00C3671E">
        <w:rPr>
          <w:lang w:eastAsia="zh-CN"/>
        </w:rPr>
        <w:t xml:space="preserve"> and examines who can benefit from these activities most often. </w:t>
      </w:r>
      <w:r w:rsidRPr="00C3671E">
        <w:rPr>
          <w:lang w:eastAsia="zh-CN"/>
        </w:rPr>
        <w:lastRenderedPageBreak/>
        <w:t xml:space="preserve">Prevalence of social participation and its development over time is graphically displayed for five countries representing 5 welfare regimes </w:t>
      </w:r>
      <w:r w:rsidRPr="00C3671E">
        <w:rPr>
          <w:lang w:eastAsia="zh-CN"/>
        </w:rPr>
        <w:fldChar w:fldCharType="begin" w:fldLock="1"/>
      </w:r>
      <w:r w:rsidR="001257AA" w:rsidRPr="00C3671E">
        <w:rPr>
          <w:lang w:eastAsia="zh-CN"/>
        </w:rPr>
        <w:instrText>ADDIN CSL_CITATION { "citationItems" : [ { "id" : "ITEM-1", "itemData" : { "author" : [ { "dropping-particle" : "", "family" : "Esping-Andersen", "given" : "G\u00f8sta", "non-dropping-particle" : "", "parse-names" : false, "suffix" : "" } ], "id" : "ITEM-1", "issued" : { "date-parts" : [ [ "1990" ] ] }, "publisher" : "Princeton University Press", "publisher-place" : "Princeton", "title" : "Three worlds of welfare capitalism", "type" : "book" }, "uris" : [ "http://www.mendeley.com/documents/?uuid=c50cbab9-24c1-47b9-9489-01afe4d84202" ] }, { "id" : "ITEM-2", "itemData" : { "ISSN" : "1817-4604", "abstract" : "This article uses hierarchical cluster analysis to empirically assess if the postcommunist welfare states of Central and Eastern Europe can be classified according to any of Esping-Andersen\u2019s well-known welfare types, or if they form a distinct group of their own. It shows that at the start of the twenty-first century, there are clear differences in the governmental programmes and the social situation between traditional Western welfare states and post-communist welfare states. The article argues that the welfare states in post-communist countries might be subdivided into three groups: (1) a group of former-USSR countries, including Russia and Belarus; (2) a group of rather successful Central and Eastern European countries including Poland and the Czech Republic, and (3) a group of developing welfare states, consisting of Romania, Moldova and Georgia.", "author" : [ { "dropping-particle" : "", "family" : "Fenger", "given" : "Menno", "non-dropping-particle" : "", "parse-names" : false, "suffix" : "" } ], "container-title" : "Contemporary Issues and Ideas in Social Sciences", "id" : "ITEM-2", "issue" : "August", "issued" : { "date-parts" : [ [ "2007" ] ] }, "page" : "3-30", "title" : "Welfare regimes in Central and Eastern Europe: incorporating post-communist countries in a welfare regime typology", "type" : "article-journal" }, "uris" : [ "http://www.mendeley.com/documents/?uuid=b950b9ba-55d0-4ecf-a47c-fa8c4f0c76cb" ] }, { "id" : "ITEM-3", "itemData" : { "abstract" : "Comparative welfare state research has been largely based on using typologies to summarize commonalities and differences across few cases. Often these were quantitative analyses of about ten to twenty EU or OECD countries, or a selection of few case studies from these \u201csamples\u201d which explored the peculiarities of a/typical cases. Overcoming linear correlation analysis, configurational regime typologies became the major tool to generalize across the wide variations of advanced welfare states. Most famously Esping\u2010Andersen\u2019s \u201cThree Worlds of Welfare Capitalism\u201d (1990) led to a research industry on the merits of fitting real welfare states across Europe and beyond into the three or more ideal\u2010type categories. The paper will discuss the methodological problems in comparing macro\u2010regime configurations in a medium\u2010N research design, using the substantial comparative research on welfare state regime typologies. The paper will deal with the following methodological questions: To what degree is the comparative analysis already biased through the selection of cases restricted to existing advanced welfare states? Are typologies ideal\u2010type constructs based on analytical concepts or are these only real\u2010type categorizations that summarize cross\u2010national variation of a selected group of countries? Are regime typologies too holistic and too static to provide a realistic account of social policy programme differences and their ongoing restructuration? Are quantitative methods (such as Cluster or Principal Component Analysis) or Qualitative Comparative Analysis (QCA or Fuzzy Set Analysis) more appropriate to deal with the problems of medium\u2010N comparative analysis in welfare state research? The paper will review the literature on comparing welfare state regimes over the last two decades;", "author" : [ { "dropping-particle" : "", "family" : "Ebbinghaus", "given" : "Bernhard", "non-dropping-particle" : "", "parse-names" : false, "suffix" : "" } ], "container-title" : "ESPAnet Conference", "id" : "ITEM-3", "issued" : { "date-parts" : [ [ "2012" ] ] }, "page" : "1-20", "publisher-place" : "Edinburg", "title" : "Comparing Welfare State Regimes: Are Typologies an Ideal or Realistic Strategy?", "type" : "paper-conference" }, "uris" : [ "http://www.mendeley.com/documents/?uuid=77f1c800-497f-46fb-a3a7-5d80209f760b" ] } ], "mendeley" : { "formattedCitation" : "(Ebbinghaus 2012a; Esping-Andersen 1990; Fenger 2007)", "plainTextFormattedCitation" : "(Ebbinghaus 2012a; Esping-Andersen 1990; Fenger 2007)", "previouslyFormattedCitation" : "(Ebbinghaus 2012a; Esping-Andersen 1990; Fenger 2007)" }, "properties" : { "noteIndex" : 0 }, "schema" : "https://github.com/citation-style-language/schema/raw/master/csl-citation.json" }</w:instrText>
      </w:r>
      <w:r w:rsidRPr="00C3671E">
        <w:rPr>
          <w:lang w:eastAsia="zh-CN"/>
        </w:rPr>
        <w:fldChar w:fldCharType="separate"/>
      </w:r>
      <w:r w:rsidR="00A91559" w:rsidRPr="00C3671E">
        <w:rPr>
          <w:noProof/>
          <w:lang w:eastAsia="zh-CN"/>
        </w:rPr>
        <w:t>(Ebbinghaus 2012a; Esping-Andersen 1990; Fenger 2007)</w:t>
      </w:r>
      <w:r w:rsidRPr="00C3671E">
        <w:rPr>
          <w:lang w:eastAsia="zh-CN"/>
        </w:rPr>
        <w:fldChar w:fldCharType="end"/>
      </w:r>
      <w:r w:rsidRPr="00C3671E">
        <w:rPr>
          <w:lang w:eastAsia="zh-CN"/>
        </w:rPr>
        <w:t>. Moreover, the chapter present inequalities of the access to social participation based on education, financial situation, and health, and intersections of the inequalities for the selected countries. Hence, description of the key indicator over time and theoretically grounded contexts are preferred here to more complex analysis.</w:t>
      </w:r>
    </w:p>
    <w:p w14:paraId="2F275928" w14:textId="77777777" w:rsidR="00676326" w:rsidRPr="00C3671E" w:rsidRDefault="00676326" w:rsidP="00676326">
      <w:pPr>
        <w:pStyle w:val="Newparagraph"/>
        <w:jc w:val="both"/>
        <w:rPr>
          <w:lang w:eastAsia="zh-CN"/>
        </w:rPr>
      </w:pPr>
      <w:r w:rsidRPr="00C3671E">
        <w:rPr>
          <w:lang w:eastAsia="zh-CN"/>
        </w:rPr>
        <w:t xml:space="preserve">Finally, chapter 6 aims to unify separate analyses of particular roles into one model controlling for interactions and intersections between the activities. Additionally, this last statistical section follows changes in activities and QoL within respondent over time. These goals are reached by using fixed effects regression, which controls for all (un)observed relatively stable characteristics </w:t>
      </w:r>
      <w:r w:rsidRPr="00C3671E">
        <w:rPr>
          <w:lang w:eastAsia="zh-CN"/>
        </w:rPr>
        <w:fldChar w:fldCharType="begin" w:fldLock="1"/>
      </w:r>
      <w:r w:rsidRPr="00C3671E">
        <w:rPr>
          <w:lang w:eastAsia="zh-CN"/>
        </w:rPr>
        <w:instrText>ADDIN CSL_CITATION { "citationItems" : [ { "id" : "ITEM-1", "itemData" : { "author" : [ { "dropping-particle" : "", "family" : "Allison", "given" : "Paul David", "non-dropping-particle" : "", "parse-names" : false, "suffix" : "" } ], "id" : "ITEM-1", "issued" : { "date-parts" : [ [ "2009" ] ] }, "publisher" : "SAGE", "publisher-place" : "Los Angeles", "title" : "Fixed effects regression models", "type" : "book" }, "uris" : [ "http://www.mendeley.com/documents/?uuid=82128fc0-2eda-479e-a701-961bff3c770f" ] } ], "mendeley" : { "formattedCitation" : "(Allison 2009)", "plainTextFormattedCitation" : "(Allison 2009)", "previouslyFormattedCitation" : "(Allison 2009)" }, "properties" : { "noteIndex" : 0 }, "schema" : "https://github.com/citation-style-language/schema/raw/master/csl-citation.json" }</w:instrText>
      </w:r>
      <w:r w:rsidRPr="00C3671E">
        <w:rPr>
          <w:lang w:eastAsia="zh-CN"/>
        </w:rPr>
        <w:fldChar w:fldCharType="separate"/>
      </w:r>
      <w:r w:rsidRPr="00C3671E">
        <w:rPr>
          <w:noProof/>
          <w:lang w:eastAsia="zh-CN"/>
        </w:rPr>
        <w:t>(Allison 2009)</w:t>
      </w:r>
      <w:r w:rsidRPr="00C3671E">
        <w:rPr>
          <w:lang w:eastAsia="zh-CN"/>
        </w:rPr>
        <w:fldChar w:fldCharType="end"/>
      </w:r>
      <w:r w:rsidRPr="00C3671E">
        <w:rPr>
          <w:lang w:eastAsia="zh-CN"/>
        </w:rPr>
        <w:t xml:space="preserve"> including macro-context, family structure, or value orientation of a respondent. The analysis contains separate results for two European regions and two educational groups to illustrate different effects of role across these factors. The fixed effects models provide less efficient estimates, but they produce complex results that are unlikely biased or spurious </w:t>
      </w:r>
      <w:r w:rsidRPr="00C3671E">
        <w:rPr>
          <w:lang w:eastAsia="zh-CN"/>
        </w:rPr>
        <w:fldChar w:fldCharType="begin" w:fldLock="1"/>
      </w:r>
      <w:r w:rsidRPr="00C3671E">
        <w:rPr>
          <w:lang w:eastAsia="zh-CN"/>
        </w:rPr>
        <w:instrText>ADDIN CSL_CITATION { "citationItems" : [ { "id" : "ITEM-1", "itemData" : { "author" : [ { "dropping-particle" : "", "family" : "Allison", "given" : "Paul David", "non-dropping-particle" : "", "parse-names" : false, "suffix" : "" } ], "id" : "ITEM-1", "issued" : { "date-parts" : [ [ "2009" ] ] }, "publisher" : "SAGE", "publisher-place" : "Los Angeles", "title" : "Fixed effects regression models", "type" : "book" }, "uris" : [ "http://www.mendeley.com/documents/?uuid=82128fc0-2eda-479e-a701-961bff3c770f" ] } ], "mendeley" : { "formattedCitation" : "(Allison 2009)", "plainTextFormattedCitation" : "(Allison 2009)", "previouslyFormattedCitation" : "(Allison 2009)" }, "properties" : { "noteIndex" : 0 }, "schema" : "https://github.com/citation-style-language/schema/raw/master/csl-citation.json" }</w:instrText>
      </w:r>
      <w:r w:rsidRPr="00C3671E">
        <w:rPr>
          <w:lang w:eastAsia="zh-CN"/>
        </w:rPr>
        <w:fldChar w:fldCharType="separate"/>
      </w:r>
      <w:r w:rsidRPr="00C3671E">
        <w:rPr>
          <w:noProof/>
          <w:lang w:eastAsia="zh-CN"/>
        </w:rPr>
        <w:t>(Allison 2009)</w:t>
      </w:r>
      <w:r w:rsidRPr="00C3671E">
        <w:rPr>
          <w:lang w:eastAsia="zh-CN"/>
        </w:rPr>
        <w:fldChar w:fldCharType="end"/>
      </w:r>
      <w:r w:rsidRPr="00C3671E">
        <w:rPr>
          <w:lang w:eastAsia="zh-CN"/>
        </w:rPr>
        <w:t>.</w:t>
      </w:r>
    </w:p>
    <w:p w14:paraId="13940E3E" w14:textId="77777777" w:rsidR="00676326" w:rsidRPr="00C3671E" w:rsidRDefault="00676326" w:rsidP="00676326">
      <w:pPr>
        <w:pStyle w:val="Newparagraph"/>
        <w:jc w:val="both"/>
        <w:rPr>
          <w:lang w:eastAsia="zh-CN"/>
        </w:rPr>
      </w:pPr>
      <w:r w:rsidRPr="00C3671E">
        <w:rPr>
          <w:lang w:eastAsia="zh-CN"/>
        </w:rPr>
        <w:t>This section provides a basic overview of the used data, statistical methods, addressed topics, and most of all – goals that are intended to be achieved by these means. It also outlines the main structure of empirical chapter. The other details of these issues, as well as the results and their contribution to the state of the art, are developed in the rest of the thesis.</w:t>
      </w:r>
    </w:p>
    <w:p w14:paraId="2A6D5A77" w14:textId="77777777" w:rsidR="00942EFE" w:rsidRPr="00C3671E" w:rsidRDefault="00942EFE" w:rsidP="00942EFE">
      <w:pPr>
        <w:suppressAutoHyphens/>
        <w:spacing w:line="480" w:lineRule="auto"/>
        <w:jc w:val="both"/>
        <w:rPr>
          <w:noProof/>
          <w:lang w:val="en-GB" w:eastAsia="zh-CN"/>
        </w:rPr>
      </w:pPr>
      <w:r w:rsidRPr="00C3671E">
        <w:rPr>
          <w:noProof/>
          <w:lang w:val="en-GB" w:eastAsia="zh-CN"/>
        </w:rPr>
        <w:br w:type="page"/>
      </w:r>
    </w:p>
    <w:p w14:paraId="5811B431" w14:textId="51E8E547" w:rsidR="001A7940" w:rsidRPr="00C3671E" w:rsidRDefault="00C004DA" w:rsidP="007E6D8E">
      <w:pPr>
        <w:pStyle w:val="Nadpis1"/>
        <w:spacing w:line="480" w:lineRule="auto"/>
        <w:rPr>
          <w:sz w:val="36"/>
          <w:szCs w:val="36"/>
          <w:lang w:val="en-GB" w:eastAsia="zh-CN"/>
        </w:rPr>
      </w:pPr>
      <w:bookmarkStart w:id="24" w:name="_Toc512687735"/>
      <w:r w:rsidRPr="00C3671E">
        <w:rPr>
          <w:sz w:val="36"/>
          <w:szCs w:val="36"/>
          <w:lang w:val="en-GB" w:eastAsia="zh-CN"/>
        </w:rPr>
        <w:lastRenderedPageBreak/>
        <w:t xml:space="preserve">Chapter 3: </w:t>
      </w:r>
      <w:r w:rsidR="001A7940" w:rsidRPr="00C3671E">
        <w:rPr>
          <w:sz w:val="36"/>
          <w:szCs w:val="36"/>
          <w:lang w:val="en-GB" w:eastAsia="zh-CN"/>
        </w:rPr>
        <w:t>The consequences of prolonged working life for a subjective quality of life across Europe</w:t>
      </w:r>
      <w:bookmarkEnd w:id="24"/>
    </w:p>
    <w:p w14:paraId="75DEB6FD" w14:textId="77777777" w:rsidR="001A7940" w:rsidRPr="00C3671E" w:rsidRDefault="001A7940" w:rsidP="001A7940">
      <w:pPr>
        <w:suppressAutoHyphens/>
        <w:spacing w:after="120" w:line="480" w:lineRule="auto"/>
        <w:jc w:val="both"/>
        <w:rPr>
          <w:b/>
          <w:lang w:val="en-GB" w:eastAsia="zh-CN"/>
        </w:rPr>
      </w:pPr>
      <w:r w:rsidRPr="00C3671E">
        <w:rPr>
          <w:b/>
          <w:lang w:val="en-GB" w:eastAsia="zh-CN"/>
        </w:rPr>
        <w:t>Abstract</w:t>
      </w:r>
    </w:p>
    <w:p w14:paraId="7C1EEDBC" w14:textId="77777777" w:rsidR="001A7940" w:rsidRPr="00C3671E" w:rsidRDefault="001A7940" w:rsidP="001A7940">
      <w:pPr>
        <w:suppressAutoHyphens/>
        <w:spacing w:after="120" w:line="480" w:lineRule="auto"/>
        <w:jc w:val="both"/>
        <w:rPr>
          <w:lang w:val="en-GB" w:eastAsia="zh-CN"/>
        </w:rPr>
      </w:pPr>
      <w:r w:rsidRPr="00C3671E">
        <w:rPr>
          <w:lang w:val="en-GB" w:eastAsia="zh-CN"/>
        </w:rPr>
        <w:t>This paper examines the effect of prolonged working careers on a subjective quality of life (QoL) in four European regions. The basic assumption of the role accumulation theory and the active ageing approach that additional roles – including prolonged working careers – are beneficial for the quality of life of older people is tested. The method of propensity score matching is conducted on SHARE data for four European regions with distinctive economic, institutional, and cultural context connected to paid work. The results show different effects of prolonged working for different European regions and different domains of the subjective quality of life, which indicate a context-sensitivity of this effect. On the one hand, the effect of prolonged labour force participation on QoL as a whole, control over life, and pleasure is positive in regions with a financial need as more important motivation to work than some nonmaterial needs. On the other hand, the effect on QoL and autonomy is negative in wealthier and more developed European regions. The paper concludes that the main motivation for prolonged working careers seems avoidance of deteriorated living standard, and thus satisfactory conditions of retirement should be an aim complementary to working incentives for those, who are willing and able to work longer.</w:t>
      </w:r>
    </w:p>
    <w:p w14:paraId="49933FCE" w14:textId="77777777" w:rsidR="001A7940" w:rsidRPr="00C3671E" w:rsidRDefault="001A7940" w:rsidP="001A7940">
      <w:pPr>
        <w:suppressAutoHyphens/>
        <w:spacing w:after="120" w:line="480" w:lineRule="auto"/>
        <w:jc w:val="both"/>
        <w:rPr>
          <w:lang w:val="en-GB" w:eastAsia="zh-CN"/>
        </w:rPr>
      </w:pPr>
      <w:r w:rsidRPr="00C3671E">
        <w:rPr>
          <w:b/>
          <w:lang w:val="en-GB" w:eastAsia="zh-CN"/>
        </w:rPr>
        <w:t xml:space="preserve">KEY WORDS: </w:t>
      </w:r>
      <w:r w:rsidRPr="00C3671E">
        <w:rPr>
          <w:lang w:val="en-GB" w:eastAsia="zh-CN"/>
        </w:rPr>
        <w:t>prolonged working careers, quality of life, active ageing, ecological perspective, European regions</w:t>
      </w:r>
    </w:p>
    <w:p w14:paraId="31039B14" w14:textId="77777777" w:rsidR="001A7940" w:rsidRPr="00C3671E" w:rsidRDefault="001A7940" w:rsidP="007E6D8E">
      <w:pPr>
        <w:pStyle w:val="Nadpis2"/>
        <w:spacing w:line="480" w:lineRule="auto"/>
        <w:rPr>
          <w:kern w:val="1"/>
          <w:sz w:val="24"/>
          <w:szCs w:val="32"/>
          <w:lang w:val="en-GB" w:eastAsia="zh-CN"/>
        </w:rPr>
      </w:pPr>
      <w:r w:rsidRPr="00C3671E">
        <w:rPr>
          <w:kern w:val="1"/>
          <w:sz w:val="24"/>
          <w:szCs w:val="32"/>
          <w:lang w:val="en-GB" w:eastAsia="zh-CN"/>
        </w:rPr>
        <w:br w:type="page"/>
      </w:r>
      <w:bookmarkStart w:id="25" w:name="_Toc512687736"/>
      <w:r w:rsidRPr="00C3671E">
        <w:rPr>
          <w:sz w:val="26"/>
          <w:szCs w:val="26"/>
          <w:lang w:val="en-GB"/>
        </w:rPr>
        <w:lastRenderedPageBreak/>
        <w:t>Introduction</w:t>
      </w:r>
      <w:bookmarkEnd w:id="25"/>
    </w:p>
    <w:p w14:paraId="72610E8D" w14:textId="58FC5F68" w:rsidR="001A7940" w:rsidRPr="00C3671E" w:rsidRDefault="001A7940" w:rsidP="00F4146A">
      <w:pPr>
        <w:suppressAutoHyphens/>
        <w:spacing w:line="480" w:lineRule="auto"/>
        <w:jc w:val="both"/>
        <w:rPr>
          <w:lang w:val="en-GB" w:eastAsia="zh-CN"/>
        </w:rPr>
      </w:pPr>
      <w:r w:rsidRPr="00C3671E">
        <w:rPr>
          <w:lang w:val="en-GB" w:eastAsia="zh-CN"/>
        </w:rPr>
        <w:t xml:space="preserve">The population development of the last decades has been characterized by two main features: declining fertility and declining mortality. These two global processes, often labelled as </w:t>
      </w:r>
      <w:r w:rsidRPr="00F4146A">
        <w:rPr>
          <w:rFonts w:eastAsia="Calibri"/>
          <w:lang w:val="en-GB" w:eastAsia="en-US"/>
        </w:rPr>
        <w:t>demographic</w:t>
      </w:r>
      <w:r w:rsidRPr="00C3671E">
        <w:rPr>
          <w:lang w:val="en-GB" w:eastAsia="zh-CN"/>
        </w:rPr>
        <w:t xml:space="preserve"> transitions, are the key sources of the global phenomenon of population ageing. Population ageing is marked as a significant success of humankind, as more people live longer and potentially healthier lives, but also as a challenge and potential threat to economies, social systems, and societal development </w:t>
      </w:r>
      <w:r w:rsidRPr="00C3671E">
        <w:rPr>
          <w:lang w:val="en-GB" w:eastAsia="zh-CN"/>
        </w:rPr>
        <w:fldChar w:fldCharType="begin" w:fldLock="1"/>
      </w:r>
      <w:r w:rsidR="00AA6335" w:rsidRPr="00C3671E">
        <w:rPr>
          <w:lang w:val="en-GB" w:eastAsia="zh-CN"/>
        </w:rPr>
        <w:instrText>ADDIN CSL_CITATION { "citationItems" : [ { "id" : "ITEM-1", "itemData" : { "DOI" : "10.1016/j.ssci.2009.10.008", "ISBN" : "978-0-335-22269-8", "ISSN" : "1544-7529", "PMID" : "20762", "abstract" : "This book aims to convince readers that ageing is not boring, threatening or depressing, but that it has enormous relevance for the young and the old alike. Virpi Timonen provides an engaging introduction to the central social, economic and political aspects and impacts of ageing and makes the case for the importance of analysing ageing from a number of different perspectives. Using comparative international data, the author provides a detailed description of the process of population ageing, including increasing longevity, changes in fertility and variations in the health status of older populations", "author" : [ { "dropping-particle" : "", "family" : "Timonen", "given" : "Virpi", "non-dropping-particle" : "", "parse-names" : false, "suffix" : "" } ], "id" : "ITEM-1", "issued" : { "date-parts" : [ [ "2008" ] ] }, "publisher" : "Open University Press", "publisher-place" : "Maidenhead", "title" : "Ageing societies: A comparative introduction", "type" : "book" }, "uris" : [ "http://www.mendeley.com/documents/?uuid=62ec3e51-def8-4a0a-8206-06ee230cbb1a" ] } ], "mendeley" : { "formattedCitation" : "(Timonen 2008)", "plainTextFormattedCitation" : "(Timonen 2008)", "previouslyFormattedCitation" : "(Timonen 2008)" }, "properties" : { "noteIndex" : 0 }, "schema" : "https://github.com/citation-style-language/schema/raw/master/csl-citation.json" }</w:instrText>
      </w:r>
      <w:r w:rsidRPr="00C3671E">
        <w:rPr>
          <w:lang w:val="en-GB" w:eastAsia="zh-CN"/>
        </w:rPr>
        <w:fldChar w:fldCharType="separate"/>
      </w:r>
      <w:r w:rsidRPr="00C3671E">
        <w:rPr>
          <w:noProof/>
          <w:lang w:val="en-GB" w:eastAsia="zh-CN"/>
        </w:rPr>
        <w:t>(Timonen 2008)</w:t>
      </w:r>
      <w:r w:rsidRPr="00C3671E">
        <w:rPr>
          <w:lang w:val="en-GB" w:eastAsia="zh-CN"/>
        </w:rPr>
        <w:fldChar w:fldCharType="end"/>
      </w:r>
      <w:r w:rsidRPr="00C3671E">
        <w:rPr>
          <w:lang w:val="en-GB" w:eastAsia="zh-CN"/>
        </w:rPr>
        <w:t xml:space="preserve">. Hence, many theoretical and practical reactions aim to address the challenge of population ageing. The concept and policy of active ageing is the dominant perspective addressing population ageing at both theoretical and practical level </w:t>
      </w:r>
      <w:r w:rsidRPr="00C3671E">
        <w:rPr>
          <w:lang w:val="en-GB" w:eastAsia="zh-CN"/>
        </w:rPr>
        <w:fldChar w:fldCharType="begin" w:fldLock="1"/>
      </w:r>
      <w:r w:rsidR="00AA6335" w:rsidRPr="00C3671E">
        <w:rPr>
          <w:lang w:val="en-GB" w:eastAsia="zh-CN"/>
        </w:rPr>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"mendeley" : { "formattedCitation" : "(Timonen 2016)", "plainTextFormattedCitation" : "(Timonen 2016)", "previouslyFormattedCitation" : "(Timonen 2016)" }, "properties" : { "noteIndex" : 0 }, "schema" : "https://github.com/citation-style-language/schema/raw/master/csl-citation.json" }</w:instrText>
      </w:r>
      <w:r w:rsidRPr="00C3671E">
        <w:rPr>
          <w:lang w:val="en-GB" w:eastAsia="zh-CN"/>
        </w:rPr>
        <w:fldChar w:fldCharType="separate"/>
      </w:r>
      <w:r w:rsidRPr="00C3671E">
        <w:rPr>
          <w:noProof/>
          <w:lang w:val="en-GB" w:eastAsia="zh-CN"/>
        </w:rPr>
        <w:t>(Timonen 2016)</w:t>
      </w:r>
      <w:r w:rsidRPr="00C3671E">
        <w:rPr>
          <w:lang w:val="en-GB" w:eastAsia="zh-CN"/>
        </w:rPr>
        <w:fldChar w:fldCharType="end"/>
      </w:r>
      <w:r w:rsidRPr="00C3671E">
        <w:rPr>
          <w:lang w:val="en-GB" w:eastAsia="zh-CN"/>
        </w:rPr>
        <w:t xml:space="preserve">. The active ageing approach is especially pronounced in Europe, which as the oldest continent tries to develop a joint solution to this challenge </w:t>
      </w:r>
      <w:r w:rsidRPr="00C3671E">
        <w:rPr>
          <w:lang w:val="en-GB" w:eastAsia="zh-CN"/>
        </w:rPr>
        <w:fldChar w:fldCharType="begin" w:fldLock="1"/>
      </w:r>
      <w:r w:rsidR="00AA6335" w:rsidRPr="00C3671E">
        <w:rPr>
          <w:lang w:val="en-GB" w:eastAsia="zh-CN"/>
        </w:rPr>
        <w:instrText>ADDIN CSL_CITATION { "citationItems" : [ { "id" : "ITEM-1", "itemData" : { "DOI" : "10.1093/geront/gnu028", "ISBN" : "0016-9013", "ISSN" : "1758-5341", "PMID" : "24846882", "abstract" : "Over the past two decades, \"active aging\" has emerged in Europe as the foremost policy response to the challenges of population aging. This article examines the concept of active aging and how it differs from that of \"successful aging.\" In particular, it shows how active aging presents a more holistic, life course-oriented approach than successful aging. We provide a critical perspective on active aging too by, first, tracing its emergence in Europe and then showing how, in practice, it has been dominated by a narrow economic or productivist perspective that prioritizes the extension of working life. It has also been gender blind. Nonetheless, it is argued that an active aging approach has the potential to enable countries to respond successfully to the challenges of population aging because of its comprehensive focus and emphasis on societal as well as individual responsibility. Finally, we set out the basic principles that need to be followed if the full potential of active aging is to be achieved.", "author" : [ { "dropping-particle" : "", "family" : "Foster", "given" : "Liam", "non-dropping-particle" : "", "parse-names" : false, "suffix" : "" }, { "dropping-particle" : "", "family" : "Walker", "given" : "Alan", "non-dropping-particle" : "", "parse-names" : false, "suffix" : "" } ], "container-title" : "The Gerontologist", "id" : "ITEM-1", "issue" : "1", "issued" : { "date-parts" : [ [ "2015" ] ] }, "note" : "Foster, Walker 2014: Active and Successful Aging: A Euroepean Policy perspective\n\u201cactive aging\u201d has emerged in Europe as the foremost policy response to the challenges of population aging\nactive aging presents a more holistic, life course\u2013oriented approach than successful aging\ncritique of active aging perspective - emergence in Europe\n- dominated by a narrow economic perspective\n- gender blind\nall together, this approach has the potential to respond successfully to the challenges of population aging because of its comprehensive focus and emphasis on societal as well as individual responsibility\nAA should enable to create own forms of activity, instead of focusing on a predetermined, limited number of domains, usually developed from an \u2018expert\u2019 perspective\u201d (Boudiny &amp;amp; Mortelmans, 2011, p. 12)\nThere is also a danger that the \u201chealth and well-being\u201d narrative retreats to become the preserve of a \u201cfourth age\u201d charac- terized by biological decline and consumption of welfare resources\nstructural and economic barriers to active aging must be addressed for a comprehensive approach\n\u2192\nInternational and European policy on work and retirement: Reinventing critical perspectives\nA critical perspective: Towards a broader understanding of \u2018active ageing\u2019\nNarratives of (in)active age- ing in poor deprived areas of Liverpool", "page" : "83-90", "title" : "Active and Successful Aging: A European Policy Perspective", "type" : "article-journal", "volume" : "55" }, "uris" : [ "http://www.mendeley.com/documents/?uuid=6ef8c660-30ca-4a4a-80c6-6c24c5f5b99d" ] } ], "mendeley" : { "formattedCitation" : "(Foster and Walker 2015)", "plainTextFormattedCitation" : "(Foster and Walker 2015)", "previouslyFormattedCitation" : "(Foster and Walker 2015)" }, "properties" : { "noteIndex" : 0 }, "schema" : "https://github.com/citation-style-language/schema/raw/master/csl-citation.json" }</w:instrText>
      </w:r>
      <w:r w:rsidRPr="00C3671E">
        <w:rPr>
          <w:lang w:val="en-GB" w:eastAsia="zh-CN"/>
        </w:rPr>
        <w:fldChar w:fldCharType="separate"/>
      </w:r>
      <w:r w:rsidR="00C004DA" w:rsidRPr="00C3671E">
        <w:rPr>
          <w:noProof/>
          <w:lang w:val="en-GB" w:eastAsia="zh-CN"/>
        </w:rPr>
        <w:t>(Foster and Walker 2015)</w:t>
      </w:r>
      <w:r w:rsidRPr="00C3671E">
        <w:rPr>
          <w:lang w:val="en-GB" w:eastAsia="zh-CN"/>
        </w:rPr>
        <w:fldChar w:fldCharType="end"/>
      </w:r>
      <w:r w:rsidRPr="00C3671E">
        <w:rPr>
          <w:lang w:val="en-GB" w:eastAsia="zh-CN"/>
        </w:rPr>
        <w:t>.</w:t>
      </w:r>
    </w:p>
    <w:p w14:paraId="10783195" w14:textId="59774A50" w:rsidR="001A7940" w:rsidRPr="00C3671E" w:rsidRDefault="001A7940" w:rsidP="00F4146A">
      <w:pPr>
        <w:pStyle w:val="Newparagraph"/>
        <w:jc w:val="both"/>
        <w:rPr>
          <w:lang w:eastAsia="zh-CN"/>
        </w:rPr>
      </w:pPr>
      <w:r w:rsidRPr="00C3671E">
        <w:rPr>
          <w:lang w:eastAsia="zh-CN"/>
        </w:rPr>
        <w:t xml:space="preserve">The main motto of the active ageing initiative is to ‘add life to years’, which is the idea proclaimed by the World Health Organization and European Union </w:t>
      </w:r>
      <w:r w:rsidRPr="00C3671E">
        <w:rPr>
          <w:lang w:eastAsia="zh-CN"/>
        </w:rPr>
        <w:fldChar w:fldCharType="begin" w:fldLock="1"/>
      </w:r>
      <w:r w:rsidR="001257AA" w:rsidRPr="00C3671E">
        <w:rPr>
          <w:lang w:eastAsia="zh-CN"/>
        </w:rPr>
        <w:instrText>ADDIN CSL_CITATION { "citationItems" : [ { "id" : "ITEM-1", "itemData" : { "DOI" : "10.1111/1468-246X.00118", "ISBN" : "0020871X", "ISSN" : "0020-871X", "abstract" : "This article argues that a strategy of active ageing, by linking the key policy domains of employment, pensions, retirement, health and citizenship, provides a sound basis for industrialized countries to respond to the challenges presented by population ageing. The article outlines the genesis of the concept of active ageing and the principles that should be embodied in a modernized, comprehensive approach fit for the twenty-first century. It then considers the potential for active ageing to address problems in the five key policy domains. Finally the article sets out a strategy on active ageing and illustrates how it might be operationalized at different stages of the life cycle. In conclusion the potentially beneficial nature of a comprehensive strategy on active ageing is emphasized: it represents the unusual combination of a morally correct policy that also makes sound economic sense.", "author" : [ { "dropping-particle" : "", "family" : "Walker", "given" : "Alan", "non-dropping-particle" : "", "parse-names" : false, "suffix" : "" } ], "container-title" : "International Social Security Review", "id" : "ITEM-1", "issue" : "1", "issued" : { "date-parts" : [ [ "2002" ] ] }, "page" : "121-139", "title" : "A strategy for active ageing", "type" : "article-journal", "volume" : "55" }, "uris" : [ "http://www.mendeley.com/documents/?uuid=bac7ad5d-dc20-46b2-82e4-4f90b0a76f71" ] }, { "id" : "ITEM-2",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"WHO", "given" : "", "non-dropping-particle" : "", "parse-names" : false, "suffix" : "" } ], "id" : "ITEM-2", "issued" : { "date-parts" : [ [ "2012" ] ] }, "page" : "1- 30", "publisher" : "WHO Document Production Services", "publisher-place" : "Geneva", "title" : "Good Health Adds Life to Years: Global brief for World Health Day 2012", "type" : "article" }, "uris" : [ "http://www.mendeley.com/documents/?uuid=740a8865-7e41-4935-a7f2-ea9856c5c7bc" ] } ], "mendeley" : { "formattedCitation" : "(Walker 2002a; WHO 2012)", "plainTextFormattedCitation" : "(Walker 2002a; WHO 2012)", "previouslyFormattedCitation" : "(Walker 2002a; WHO 2012)" }, "properties" : { "noteIndex" : 0 }, "schema" : "https://github.com/citation-style-language/schema/raw/master/csl-citation.json" }</w:instrText>
      </w:r>
      <w:r w:rsidRPr="00C3671E">
        <w:rPr>
          <w:lang w:eastAsia="zh-CN"/>
        </w:rPr>
        <w:fldChar w:fldCharType="separate"/>
      </w:r>
      <w:r w:rsidR="00A91559" w:rsidRPr="00C3671E">
        <w:rPr>
          <w:noProof/>
          <w:lang w:eastAsia="zh-CN"/>
        </w:rPr>
        <w:t>(Walker 2002a; WHO 2012)</w:t>
      </w:r>
      <w:r w:rsidRPr="00C3671E">
        <w:rPr>
          <w:lang w:eastAsia="zh-CN"/>
        </w:rPr>
        <w:fldChar w:fldCharType="end"/>
      </w:r>
      <w:r w:rsidRPr="00C3671E">
        <w:rPr>
          <w:lang w:eastAsia="zh-CN"/>
        </w:rPr>
        <w:t xml:space="preserve">. Active way of ageing is presented as a source of many benefits for both older people and societies. The guiding principles of active ageing – employment, participation in society, and </w:t>
      </w:r>
      <w:r w:rsidRPr="00C3671E">
        <w:t>independent</w:t>
      </w:r>
      <w:r w:rsidRPr="00C3671E">
        <w:rPr>
          <w:lang w:eastAsia="zh-CN"/>
        </w:rPr>
        <w:t xml:space="preserve"> living – should contribute to creating more inclusive societies with a sufficient amount of labour force at the societal level and healthier older people with higher quality of life (QoL) at the individual level </w:t>
      </w:r>
      <w:r w:rsidRPr="00C3671E">
        <w:rPr>
          <w:lang w:eastAsia="zh-CN"/>
        </w:rPr>
        <w:fldChar w:fldCharType="begin" w:fldLock="1"/>
      </w:r>
      <w:r w:rsidR="001257AA" w:rsidRPr="00C3671E">
        <w:rPr>
          <w:lang w:eastAsia="zh-CN"/>
        </w:rPr>
        <w:instrText>ADDIN CSL_CITATION { "citationItems" : [ { "id" : "ITEM-1", "itemData" : { "ISBN" : "9789287152404", "abstract" : "Foreword\\n\\nThe Council of Europe has a long tradition of producing population studies, and the work of the European Population Committee contributes to the understanding of the relationship between social policy and demographic issues in Europe. The findings of this work are published in the series Population studies, where topics covered include migration flows, national minorities, demographic\\nchanges and the labour market, the ageing of European populations and the demographic consequences of economic transition. These publications provide essential background information for implementing the Council of Europe\u2019s strategy for social cohesion: an integrated policy approach aimed at combating poverty and social exclusion through promoting access to social rights in areas\\nsuch as employment and training, health, social protection, housing, education and social services.\\n\\nThis volume takes as its starting point the changing age structure in European countries. This is characterised by the increase in the number of elderly persons and the decrease in the young and working populations. It reviews the demographic differences between European countries. The authors note that improved living conditions and effective health and social policies mean that the majority of younger elderly Europeans reach the third age in relatively good health and under conditions of some income security. They point out\\nthat whilst the effective age at retirement has been declining, it is only a minority of elderly people who use their free time in an active manner.\\n\\nThe authors examine the different public policy approaches and individual strategies developed in response to these societal changes and they make wide-ranging policy proposals for the development of active ageing strategies which address issues of employment, health, leisure and social cohesion.", "author" : [ { "dropping-particle" : "", "family" : "Avramov", "given" : "Dragana", "non-dropping-particle" : "", "parse-names" : false, "suffix" : "" }, { "dropping-particle" : "", "family" : "Maskova", "given" : "Miroslava", "non-dropping-particle" : "", "parse-names" : false, "suffix" : "" } ], "container-title" : "Population studies", "id" : "ITEM-1", "issue" : "41", "issued" : { "date-parts" : [ [ "2003" ] ] }, "number-of-pages" : "1-152", "publisher" : "Council of Europe Publishing", "publisher-place" : "Strasbourg", "title" : "Active ageing in Europe", "type" : "book", "volume" : "1" }, "uris" : [ "http://www.mendeley.com/documents/?uuid=7db55846-516c-430d-834c-164bd53456b9" ] }, { "id" : "ITEM-2", "itemData" : { "author" : [ { "dropping-particle" : "", "family" : "EU Council", "given" : "", "non-dropping-particle" : "", "parse-names" : false, "suffix" : "" } ], "id" : "ITEM-2", "issued" : { "date-parts" : [ [ "2012" ] ] }, "publisher" : "EU Council", "publisher-place" : "Brussels", "title" : "Council Declaration on the European Year for Active Ageing and Solidarity between Generations (2012): The Way Forward", "type" : "book" }, "uris" : [ "http://www.mendeley.com/documents/?uuid=bc232528-fad4-4b15-bede-b113103dbe49" ] }, { "id" : "ITEM-3", "itemData" : { "author" : [ { "dropping-particle" : "", "family" : "European Commission", "given" : "", "non-dropping-particle" : "", "parse-names" : false, "suffix" : "" } ], "id" : "ITEM-3", "issued" : { "date-parts" : [ [ "2013" ] ] }, "publisher" : "European Comission", "publisher-place" : "Brussels", "title" : "Introducing the Active Ageing Index. Policy brief", "type" : "book" }, "uris" : [ "http://www.mendeley.com/documents/?uuid=15ea840e-806d-4ce4-88d2-b847e7b3756b" ] } ], "mendeley" : { "formattedCitation" : "(Avramov and Maskova 2003; EU Council 2012; European Commission 2013)", "plainTextFormattedCitation" : "(Avramov and Maskova 2003; EU Council 2012; European Commission 2013)", "previouslyFormattedCitation" : "(Avramov and Maskova 2003; EU Council 2012; European Commission 2013)" }, "properties" : { "noteIndex" : 0 }, "schema" : "https://github.com/citation-style-language/schema/raw/master/csl-citation.json" }</w:instrText>
      </w:r>
      <w:r w:rsidRPr="00C3671E">
        <w:rPr>
          <w:lang w:eastAsia="zh-CN"/>
        </w:rPr>
        <w:fldChar w:fldCharType="separate"/>
      </w:r>
      <w:r w:rsidR="00A91559" w:rsidRPr="00C3671E">
        <w:rPr>
          <w:noProof/>
          <w:lang w:eastAsia="zh-CN"/>
        </w:rPr>
        <w:t>(Avramov and Maskova 2003; EU Council 2012; European Commission 2013)</w:t>
      </w:r>
      <w:r w:rsidRPr="00C3671E">
        <w:rPr>
          <w:lang w:eastAsia="zh-CN"/>
        </w:rPr>
        <w:fldChar w:fldCharType="end"/>
      </w:r>
      <w:r w:rsidRPr="00C3671E">
        <w:rPr>
          <w:lang w:eastAsia="zh-CN"/>
        </w:rPr>
        <w:t>.</w:t>
      </w:r>
    </w:p>
    <w:p w14:paraId="6E12EC6E" w14:textId="6AA0EAE8" w:rsidR="001A7940" w:rsidRPr="00C3671E" w:rsidRDefault="001A7940" w:rsidP="00F4146A">
      <w:pPr>
        <w:pStyle w:val="Newparagraph"/>
        <w:jc w:val="both"/>
        <w:rPr>
          <w:lang w:eastAsia="zh-CN"/>
        </w:rPr>
      </w:pPr>
      <w:r w:rsidRPr="00C3671E">
        <w:rPr>
          <w:lang w:eastAsia="zh-CN"/>
        </w:rPr>
        <w:t xml:space="preserve">One of the crucial sources of the beneficial prospects presented by proponents of active ageing is prolonged labour force </w:t>
      </w:r>
      <w:r w:rsidRPr="00C3671E">
        <w:t>participation</w:t>
      </w:r>
      <w:r w:rsidRPr="00C3671E">
        <w:rPr>
          <w:lang w:eastAsia="zh-CN"/>
        </w:rPr>
        <w:t xml:space="preserve"> of older people, which is claimed to be a source of financial security, identity, social contacts, prestige, and physical activity </w:t>
      </w:r>
      <w:r w:rsidRPr="00C3671E">
        <w:rPr>
          <w:lang w:eastAsia="zh-CN"/>
        </w:rPr>
        <w:fldChar w:fldCharType="begin" w:fldLock="1"/>
      </w:r>
      <w:r w:rsidR="001257AA" w:rsidRPr="00C3671E">
        <w:rPr>
          <w:lang w:eastAsia="zh-CN"/>
        </w:rPr>
        <w:instrText>ADDIN CSL_CITATION { "citationItems" : [ { "id" : "ITEM-1", "itemData" : { "ISBN" : "0-335-21513-0", "author" : [ { "dropping-particle" : "", "family" : "Walker", "given" : "Alan", "non-dropping-particle" : "", "parse-names" : false, "suffix" : "" } ], "chapter-number" : "1", "container-title" : "Growing older in Europe", "editor" : [ { "dropping-particle" : "", "family" : "Walker", "given" : "Alan", "non-dropping-particle" : "", "parse-names" : false, "suffix" : "" } ], "id" : "ITEM-1", "issued" : { "date-parts" : [ [ "2004" ] ] }, "page" : "1-30", "publisher" : "Open University Press", "publisher-place" : "Maidenhead", "title" : "Quality of life in old age in Europe", "type" : "chapter" }, "uris" : [ "http://www.mendeley.com/documents/?uuid=50d6f5fc-128c-4195-b27d-ab7f3f67bfab" ] }, { "id" : "ITEM-2", "itemData" : { "author" : [ { "dropping-particle" : "", "family" : "Andersson", "given" : "Lars", "non-dropping-particle" : "", "parse-names" : false, "suffix" : "" } ], "chapter-number" : "5", "container-title" : "Growing older in Europe", "editor" : [ { "dropping-particle" : "", "family" : "Walker", "given" : "Alan", "non-dropping-particle" : "", "parse-names" : false, "suffix" : "" } ], "id" : "ITEM-2", "issued" : { "date-parts" : [ [ "2004" ] ] }, "page" : "105-128", "publisher" : "Open University Press", "publisher-place" : "Maidenhead", "title" : "Sweden - quality of life in old age I", "type" : "chapter" }, "uris" : [ "http://www.mendeley.com/documents/?uuid=6ba148d2-4767-4831-90aa-b02db5e6eb9d" ] }, { "id" : "ITEM-3", "itemData" : { "DOI" : "10.1136/jech-2013-202820", "ISBN" : "0143-005x", "ISSN" : "1470-2738", "PMID" : "22156662", "abstract" : "BACKGROUND: 'Active ageing' has been promoted as a strategy for extending quality of life and healthy life expectancy. However, there is limited evidence from nationally representative longitudinal studies on whether engagement among older adults is associated with better outcomes and few studies have considered possible bias arising from differential study attrition. METHODS: We investigate associations between the engagement of people aged 50-69 in three types of activity with self-rated health and depression 2 years later using nationally representative longitudinal data from four European countries (Denmark, France, Italy and England). Data were drawn from waves 1 and 2 of the Survey of Health, Ageing and Retirement in Europe and the English Longitudinal Study of Ageing. Multivariable analysis was used to analyse associations between baseline activity and outcomes at follow-up controlling for socioeconomic, demographic and health-related variables at baseline. Multiple imputation techniques and sensitivity analyses were undertaken to investigate possible bias arising from sample attrition. RESULTS: Respondents in paid work at baseline were less likely to be depressed or to report poor or fair health at follow-up than those who were 'inactive', although not in Italy. Engagement in formal and informal activities was not significantly associated with health at follow-up. Sensitivity analyses showed that assuming that those in bad health were over-represented among study attritors weakened the association between work at baseline and health at follow-up. CONCLUSIONS: Engagement in paid work may help maintain health in later life, although mechanisms and contextual influences need further investigation.", "author" : [ { "dropping-particle" : "", "family" : "Gessa", "given" : "Giorgio", "non-dropping-particle" : "Di", "parse-names" : false, "suffix" : "" }, { "dropping-particle" : "", "family" : "Grundy", "given" : "Emily", "non-dropping-particle" : "", "parse-names" : false, "suffix" : "" } ], "container-title" : "Journal of Epidemiology and Community Health", "id" : "ITEM-3", "issue" : "3", "issued" : { "date-parts" : [ [ "2013" ] ] }, "note" : "Gessa, Grundy 2013: The relationship between active ageing and health using longitudinal data from Denmark, France, Italy and England\n\u2018Active ageing\u2019 has been promoted as a strategy for extending quality of life and healthy life expectancy\nEngagement of older people occurs within a socio-political context and may be influenced by the provision of services and generosity of benefits, pension schemes and labour, retirement and early retirement policies, as well as norms and values.14 15 It is well recognised that these contextual factors vary within Europe, and typologies have been developed that group together countries with similar policies\nEngagement in formal and informal activities was not significantly associated with health at follow-up - higher attrition\nof ill respondents\npossitive impact of work in three countries except Italy\npaid work - prestige, power, status + physical activity + economic resources\nNo associations were found between engagement in the other types of activity considered and either depression or SRH\nEngagement in paid work may help maintain health in later life, although mechanisms and contextual influences need further investigation\n\u2192\nIndividual consequences of volunteer and paid work in old age: health and mortality\nIs work good for your health and well-being?\nPolicy and practices relating to the active engagement of older people in the community\nVariations in older people\u2019s social and productive ageing activities across different social welfare regimes", "page" : "261-267", "title" : "The relationship between active ageing and health using longitudinal data from Denmark, France, Italy and England", "type" : "article-journal", "volume" : "68" }, "uris" : [ "http://www.mendeley.com/documents/?uuid=099505a4-8bdf-490c-ae2d-b130a8bcf814" ] }, { "id" : "ITEM-4", "itemData" : { "DOI" : "10.1007/s10902-012-9399-2", "ISSN" : "13894978", "abstract" : "This study examines the relationship between retirement and subjective well-being (SWB), utilizing international data from sixteen countries in Western Europe and the US. Differences in social security regimes are exploited to estimate the retirement decision such that it is exogenous to individual-level characteristics. Although results from traditional ordinary least squares suggest an ambiguous relationship between retirement and SWB, this is due to comparatively lower SWB among those who choose retirement. The removal of selection bias reveals a large, positive effect that fades over a few years, suggesting a multi-stage adjustment to retirement. Individuals facing formal retirement at age 65 or later experience an increase in SWB that is roughly equivalent in total value to that of individuals facing earlier retirement, and both groups return to trend by age 70. This suggests that raising the formal retirement age, which is widely discussed today by policymakers, is relatively neutral with regard to SWB in the long-term.", "author" : [ { "dropping-particle" : "", "family" : "Horner", "given" : "Elizabeth Mokyr", "non-dropping-particle" : "", "parse-names" : false, "suffix" : "" } ], "container-title" : "Journal of Happiness Studies", "id" : "ITEM-4", "issue" : "1", "issued" : { "date-parts" : [ [ "2014" ] ] }, "page" : "125-144", "title" : "Subjective Well-Being and Retirement: Analysis and Policy Recommendations", "type" : "article-journal", "volume" : "15" }, "uris" : [ "http://www.mendeley.com/documents/?uuid=84c4b7f5-4f4e-4a9c-9f0b-e26858f7c56a" ] } ], "mendeley" : { "formattedCitation" : "(Andersson 2004; Di Gessa and Grundy 2013; Horner 2014; Walker 2004)", "plainTextFormattedCitation" : "(Andersson 2004; Di Gessa and Grundy 2013; Horner 2014; Walker 2004)", "previouslyFormattedCitation" : "(Andersson 2004; Di Gessa and Grundy 2013; Horner 2014; Walker 2004)" }, "properties" : { "noteIndex" : 0 }, "schema" : "https://github.com/citation-style-language/schema/raw/master/csl-citation.json" }</w:instrText>
      </w:r>
      <w:r w:rsidRPr="00C3671E">
        <w:rPr>
          <w:lang w:eastAsia="zh-CN"/>
        </w:rPr>
        <w:fldChar w:fldCharType="separate"/>
      </w:r>
      <w:r w:rsidR="00A91559" w:rsidRPr="00C3671E">
        <w:rPr>
          <w:noProof/>
          <w:lang w:eastAsia="zh-CN"/>
        </w:rPr>
        <w:t>(Andersson 2004; Di Gessa and Grundy 2013; Horner 2014; Walker 2004)</w:t>
      </w:r>
      <w:r w:rsidRPr="00C3671E">
        <w:rPr>
          <w:lang w:eastAsia="zh-CN"/>
        </w:rPr>
        <w:fldChar w:fldCharType="end"/>
      </w:r>
      <w:r w:rsidRPr="00C3671E">
        <w:rPr>
          <w:lang w:eastAsia="zh-CN"/>
        </w:rPr>
        <w:t xml:space="preserve">. On the contrary, retirement is also empirically connected to many beneficial effects of withdrawal from demanding employment </w:t>
      </w:r>
      <w:r w:rsidRPr="00C3671E">
        <w:rPr>
          <w:lang w:eastAsia="zh-CN"/>
        </w:rPr>
        <w:lastRenderedPageBreak/>
        <w:t xml:space="preserve">and increase of free time, represented by a temporary improvement in health and life satisfaction </w:t>
      </w:r>
      <w:r w:rsidRPr="00C3671E">
        <w:rPr>
          <w:lang w:eastAsia="zh-CN"/>
        </w:rPr>
        <w:fldChar w:fldCharType="begin" w:fldLock="1"/>
      </w:r>
      <w:r w:rsidR="001257AA" w:rsidRPr="00C3671E">
        <w:rPr>
          <w:lang w:eastAsia="zh-CN"/>
        </w:rPr>
        <w:instrText>ADDIN CSL_CITATION { "citationItems" : [ { "id" : "ITEM-1", "itemData" : { "author" : [ { "dropping-particle" : "", "family" : "Weidekamp-Maicher", "given" : "Monika", "non-dropping-particle" : "", "parse-names" : false, "suffix" : "" }, { "dropping-particle" : "", "family" : "Reichert", "given" : "Manuela", "non-dropping-particle" : "", "parse-names" : false, "suffix" : "" } ], "chapter-number" : "2", "container-title" : "Growing older in Europe", "editor" : [ { "dropping-particle" : "", "family" : "Walker", "given" : "Alan", "non-dropping-particle" : "", "parse-names" : false, "suffix" : "" } ], "id" : "ITEM-1", "issued" : { "date-parts" : [ [ "2004" ] ] }, "page" : "33-54", "publisher" : "Open University Press", "publisher-place" : "Maidenhead", "title" : "Germany \u2013 quality of life in old age I", "type" : "chapter" }, "uris" : [ "http://www.mendeley.com/documents/?uuid=06019b31-fbc9-4e3f-be95-23acfa8bb59c" ] }, { "id" : "ITEM-2", "itemData" : { "author" : [ { "dropping-particle" : "", "family" : "Andersson", "given" : "Lars", "non-dropping-particle" : "", "parse-names" : false, "suffix" : "" } ], "chapter-number" : "5", "container-title" : "Growing older in Europe", "editor" : [ { "dropping-particle" : "", "family" : "Walker", "given" : "Alan", "non-dropping-particle" : "", "parse-names" : false, "suffix" : "" } ], "id" : "ITEM-2", "issued" : { "date-parts" : [ [ "2004" ] ] }, "page" : "105-128", "publisher" : "Open University Press", "publisher-place" : "Maidenhead", "title" : "Sweden - quality of life in old age I", "type" : "chapter" }, "uris" : [ "http://www.mendeley.com/documents/?uuid=6ba148d2-4767-4831-90aa-b02db5e6eb9d" ] }, { "id" : "ITEM-3", "itemData" : { "DOI" : "10.1007/s10902-012-9399-2", "ISSN" : "13894978", "abstract" : "This study examines the relationship between retirement and subjective well-being (SWB), utilizing international data from sixteen countries in Western Europe and the US. Differences in social security regimes are exploited to estimate the retirement decision such that it is exogenous to individual-level characteristics. Although results from traditional ordinary least squares suggest an ambiguous relationship between retirement and SWB, this is due to comparatively lower SWB among those who choose retirement. The removal of selection bias reveals a large, positive effect that fades over a few years, suggesting a multi-stage adjustment to retirement. Individuals facing formal retirement at age 65 or later experience an increase in SWB that is roughly equivalent in total value to that of individuals facing earlier retirement, and both groups return to trend by age 70. This suggests that raising the formal retirement age, which is widely discussed today by policymakers, is relatively neutral with regard to SWB in the long-term.", "author" : [ { "dropping-particle" : "", "family" : "Horner", "given" : "Elizabeth Mokyr", "non-dropping-particle" : "", "parse-names" : false, "suffix" : "" } ], "container-title" : "Journal of Happiness Studies", "id" : "ITEM-3", "issue" : "1", "issued" : { "date-parts" : [ [ "2014" ] ] }, "page" : "125-144", "title" : "Subjective Well-Being and Retirement: Analysis and Policy Recommendations", "type" : "article-journal", "volume" : "15" }, "uris" : [ "http://www.mendeley.com/documents/?uuid=84c4b7f5-4f4e-4a9c-9f0b-e26858f7c56a" ] } ], "mendeley" : { "formattedCitation" : "(Andersson 2004; Horner 2014; Weidekamp-Maicher and Reichert 2004)", "plainTextFormattedCitation" : "(Andersson 2004; Horner 2014; Weidekamp-Maicher and Reichert 2004)", "previouslyFormattedCitation" : "(Andersson 2004; Horner 2014; Weidekamp-Maicher and Reichert 2004)" }, "properties" : { "noteIndex" : 0 }, "schema" : "https://github.com/citation-style-language/schema/raw/master/csl-citation.json" }</w:instrText>
      </w:r>
      <w:r w:rsidRPr="00C3671E">
        <w:rPr>
          <w:lang w:eastAsia="zh-CN"/>
        </w:rPr>
        <w:fldChar w:fldCharType="separate"/>
      </w:r>
      <w:r w:rsidR="00A91559" w:rsidRPr="00C3671E">
        <w:rPr>
          <w:noProof/>
          <w:lang w:eastAsia="zh-CN"/>
        </w:rPr>
        <w:t>(Andersson 2004; Horner 2014; Weidekamp-Maicher and Reichert 2004)</w:t>
      </w:r>
      <w:r w:rsidRPr="00C3671E">
        <w:rPr>
          <w:lang w:eastAsia="zh-CN"/>
        </w:rPr>
        <w:fldChar w:fldCharType="end"/>
      </w:r>
      <w:r w:rsidRPr="00C3671E">
        <w:rPr>
          <w:lang w:eastAsia="zh-CN"/>
        </w:rPr>
        <w:t xml:space="preserve">. Generally, some studies stress the beneficial effect of working longer </w:t>
      </w:r>
      <w:r w:rsidRPr="00C3671E">
        <w:rPr>
          <w:lang w:eastAsia="zh-CN"/>
        </w:rPr>
        <w:fldChar w:fldCharType="begin" w:fldLock="1"/>
      </w:r>
      <w:r w:rsidR="001257AA" w:rsidRPr="00C3671E">
        <w:rPr>
          <w:lang w:eastAsia="zh-CN"/>
        </w:rPr>
        <w:instrText>ADDIN CSL_CITATION { "citationItems" : [ { "id" : "ITEM-1", "itemData" : { "DOI" : "10.1136/jech-2013-202820", "ISBN" : "0143-005x", "ISSN" : "1470-2738", "PMID" : "22156662", "abstract" : "BACKGROUND: 'Active ageing' has been promoted as a strategy for extending quality of life and healthy life expectancy. However, there is limited evidence from nationally representative longitudinal studies on whether engagement among older adults is associated with better outcomes and few studies have considered possible bias arising from differential study attrition. METHODS: We investigate associations between the engagement of people aged 50-69 in three types of activity with self-rated health and depression 2 years later using nationally representative longitudinal data from four European countries (Denmark, France, Italy and England). Data were drawn from waves 1 and 2 of the Survey of Health, Ageing and Retirement in Europe and the English Longitudinal Study of Ageing. Multivariable analysis was used to analyse associations between baseline activity and outcomes at follow-up controlling for socioeconomic, demographic and health-related variables at baseline. Multiple imputation techniques and sensitivity analyses were undertaken to investigate possible bias arising from sample attrition. RESULTS: Respondents in paid work at baseline were less likely to be depressed or to report poor or fair health at follow-up than those who were 'inactive', although not in Italy. Engagement in formal and informal activities was not significantly associated with health at follow-up. Sensitivity analyses showed that assuming that those in bad health were over-represented among study attritors weakened the association between work at baseline and health at follow-up. CONCLUSIONS: Engagement in paid work may help maintain health in later life, although mechanisms and contextual influences need further investigation.", "author" : [ { "dropping-particle" : "", "family" : "Gessa", "given" : "Giorgio", "non-dropping-particle" : "Di", "parse-names" : false, "suffix" : "" }, { "dropping-particle" : "", "family" : "Grundy", "given" : "Emily", "non-dropping-particle" : "", "parse-names" : false, "suffix" : "" } ], "container-title" : "Journal of Epidemiology and Community Health", "id" : "ITEM-1", "issue" : "3", "issued" : { "date-parts" : [ [ "2013" ] ] }, "note" : "Gessa, Grundy 2013: The relationship between active ageing and health using longitudinal data from Denmark, France, Italy and England\n\u2018Active ageing\u2019 has been promoted as a strategy for extending quality of life and healthy life expectancy\nEngagement of older people occurs within a socio-political context and may be influenced by the provision of services and generosity of benefits, pension schemes and labour, retirement and early retirement policies, as well as norms and values.14 15 It is well recognised that these contextual factors vary within Europe, and typologies have been developed that group together countries with similar policies\nEngagement in formal and informal activities was not significantly associated with health at follow-up - higher attrition\nof ill respondents\npossitive impact of work in three countries except Italy\npaid work - prestige, power, status + physical activity + economic resources\nNo associations were found between engagement in the other types of activity considered and either depression or SRH\nEngagement in paid work may help maintain health in later life, although mechanisms and contextual influences need further investigation\n\u2192\nIndividual consequences of volunteer and paid work in old age: health and mortality\nIs work good for your health and well-being?\nPolicy and practices relating to the active engagement of older people in the community\nVariations in older people\u2019s social and productive ageing activities across different social welfare regimes", "page" : "261-267", "title" : "The relationship between active ageing and health using longitudinal data from Denmark, France, Italy and England", "type" : "article-journal", "volume" : "68" }, "uris" : [ "http://www.mendeley.com/documents/?uuid=099505a4-8bdf-490c-ae2d-b130a8bcf814" ] }, { "id" : "ITEM-2", "itemData" : { "DOI" : "10.1007/s10433-010-0163-3", "ISBN" : "1613-9372", "ISSN" : "16139372", "abstract" : "Population ageing changes profoundly the current balance between generations. Governments are responding with policies to promote later retirement and family care, but these ideals may come in conflict in mid-life when family obligations can be hard to reconcile with employment. Yet we know little about the prevalence of being \"sandwiched\", and even less about the consequences. This article maps out the prevalence of different forms of family and work sandwiching for the Norwegian population, and explores adaptive strategies and psycho-social outcomes. The analyses are based on data from the NorLAG and LOGG studies (n = 15 109, age 18-84). Preliminary findings indicate that 75-80% of the population are located in-between younger and older family generations in mid-life, the great majority are at the same time in paid work, but comparatively few (8-9% aged 35-45) have both children and parents in need at the same time, and fewer still (3%) are then also caregivers to older parents. Although few in proportion of their age group, they add up to a considerable number of persons. Women are more likely to reduce work in response to family needs than men. Implications of family and work sandwiching for health and well-being are analysed. \u00a9 2010 Springer-Verlag.", "author" : [ { "dropping-particle" : "", "family" : "Daatland", "given" : "Svein Olav", "non-dropping-particle" : "", "parse-names" : false, "suffix" : "" }, { "dropping-particle" : "", "family" : "Veenstra", "given" : "Marijke", "non-dropping-particle" : "", "parse-names" : false, "suffix" : "" }, { "dropping-particle" : "", "family" : "Lima", "given" : "Ivar A.", "non-dropping-particle" : "", "parse-names" : false, "suffix" : "" } ], "container-title" : "European Journal of Ageing", "id" : "ITEM-2", "issue" : "4", "issued" : { "date-parts" : [ [ "2010" ] ] }, "page" : "271-281", "title" : "Norwegian sandwiches: On the prevalence and consequences of family and work role squeezes over the life course", "type" : "article-journal", "volume" : "7" }, "uris" : [ "http://www.mendeley.com/documents/?uuid=c1eb358a-9caf-403f-9959-f499ef63b4b6" ] } ], "mendeley" : { "formattedCitation" : "(Daatland, Veenstra, and Lima 2010; Di Gessa and Grundy 2013)", "plainTextFormattedCitation" : "(Daatland, Veenstra, and Lima 2010; Di Gessa and Grundy 2013)", "previouslyFormattedCitation" : "(Daatland, Veenstra, and Lima 2010; Di Gessa and Grundy 2013)" }, "properties" : { "noteIndex" : 0 }, "schema" : "https://github.com/citation-style-language/schema/raw/master/csl-citation.json" }</w:instrText>
      </w:r>
      <w:r w:rsidRPr="00C3671E">
        <w:rPr>
          <w:lang w:eastAsia="zh-CN"/>
        </w:rPr>
        <w:fldChar w:fldCharType="separate"/>
      </w:r>
      <w:r w:rsidR="00A91559" w:rsidRPr="00C3671E">
        <w:rPr>
          <w:noProof/>
          <w:lang w:eastAsia="zh-CN"/>
        </w:rPr>
        <w:t>(Daatland, Veenstra, and Lima 2010; Di Gessa and Grundy 2013)</w:t>
      </w:r>
      <w:r w:rsidRPr="00C3671E">
        <w:rPr>
          <w:lang w:eastAsia="zh-CN"/>
        </w:rPr>
        <w:fldChar w:fldCharType="end"/>
      </w:r>
      <w:r w:rsidRPr="00C3671E">
        <w:rPr>
          <w:lang w:eastAsia="zh-CN"/>
        </w:rPr>
        <w:t xml:space="preserve">, while other papers present the opposite message </w:t>
      </w:r>
      <w:r w:rsidRPr="00C3671E">
        <w:rPr>
          <w:lang w:eastAsia="zh-CN"/>
        </w:rPr>
        <w:fldChar w:fldCharType="begin" w:fldLock="1"/>
      </w:r>
      <w:r w:rsidR="001257AA" w:rsidRPr="00C3671E">
        <w:rPr>
          <w:lang w:eastAsia="zh-CN"/>
        </w:rPr>
        <w:instrText>ADDIN CSL_CITATION { "citationItems" : [ { "id" : "ITEM-1", "itemData" : { "DOI" : "10.1016/j.socec.2010.12.011", "ISSN" : "10914358", "PMID" : "23676414", "abstract" : "BACKGROUND: Like most of other developed countries, Canada experienced baby boom in the 20 years after World War II. With the eldest baby turned 65 in 2011, it is expected that a considerable number of people will retire in coming years and consequently, retired people will soon constitute a significant part of Canadian population. In this context, an interesting question would be how retirement impacts mental health. This question is related to the well-being of the retired population as well as to over all health care expenditures. AIMS: The major objective of this study is to examine the impact of retirement on mental health as measured by the Short Form Depression Scale. This study further conducts separate analyses to examine whether the impact of retirement on mental health differs between males and females, and among different education and income groups. METHODS: This study uses large scale Canadian National Population Heath Survey (Longitudinal Component) data and adopts fixed effect method and fixed effect instrumental variable method to deal with possible endogeneity problem. RESULTS: After controlling for unobserved individual specific heterogeneity, the study found that retirement has an insignificant impact on depression. As a robustness check, the study utilizes logit, conditional fixed effect logit, and fixed effect instrumental variable regression on a dichotomous variable representing depression and found that retirement has an insignificant impact on depression. The study further examined this issue using different subgroups based on gender, education and marital status, and again found that impacts of retirement on depression are not statistically significant. IMPLICATIONS FOR POLICY: Though the coefficients are statistically insignificant, however, most of the results are economically meaningful since the magnitudes are relatively large, implying very large effects. The effects of retirement on mental health appear to be complex and multidimensional; however, based on the FE-IV models, most of the effects seem to suggest that there may be some increase in depression symptoms. The findings of this study will have important policy implications. If retirement worsens mental health, then policy encouraging retirement may actually increase health care expenditures. On the other hand, if retirement improves mental health, then such policy will likely to decrease health care expenditure. Studies based on data from Canada and other OECD cou\u2026", "author" : [ { "dropping-particle" : "", "family" : "Latif", "given" : "Ehsan", "non-dropping-particle" : "", "parse-names" : false, "suffix" : "" } ], "container-title" : "Journal of Mental Health Policy and Economics", "id" : "ITEM-1", "issue" : "1", "issued" : { "date-parts" : [ [ "2011" ] ] }, "note" : "Latif 2010: The impact of retirement on psychological well-being in Canada\nLike most other developed countries, Canada is experienc-\ning a decrease in the age at retirement and simultaneously an increase in life expectancy\nconflicting theoretical views on how retirement impacts psychological well-being: role theory and continuity theory\nThe role theory considers that work and employment, being a source of self respect and identity, play a central role in the life of a typical adult (Miller, 1965)\ncontinuity theory - individuals occupy multiple roles such as family roles and friendship roles and for most people the work role may not necessarily be their most central role\n- retirement may actually offer an opportunity to spend more time in the important roles of friend and family member\nseven longitudinal waves of the Canadian National Population Health Survey, spanning 1994 through 2006\nthe study also takes into account the possible bias due to reverse causality and time varying unobserved factors\nthe study finds that retirement has significant positive impact on subsequent psychological well-being\nsubstantiating of the continuity theory notion that retirement may actually improve psychological well-being", "page" : "35-46", "publisher" : "Elsevier Inc.", "title" : "The impact of retirement on mental health in Canada", "type" : "article-journal", "volume" : "16" }, "uris" : [ "http://www.mendeley.com/documents/?uuid=e3abe66c-305f-4858-927d-30c33a38a6fa" ] }, { "id" : "ITEM-2", "itemData" : { "DOI" : "10.1007/s10902-012-9399-2", "ISSN" : "13894978", "abstract" : "This study examines the relationship between retirement and subjective well-being (SWB), utilizing international data from sixteen countries in Western Europe and the US. Differences in social security regimes are exploited to estimate the retirement decision such that it is exogenous to individual-level characteristics. Although results from traditional ordinary least squares suggest an ambiguous relationship between retirement and SWB, this is due to comparatively lower SWB among those who choose retirement. The removal of selection bias reveals a large, positive effect that fades over a few years, suggesting a multi-stage adjustment to retirement. Individuals facing formal retirement at age 65 or later experience an increase in SWB that is roughly equivalent in total value to that of individuals facing earlier retirement, and both groups return to trend by age 70. This suggests that raising the formal retirement age, which is widely discussed today by policymakers, is relatively neutral with regard to SWB in the long-term.", "author" : [ { "dropping-particle" : "", "family" : "Horner", "given" : "Elizabeth Mokyr", "non-dropping-particle" : "", "parse-names" : false, "suffix" : "" } ], "container-title" : "Journal of Happiness Studies", "id" : "ITEM-2", "issue" : "1", "issued" : { "date-parts" : [ [ "2014" ] ] }, "page" : "125-144", "title" : "Subjective Well-Being and Retirement: Analysis and Policy Recommendations", "type" : "article-journal", "volume" : "15" }, "uris" : [ "http://www.mendeley.com/documents/?uuid=84c4b7f5-4f4e-4a9c-9f0b-e26858f7c56a" ] }, { "id" : "ITEM-3", "itemData" : { "DOI" : "10.3386/w21326", "abstract" : "We utilize panel data from the Health and Retirement Study to investigate the impact of retirement on physical and mental health, life satisfaction, and health care utilization. Because poor health can induce retirement, we instrument for retirement using eligibility for Social Security and employer sponsored pensions and coverage by the Social Security earnings test. We find strong evidence that retirement improves both health and life satisfaction. While the impact on life satisfaction occurs within the first 4 years of retirement, many of the improvements in health show up 4 or more years later, consistent with the view that health is a stock that evolves slowly. We find little evidence that retirement influences health care utilization.", "author" : [ { "dropping-particle" : "", "family" : "Gorry", "given" : "Aspen", "non-dropping-particle" : "", "parse-names" : false, "suffix" : "" }, { "dropping-particle" : "", "family" : "Gorry", "given" : "Devon", "non-dropping-particle" : "", "parse-names" : false, "suffix" : "" }, { "dropping-particle" : "", "family" : "Slavov", "given" : "Sita", "non-dropping-particle" : "", "parse-names" : false, "suffix" : "" } ], "container-title" : "NBER Working Paper", "id" : "ITEM-3", "issued" : { "date-parts" : [ [ "2015" ] ] }, "note" : "Gorry et al. 2015: DOES RETIREMENT IMPROVE HEALTH AND LIFE SATISFACTION?\nretirement may reduce investment in health\nunanticipated retirement that is associated with a negative income shock could reduce subjective well-being and the ability to invest in health\nRetirement can also lead to social isolation and a diminished sense of purpose (Bradford (1979)\nInvestment in health may increase as retired individuals have a lower marginal value of time\nRetirement also increases leisure, which may reduce physical and mental stress\nWe address this endogeneity with panel data from the Health and Retirement Study\nstrong evidence that retirement improves both health and life satisfaction\nimpact on life satisfaction occurs within the first 4 years of retirement\nmany of the improvements in health show up 4 or more years later - health is a stock that evolves slowly\nretirement has no statistically significant impact on health care utilization - the health improvements that occur after retirement are likely to come without added expenses", "number-of-pages" : "1-30", "publisher" : "National Bureau of Economic Research", "publisher-place" : "Cambridge", "title" : "Does Retirement Improve Health and Life Satisfaction?", "type" : "report" }, "uris" : [ "http://www.mendeley.com/documents/?uuid=ad57a417-7f10-486a-b0b6-f0e597c35d20" ] } ], "mendeley" : { "formattedCitation" : "(Gorry, Gorry, and Slavov 2015; Horner 2014; Latif 2011)", "plainTextFormattedCitation" : "(Gorry, Gorry, and Slavov 2015; Horner 2014; Latif 2011)", "previouslyFormattedCitation" : "(Gorry, Gorry, and Slavov 2015; Horner 2014; Latif 2011)" }, "properties" : { "noteIndex" : 0 }, "schema" : "https://github.com/citation-style-language/schema/raw/master/csl-citation.json" }</w:instrText>
      </w:r>
      <w:r w:rsidRPr="00C3671E">
        <w:rPr>
          <w:lang w:eastAsia="zh-CN"/>
        </w:rPr>
        <w:fldChar w:fldCharType="separate"/>
      </w:r>
      <w:r w:rsidR="00A91559" w:rsidRPr="00C3671E">
        <w:rPr>
          <w:noProof/>
          <w:lang w:eastAsia="zh-CN"/>
        </w:rPr>
        <w:t>(Gorry, Gorry, and Slavov 2015; Horner 2014; Latif 2011)</w:t>
      </w:r>
      <w:r w:rsidRPr="00C3671E">
        <w:rPr>
          <w:lang w:eastAsia="zh-CN"/>
        </w:rPr>
        <w:fldChar w:fldCharType="end"/>
      </w:r>
      <w:r w:rsidRPr="00C3671E">
        <w:rPr>
          <w:lang w:eastAsia="zh-CN"/>
        </w:rPr>
        <w:t xml:space="preserve">. Hence, the effect of prolonged employment vs. retirement seems to be dependent on some other factors, such as age discrimination on a labour market, attitudes towards retirement, level of QoL before retirement, voluntariness of retirement, role centrality, and many individual characteristics and resources </w:t>
      </w:r>
      <w:r w:rsidRPr="00C3671E">
        <w:rPr>
          <w:lang w:eastAsia="zh-CN"/>
        </w:rPr>
        <w:fldChar w:fldCharType="begin" w:fldLock="1"/>
      </w:r>
      <w:r w:rsidR="001257AA" w:rsidRPr="00C3671E">
        <w:rPr>
          <w:lang w:eastAsia="zh-CN"/>
        </w:rPr>
        <w:instrText>ADDIN CSL_CITATION { "citationItems" : [ { "id" : "ITEM-1", "itemData" : { "author" : [ { "dropping-particle" : "", "family" : "Weidekamp-Maicher", "given" : "Monika", "non-dropping-particle" : "", "parse-names" : false, "suffix" : "" }, { "dropping-particle" : "", "family" : "Reichert", "given" : "Manuela", "non-dropping-particle" : "", "parse-names" : false, "suffix" : "" } ], "chapter-number" : "2", "container-title" : "Growing older in Europe", "editor" : [ { "dropping-particle" : "", "family" : "Walker", "given" : "Alan", "non-dropping-particle" : "", "parse-names" : false, "suffix" : "" } ], "id" : "ITEM-1", "issued" : { "date-parts" : [ [ "2004" ] ] }, "page" : "33-54", "publisher" : "Open University Press", "publisher-place" : "Maidenhead", "title" : "Germany \u2013 quality of life in old age I", "type" : "chapter" }, "uris" : [ "http://www.mendeley.com/documents/?uuid=06019b31-fbc9-4e3f-be95-23acfa8bb59c" ] }, { "id" : "ITEM-2", "itemData" : { "DOI" : "10.1016/j.jvb.2008.12.010", "ISBN" : "0415384818", "ISSN" : "00018791", "abstract" : "This cross-sectional study examines three predictors of retirement adjustment: individual (demographic and health), psychosocial (work centrality), and organizational (conditions of workforce exit). It also examines the effect of work centrality on post-retirement activity levels. Survey data was collected from 394 retirees (aged 45-93 years). Results suggested that better psychological health, higher income, and being married predicted better retirement adjustment. Work centrality was neither related to retirement adjustment nor to post-retirement activity levels. Conditions of exit significantly predicted retirement adjustment, even after controlling for lower-level individual and psychosocial influences. Practical implications for the design of retirement planning programs and organizational exit strategies are discussed. ?? 2009 Elsevier Inc. All rights reserved.", "author" : [ { "dropping-particle" : "", "family" : "Wong", "given" : "Jessica Y.", "non-dropping-particle" : "", "parse-names" : false, "suffix" : "" }, { "dropping-particle" : "", "family" : "Earl", "given" : "Joanne K.", "non-dropping-particle" : "", "parse-names" : false, "suffix" : "" } ], "container-title" : "Journal of Vocational Behavior", "id" : "ITEM-2", "issue" : "1", "issued" : { "date-parts" : [ [ "2009" ] ] }, "note" : "Wong, Earl 2009: Towards an integrated model of individual, psychosocial, and organizational predictors of retirement adjustment\nAccording to role theory (e.g., George, 1993), individuals occupy a number of roles, each critical to the self concept and\npersonal identity\nThis cross-sectional study examines three predictors of retirement adjustment: individual (demographic and health), psychosocial (work centrality), and organizational (conditions of workforce exit)\nbetter psychological health, higher income, and being married predicted better retire- ment adjustment\nWork centrality was neither related to retirement adjustment nor to post-retirement activity levels", "page" : "1-13", "publisher" : "Elsevier Inc.", "title" : "Towards an integrated model of individual, psychosocial, and organizational predictors of retirement adjustment", "type" : "article-journal", "volume" : "75" }, "uris" : [ "http://www.mendeley.com/documents/?uuid=482f55ba-6cce-4d84-8512-ed86b3be5b64" ] }, { "id" : "ITEM-3", "itemData" : { "DOI" : "10.1016/j.socec.2011.05.010", "ISBN" : "1053-5357", "ISSN" : "10535357", "abstract" : "This paper examines a wide range of determinants of retiree well-being of retirees. Using data from the 2000 Health and Retirement Study, increases in economic factors such as income lead to higher well-being, although relative income has a larger effect than absolute income. The strongest predictors are the voluntariness of entering retirement, pension characteristics, and health. Retirees \" forced\" to retire or have defined contribution pensions or bad health have significantly lower well-being. The results suggest a more nuanced approach in addressing retiree well-being than just a focus on the economic well-being of retirees. ?? 2011 Elsevier Inc.", "author" : [ { "dropping-particle" : "", "family" : "Bender", "given" : "Keith A.", "non-dropping-particle" : "", "parse-names" : false, "suffix" : "" } ], "container-title" : "Journal of Socio-Economics", "id" : "ITEM-3", "issue" : "4", "issued" : { "date-parts" : [ [ "2012" ] ] }, "page" : "424-433", "publisher" : "Elsevier Inc.", "title" : "An analysis of well-being in retirement: The role of pensions, health, and 'voluntariness' of retirement", "type" : "article-journal", "volume" : "41" }, "uris" : [ "http://www.mendeley.com/documents/?uuid=b93971aa-9931-4825-9234-2662dd4edc6f" ] }, { "id" : "ITEM-4", "itemData" : { "DOI" : "10.1016/j.socec.2010.12.011", "ISSN" : "10914358", "PMID" : "23676414", "abstract" : "BACKGROUND: Like most of other developed countries, Canada experienced baby boom in the 20 years after World War II. With the eldest baby turned 65 in 2011, it is expected that a considerable number of people will retire in coming years and consequently, retired people will soon constitute a significant part of Canadian population. In this context, an interesting question would be how retirement impacts mental health. This question is related to the well-being of the retired population as well as to over all health care expenditures. AIMS: The major objective of this study is to examine the impact of retirement on mental health as measured by the Short Form Depression Scale. This study further conducts separate analyses to examine whether the impact of retirement on mental health differs between males and females, and among different education and income groups. METHODS: This study uses large scale Canadian National Population Heath Survey (Longitudinal Component) data and adopts fixed effect method and fixed effect instrumental variable method to deal with possible endogeneity problem. RESULTS: After controlling for unobserved individual specific heterogeneity, the study found that retirement has an insignificant impact on depression. As a robustness check, the study utilizes logit, conditional fixed effect logit, and fixed effect instrumental variable regression on a dichotomous variable representing depression and found that retirement has an insignificant impact on depression. The study further examined this issue using different subgroups based on gender, education and marital status, and again found that impacts of retirement on depression are not statistically significant. IMPLICATIONS FOR POLICY: Though the coefficients are statistically insignificant, however, most of the results are economically meaningful since the magnitudes are relatively large, implying very large effects. The effects of retirement on mental health appear to be complex and multidimensional; however, based on the FE-IV models, most of the effects seem to suggest that there may be some increase in depression symptoms. The findings of this study will have important policy implications. If retirement worsens mental health, then policy encouraging retirement may actually increase health care expenditures. On the other hand, if retirement improves mental health, then such policy will likely to decrease health care expenditure. Studies based on data from Canada and other OECD cou\u2026", "author" : [ { "dropping-particle" : "", "family" : "Latif", "given" : "Ehsan", "non-dropping-particle" : "", "parse-names" : false, "suffix" : "" } ], "container-title" : "Journal of Mental Health Policy and Economics", "id" : "ITEM-4", "issue" : "1", "issued" : { "date-parts" : [ [ "2011" ] ] }, "note" : "Latif 2010: The impact of retirement on psychological well-being in Canada\nLike most other developed countries, Canada is experienc-\ning a decrease in the age at retirement and simultaneously an increase in life expectancy\nconflicting theoretical views on how retirement impacts psychological well-being: role theory and continuity theory\nThe role theory considers that work and employment, being a source of self respect and identity, play a central role in the life of a typical adult (Miller, 1965)\ncontinuity theory - individuals occupy multiple roles such as family roles and friendship roles and for most people the work role may not necessarily be their most central role\n- retirement may actually offer an opportunity to spend more time in the important roles of friend and family member\nseven longitudinal waves of the Canadian National Population Health Survey, spanning 1994 through 2006\nthe study also takes into account the possible bias due to reverse causality and time varying unobserved factors\nthe study finds that retirement has significant positive impact on subsequent psychological well-being\nsubstantiating of the continuity theory notion that retirement may actually improve psychological well-being", "page" : "35-46", "publisher" : "Elsevier Inc.", "title" : "The impact of retirement on mental health in Canada", "type" : "article-journal", "volume" : "16" }, "uris" : [ "http://www.mendeley.com/documents/?uuid=e3abe66c-305f-4858-927d-30c33a38a6fa" ] }, { "id" : "ITEM-5", "itemData" : { "DOI" : "http://dx.doi.org/10.1177/0164027508325001", "ISSN" : "0164-0275, 0164-0275", "abstract" : "This special issue explores the employment opportunities available to older Americans. The five articles in this volume examine the impact of job displacement at older ages on future employment prospects, the pervasiveness of age discrimination and the effectiveness of government efforts to curtail it, industry variation in employers' willingness to hire older adults, self employment options for older Americans, and the effects of the nature of retirement transitions on old-age happiness. Taken together, these studies reveal a labor market that continues to be stacked against older workers. The picture of the labor market for older workers that emerges from these studies is somewhat grim, even for older people healthy enough to work. Many older workers lose their jobs to layoffs, and those who find new jobs suffer substantial earnings losses. Older adults make up only a small fraction of all new hires. These outcomes may partly result from age discrimination, which appears to persist in the labor market despite legislative efforts to curtail it. A lack of viable employment options could undermine retirement security for many people. It also entails psychic costs, as people who feel they were forced to retire tend to be less happy in old age than workers who voluntarily retired. (PsycINFO Database Record (c) 2012 APA, all rights reserved)", "author" : [ { "dropping-particle" : "", "family" : "Johnson", "given" : "Richard W", "non-dropping-particle" : "", "parse-names" : false, "suffix" : "" } ], "container-title" : "Research on Aging", "id" : "ITEM-5", "issue" : "1", "issued" : { "date-parts" : [ [ "2009" ] ] }, "note" : "Johnson 2008: Employment Opportunities at Older Ages Introduction to the Special Issue\nDelaying retirement may also promote physical and emotional health by keeping older adults active and engaged and giving their lives meaning (Bound and Waidmann 2007; Calvo 2006; Gallo et al. 2000; Herzog, House, and Morgan 1991).\nAlthough boomers appear willing to work longer, employment outcomes also depend on labor demand\nEmployer demand for older workers depends on perceptions of older employees\u2019 productivity and the costs of employing them.\nProductivity of Older Workers - pros and cons\nCost of Older Workers\nEmployer Attitudes Toward Older Workers\nMany older workers lose their jobs to layoffs, and those who find new jobs suffer substantial earnings losses\nThese outcomes may partly result from age discrimination, which appears to persist in the labor market\nA lack of viable employment options could undermine retirement security for many people\n\u2192\nDoes Working Longer Make People Healthier and Happier\nHealth Effects of Involuntary Job Loss Among Older Workers\nRelation of Work and Retirement to Health and Well-Being in Older Age", "page" : "3-16", "title" : "Employment opportunities at older ages: Introduction to the special issue.", "type" : "article-journal", "volume" : "31" }, "uris" : [ "http://www.mendeley.com/documents/?uuid=e4d6f56a-064d-4d7b-8c4c-f16c73443d5a" ] } ], "mendeley" : { "formattedCitation" : "(Bender 2012; Johnson 2009; Latif 2011; Weidekamp-Maicher and Reichert 2004; Wong and Earl 2009)", "plainTextFormattedCitation" : "(Bender 2012; Johnson 2009; Latif 2011; Weidekamp-Maicher and Reichert 2004; Wong and Earl 2009)", "previouslyFormattedCitation" : "(Bender 2012; Johnson 2009; Latif 2011; Weidekamp-Maicher and Reichert 2004; Wong and Earl 2009)" }, "properties" : { "noteIndex" : 0 }, "schema" : "https://github.com/citation-style-language/schema/raw/master/csl-citation.json" }</w:instrText>
      </w:r>
      <w:r w:rsidRPr="00C3671E">
        <w:rPr>
          <w:lang w:eastAsia="zh-CN"/>
        </w:rPr>
        <w:fldChar w:fldCharType="separate"/>
      </w:r>
      <w:r w:rsidR="00A91559" w:rsidRPr="00C3671E">
        <w:rPr>
          <w:noProof/>
          <w:lang w:eastAsia="zh-CN"/>
        </w:rPr>
        <w:t>(Bender 2012; Johnson 2009; Latif 2011; Weidekamp-Maicher and Reichert 2004; Wong and Earl 2009)</w:t>
      </w:r>
      <w:r w:rsidRPr="00C3671E">
        <w:rPr>
          <w:lang w:eastAsia="zh-CN"/>
        </w:rPr>
        <w:fldChar w:fldCharType="end"/>
      </w:r>
      <w:r w:rsidRPr="00C3671E">
        <w:rPr>
          <w:lang w:eastAsia="zh-CN"/>
        </w:rPr>
        <w:t>.</w:t>
      </w:r>
    </w:p>
    <w:p w14:paraId="670526DA" w14:textId="77777777" w:rsidR="001A7940" w:rsidRPr="00C3671E" w:rsidRDefault="001A7940" w:rsidP="00F4146A">
      <w:pPr>
        <w:pStyle w:val="Newparagraph"/>
        <w:jc w:val="both"/>
        <w:rPr>
          <w:lang w:eastAsia="zh-CN"/>
        </w:rPr>
      </w:pPr>
      <w:r w:rsidRPr="00C3671E">
        <w:rPr>
          <w:lang w:eastAsia="zh-CN"/>
        </w:rPr>
        <w:t xml:space="preserve">This paper tests the assumption of active ageing approach and related theories, such as role theory and role enhancement theory, that labour force participation in later life improves subjective QoL. The assumption is </w:t>
      </w:r>
      <w:r w:rsidRPr="00C3671E">
        <w:t>tested</w:t>
      </w:r>
      <w:r w:rsidRPr="00C3671E">
        <w:rPr>
          <w:lang w:eastAsia="zh-CN"/>
        </w:rPr>
        <w:t xml:space="preserve"> for different European regions to reflect various meanings of work in lives of older people in various societal settings and three types of settings – economic, institutional, and cultural – are considered for the interpretation of regional differences. The QoL in workers and retirees of matched individual characteristics is compared by the method propensity score matching using data from the Survey of Health, Ageing and Retirement in Europe (SHARE). The results illustrate that </w:t>
      </w:r>
      <w:r w:rsidRPr="00C3671E">
        <w:rPr>
          <w:i/>
          <w:lang w:eastAsia="zh-CN"/>
        </w:rPr>
        <w:t>the labour force participation among older people improves subjective QoL in Southern Europe and Post-communist countries, while this effect tends to be opposite in Northern and Western Europe</w:t>
      </w:r>
      <w:r w:rsidRPr="00C3671E">
        <w:rPr>
          <w:lang w:eastAsia="zh-CN"/>
        </w:rPr>
        <w:t xml:space="preserve">. The effect of working is not strong, but the pattern is consistent across several domains of the subjective QoL relevant for older people. The most probable explanation of more positive effect in less wealthy part of Europe is deteriorating QoL of retirees motivating people to work longer to sustain a higher level of pleasure and control over life. Therefore, a potential contribution of active ageing </w:t>
      </w:r>
      <w:r w:rsidRPr="00C3671E">
        <w:rPr>
          <w:lang w:eastAsia="zh-CN"/>
        </w:rPr>
        <w:lastRenderedPageBreak/>
        <w:t>approach to QoL in this area is not fulfilled and satisfactory conditions of retirement seem more beneficial.</w:t>
      </w:r>
    </w:p>
    <w:p w14:paraId="4BB072CE" w14:textId="77777777" w:rsidR="001A7940" w:rsidRPr="00C3671E" w:rsidRDefault="001A7940" w:rsidP="007E6D8E">
      <w:pPr>
        <w:pStyle w:val="Nadpis2"/>
        <w:spacing w:line="480" w:lineRule="auto"/>
        <w:rPr>
          <w:sz w:val="26"/>
          <w:szCs w:val="26"/>
          <w:lang w:val="en-GB"/>
        </w:rPr>
      </w:pPr>
      <w:bookmarkStart w:id="26" w:name="_Toc512687737"/>
      <w:r w:rsidRPr="00C3671E">
        <w:rPr>
          <w:sz w:val="26"/>
          <w:szCs w:val="26"/>
          <w:lang w:val="en-GB"/>
        </w:rPr>
        <w:t>The relationship between labour force participation and QoL</w:t>
      </w:r>
      <w:bookmarkEnd w:id="26"/>
    </w:p>
    <w:p w14:paraId="4B311B1B" w14:textId="613B7582" w:rsidR="001A7940" w:rsidRPr="00C3671E" w:rsidRDefault="001A7940" w:rsidP="00F4146A">
      <w:pPr>
        <w:suppressAutoHyphens/>
        <w:spacing w:line="480" w:lineRule="auto"/>
        <w:jc w:val="both"/>
        <w:rPr>
          <w:lang w:val="en-GB" w:eastAsia="zh-CN"/>
        </w:rPr>
      </w:pPr>
      <w:r w:rsidRPr="00C3671E">
        <w:rPr>
          <w:lang w:val="en-GB" w:eastAsia="zh-CN"/>
        </w:rPr>
        <w:t xml:space="preserve">The potential of more roles to </w:t>
      </w:r>
      <w:r w:rsidRPr="00F4146A">
        <w:rPr>
          <w:rFonts w:eastAsia="Calibri"/>
          <w:lang w:val="en-GB" w:eastAsia="en-US"/>
        </w:rPr>
        <w:t>enhance</w:t>
      </w:r>
      <w:r w:rsidRPr="00C3671E">
        <w:rPr>
          <w:lang w:val="en-GB" w:eastAsia="zh-CN"/>
        </w:rPr>
        <w:t xml:space="preserve"> or deteriorate QoL has been discussed for several decades. The role strain theory coined by </w:t>
      </w:r>
      <w:r w:rsidRPr="00C3671E">
        <w:rPr>
          <w:lang w:val="en-GB" w:eastAsia="zh-CN"/>
        </w:rPr>
        <w:fldChar w:fldCharType="begin" w:fldLock="1"/>
      </w:r>
      <w:r w:rsidR="00AA6335" w:rsidRPr="00C3671E">
        <w:rPr>
          <w:lang w:val="en-GB" w:eastAsia="zh-CN"/>
        </w:rPr>
        <w:instrText>ADDIN CSL_CITATION { "citationItems" : [ { "id" : "ITEM-1", "itemData" : { "DOI" : "10.1177/0038040709356567", "ISBN" : "063120301X", "ISSN" : "0036-8075", "PMID" : "17806662", "author" : [ { "dropping-particle" : "", "family" : "Goode", "given" : "William J", "non-dropping-particle" : "", "parse-names" : false, "suffix" : "" } ], "container-title" : "American Sociological Review", "id" : "ITEM-1", "issue" : "4", "issued" : { "date-parts" : [ [ "1960" ] ] }, "page" : "483-496", "title" : "A Theory of Role Strain", "type" : "article-journal", "volume" : "25" }, "uris" : [ "http://www.mendeley.com/documents/?uuid=fa5664e7-4c35-4e1f-ab5d-837ee62474a6" ] } ], "mendeley" : { "formattedCitation" : "(Goode 1960)", "manualFormatting" : "Goode (1960)", "plainTextFormattedCitation" : "(Goode 1960)", "previouslyFormattedCitation" : "(Goode 1960)" }, "properties" : { "noteIndex" : 0 }, "schema" : "https://github.com/citation-style-language/schema/raw/master/csl-citation.json" }</w:instrText>
      </w:r>
      <w:r w:rsidRPr="00C3671E">
        <w:rPr>
          <w:lang w:val="en-GB" w:eastAsia="zh-CN"/>
        </w:rPr>
        <w:fldChar w:fldCharType="separate"/>
      </w:r>
      <w:r w:rsidRPr="00C3671E">
        <w:rPr>
          <w:noProof/>
          <w:lang w:val="en-GB" w:eastAsia="zh-CN"/>
        </w:rPr>
        <w:t>Goode (1960)</w:t>
      </w:r>
      <w:r w:rsidRPr="00C3671E">
        <w:rPr>
          <w:lang w:val="en-GB" w:eastAsia="zh-CN"/>
        </w:rPr>
        <w:fldChar w:fldCharType="end"/>
      </w:r>
      <w:r w:rsidRPr="00C3671E">
        <w:rPr>
          <w:lang w:val="en-GB" w:eastAsia="zh-CN"/>
        </w:rPr>
        <w:t xml:space="preserve"> stresses the limited capacity of time and energy within individual and conflicting demands and obligations of competing roles as the common experience. The theory of role accumulation </w:t>
      </w:r>
      <w:r w:rsidRPr="00C3671E">
        <w:rPr>
          <w:lang w:val="en-GB" w:eastAsia="zh-CN"/>
        </w:rPr>
        <w:fldChar w:fldCharType="begin" w:fldLock="1"/>
      </w:r>
      <w:r w:rsidR="00AA6335" w:rsidRPr="00C3671E">
        <w:rPr>
          <w:lang w:val="en-GB" w:eastAsia="zh-CN"/>
        </w:rPr>
        <w:instrText>ADDIN CSL_CITATION { "citationItems" : [ { "id" : "ITEM-1", "itemData" : { "DOI" : "10.1177/0003122413515997", "author" : [ { "dropping-particle" : "", "family" : "Sieber", "given" : "Sam D.", "non-dropping-particle" : "", "parse-names" : false, "suffix" : "" } ], "container-title" : "American Sociological Review", "id" : "ITEM-1", "issue" : "4", "issued" : { "date-parts" : [ [ "1974" ] ] }, "page" : "567-578", "title" : "Toward a Theory of Role Accumulation", "type" : "article-journal", "volume" : "39" }, "uris" : [ "http://www.mendeley.com/documents/?uuid=3a4692a5-08a8-406e-bfc8-2c3503d510c2" ] } ], "mendeley" : { "formattedCitation" : "(Sieber 1974)", "plainTextFormattedCitation" : "(Sieber 1974)", "previouslyFormattedCitation" : "(Sieber 1974)" }, "properties" : { "noteIndex" : 0 }, "schema" : "https://github.com/citation-style-language/schema/raw/master/csl-citation.json" }</w:instrText>
      </w:r>
      <w:r w:rsidRPr="00C3671E">
        <w:rPr>
          <w:lang w:val="en-GB" w:eastAsia="zh-CN"/>
        </w:rPr>
        <w:fldChar w:fldCharType="separate"/>
      </w:r>
      <w:r w:rsidRPr="00C3671E">
        <w:rPr>
          <w:noProof/>
          <w:lang w:val="en-GB" w:eastAsia="zh-CN"/>
        </w:rPr>
        <w:t>(Sieber 1974)</w:t>
      </w:r>
      <w:r w:rsidRPr="00C3671E">
        <w:rPr>
          <w:lang w:val="en-GB" w:eastAsia="zh-CN"/>
        </w:rPr>
        <w:fldChar w:fldCharType="end"/>
      </w:r>
      <w:r w:rsidRPr="00C3671E">
        <w:rPr>
          <w:lang w:val="en-GB" w:eastAsia="zh-CN"/>
        </w:rPr>
        <w:t xml:space="preserve"> has the opposite view and presents an energy-creation theory of multiple roles. </w:t>
      </w:r>
      <w:r w:rsidRPr="00C3671E">
        <w:rPr>
          <w:lang w:val="en-GB" w:eastAsia="zh-CN"/>
        </w:rPr>
        <w:fldChar w:fldCharType="begin" w:fldLock="1"/>
      </w:r>
      <w:r w:rsidR="00AA6335" w:rsidRPr="00C3671E">
        <w:rPr>
          <w:lang w:val="en-GB" w:eastAsia="zh-CN"/>
        </w:rPr>
        <w:instrText>ADDIN CSL_CITATION { "citationItems" : [ { "id" : "ITEM-1", "itemData" : { "DOI" : "10.1177/0003122412444721", "author" : [ { "dropping-particle" : "", "family" : "Marks", "given" : "Stephen R", "non-dropping-particle" : "", "parse-names" : false, "suffix" : "" } ], "container-title" : "American Sociological Review", "id" : "ITEM-1", "issue" : "6", "issued" : { "date-parts" : [ [ "1977" ] ] }, "note" : "Marks 1977: Multiple Roles and Role Strain: Some Notes on Human Energy, Time and Commitment\nFreud: human enegry is scarce, one can either built civilization or make love\nnatural &amp;quot;scarcity&amp;quot; approach to human energy, stressing the overdemanding nature of multiple roles\nscarcity approach: general theory, social criticism\nscarcity approach+multiple roles - Goode, Slater, Coser\nX In contrast, a seldom used &amp;quot;expansion&amp;quot; approach provides an energy-creation theory of multiple roles rather than a &amp;quot;spending&amp;quot; or &amp;quot;drain&amp;quot; theory\nthe expansion approach to human energy - Durkheim\nhuman physiology implies that human activity produces as well as consumes energy\nA theory of scarcity excuses explains how strain or overload is generally rooted in one such system", "page" : "921-936", "title" : "Multiple Roles and Role Strain: Some Notes on Human Energy, Time and Commitment", "type" : "article-journal", "volume" : "42" }, "uris" : [ "http://www.mendeley.com/documents/?uuid=d18e877c-f5c0-4df1-9f1d-009444ce26e3" ] } ], "mendeley" : { "formattedCitation" : "(Marks 1977)", "manualFormatting" : "Marks (1977)", "plainTextFormattedCitation" : "(Marks 1977)", "previouslyFormattedCitation" : "(Marks 1977)" }, "properties" : { "noteIndex" : 0 }, "schema" : "https://github.com/citation-style-language/schema/raw/master/csl-citation.json" }</w:instrText>
      </w:r>
      <w:r w:rsidRPr="00C3671E">
        <w:rPr>
          <w:lang w:val="en-GB" w:eastAsia="zh-CN"/>
        </w:rPr>
        <w:fldChar w:fldCharType="separate"/>
      </w:r>
      <w:r w:rsidRPr="00C3671E">
        <w:rPr>
          <w:noProof/>
          <w:lang w:val="en-GB" w:eastAsia="zh-CN"/>
        </w:rPr>
        <w:t>Marks (1977)</w:t>
      </w:r>
      <w:r w:rsidRPr="00C3671E">
        <w:rPr>
          <w:lang w:val="en-GB" w:eastAsia="zh-CN"/>
        </w:rPr>
        <w:fldChar w:fldCharType="end"/>
      </w:r>
      <w:r w:rsidRPr="00C3671E">
        <w:rPr>
          <w:lang w:val="en-GB" w:eastAsia="zh-CN"/>
        </w:rPr>
        <w:t xml:space="preserve"> claims that sociologists constructed the role strain theory, because they are themselves highly dedicated to a carrier and lack resources. The theory of role accumulation finds the necessary role of activity in the production of human energy and shares its main approach with the concept of active ageing </w:t>
      </w:r>
      <w:r w:rsidRPr="00C3671E">
        <w:rPr>
          <w:lang w:val="en-GB" w:eastAsia="zh-CN"/>
        </w:rPr>
        <w:fldChar w:fldCharType="begin" w:fldLock="1"/>
      </w:r>
      <w:r w:rsidR="00AA6335" w:rsidRPr="00C3671E">
        <w:rPr>
          <w:lang w:val="en-GB" w:eastAsia="zh-CN"/>
        </w:rPr>
        <w:instrText>ADDIN CSL_CITATION { "citationItems" : [ { "id" : "ITEM-1", "itemData" : { "DOI" : "10.1177/0003122412444721", "author" : [ { "dropping-particle" : "", "family" : "Marks", "given" : "Stephen R", "non-dropping-particle" : "", "parse-names" : false, "suffix" : "" } ], "container-title" : "American Sociological Review", "id" : "ITEM-1", "issue" : "6", "issued" : { "date-parts" : [ [ "1977" ] ] }, "note" : "Marks 1977: Multiple Roles and Role Strain: Some Notes on Human Energy, Time and Commitment\nFreud: human enegry is scarce, one can either built civilization or make love\nnatural &amp;quot;scarcity&amp;quot; approach to human energy, stressing the overdemanding nature of multiple roles\nscarcity approach: general theory, social criticism\nscarcity approach+multiple roles - Goode, Slater, Coser\nX In contrast, a seldom used &amp;quot;expansion&amp;quot; approach provides an energy-creation theory of multiple roles rather than a &amp;quot;spending&amp;quot; or &amp;quot;drain&amp;quot; theory\nthe expansion approach to human energy - Durkheim\nhuman physiology implies that human activity produces as well as consumes energy\nA theory of scarcity excuses explains how strain or overload is generally rooted in one such system", "page" : "921-936", "title" : "Multiple Roles and Role Strain: Some Notes on Human Energy, Time and Commitment", "type" : "article-journal", "volume" : "42" }, "uris" : [ "http://www.mendeley.com/documents/?uuid=d18e877c-f5c0-4df1-9f1d-009444ce26e3" ] } ], "mendeley" : { "formattedCitation" : "(Marks 1977)", "plainTextFormattedCitation" : "(Marks 1977)", "previouslyFormattedCitation" : "(Marks 1977)" }, "properties" : { "noteIndex" : 0 }, "schema" : "https://github.com/citation-style-language/schema/raw/master/csl-citation.json" }</w:instrText>
      </w:r>
      <w:r w:rsidRPr="00C3671E">
        <w:rPr>
          <w:lang w:val="en-GB" w:eastAsia="zh-CN"/>
        </w:rPr>
        <w:fldChar w:fldCharType="separate"/>
      </w:r>
      <w:r w:rsidRPr="00C3671E">
        <w:rPr>
          <w:noProof/>
          <w:lang w:val="en-GB" w:eastAsia="zh-CN"/>
        </w:rPr>
        <w:t>(Marks 1977)</w:t>
      </w:r>
      <w:r w:rsidRPr="00C3671E">
        <w:rPr>
          <w:lang w:val="en-GB" w:eastAsia="zh-CN"/>
        </w:rPr>
        <w:fldChar w:fldCharType="end"/>
      </w:r>
      <w:r w:rsidRPr="00C3671E">
        <w:rPr>
          <w:lang w:val="en-GB" w:eastAsia="zh-CN"/>
        </w:rPr>
        <w:t xml:space="preserve">. Thereafter, two theories that could be placed in between the role strain and the role accumulation were formulated and labelled as the continuity theory and the ecological or life-course perspective. The continuity theory argues that withdrawal from one role can be adjusted without disequilibrium through other roles or adaptive strategies </w:t>
      </w:r>
      <w:r w:rsidRPr="00C3671E">
        <w:rPr>
          <w:lang w:val="en-GB" w:eastAsia="zh-CN"/>
        </w:rPr>
        <w:fldChar w:fldCharType="begin" w:fldLock="1"/>
      </w:r>
      <w:r w:rsidR="00AA6335" w:rsidRPr="00C3671E">
        <w:rPr>
          <w:lang w:val="en-GB" w:eastAsia="zh-CN"/>
        </w:rPr>
        <w:instrText>ADDIN CSL_CITATION { "citationItems" : [ { "id" : "ITEM-1", "itemData" : { "author" : [ { "dropping-particle" : "", "family" : "Atchley", "given" : "Robert C.", "non-dropping-particle" : "", "parse-names" : false, "suffix" : "" } ], "container-title" : "The Gerontologist", "id" : "ITEM-1", "issue" : "2", "issued" : { "date-parts" : [ [ "1989" ] ] }, "page" : "183-190", "title" : "A Continuty Theory of Normal Aging", "type" : "article-journal", "volume" : "29" }, "uris" : [ "http://www.mendeley.com/documents/?uuid=3270221c-47ea-45f3-a4ea-cc96a7df9c3a" ] } ], "mendeley" : { "formattedCitation" : "(Atchley 1989)", "plainTextFormattedCitation" : "(Atchley 1989)", "previouslyFormattedCitation" : "(Atchley 1989)" }, "properties" : { "noteIndex" : 0 }, "schema" : "https://github.com/citation-style-language/schema/raw/master/csl-citation.json" }</w:instrText>
      </w:r>
      <w:r w:rsidRPr="00C3671E">
        <w:rPr>
          <w:lang w:val="en-GB" w:eastAsia="zh-CN"/>
        </w:rPr>
        <w:fldChar w:fldCharType="separate"/>
      </w:r>
      <w:r w:rsidRPr="00C3671E">
        <w:rPr>
          <w:noProof/>
          <w:lang w:val="en-GB" w:eastAsia="zh-CN"/>
        </w:rPr>
        <w:t>(Atchley 1989)</w:t>
      </w:r>
      <w:r w:rsidRPr="00C3671E">
        <w:rPr>
          <w:lang w:val="en-GB" w:eastAsia="zh-CN"/>
        </w:rPr>
        <w:fldChar w:fldCharType="end"/>
      </w:r>
      <w:r w:rsidRPr="00C3671E">
        <w:rPr>
          <w:lang w:val="en-GB" w:eastAsia="zh-CN"/>
        </w:rPr>
        <w:t xml:space="preserve">. Finally, the ecological perspective – which is theoretically close to the life-course perspective – considers the context of roles and role transitions as a decisive factor determining the form of their outcomes </w:t>
      </w:r>
      <w:r w:rsidRPr="00C3671E">
        <w:rPr>
          <w:lang w:val="en-GB" w:eastAsia="zh-CN"/>
        </w:rPr>
        <w:fldChar w:fldCharType="begin" w:fldLock="1"/>
      </w:r>
      <w:r w:rsidR="004F5010" w:rsidRPr="00C3671E">
        <w:rPr>
          <w:lang w:val="en-GB" w:eastAsia="zh-CN"/>
        </w:rPr>
        <w:instrText>ADDIN CSL_CITATION { "citationItems" : [ { "id" : "ITEM-1", "itemData" : { "author" : [ { "dropping-particle" : "", "family" : "Bronfenbrenner", "given" : "Urie", "non-dropping-particle" : "", "parse-names" : false, "suffix" : "" } ], "container-title" : "Developmental Psychology", "id" : "ITEM-1", "issue" : "6", "issued" : { "date-parts" : [ [ "1986" ] ] }, "page" : "723-742", "title" : "Ecology of the family as a context for human development: research perspectives", "type" : "article-journal", "volume" : "22" }, "uris" : [ "http://www.mendeley.com/documents/?uuid=914637a8-15ad-4ca9-89fd-0e132df3bbfe" ] }, { "id" : "ITEM-2", "itemData" : { "DOI" : "10.1111/1467-8721.00121", "ISBN" : "09637214", "ISSN" : "0963-7214", "abstract" : "Retirement has been viewed either as a transition that is accompanied by psychological distress or as a time of continued, or even enhanced, subjective well-being. Existing evidence is mixed, with some studies reporting retirement as positively related to well-being and other reporting a negative relationship or none at all. Our research indicates that developmental and social contexts shape an individual's retirement decisions and experiences, so that retirement should be studied in its ecological and life-course context. Research on marital quality and subjective well-being in retirement has demonstrated both similarities and differences between men and women, as well as the need to consider couples conjointly (rather than viewing individuals in isolation). Future research focusing on the retirement process as it unfolds over time and in ecological context can serve to illuminate the circumstances under which retirement promotes or detracts from the quality of life.", "author" : [ { "dropping-particle" : "", "family" : "Kim", "given" : "Jungmeen E", "non-dropping-particle" : "", "parse-names" : false, "suffix" : "" }, { "dropping-particle" : "", "family" : "Moen", "given" : "Phyllis", "non-dropping-particle" : "", "parse-names" : false, "suffix" : "" } ], "container-title" : "Current Directions in Psychological Science", "id" : "ITEM-2", "issue" : "3", "issued" : { "date-parts" : [ [ "2001" ] ] }, "page" : "83-86", "title" : "Is Retirement Good or Bad for Subjective Well-Being?", "type" : "article-journal", "volume" : "10" }, "uris" : [ "http://www.mendeley.com/documents/?uuid=d06e4216-f8ef-4e4d-8d67-2a892de0433e" ] } ], "mendeley" : { "formattedCitation" : "(Bronfenbrenner 1986; Kim and Moen 2001)", "plainTextFormattedCitation" : "(Bronfenbrenner 1986; Kim and Moen 2001)", "previouslyFormattedCitation" : "(Bronfenbrenner 1986; Kim and Moen 2001)" }, "properties" : { "noteIndex" : 0 }, "schema" : "https://github.com/citation-style-language/schema/raw/master/csl-citation.json" }</w:instrText>
      </w:r>
      <w:r w:rsidRPr="00C3671E">
        <w:rPr>
          <w:lang w:val="en-GB" w:eastAsia="zh-CN"/>
        </w:rPr>
        <w:fldChar w:fldCharType="separate"/>
      </w:r>
      <w:r w:rsidR="00224AA0" w:rsidRPr="00C3671E">
        <w:rPr>
          <w:noProof/>
          <w:lang w:val="en-GB" w:eastAsia="zh-CN"/>
        </w:rPr>
        <w:t>(Bronfenbrenner 1986; Kim and Moen 2001)</w:t>
      </w:r>
      <w:r w:rsidRPr="00C3671E">
        <w:rPr>
          <w:lang w:val="en-GB" w:eastAsia="zh-CN"/>
        </w:rPr>
        <w:fldChar w:fldCharType="end"/>
      </w:r>
      <w:r w:rsidRPr="00C3671E">
        <w:rPr>
          <w:lang w:val="en-GB" w:eastAsia="zh-CN"/>
        </w:rPr>
        <w:t>.</w:t>
      </w:r>
    </w:p>
    <w:p w14:paraId="35E9C595" w14:textId="61F10826" w:rsidR="001A7940" w:rsidRPr="00C3671E" w:rsidRDefault="001A7940" w:rsidP="00F4146A">
      <w:pPr>
        <w:pStyle w:val="Newparagraph"/>
        <w:jc w:val="both"/>
        <w:rPr>
          <w:lang w:eastAsia="zh-CN"/>
        </w:rPr>
      </w:pPr>
      <w:r w:rsidRPr="00C3671E">
        <w:rPr>
          <w:lang w:eastAsia="zh-CN"/>
        </w:rPr>
        <w:t xml:space="preserve">The employment is specific in three main ways among other roles. First, it is usually the most time-consuming role from a set of roles that an individual possesses. This implies that employment has a higher potential for conflict with other roles and a transition to retirement can be a welcomed withdrawal from </w:t>
      </w:r>
      <w:r w:rsidRPr="00C3671E">
        <w:t>this</w:t>
      </w:r>
      <w:r w:rsidRPr="00C3671E">
        <w:rPr>
          <w:lang w:eastAsia="zh-CN"/>
        </w:rPr>
        <w:t xml:space="preserve"> intensive demand </w:t>
      </w:r>
      <w:r w:rsidRPr="00C3671E">
        <w:rPr>
          <w:lang w:eastAsia="zh-CN"/>
        </w:rPr>
        <w:fldChar w:fldCharType="begin" w:fldLock="1"/>
      </w:r>
      <w:r w:rsidR="001257AA" w:rsidRPr="00C3671E">
        <w:rPr>
          <w:lang w:eastAsia="zh-CN"/>
        </w:rPr>
        <w:instrText>ADDIN CSL_CITATION { "citationItems" : [ { "id" : "ITEM-1", "itemData" : { "author" : [ { "dropping-particle" : "", "family" : "Kim", "given" : "Jungmeen E", "non-dropping-particle" : "", "parse-names" : false, "suffix" : "" }, { "dropping-particle" : "", "family" : "Moen", "given" : "Phyllis", "non-dropping-particle" : "", "parse-names" : false, "suffix" : "" } ], "container-title" : "Journal of Gerontology: Psychological Series", "id" : "ITEM-1", "issue" : "3", "issued" : { "date-parts" : [ [ "2002" ] ] }, "note" : "Kim, Moen 2002: Retirement Transitions, Gender, and Psychological Well-Being: A Life-Course, Ecological Model\nlongitudinal: retirement\u2192well-being (morale scale, CES-D); married 50-72\nmultiple imputations of missing values\nmoving out from demanding job loosing occupational attachments, network, and anchor for identity\nrole theory + life-course perspetive \u2192 role enhancement X role strain\ncontinuity theory - maintaining patterns, stability\na life-course, ecological model - best for this issue\n- locating transitions in the social contexts of other roles, relations, and developmental processes\n- process, linked lives, context\nthe relationship between retirement and psychological well-being must be viewed in a temporal, life course context\nmaking the transition to retirement within the last 2 years is associated with higher levels of morale for men, whereas being \u201ccontinuously\u201d retired is related to greater depressive symptoms among men\n- enjoyable \u201choneymoon\u201d phase proposed by Atchley (1976b) - right after the event of retirement there often is a euphoric, busy, honeymoon phase\nthe importance of resources and contexts of transitions (gender, prior level of well-being, spouses\u2019 circumstance, and changes in personal control, marital quality, subjective health, and income adequacy\n\u2192\nWomen\u2019s retirement: Policy implications of recent research\nIs retirement good or bad for subjective well-being?\nCouples\u2019 work/retirement transitions, gender, and marital quality\nMen\u2019s retirement and marital quality\nVolunteering and mortality among older adults: Findings from a national sample\nThe retiree identity: Gender and race differences", "page" : "212-222", "title" : "Retirement Transitions, Gender, and Psychological Well-Being: A Life-Course , Ecological Model", "type" : "article-journal", "volume" : "57" }, "uris" : [ "http://www.mendeley.com/documents/?uuid=d324d834-c4ee-483d-b637-cc2ca78095c1" ] }, { "id" : "ITEM-2", "itemData" : { "DOI" : "10.2190/AG.66.3.a", "ISBN" : "0091-4150 (Print)\\n0091-4150 (Linking)", "ISSN" : "0091-4150", "PMID" : "18459600", "abstract" : "The purpose of this study was to examine the structure of retirees' social identity and its impact on satisfaction with retirement. From social identity theory formulations, we assumed that (1) retiree-identity was comprised of three distinct components (cognitive, evaluative, and affective), and (2) only the affective component would play a role in satisfaction with retirement. Results of the present study conducted with 154 retired people in France revealed only two components of social identity: a cognitive identity which refers to self-categorization as \"retired people,\" and an affective identity which refers to evaluation of the group and affective involvement. As expected, regression analyses results indicated that only affective identity was a predictor of satisfaction with retirement. These results will be discussed in the framework of social identity theory literature.", "author" : [ { "dropping-particle" : "", "family" : "Michinov", "given" : "Estelle", "non-dropping-particle" : "", "parse-names" : false, "suffix" : "" }, { "dropping-particle" : "", "family" : "Fouquereau", "given" : "Evelyne", "non-dropping-particle" : "", "parse-names" : false, "suffix" : "" }, { "dropping-particle" : "", "family" : "Fernandez", "given" : "Anne", "non-dropping-particle" : "", "parse-names" : false, "suffix" : "" } ], "container-title" : "The International Journal of Aging and Human Development", "id" : "ITEM-2", "issue" : "3", "issued" : { "date-parts" : [ [ "2008" ] ] }, "note" : "Michinov et al. 2008: Retirees' social identity and satisfaction with retirement\nWhile the official retirement age in most European countries is still 65 years, the actual pattern of retirement frequently does not conform to this definition (then definition of retirement as leaving work X receiving pension X subjective)\nnegative effect of retirement losing attachment, networks and anchor for their identity\nX positive moving out of demanding career jobs\ndeterminants of satisfaction in retirement: 1. sociodemographic factors, 2. situational factors (characteristics of job and retirement, activities), 3. psychological factors, 4. relational factors\nsocial identity perspective\n154 retired people from France - confirmatory and exploratory factorial analyses\nsocial identity: cognitive X affective\nonly affective identity predicted satisfaction with retirement (measured by direct question)", "page" : "175-194", "title" : "Retirees' social identity and satisfaction with retirement", "type" : "article-journal", "volume" : "66" }, "uris" : [ "http://www.mendeley.com/documents/?uuid=807550c5-05e2-4f97-89ab-9ce10be691d9" ] } ], "mendeley" : { "formattedCitation" : "(Kim and Moen 2002; Michinov, Fouquereau, and Fernandez 2008)", "plainTextFormattedCitation" : "(Kim and Moen 2002; Michinov, Fouquereau, and Fernandez 2008)", "previouslyFormattedCitation" : "(Kim and Moen 2002; Michinov, Fouquereau, and Fernandez 2008)" }, "properties" : { "noteIndex" : 0 }, "schema" : "https://github.com/citation-style-language/schema/raw/master/csl-citation.json" }</w:instrText>
      </w:r>
      <w:r w:rsidRPr="00C3671E">
        <w:rPr>
          <w:lang w:eastAsia="zh-CN"/>
        </w:rPr>
        <w:fldChar w:fldCharType="separate"/>
      </w:r>
      <w:r w:rsidR="00A91559" w:rsidRPr="00C3671E">
        <w:rPr>
          <w:noProof/>
          <w:lang w:eastAsia="zh-CN"/>
        </w:rPr>
        <w:t>(Kim and Moen 2002; Michinov, Fouquereau, and Fernandez 2008)</w:t>
      </w:r>
      <w:r w:rsidRPr="00C3671E">
        <w:rPr>
          <w:lang w:eastAsia="zh-CN"/>
        </w:rPr>
        <w:fldChar w:fldCharType="end"/>
      </w:r>
      <w:r w:rsidRPr="00C3671E">
        <w:rPr>
          <w:lang w:eastAsia="zh-CN"/>
        </w:rPr>
        <w:t xml:space="preserve">. Second, the role of paid worker is the most central role and the crucial part of identity for many people, although the importance of employment and other </w:t>
      </w:r>
      <w:r w:rsidRPr="00C3671E">
        <w:rPr>
          <w:lang w:eastAsia="zh-CN"/>
        </w:rPr>
        <w:lastRenderedPageBreak/>
        <w:t xml:space="preserve">roles for personal identity varies among individuals. From this point of view, the effect of retirement is worse for people with employment as the central role than for people possessing a higher number of more balanced roles </w:t>
      </w:r>
      <w:r w:rsidRPr="00C3671E">
        <w:rPr>
          <w:lang w:eastAsia="zh-CN"/>
        </w:rPr>
        <w:fldChar w:fldCharType="begin" w:fldLock="1"/>
      </w:r>
      <w:r w:rsidR="00AA6335" w:rsidRPr="00C3671E">
        <w:rPr>
          <w:lang w:eastAsia="zh-CN"/>
        </w:rPr>
        <w:instrText>ADDIN CSL_CITATION { "citationItems" : [ { "id" : "ITEM-1", "itemData" : { "author" : [ { "dropping-particle" : "", "family" : "Havighurst", "given" : "Robert J", "non-dropping-particle" : "", "parse-names" : false, "suffix" : "" } ], "container-title" : "American Journal of Sociology", "id" : "ITEM-1", "issue" : "4", "issued" : { "date-parts" : [ [ "1954" ] ] }, "page" : "309-311", "title" : "Flexibility and the Social Roles of the Retired", "type" : "article-journal", "volume" : "59" }, "uris" : [ "http://www.mendeley.com/documents/?uuid=869a1515-ec3d-4046-8259-572a9b441c21" ] } ], "mendeley" : { "formattedCitation" : "(Havighurst 1954)", "plainTextFormattedCitation" : "(Havighurst 1954)", "previouslyFormattedCitation" : "(Havighurst 1954)" }, "properties" : { "noteIndex" : 0 }, "schema" : "https://github.com/citation-style-language/schema/raw/master/csl-citation.json" }</w:instrText>
      </w:r>
      <w:r w:rsidRPr="00C3671E">
        <w:rPr>
          <w:lang w:eastAsia="zh-CN"/>
        </w:rPr>
        <w:fldChar w:fldCharType="separate"/>
      </w:r>
      <w:r w:rsidRPr="00C3671E">
        <w:rPr>
          <w:noProof/>
          <w:lang w:eastAsia="zh-CN"/>
        </w:rPr>
        <w:t>(Havighurst 1954)</w:t>
      </w:r>
      <w:r w:rsidRPr="00C3671E">
        <w:rPr>
          <w:lang w:eastAsia="zh-CN"/>
        </w:rPr>
        <w:fldChar w:fldCharType="end"/>
      </w:r>
      <w:r w:rsidRPr="00C3671E">
        <w:rPr>
          <w:lang w:eastAsia="zh-CN"/>
        </w:rPr>
        <w:t xml:space="preserve">. This difference can be translated into the difference between the role theory and the continuity theory </w:t>
      </w:r>
      <w:r w:rsidRPr="00C3671E">
        <w:rPr>
          <w:lang w:eastAsia="zh-CN"/>
        </w:rPr>
        <w:fldChar w:fldCharType="begin" w:fldLock="1"/>
      </w:r>
      <w:r w:rsidR="00AA6335" w:rsidRPr="00C3671E">
        <w:rPr>
          <w:lang w:eastAsia="zh-CN"/>
        </w:rPr>
        <w:instrText>ADDIN CSL_CITATION { "citationItems" : [ { "id" : "ITEM-1", "itemData" : { "DOI" : "10.1016/j.socec.2010.12.011", "ISSN" : "10914358", "PMID" : "23676414", "abstract" : "BACKGROUND: Like most of other developed countries, Canada experienced baby boom in the 20 years after World War II. With the eldest baby turned 65 in 2011, it is expected that a considerable number of people will retire in coming years and consequently, retired people will soon constitute a significant part of Canadian population. In this context, an interesting question would be how retirement impacts mental health. This question is related to the well-being of the retired population as well as to over all health care expenditures. AIMS: The major objective of this study is to examine the impact of retirement on mental health as measured by the Short Form Depression Scale. This study further conducts separate analyses to examine whether the impact of retirement on mental health differs between males and females, and among different education and income groups. METHODS: This study uses large scale Canadian National Population Heath Survey (Longitudinal Component) data and adopts fixed effect method and fixed effect instrumental variable method to deal with possible endogeneity problem. RESULTS: After controlling for unobserved individual specific heterogeneity, the study found that retirement has an insignificant impact on depression. As a robustness check, the study utilizes logit, conditional fixed effect logit, and fixed effect instrumental variable regression on a dichotomous variable representing depression and found that retirement has an insignificant impact on depression. The study further examined this issue using different subgroups based on gender, education and marital status, and again found that impacts of retirement on depression are not statistically significant. IMPLICATIONS FOR POLICY: Though the coefficients are statistically insignificant, however, most of the results are economically meaningful since the magnitudes are relatively large, implying very large effects. The effects of retirement on mental health appear to be complex and multidimensional; however, based on the FE-IV models, most of the effects seem to suggest that there may be some increase in depression symptoms. The findings of this study will have important policy implications. If retirement worsens mental health, then policy encouraging retirement may actually increase health care expenditures. On the other hand, if retirement improves mental health, then such policy will likely to decrease health care expenditure. Studies based on data from Canada and other OECD cou\u2026", "author" : [ { "dropping-particle" : "", "family" : "Latif", "given" : "Ehsan", "non-dropping-particle" : "", "parse-names" : false, "suffix" : "" } ], "container-title" : "Journal of Mental Health Policy and Economics", "id" : "ITEM-1", "issue" : "1", "issued" : { "date-parts" : [ [ "2011" ] ] }, "note" : "Latif 2010: The impact of retirement on psychological well-being in Canada\nLike most other developed countries, Canada is experienc-\ning a decrease in the age at retirement and simultaneously an increase in life expectancy\nconflicting theoretical views on how retirement impacts psychological well-being: role theory and continuity theory\nThe role theory considers that work and employment, being a source of self respect and identity, play a central role in the life of a typical adult (Miller, 1965)\ncontinuity theory - individuals occupy multiple roles such as family roles and friendship roles and for most people the work role may not necessarily be their most central role\n- retirement may actually offer an opportunity to spend more time in the important roles of friend and family member\nseven longitudinal waves of the Canadian National Population Health Survey, spanning 1994 through 2006\nthe study also takes into account the possible bias due to reverse causality and time varying unobserved factors\nthe study finds that retirement has significant positive impact on subsequent psychological well-being\nsubstantiating of the continuity theory notion that retirement may actually improve psychological well-being", "page" : "35-46", "publisher" : "Elsevier Inc.", "title" : "The impact of retirement on mental health in Canada", "type" : "article-journal", "volume" : "16" }, "uris" : [ "http://www.mendeley.com/documents/?uuid=e3abe66c-305f-4858-927d-30c33a38a6fa" ] } ], "mendeley" : { "formattedCitation" : "(Latif 2011)", "plainTextFormattedCitation" : "(Latif 2011)", "previouslyFormattedCitation" : "(Latif 2011)" }, "properties" : { "noteIndex" : 0 }, "schema" : "https://github.com/citation-style-language/schema/raw/master/csl-citation.json" }</w:instrText>
      </w:r>
      <w:r w:rsidRPr="00C3671E">
        <w:rPr>
          <w:lang w:eastAsia="zh-CN"/>
        </w:rPr>
        <w:fldChar w:fldCharType="separate"/>
      </w:r>
      <w:r w:rsidRPr="00C3671E">
        <w:rPr>
          <w:noProof/>
          <w:lang w:eastAsia="zh-CN"/>
        </w:rPr>
        <w:t>(Latif 2011)</w:t>
      </w:r>
      <w:r w:rsidRPr="00C3671E">
        <w:rPr>
          <w:lang w:eastAsia="zh-CN"/>
        </w:rPr>
        <w:fldChar w:fldCharType="end"/>
      </w:r>
      <w:r w:rsidRPr="00C3671E">
        <w:rPr>
          <w:lang w:eastAsia="zh-CN"/>
        </w:rPr>
        <w:t xml:space="preserve">. Third, the employment is often the main source of income. Hence, the financial well-being may get worse significantly after retirement, and this is especially true if income from a job is not sufficiently compensated by the retirement pension and savings or other combination of resources </w:t>
      </w:r>
      <w:r w:rsidRPr="00C3671E">
        <w:rPr>
          <w:lang w:eastAsia="zh-CN"/>
        </w:rPr>
        <w:fldChar w:fldCharType="begin" w:fldLock="1"/>
      </w:r>
      <w:r w:rsidR="001257AA" w:rsidRPr="00C3671E">
        <w:rPr>
          <w:lang w:eastAsia="zh-CN"/>
        </w:rPr>
        <w:instrText>ADDIN CSL_CITATION { "citationItems" : [ { "id" : "ITEM-1", "itemData" : { "DOI" : "10.1093/sf/sov005", "ISBN" : "0037-7732", "ISSN" : "15347605", "author" : [ { "dropping-particle" : "", "family" : "Halpern-Manners", "given" : "Andrew", "non-dropping-particle" : "", "parse-names" : false, "suffix" : "" }, { "dropping-particle" : "", "family" : "Warren", "given" : "John Robert", "non-dropping-particle" : "", "parse-names" : false, "suffix" : "" }, { "dropping-particle" : "", "family" : "Raymo", "given" : "James M.", "non-dropping-particle" : "", "parse-names" : false, "suffix" : "" }, { "dropping-particle" : "", "family" : "Nicholson", "given" : "Adam D.", "non-dropping-particle" : "", "parse-names" : false, "suffix" : "" } ], "container-title" : "Social Forces", "id" : "ITEM-1", "issue" : "4", "issued" : { "date-parts" : [ [ "2015" ] ] }, "note" : "Halpern-Manners 2015: The Impact of Work and Family Life Histories on Economic Well-Being at Older Ages\nMotivated by theoretical and empirical research in life course sociology\nvariation in later-life outcomes should be understood as a consequence of heterogeneity in earlier-life experi- ences\nThe linkage of individual lives to historical eventsand institutional arrangements produces individual biographies that heighten intra-cohort heterogeneity in important later-life outcomes\ntrajectories of work and family roles across the life course and four measures of economic well-being\nWisconsin Longitudinal Study (WLS) and multiple trajectory-generating methods\ntrajectories of work and family experiences across the life course have direct effects on later-life economic well-being, as well as indirect effects that operate through more proximate measures of work, family, and other characteristics\nEconomic well-being during the retirement years is increasingly dependent upon people\u2019s own planning and resources", "page" : "1369-1396", "title" : "The impact of work and family life histories on economic well-being at older ages", "type" : "article-journal", "volume" : "93" }, "uris" : [ "http://www.mendeley.com/documents/?uuid=a5aebdd4-c87a-453e-9807-af6b29a7db59" ] } ], "mendeley" : { "formattedCitation" : "(Halpern-Manners et al. 2015)", "plainTextFormattedCitation" : "(Halpern-Manners et al. 2015)", "previouslyFormattedCitation" : "(Halpern-Manners et al. 2015)" }, "properties" : { "noteIndex" : 0 }, "schema" : "https://github.com/citation-style-language/schema/raw/master/csl-citation.json" }</w:instrText>
      </w:r>
      <w:r w:rsidRPr="00C3671E">
        <w:rPr>
          <w:lang w:eastAsia="zh-CN"/>
        </w:rPr>
        <w:fldChar w:fldCharType="separate"/>
      </w:r>
      <w:r w:rsidRPr="00C3671E">
        <w:rPr>
          <w:noProof/>
          <w:lang w:eastAsia="zh-CN"/>
        </w:rPr>
        <w:t>(Halpern-Manners et al. 2015)</w:t>
      </w:r>
      <w:r w:rsidRPr="00C3671E">
        <w:rPr>
          <w:lang w:eastAsia="zh-CN"/>
        </w:rPr>
        <w:fldChar w:fldCharType="end"/>
      </w:r>
      <w:r w:rsidRPr="00C3671E">
        <w:rPr>
          <w:lang w:eastAsia="zh-CN"/>
        </w:rPr>
        <w:t>.</w:t>
      </w:r>
    </w:p>
    <w:p w14:paraId="644DB8BF" w14:textId="2616EF4C" w:rsidR="001A7940" w:rsidRPr="00C3671E" w:rsidRDefault="001A7940" w:rsidP="00F4146A">
      <w:pPr>
        <w:pStyle w:val="Newparagraph"/>
        <w:jc w:val="both"/>
        <w:rPr>
          <w:lang w:eastAsia="zh-CN"/>
        </w:rPr>
      </w:pPr>
      <w:r w:rsidRPr="00C3671E">
        <w:rPr>
          <w:lang w:eastAsia="zh-CN"/>
        </w:rPr>
        <w:t xml:space="preserve">Plenty of studies examined the </w:t>
      </w:r>
      <w:r w:rsidRPr="00C3671E">
        <w:t>relationship</w:t>
      </w:r>
      <w:r w:rsidRPr="00C3671E">
        <w:rPr>
          <w:lang w:eastAsia="zh-CN"/>
        </w:rPr>
        <w:t xml:space="preserve"> between employment/retirement and subjective QoL, and thus they directly or indirectly tested the relevance of the role strain theory, the role accumulation theory, and other theories for the explanation of this crucial life transition. Some of the researchers made clear statement that retirement is beneficial </w:t>
      </w:r>
      <w:r w:rsidRPr="00C3671E">
        <w:rPr>
          <w:lang w:eastAsia="zh-CN"/>
        </w:rPr>
        <w:fldChar w:fldCharType="begin" w:fldLock="1"/>
      </w:r>
      <w:r w:rsidR="001257AA" w:rsidRPr="00C3671E">
        <w:rPr>
          <w:lang w:eastAsia="zh-CN"/>
        </w:rPr>
        <w:instrText>ADDIN CSL_CITATION { "citationItems" : [ { "id" : "ITEM-1", "itemData" : { "DOI" : "10.1016/j.socec.2010.12.011", "ISSN" : "10914358", "PMID" : "23676414", "abstract" : "BACKGROUND: Like most of other developed countries, Canada experienced baby boom in the 20 years after World War II. With the eldest baby turned 65 in 2011, it is expected that a considerable number of people will retire in coming years and consequently, retired people will soon constitute a significant part of Canadian population. In this context, an interesting question would be how retirement impacts mental health. This question is related to the well-being of the retired population as well as to over all health care expenditures. AIMS: The major objective of this study is to examine the impact of retirement on mental health as measured by the Short Form Depression Scale. This study further conducts separate analyses to examine whether the impact of retirement on mental health differs between males and females, and among different education and income groups. METHODS: This study uses large scale Canadian National Population Heath Survey (Longitudinal Component) data and adopts fixed effect method and fixed effect instrumental variable method to deal with possible endogeneity problem. RESULTS: After controlling for unobserved individual specific heterogeneity, the study found that retirement has an insignificant impact on depression. As a robustness check, the study utilizes logit, conditional fixed effect logit, and fixed effect instrumental variable regression on a dichotomous variable representing depression and found that retirement has an insignificant impact on depression. The study further examined this issue using different subgroups based on gender, education and marital status, and again found that impacts of retirement on depression are not statistically significant. IMPLICATIONS FOR POLICY: Though the coefficients are statistically insignificant, however, most of the results are economically meaningful since the magnitudes are relatively large, implying very large effects. The effects of retirement on mental health appear to be complex and multidimensional; however, based on the FE-IV models, most of the effects seem to suggest that there may be some increase in depression symptoms. The findings of this study will have important policy implications. If retirement worsens mental health, then policy encouraging retirement may actually increase health care expenditures. On the other hand, if retirement improves mental health, then such policy will likely to decrease health care expenditure. Studies based on data from Canada and other OECD cou\u2026", "author" : [ { "dropping-particle" : "", "family" : "Latif", "given" : "Ehsan", "non-dropping-particle" : "", "parse-names" : false, "suffix" : "" } ], "container-title" : "Journal of Mental Health Policy and Economics", "id" : "ITEM-1", "issue" : "1", "issued" : { "date-parts" : [ [ "2011" ] ] }, "note" : "Latif 2010: The impact of retirement on psychological well-being in Canada\nLike most other developed countries, Canada is experienc-\ning a decrease in the age at retirement and simultaneously an increase in life expectancy\nconflicting theoretical views on how retirement impacts psychological well-being: role theory and continuity theory\nThe role theory considers that work and employment, being a source of self respect and identity, play a central role in the life of a typical adult (Miller, 1965)\ncontinuity theory - individuals occupy multiple roles such as family roles and friendship roles and for most people the work role may not necessarily be their most central role\n- retirement may actually offer an opportunity to spend more time in the important roles of friend and family member\nseven longitudinal waves of the Canadian National Population Health Survey, spanning 1994 through 2006\nthe study also takes into account the possible bias due to reverse causality and time varying unobserved factors\nthe study finds that retirement has significant positive impact on subsequent psychological well-being\nsubstantiating of the continuity theory notion that retirement may actually improve psychological well-being", "page" : "35-46", "publisher" : "Elsevier Inc.", "title" : "The impact of retirement on mental health in Canada", "type" : "article-journal", "volume" : "16" }, "uris" : [ "http://www.mendeley.com/documents/?uuid=e3abe66c-305f-4858-927d-30c33a38a6fa" ] }, { "id" : "ITEM-2", "itemData" : { "DOI" : "10.1007/s10902-012-9399-2", "ISSN" : "13894978", "abstract" : "This study examines the relationship between retirement and subjective well-being (SWB), utilizing international data from sixteen countries in Western Europe and the US. Differences in social security regimes are exploited to estimate the retirement decision such that it is exogenous to individual-level characteristics. Although results from traditional ordinary least squares suggest an ambiguous relationship between retirement and SWB, this is due to comparatively lower SWB among those who choose retirement. The removal of selection bias reveals a large, positive effect that fades over a few years, suggesting a multi-stage adjustment to retirement. Individuals facing formal retirement at age 65 or later experience an increase in SWB that is roughly equivalent in total value to that of individuals facing earlier retirement, and both groups return to trend by age 70. This suggests that raising the formal retirement age, which is widely discussed today by policymakers, is relatively neutral with regard to SWB in the long-term.", "author" : [ { "dropping-particle" : "", "family" : "Horner", "given" : "Elizabeth Mokyr", "non-dropping-particle" : "", "parse-names" : false, "suffix" : "" } ], "container-title" : "Journal of Happiness Studies", "id" : "ITEM-2", "issue" : "1", "issued" : { "date-parts" : [ [ "2014" ] ] }, "page" : "125-144", "title" : "Subjective Well-Being and Retirement: Analysis and Policy Recommendations", "type" : "article-journal", "volume" : "15" }, "uris" : [ "http://www.mendeley.com/documents/?uuid=84c4b7f5-4f4e-4a9c-9f0b-e26858f7c56a" ] }, { "id" : "ITEM-3", "itemData" : { "DOI" : "10.3386/w21326", "abstract" : "We utilize panel data from the Health and Retirement Study to investigate the impact of retirement on physical and mental health, life satisfaction, and health care utilization. Because poor health can induce retirement, we instrument for retirement using eligibility for Social Security and employer sponsored pensions and coverage by the Social Security earnings test. We find strong evidence that retirement improves both health and life satisfaction. While the impact on life satisfaction occurs within the first 4 years of retirement, many of the improvements in health show up 4 or more years later, consistent with the view that health is a stock that evolves slowly. We find little evidence that retirement influences health care utilization.", "author" : [ { "dropping-particle" : "", "family" : "Gorry", "given" : "Aspen", "non-dropping-particle" : "", "parse-names" : false, "suffix" : "" }, { "dropping-particle" : "", "family" : "Gorry", "given" : "Devon", "non-dropping-particle" : "", "parse-names" : false, "suffix" : "" }, { "dropping-particle" : "", "family" : "Slavov", "given" : "Sita", "non-dropping-particle" : "", "parse-names" : false, "suffix" : "" } ], "container-title" : "NBER Working Paper", "id" : "ITEM-3", "issued" : { "date-parts" : [ [ "2015" ] ] }, "note" : "Gorry et al. 2015: DOES RETIREMENT IMPROVE HEALTH AND LIFE SATISFACTION?\nretirement may reduce investment in health\nunanticipated retirement that is associated with a negative income shock could reduce subjective well-being and the ability to invest in health\nRetirement can also lead to social isolation and a diminished sense of purpose (Bradford (1979)\nInvestment in health may increase as retired individuals have a lower marginal value of time\nRetirement also increases leisure, which may reduce physical and mental stress\nWe address this endogeneity with panel data from the Health and Retirement Study\nstrong evidence that retirement improves both health and life satisfaction\nimpact on life satisfaction occurs within the first 4 years of retirement\nmany of the improvements in health show up 4 or more years later - health is a stock that evolves slowly\nretirement has no statistically significant impact on health care utilization - the health improvements that occur after retirement are likely to come without added expenses", "number-of-pages" : "1-30", "publisher" : "National Bureau of Economic Research", "publisher-place" : "Cambridge", "title" : "Does Retirement Improve Health and Life Satisfaction?", "type" : "report" }, "uris" : [ "http://www.mendeley.com/documents/?uuid=ad57a417-7f10-486a-b0b6-f0e597c35d20" ] } ], "mendeley" : { "formattedCitation" : "(Gorry et al. 2015; Horner 2014; Latif 2011)", "plainTextFormattedCitation" : "(Gorry et al. 2015; Horner 2014; Latif 2011)", "previouslyFormattedCitation" : "(Gorry et al. 2015; Horner 2014; Latif 2011)" }, "properties" : { "noteIndex" : 0 }, "schema" : "https://github.com/citation-style-language/schema/raw/master/csl-citation.json" }</w:instrText>
      </w:r>
      <w:r w:rsidRPr="00C3671E">
        <w:rPr>
          <w:lang w:eastAsia="zh-CN"/>
        </w:rPr>
        <w:fldChar w:fldCharType="separate"/>
      </w:r>
      <w:r w:rsidR="00A91559" w:rsidRPr="00C3671E">
        <w:rPr>
          <w:noProof/>
          <w:lang w:eastAsia="zh-CN"/>
        </w:rPr>
        <w:t>(Gorry et al. 2015; Horner 2014; Latif 2011)</w:t>
      </w:r>
      <w:r w:rsidRPr="00C3671E">
        <w:rPr>
          <w:lang w:eastAsia="zh-CN"/>
        </w:rPr>
        <w:fldChar w:fldCharType="end"/>
      </w:r>
      <w:r w:rsidRPr="00C3671E">
        <w:rPr>
          <w:lang w:eastAsia="zh-CN"/>
        </w:rPr>
        <w:t xml:space="preserve"> or harmful </w:t>
      </w:r>
      <w:r w:rsidRPr="00C3671E">
        <w:rPr>
          <w:lang w:eastAsia="zh-CN"/>
        </w:rPr>
        <w:fldChar w:fldCharType="begin" w:fldLock="1"/>
      </w:r>
      <w:r w:rsidR="001257AA" w:rsidRPr="00C3671E">
        <w:rPr>
          <w:lang w:eastAsia="zh-CN"/>
        </w:rPr>
        <w:instrText>ADDIN CSL_CITATION { "citationItems" : [ { "id" : "ITEM-1", "itemData" : { "DOI" : "10.1136/jech-2013-202820", "ISBN" : "0143-005x", "ISSN" : "1470-2738", "PMID" : "22156662", "abstract" : "BACKGROUND: 'Active ageing' has been promoted as a strategy for extending quality of life and healthy life expectancy. However, there is limited evidence from nationally representative longitudinal studies on whether engagement among older adults is associated with better outcomes and few studies have considered possible bias arising from differential study attrition. METHODS: We investigate associations between the engagement of people aged 50-69 in three types of activity with self-rated health and depression 2 years later using nationally representative longitudinal data from four European countries (Denmark, France, Italy and England). Data were drawn from waves 1 and 2 of the Survey of Health, Ageing and Retirement in Europe and the English Longitudinal Study of Ageing. Multivariable analysis was used to analyse associations between baseline activity and outcomes at follow-up controlling for socioeconomic, demographic and health-related variables at baseline. Multiple imputation techniques and sensitivity analyses were undertaken to investigate possible bias arising from sample attrition. RESULTS: Respondents in paid work at baseline were less likely to be depressed or to report poor or fair health at follow-up than those who were 'inactive', although not in Italy. Engagement in formal and informal activities was not significantly associated with health at follow-up. Sensitivity analyses showed that assuming that those in bad health were over-represented among study attritors weakened the association between work at baseline and health at follow-up. CONCLUSIONS: Engagement in paid work may help maintain health in later life, although mechanisms and contextual influences need further investigation.", "author" : [ { "dropping-particle" : "", "family" : "Gessa", "given" : "Giorgio", "non-dropping-particle" : "Di", "parse-names" : false, "suffix" : "" }, { "dropping-particle" : "", "family" : "Grundy", "given" : "Emily", "non-dropping-particle" : "", "parse-names" : false, "suffix" : "" } ], "container-title" : "Journal of Epidemiology and Community Health", "id" : "ITEM-1", "issue" : "3", "issued" : { "date-parts" : [ [ "2013" ] ] }, "note" : "Gessa, Grundy 2013: The relationship between active ageing and health using longitudinal data from Denmark, France, Italy and England\n\u2018Active ageing\u2019 has been promoted as a strategy for extending quality of life and healthy life expectancy\nEngagement of older people occurs within a socio-political context and may be influenced by the provision of services and generosity of benefits, pension schemes and labour, retirement and early retirement policies, as well as norms and values.14 15 It is well recognised that these contextual factors vary within Europe, and typologies have been developed that group together countries with similar policies\nEngagement in formal and informal activities was not significantly associated with health at follow-up - higher attrition\nof ill respondents\npossitive impact of work in three countries except Italy\npaid work - prestige, power, status + physical activity + economic resources\nNo associations were found between engagement in the other types of activity considered and either depression or SRH\nEngagement in paid work may help maintain health in later life, although mechanisms and contextual influences need further investigation\n\u2192\nIndividual consequences of volunteer and paid work in old age: health and mortality\nIs work good for your health and well-being?\nPolicy and practices relating to the active engagement of older people in the community\nVariations in older people\u2019s social and productive ageing activities across different social welfare regimes", "page" : "261-267", "title" : "The relationship between active ageing and health using longitudinal data from Denmark, France, Italy and England", "type" : "article-journal", "volume" : "68" }, "uris" : [ "http://www.mendeley.com/documents/?uuid=099505a4-8bdf-490c-ae2d-b130a8bcf814" ] }, { "id" : "ITEM-2", "itemData" : { "DOI" : "10.1007/s10433-010-0163-3", "ISBN" : "1613-9372", "ISSN" : "16139372", "abstract" : "Population ageing changes profoundly the current balance between generations. Governments are responding with policies to promote later retirement and family care, but these ideals may come in conflict in mid-life when family obligations can be hard to reconcile with employment. Yet we know little about the prevalence of being \"sandwiched\", and even less about the consequences. This article maps out the prevalence of different forms of family and work sandwiching for the Norwegian population, and explores adaptive strategies and psycho-social outcomes. The analyses are based on data from the NorLAG and LOGG studies (n = 15 109, age 18-84). Preliminary findings indicate that 75-80% of the population are located in-between younger and older family generations in mid-life, the great majority are at the same time in paid work, but comparatively few (8-9% aged 35-45) have both children and parents in need at the same time, and fewer still (3%) are then also caregivers to older parents. Although few in proportion of their age group, they add up to a considerable number of persons. Women are more likely to reduce work in response to family needs than men. Implications of family and work sandwiching for health and well-being are analysed. \u00a9 2010 Springer-Verlag.", "author" : [ { "dropping-particle" : "", "family" : "Daatland", "given" : "Svein Olav", "non-dropping-particle" : "", "parse-names" : false, "suffix" : "" }, { "dropping-particle" : "", "family" : "Veenstra", "given" : "Marijke", "non-dropping-particle" : "", "parse-names" : false, "suffix" : "" }, { "dropping-particle" : "", "family" : "Lima", "given" : "Ivar A.", "non-dropping-particle" : "", "parse-names" : false, "suffix" : "" } ], "container-title" : "European Journal of Ageing", "id" : "ITEM-2", "issue" : "4", "issued" : { "date-parts" : [ [ "2010" ] ] }, "page" : "271-281", "title" : "Norwegian sandwiches: On the prevalence and consequences of family and work role squeezes over the life course", "type" : "article-journal", "volume" : "7" }, "uris" : [ "http://www.mendeley.com/documents/?uuid=c1eb358a-9caf-403f-9959-f499ef63b4b6" ] } ], "mendeley" : { "formattedCitation" : "(Daatland et al. 2010; Di Gessa and Grundy 2013)", "plainTextFormattedCitation" : "(Daatland et al. 2010; Di Gessa and Grundy 2013)", "previouslyFormattedCitation" : "(Daatland et al. 2010; Di Gessa and Grundy 2013)" }, "properties" : { "noteIndex" : 0 }, "schema" : "https://github.com/citation-style-language/schema/raw/master/csl-citation.json" }</w:instrText>
      </w:r>
      <w:r w:rsidRPr="00C3671E">
        <w:rPr>
          <w:lang w:eastAsia="zh-CN"/>
        </w:rPr>
        <w:fldChar w:fldCharType="separate"/>
      </w:r>
      <w:r w:rsidR="00A91559" w:rsidRPr="00C3671E">
        <w:rPr>
          <w:noProof/>
          <w:lang w:eastAsia="zh-CN"/>
        </w:rPr>
        <w:t>(Daatland et al. 2010; Di Gessa and Grundy 2013)</w:t>
      </w:r>
      <w:r w:rsidRPr="00C3671E">
        <w:rPr>
          <w:lang w:eastAsia="zh-CN"/>
        </w:rPr>
        <w:fldChar w:fldCharType="end"/>
      </w:r>
      <w:r w:rsidRPr="00C3671E">
        <w:rPr>
          <w:lang w:eastAsia="zh-CN"/>
        </w:rPr>
        <w:t xml:space="preserve"> for QoL. However, some studies present the results illustrating more phases of the QoL development after retirement </w:t>
      </w:r>
      <w:r w:rsidRPr="00C3671E">
        <w:rPr>
          <w:lang w:eastAsia="zh-CN"/>
        </w:rPr>
        <w:fldChar w:fldCharType="begin" w:fldLock="1"/>
      </w:r>
      <w:r w:rsidR="001257AA" w:rsidRPr="00C3671E">
        <w:rPr>
          <w:lang w:eastAsia="zh-CN"/>
        </w:rPr>
        <w:instrText>ADDIN CSL_CITATION { "citationItems" : [ { "id" : "ITEM-1", "itemData" : { "DOI" : "Doi 10.1017/S0144686x08008179", "ISBN" : "0144-686X", "ISSN" : "0144-686X", "abstract" : "Given the increased heterogeneity of the transition from work to retirement, this study aimed to analyse the associations between different reasons for retirement and psychosocial wellbeing as a pensioner. The study used data from the Swedish Panel Survey of Ageing and the Elderly (PSAE), a nationally representative survey of the living conditions of older people in Sweden. The results show that almost one-half of all pensioners cited health problems as a contributory reason for ceasing work. Furthermore, those who retired for 'push' reasons, such as health problems or labour market factors, experienced lower psychosocial wellbeing than those who retired For other reasons. Moreover, the results show that those who were able to influence the time of their retirement enjoyed better psychosocial wellbeing than those who had little or no opportunity to do so. This was true when controlling for other factors relevant to the wellbeing of pensioners. The results lend support to the argument that, if a mail's retirement is instigated because his skills are no longer required, there will be a decidedly negative effect on his wellbeing and that this effect is stronger than the equivalent impact oil a woman's wellbeing. In relation to previous findings in this field, the results make it clear that retirement is far from a uniform process or state.", "author" : [ { "dropping-particle" : "", "family" : "Nordenmark", "given" : "Mikael", "non-dropping-particle" : "", "parse-names" : false, "suffix" : "" }, { "dropping-particle" : "", "family" : "Stattin", "given" : "Mikael", "non-dropping-particle" : "", "parse-names" : false, "suffix" : "" } ], "container-title" : "Ageing &amp; Society", "id" : "ITEM-1", "issue" : "May", "issued" : { "date-parts" : [ [ "2009" ] ] }, "page" : "413-430", "title" : "Psychosocial wellbeing and reasons for retirement in Sweden", "type" : "article-journal", "volume" : "29" }, "uris" : [ "http://www.mendeley.com/documents/?uuid=b75db940-cd46-4e37-8351-fad87bff7d29" ] }, { "id" : "ITEM-2", "itemData" : { "DOI" : "10.1093/geronb/59.5.P233", "ISBN" : "1079-5014 (Print)", "ISSN" : "1079-5014", "PMID" : "15358796", "abstract" : "With hypotheses derived from a life course perspective in conjunction with life event stress and role theories, we examine whether a spouse's employment and length of retirement affect a person's postretirement depressive symptoms and whether such effects differ by gender. Analyses use pooled data from Waves 1-4 of the Health and Retirement Survey, using a subsample of married individuals who either remained continuously employed over time or completely retired since the Wave 1 interviews (N = 2,695). Recently retired men seem to be negatively affected by their spouses' continuous employment when compared with men whose wives were continuously not employed. In contrast, spouses' joint retirement has a beneficial influence on both recently retired and longer-retired men. However, for recently retired men, the positive effect of wives' retirement seems to be contingent on spouses' enjoyment of joint activities. Among women, effects of spouses' employment occur only among very recently retired wives (0-6 months). These wives report more depressive symptoms if their spouses were already nonemployed prior to wives' retirement. These results demonstrate the complexity of retirement adaptation processes and suggest that marital context plays an important role in retirement well-being.", "author" : [ { "dropping-particle" : "", "family" : "Szinovacz", "given" : "Maximiliane E", "non-dropping-particle" : "", "parse-names" : false, "suffix" : "" }, { "dropping-particle" : "", "family" : "Davey", "given" : "Adam", "non-dropping-particle" : "", "parse-names" : false, "suffix" : "" } ], "container-title" : "The journals of gerontology: Psychological sciences", "id" : "ITEM-2", "issue" : "5", "issued" : { "date-parts" : [ [ "2004" ] ] }, "note" : "Szinovacz, Davey 2004: Honeymoons and Joint Lunches: Effects of Retirement and Spouse\u2019s \nEmployment on Depressive Symptoms\nEarlier studies on postretirement well-being focused either on retirees\u2019 activities and roles or on selected resources such as health, finances, or marital status\ncontexts of retirement according to the life.course theory: former work roles and work history, health, finances, and marital status\nretirement contexts and retirement meanings vary by gender\nretirement phases: honeymoon, disenchantment, reorientation, stability, and termination (Atchley 1976)\nWaves 1\u20134 of the Health and Retirement Survey - married individuals who either remained continuously employed over time or completely retired since the Wave 1\nThe analyses pool persons who retired between Waves 1 and 2, Waves 2 and 3, and Waves 3 and 4\nRecently retired men seem to be negatively affected by their spouses\u2019 continuous employment\nspouses\u2019 joint retirement has a beneficial influence on both recently retired and longer- retired men\nnot many effects of husband's employment for women\nthe honeymoon may last longer among men than among women\nhigher depression of retired men with employed women - conflicts over household works, lonelyness+boredom, loss of the role of breadwinner and status\nAlthough we control for \u2018\u2018forced\u2019\u2019 retirement and health in the analyses, these controls may not capture the full range of adverse retirement circumstances\ncomplexity of retirement adaptation processes, marital context plays an important role in retirement well-being", "page" : "233-245", "title" : "Honeymoons and joint lunches: effects of retirement and spouse's employment on depressive symptoms", "type" : "article-journal", "volume" : "59" }, "uris" : [ "http://www.mendeley.com/documents/?uuid=0cc6f073-0890-45e1-9dcd-c29a27cd0bbe" ] } ], "mendeley" : { "formattedCitation" : "(Nordenmark and Stattin 2009; Szinovacz and Davey 2004)", "plainTextFormattedCitation" : "(Nordenmark and Stattin 2009; Szinovacz and Davey 2004)", "previouslyFormattedCitation" : "(Nordenmark and Stattin 2009; Szinovacz and Davey 2004)" }, "properties" : { "noteIndex" : 0 }, "schema" : "https://github.com/citation-style-language/schema/raw/master/csl-citation.json" }</w:instrText>
      </w:r>
      <w:r w:rsidRPr="00C3671E">
        <w:rPr>
          <w:lang w:eastAsia="zh-CN"/>
        </w:rPr>
        <w:fldChar w:fldCharType="separate"/>
      </w:r>
      <w:r w:rsidR="00A91559" w:rsidRPr="00C3671E">
        <w:rPr>
          <w:noProof/>
          <w:lang w:eastAsia="zh-CN"/>
        </w:rPr>
        <w:t>(Nordenmark and Stattin 2009; Szinovacz and Davey 2004)</w:t>
      </w:r>
      <w:r w:rsidRPr="00C3671E">
        <w:rPr>
          <w:lang w:eastAsia="zh-CN"/>
        </w:rPr>
        <w:fldChar w:fldCharType="end"/>
      </w:r>
      <w:r w:rsidRPr="00C3671E">
        <w:rPr>
          <w:lang w:eastAsia="zh-CN"/>
        </w:rPr>
        <w:t xml:space="preserve">, and then some studies found specific context of retirement </w:t>
      </w:r>
      <w:r w:rsidRPr="00C3671E">
        <w:rPr>
          <w:lang w:eastAsia="zh-CN"/>
        </w:rPr>
        <w:fldChar w:fldCharType="begin" w:fldLock="1"/>
      </w:r>
      <w:r w:rsidR="001257AA" w:rsidRPr="00C3671E">
        <w:rPr>
          <w:lang w:eastAsia="zh-CN"/>
        </w:rPr>
        <w:instrText>ADDIN CSL_CITATION { "citationItems" : [ { "id" : "ITEM-1", "itemData" : { "author" : [ { "dropping-particle" : "", "family" : "Kim", "given" : "Jungmeen E", "non-dropping-particle" : "", "parse-names" : false, "suffix" : "" }, { "dropping-particle" : "", "family" : "Moen", "given" : "Phyllis", "non-dropping-particle" : "", "parse-names" : false, "suffix" : "" } ], "container-title" : "Journal of Gerontology: Psychological Series", "id" : "ITEM-1", "issue" : "3", "issued" : { "date-parts" : [ [ "2002" ] ] }, "note" : "Kim, Moen 2002: Retirement Transitions, Gender, and Psychological Well-Being: A Life-Course, Ecological Model\nlongitudinal: retirement\u2192well-being (morale scale, CES-D); married 50-72\nmultiple imputations of missing values\nmoving out from demanding job loosing occupational attachments, network, and anchor for identity\nrole theory + life-course perspetive \u2192 role enhancement X role strain\ncontinuity theory - maintaining patterns, stability\na life-course, ecological model - best for this issue\n- locating transitions in the social contexts of other roles, relations, and developmental processes\n- process, linked lives, context\nthe relationship between retirement and psychological well-being must be viewed in a temporal, life course context\nmaking the transition to retirement within the last 2 years is associated with higher levels of morale for men, whereas being \u201ccontinuously\u201d retired is related to greater depressive symptoms among men\n- enjoyable \u201choneymoon\u201d phase proposed by Atchley (1976b) - right after the event of retirement there often is a euphoric, busy, honeymoon phase\nthe importance of resources and contexts of transitions (gender, prior level of well-being, spouses\u2019 circumstance, and changes in personal control, marital quality, subjective health, and income adequacy\n\u2192\nWomen\u2019s retirement: Policy implications of recent research\nIs retirement good or bad for subjective well-being?\nCouples\u2019 work/retirement transitions, gender, and marital quality\nMen\u2019s retirement and marital quality\nVolunteering and mortality among older adults: Findings from a national sample\nThe retiree identity: Gender and race differences", "page" : "212-222", "title" : "Retirement Transitions, Gender, and Psychological Well-Being: A Life-Course , Ecological Model", "type" : "article-journal", "volume" : "57" }, "uris" : [ "http://www.mendeley.com/documents/?uuid=d324d834-c4ee-483d-b637-cc2ca78095c1" ] }, { "id" : "ITEM-2", "itemData" : { "DOI" : "10.2190/8Q46-GJX4-M2VM-W60V", "ISBN" : "0091-4150 (Print)", "ISSN" : "0091-4150", "PMID" : "16454480", "abstract" : "This study explores how grandchild care in conjunction with grandparents' retirement affects depressive symptoms, using data from the Health and Retirement Survey. The findings demonstrate that retirement moderates the influence of grandchild care obligations on well-being, measured by depressive symptoms. For retired men, freedom from grandchild care obligations is associated with heightened well-being. Among women, continued employment seems to protect against potential negative effects of extensive grandchild care obligations on well-being. The results for men seem most in line with the argument that family care obligations spoil retirement, whereas the results for women suggest a scenario that is most compatible with the role enhancement thesis.", "author" : [ { "dropping-particle" : "", "family" : "Szinovacz", "given" : "Maximiliane E", "non-dropping-particle" : "", "parse-names" : false, "suffix" : "" }, { "dropping-particle" : "", "family" : "Davey", "given" : "Adam", "non-dropping-particle" : "", "parse-names" : false, "suffix" : "" } ], "container-title" : "International journal of aging &amp; human development", "id" : "ITEM-2", "issue" : "1", "issued" : { "date-parts" : [ [ "2006" ] ] }, "page" : "1-20", "title" : "Effects of retirement and grandchild care on depressive symptoms.", "type" : "article-journal", "volume" : "62" }, "uris" : [ "http://www.mendeley.com/documents/?uuid=8f001e1e-4a57-4a2b-8d78-1d7814bf6fe2" ] } ], "mendeley" : { "formattedCitation" : "(Kim and Moen 2002; Szinovacz and Davey 2006)", "plainTextFormattedCitation" : "(Kim and Moen 2002; Szinovacz and Davey 2006)", "previouslyFormattedCitation" : "(Kim and Moen 2002; Szinovacz and Davey 2006)" }, "properties" : { "noteIndex" : 0 }, "schema" : "https://github.com/citation-style-language/schema/raw/master/csl-citation.json" }</w:instrText>
      </w:r>
      <w:r w:rsidRPr="00C3671E">
        <w:rPr>
          <w:lang w:eastAsia="zh-CN"/>
        </w:rPr>
        <w:fldChar w:fldCharType="separate"/>
      </w:r>
      <w:r w:rsidR="00A91559" w:rsidRPr="00C3671E">
        <w:rPr>
          <w:noProof/>
          <w:lang w:eastAsia="zh-CN"/>
        </w:rPr>
        <w:t>(Kim and Moen 2002; Szinovacz and Davey 2006)</w:t>
      </w:r>
      <w:r w:rsidRPr="00C3671E">
        <w:rPr>
          <w:lang w:eastAsia="zh-CN"/>
        </w:rPr>
        <w:fldChar w:fldCharType="end"/>
      </w:r>
      <w:r w:rsidRPr="00C3671E">
        <w:rPr>
          <w:lang w:eastAsia="zh-CN"/>
        </w:rPr>
        <w:t xml:space="preserve">, characteristics of the retirement transition </w:t>
      </w:r>
      <w:r w:rsidRPr="00C3671E">
        <w:rPr>
          <w:lang w:eastAsia="zh-CN"/>
        </w:rPr>
        <w:fldChar w:fldCharType="begin" w:fldLock="1"/>
      </w:r>
      <w:r w:rsidR="001257AA" w:rsidRPr="00C3671E">
        <w:rPr>
          <w:lang w:eastAsia="zh-CN"/>
        </w:rPr>
        <w:instrText>ADDIN CSL_CITATION { "citationItems" : [ { "id" : "ITEM-1", "itemData" : { "DOI" : "10.1080/01490400902988275", "ISBN" : "0882-7974 (Print)\\r0882-7974 (Linking)", "ISSN" : "0149-0400", "PMID" : "17874946", "abstract" : "Contradictory positions have been advanced as to whether retirement has negative, positive, or no effects on subjective well-being. The authors investigated changes in life satisfaction in 1,456 German retirees. Using latent growth mixture modeling, the authors found 3 groups of people who experienced retirement differently. In Group 1, satisfaction declined at retirement but continued on a stable or increasing trajectory thereafter. Group 2 demonstrated a large increase in satisfaction at retirement but overall declining satisfaction. In Group 3, satisfaction showed a temporary very small increase at retirement. Groups differed by retirement age, gender, socioeconomic status, marital status, health, unemployment before retiring, and region. Thus, retirement is not a uniform transition, and resource-rich individuals are less likely to experience retirement-related change in satisfaction.", "author" : [ { "dropping-particle" : "", "family" : "Pinquart", "given" : "Martin", "non-dropping-particle" : "", "parse-names" : false, "suffix" : "" }, { "dropping-particle" : "", "family" : "Schindler", "given" : "Ines", "non-dropping-particle" : "", "parse-names" : false, "suffix" : "" } ], "container-title" : "Psychology and Aging", "id" : "ITEM-1", "issue" : "3", "issued" : { "date-parts" : [ [ "2007" ] ] }, "note" : "Pinquart, Schindler 2007: Changes of Life Satisfaction in the Transition to Retirement: A Latent-Class Approach\nthe authors found 3 groups of people who experienced retirement differently: 1. satisfaction declined and become stable or increasing, 2. large increase followed by overall decline (men), 3. a temporary small increase (dominant group with many married people)\nmultinomial logistic regression of differences between classes\ngroups differed in many personal chracteristics\nresource-rich individuals are less likely to experience retirement-related change in satisfaction\nSociological role theory points to employment as a fundamental\nrole\ncontinuity theory would suggest that retirement may be psychologically stressful because of the discontinuity in a central role or because individuals experience rolelessness\nAtchley (1974, 1976) has suggested a process model of retirement adjustment - Anticipatory attitudes etc.", "page" : "442-455", "title" : "Changes of life satisfaction in the transition to retirement: a latent-class approach", "type" : "article-journal", "volume" : "22" }, "uris" : [ "http://www.mendeley.com/documents/?uuid=d5c3e2c1-0130-4b23-b2b3-698c31b6e4e4" ] }, { "id" : "ITEM-2", "itemData" : { "DOI" : "Doi 10.1017/S0144686x08008179", "ISBN" : "0144-686X", "ISSN" : "0144-686X", "abstract" : "Given the increased heterogeneity of the transition from work to retirement, this study aimed to analyse the associations between different reasons for retirement and psychosocial wellbeing as a pensioner. The study used data from the Swedish Panel Survey of Ageing and the Elderly (PSAE), a nationally representative survey of the living conditions of older people in Sweden. The results show that almost one-half of all pensioners cited health problems as a contributory reason for ceasing work. Furthermore, those who retired for 'push' reasons, such as health problems or labour market factors, experienced lower psychosocial wellbeing than those who retired For other reasons. Moreover, the results show that those who were able to influence the time of their retirement enjoyed better psychosocial wellbeing than those who had little or no opportunity to do so. This was true when controlling for other factors relevant to the wellbeing of pensioners. The results lend support to the argument that, if a mail's retirement is instigated because his skills are no longer required, there will be a decidedly negative effect on his wellbeing and that this effect is stronger than the equivalent impact oil a woman's wellbeing. In relation to previous findings in this field, the results make it clear that retirement is far from a uniform process or state.", "author" : [ { "dropping-particle" : "", "family" : "Nordenmark", "given" : "Mikael", "non-dropping-particle" : "", "parse-names" : false, "suffix" : "" }, { "dropping-particle" : "", "family" : "Stattin", "given" : "Mikael", "non-dropping-particle" : "", "parse-names" : false, "suffix" : "" } ], "container-title" : "Ageing &amp; Society", "id" : "ITEM-2", "issue" : "May", "issued" : { "date-parts" : [ [ "2009" ] ] }, "page" : "413-430", "title" : "Psychosocial wellbeing and reasons for retirement in Sweden", "type" : "article-journal", "volume" : "29" }, "uris" : [ "http://www.mendeley.com/documents/?uuid=b75db940-cd46-4e37-8351-fad87bff7d29" ] }, { "id" : "ITEM-3", "itemData" : { "DOI" : "10.1016/j.socec.2011.05.010", "ISBN" : "1053-5357", "ISSN" : "10535357", "abstract" : "This paper examines a wide range of determinants of retiree well-being of retirees. Using data from the 2000 Health and Retirement Study, increases in economic factors such as income lead to higher well-being, although relative income has a larger effect than absolute income. The strongest predictors are the voluntariness of entering retirement, pension characteristics, and health. Retirees \" forced\" to retire or have defined contribution pensions or bad health have significantly lower well-being. The results suggest a more nuanced approach in addressing retiree well-being than just a focus on the economic well-being of retirees. ?? 2011 Elsevier Inc.", "author" : [ { "dropping-particle" : "", "family" : "Bender", "given" : "Keith A.", "non-dropping-particle" : "", "parse-names" : false, "suffix" : "" } ], "container-title" : "Journal of Socio-Economics", "id" : "ITEM-3", "issue" : "4", "issued" : { "date-parts" : [ [ "2012" ] ] }, "page" : "424-433", "publisher" : "Elsevier Inc.", "title" : "An analysis of well-being in retirement: The role of pensions, health, and 'voluntariness' of retirement", "type" : "article-journal", "volume" : "41" }, "uris" : [ "http://www.mendeley.com/documents/?uuid=b93971aa-9931-4825-9234-2662dd4edc6f" ] } ], "mendeley" : { "formattedCitation" : "(Bender 2012; Nordenmark and Stattin 2009; Pinquart and Schindler 2007)", "plainTextFormattedCitation" : "(Bender 2012; Nordenmark and Stattin 2009; Pinquart and Schindler 2007)", "previouslyFormattedCitation" : "(Bender 2012; Nordenmark and Stattin 2009; Pinquart and Schindler 2007)" }, "properties" : { "noteIndex" : 0 }, "schema" : "https://github.com/citation-style-language/schema/raw/master/csl-citation.json" }</w:instrText>
      </w:r>
      <w:r w:rsidRPr="00C3671E">
        <w:rPr>
          <w:lang w:eastAsia="zh-CN"/>
        </w:rPr>
        <w:fldChar w:fldCharType="separate"/>
      </w:r>
      <w:r w:rsidR="00A91559" w:rsidRPr="00C3671E">
        <w:rPr>
          <w:noProof/>
          <w:lang w:eastAsia="zh-CN"/>
        </w:rPr>
        <w:t>(Bender 2012; Nordenmark and Stattin 2009; Pinquart and Schindler 2007)</w:t>
      </w:r>
      <w:r w:rsidRPr="00C3671E">
        <w:rPr>
          <w:lang w:eastAsia="zh-CN"/>
        </w:rPr>
        <w:fldChar w:fldCharType="end"/>
      </w:r>
      <w:r w:rsidRPr="00C3671E">
        <w:rPr>
          <w:lang w:eastAsia="zh-CN"/>
        </w:rPr>
        <w:t xml:space="preserve"> or characteristics of the individual </w:t>
      </w:r>
      <w:r w:rsidRPr="00C3671E">
        <w:rPr>
          <w:lang w:eastAsia="zh-CN"/>
        </w:rPr>
        <w:fldChar w:fldCharType="begin" w:fldLock="1"/>
      </w:r>
      <w:r w:rsidR="001257AA" w:rsidRPr="00C3671E">
        <w:rPr>
          <w:lang w:eastAsia="zh-CN"/>
        </w:rPr>
        <w:instrText>ADDIN CSL_CITATION { "citationItems" : [ { "id" : "ITEM-1", "itemData" : { "DOI" : "10.1016/j.socec.2011.05.010", "ISBN" : "1053-5357", "ISSN" : "10535357", "abstract" : "This paper examines a wide range of determinants of retiree well-being of retirees. Using data from the 2000 Health and Retirement Study, increases in economic factors such as income lead to higher well-being, although relative income has a larger effect than absolute income. The strongest predictors are the voluntariness of entering retirement, pension characteristics, and health. Retirees \" forced\" to retire or have defined contribution pensions or bad health have significantly lower well-being. The results suggest a more nuanced approach in addressing retiree well-being than just a focus on the economic well-being of retirees. ?? 2011 Elsevier Inc.", "author" : [ { "dropping-particle" : "", "family" : "Bender", "given" : "Keith A.", "non-dropping-particle" : "", "parse-names" : false, "suffix" : "" } ], "container-title" : "Journal of Socio-Economics", "id" : "ITEM-1", "issue" : "4", "issued" : { "date-parts" : [ [ "2012" ] ] }, "page" : "424-433", "publisher" : "Elsevier Inc.", "title" : "An analysis of well-being in retirement: The role of pensions, health, and 'voluntariness' of retirement", "type" : "article-journal", "volume" : "41" }, "uris" : [ "http://www.mendeley.com/documents/?uuid=b93971aa-9931-4825-9234-2662dd4edc6f" ] }, { "id" : "ITEM-2", "itemData" : { "DOI" : "10.1016/j.jvb.2008.12.010", "ISBN" : "0415384818", "ISSN" : "00018791", "abstract" : "This cross-sectional study examines three predictors of retirement adjustment: individual (demographic and health), psychosocial (work centrality), and organizational (conditions of workforce exit). It also examines the effect of work centrality on post-retirement activity levels. Survey data was collected from 394 retirees (aged 45-93 years). Results suggested that better psychological health, higher income, and being married predicted better retirement adjustment. Work centrality was neither related to retirement adjustment nor to post-retirement activity levels. Conditions of exit significantly predicted retirement adjustment, even after controlling for lower-level individual and psychosocial influences. Practical implications for the design of retirement planning programs and organizational exit strategies are discussed. ?? 2009 Elsevier Inc. All rights reserved.", "author" : [ { "dropping-particle" : "", "family" : "Wong", "given" : "Jessica Y.", "non-dropping-particle" : "", "parse-names" : false, "suffix" : "" }, { "dropping-particle" : "", "family" : "Earl", "given" : "Joanne K.", "non-dropping-particle" : "", "parse-names" : false, "suffix" : "" } ], "container-title" : "Journal of Vocational Behavior", "id" : "ITEM-2", "issue" : "1", "issued" : { "date-parts" : [ [ "2009" ] ] }, "note" : "Wong, Earl 2009: Towards an integrated model of individual, psychosocial, and organizational predictors of retirement adjustment\nAccording to role theory (e.g., George, 1993), individuals occupy a number of roles, each critical to the self concept and\npersonal identity\nThis cross-sectional study examines three predictors of retirement adjustment: individual (demographic and health), psychosocial (work centrality), and organizational (conditions of workforce exit)\nbetter psychological health, higher income, and being married predicted better retire- ment adjustment\nWork centrality was neither related to retirement adjustment nor to post-retirement activity levels", "page" : "1-13", "publisher" : "Elsevier Inc.", "title" : "Towards an integrated model of individual, psychosocial, and organizational predictors of retirement adjustment", "type" : "article-journal", "volume" : "75" }, "uris" : [ "http://www.mendeley.com/documents/?uuid=482f55ba-6cce-4d84-8512-ed86b3be5b64" ] }, { "id" : "ITEM-3", "itemData" : { "DOI" : "10.1177/0027950109345236", "ISBN" : "0027-9501, 0027-9501", "ISSN" : "0027-9501", "abstract" : "While much has been made of the value of employment relative to unemployment, much less is known about the value of work relative to retirement. Here we use two European panel datasets to show first that psychological well-being (measured on the EURO-D and GHQ scales) barely changes on average when individuals retire. However, there is a great deal of heterogeneity in the size of this change between job type and between individuals. Some gain on leaving work, while others experience substantial falls in well-being on retiring, suggesting that they may have preferred to carry on working. We suggest that the results of these analyses can help to inform policy aiming to encourage labour supply by older workers.", "author" : [ { "dropping-particle" : "", "family" : "Clark", "given" : "Andrew E", "non-dropping-particle" : "", "parse-names" : false, "suffix" : "" }, { "dropping-particle" : "", "family" : "Fawaz", "given" : "Yarine", "non-dropping-particle" : "", "parse-names" : false, "suffix" : "" } ], "container-title" : "National Institute Economic Review", "id" : "ITEM-3", "issue" : "1", "issued" : { "date-parts" : [ [ "2009" ] ] }, "page" : "88-103", "title" : "Valuing jobs via retirement: European Evidence", "type" : "article-journal", "volume" : "209" }, "uris" : [ "http://www.mendeley.com/documents/?uuid=f95f195c-cc3d-4968-8d7f-4b29c854cbf4" ] } ], "mendeley" : { "formattedCitation" : "(Bender 2012; Clark and Fawaz 2009; Wong and Earl 2009)", "plainTextFormattedCitation" : "(Bender 2012; Clark and Fawaz 2009; Wong and Earl 2009)", "previouslyFormattedCitation" : "(Bender 2012; Clark and Fawaz 2009; Wong and Earl 2009)" }, "properties" : { "noteIndex" : 0 }, "schema" : "https://github.com/citation-style-language/schema/raw/master/csl-citation.json" }</w:instrText>
      </w:r>
      <w:r w:rsidRPr="00C3671E">
        <w:rPr>
          <w:lang w:eastAsia="zh-CN"/>
        </w:rPr>
        <w:fldChar w:fldCharType="separate"/>
      </w:r>
      <w:r w:rsidR="00A91559" w:rsidRPr="00C3671E">
        <w:rPr>
          <w:noProof/>
          <w:lang w:eastAsia="zh-CN"/>
        </w:rPr>
        <w:t>(Bender 2012; Clark and Fawaz 2009; Wong and Earl 2009)</w:t>
      </w:r>
      <w:r w:rsidRPr="00C3671E">
        <w:rPr>
          <w:lang w:eastAsia="zh-CN"/>
        </w:rPr>
        <w:fldChar w:fldCharType="end"/>
      </w:r>
      <w:r w:rsidRPr="00C3671E">
        <w:rPr>
          <w:lang w:eastAsia="zh-CN"/>
        </w:rPr>
        <w:t xml:space="preserve"> that decisively shape the various outcomes of retirement. This complex area of research produces seemingly contradictory findings and no conclusive answer on the effect of retirement has been found yet. Hence, this effect seems highly micro-, mezzo-, and macro-context dependent and the ecological perspective seems necessary in examining this relationship.</w:t>
      </w:r>
    </w:p>
    <w:p w14:paraId="14B56C81" w14:textId="0B68EC87" w:rsidR="001A7940" w:rsidRPr="00C3671E" w:rsidRDefault="001A7940" w:rsidP="00F4146A">
      <w:pPr>
        <w:pStyle w:val="Newparagraph"/>
        <w:jc w:val="both"/>
        <w:rPr>
          <w:lang w:eastAsia="zh-CN"/>
        </w:rPr>
      </w:pPr>
      <w:r w:rsidRPr="00C3671E">
        <w:rPr>
          <w:lang w:eastAsia="zh-CN"/>
        </w:rPr>
        <w:t xml:space="preserve">The ecological perspective </w:t>
      </w:r>
      <w:r w:rsidRPr="00C3671E">
        <w:t>formulated</w:t>
      </w:r>
      <w:r w:rsidRPr="00C3671E">
        <w:rPr>
          <w:lang w:eastAsia="zh-CN"/>
        </w:rPr>
        <w:t xml:space="preserve"> by </w:t>
      </w:r>
      <w:r w:rsidRPr="00C3671E">
        <w:rPr>
          <w:lang w:eastAsia="zh-CN"/>
        </w:rPr>
        <w:fldChar w:fldCharType="begin" w:fldLock="1"/>
      </w:r>
      <w:r w:rsidR="00AA6335" w:rsidRPr="00C3671E">
        <w:rPr>
          <w:lang w:eastAsia="zh-CN"/>
        </w:rPr>
        <w:instrText>ADDIN CSL_CITATION { "citationItems" : [ { "id" : "ITEM-1", "itemData" : { "author" : [ { "dropping-particle" : "", "family" : "Bronfenbrenner", "given" : "Urie", "non-dropping-particle" : "", "parse-names" : false, "suffix" : "" } ], "container-title" : "Developmental Psychology", "id" : "ITEM-1", "issue" : "6", "issued" : { "date-parts" : [ [ "1986" ] ] }, "page" : "723-742", "title" : "Ecology of the family as a context for human development: research perspectives", "type" : "article-journal", "volume" : "22" }, "uris" : [ "http://www.mendeley.com/documents/?uuid=914637a8-15ad-4ca9-89fd-0e132df3bbfe" ] } ], "mendeley" : { "formattedCitation" : "(Bronfenbrenner 1986)", "manualFormatting" : "Bronfenbrenner (1986)", "plainTextFormattedCitation" : "(Bronfenbrenner 1986)", "previouslyFormattedCitation" : "(Bronfenbrenner 1986)" }, "properties" : { "noteIndex" : 0 }, "schema" : "https://github.com/citation-style-language/schema/raw/master/csl-citation.json" }</w:instrText>
      </w:r>
      <w:r w:rsidRPr="00C3671E">
        <w:rPr>
          <w:lang w:eastAsia="zh-CN"/>
        </w:rPr>
        <w:fldChar w:fldCharType="separate"/>
      </w:r>
      <w:r w:rsidRPr="00C3671E">
        <w:rPr>
          <w:noProof/>
          <w:lang w:eastAsia="zh-CN"/>
        </w:rPr>
        <w:t>Bronfenbrenner (1986)</w:t>
      </w:r>
      <w:r w:rsidRPr="00C3671E">
        <w:rPr>
          <w:lang w:eastAsia="zh-CN"/>
        </w:rPr>
        <w:fldChar w:fldCharType="end"/>
      </w:r>
      <w:r w:rsidRPr="00C3671E">
        <w:rPr>
          <w:lang w:eastAsia="zh-CN"/>
        </w:rPr>
        <w:t xml:space="preserve"> claims that transitions over life course are inherently linked to intrafamilial processes and environmental events. The </w:t>
      </w:r>
      <w:r w:rsidRPr="00C3671E">
        <w:rPr>
          <w:lang w:eastAsia="zh-CN"/>
        </w:rPr>
        <w:lastRenderedPageBreak/>
        <w:t xml:space="preserve">life-course perspective and ecological perspective are closely interlinked and both state that individual transitions, such as retirement, are located in the contexts of other roles, relationships and processes, but also in the contexts of social and historical circumstances </w:t>
      </w:r>
      <w:r w:rsidRPr="00C3671E">
        <w:rPr>
          <w:lang w:eastAsia="zh-CN"/>
        </w:rPr>
        <w:fldChar w:fldCharType="begin" w:fldLock="1"/>
      </w:r>
      <w:r w:rsidR="004F5010" w:rsidRPr="00C3671E">
        <w:rPr>
          <w:lang w:eastAsia="zh-CN"/>
        </w:rPr>
        <w:instrText>ADDIN CSL_CITATION { "citationItems" : [ { "id" : "ITEM-1", "itemData" : { "DOI" : "10.1146/annurev.so.19.080193.002033", "ISBN" : "0360-0572", "ISSN" : "0360-0572", "abstract" : "Research on life transitions highlights the normative and nonnormative changes that individuals experience over time. During the past two decades, life course perspectives have provided a strategic context for studying the genesis of life transitions and their personal and social consequences. Both population-based and individual models of transitions have become more complex, focusing on the ways that social and historical contexts shape life transitions. At the individual level, progress has also been made in identifying the mechanisms by which transitions affect outcomes. Research on life transitions continues to grapple with two major issues-the challenges raised by heterogeneity, and the need to better link macro and micro perspectives-although advances have been made in both cases. One of the most promising characteristics of recent studies is cross-fertilization of concepts and methods from previously distinct research traditions: role theory, social stress theory, and life course sociology.", "author" : [ { "dropping-particle" : "", "family" : "George", "given" : "L K", "non-dropping-particle" : "", "parse-names" : false, "suffix" : "" } ], "container-title" : "Annual Review of Sociology", "id" : "ITEM-1", "issued" : { "date-parts" : [ [ "1993" ] ] }, "page" : "353-373", "title" : "Sociological-Perspectives on Life Transitions", "type" : "article-journal", "volume" : "19" }, "uris" : [ "http://www.mendeley.com/documents/?uuid=fe4e53a2-8342-41f2-bcb3-f1fb3380abb5" ] }, { "id" : "ITEM-2", "itemData" : { "author" : [ { "dropping-particle" : "", "family" : "Kim", "given" : "Jungmeen E", "non-dropping-particle" : "", "parse-names" : false, "suffix" : "" }, { "dropping-particle" : "", "family" : "Moen", "given" : "Phyllis", "non-dropping-particle" : "", "parse-names" : false, "suffix" : "" } ], "container-title" : "Journal of Gerontology: Psychological Series", "id" : "ITEM-2", "issue" : "3", "issued" : { "date-parts" : [ [ "2002" ] ] }, "note" : "Kim, Moen 2002: Retirement Transitions, Gender, and Psychological Well-Being: A Life-Course, Ecological Model\nlongitudinal: retirement\u2192well-being (morale scale, CES-D); married 50-72\nmultiple imputations of missing values\nmoving out from demanding job loosing occupational attachments, network, and anchor for identity\nrole theory + life-course perspetive \u2192 role enhancement X role strain\ncontinuity theory - maintaining patterns, stability\na life-course, ecological model - best for this issue\n- locating transitions in the social contexts of other roles, relations, and developmental processes\n- process, linked lives, context\nthe relationship between retirement and psychological well-being must be viewed in a temporal, life course context\nmaking the transition to retirement within the last 2 years is associated with higher levels of morale for men, whereas being \u201ccontinuously\u201d retired is related to greater depressive symptoms among men\n- enjoyable \u201choneymoon\u201d phase proposed by Atchley (1976b) - right after the event of retirement there often is a euphoric, busy, honeymoon phase\nthe importance of resources and contexts of transitions (gender, prior level of well-being, spouses\u2019 circumstance, and changes in personal control, marital quality, subjective health, and income adequacy\n\u2192\nWomen\u2019s retirement: Policy implications of recent research\nIs retirement good or bad for subjective well-being?\nCouples\u2019 work/retirement transitions, gender, and marital quality\nMen\u2019s retirement and marital quality\nVolunteering and mortality among older adults: Findings from a national sample\nThe retiree identity: Gender and race differences", "page" : "212-222", "title" : "Retirement Transitions, Gender, and Psychological Well-Being: A Life-Course , Ecological Model", "type" : "article-journal", "volume" : "57" }, "uris" : [ "http://www.mendeley.com/documents/?uuid=d324d834-c4ee-483d-b637-cc2ca78095c1" ] }, { "id" : "ITEM-3", "itemData" : { "DOI" : "10.1111/1467-8721.00121", "ISBN" : "09637214", "ISSN" : "0963-7214", "abstract" : "Retirement has been viewed either as a transition that is accompanied by psychological distress or as a time of continued, or even enhanced, subjective well-being. Existing evidence is mixed, with some studies reporting retirement as positively related to well-being and other reporting a negative relationship or none at all. Our research indicates that developmental and social contexts shape an individual's retirement decisions and experiences, so that retirement should be studied in its ecological and life-course context. Research on marital quality and subjective well-being in retirement has demonstrated both similarities and differences between men and women, as well as the need to consider couples conjointly (rather than viewing individuals in isolation). Future research focusing on the retirement process as it unfolds over time and in ecological context can serve to illuminate the circumstances under which retirement promotes or detracts from the quality of life.", "author" : [ { "dropping-particle" : "", "family" : "Kim", "given" : "Jungmeen E", "non-dropping-particle" : "", "parse-names" : false, "suffix" : "" }, { "dropping-particle" : "", "family" : "Moen", "given" : "Phyllis", "non-dropping-particle" : "", "parse-names" : false, "suffix" : "" } ], "container-title" : "Current Directions in Psychological Science", "id" : "ITEM-3", "issue" : "3", "issued" : { "date-parts" : [ [ "2001" ] ] }, "page" : "83-86", "title" : "Is Retirement Good or Bad for Subjective Well-Being?", "type" : "article-journal", "volume" : "10" }, "uris" : [ "http://www.mendeley.com/documents/?uuid=d06e4216-f8ef-4e4d-8d67-2a892de0433e" ] } ], "mendeley" : { "formattedCitation" : "(George 1993; Kim and Moen 2001, 2002)", "plainTextFormattedCitation" : "(George 1993; Kim and Moen 2001, 2002)", "previouslyFormattedCitation" : "(George 1993; Kim and Moen 2001, 2002)" }, "properties" : { "noteIndex" : 0 }, "schema" : "https://github.com/citation-style-language/schema/raw/master/csl-citation.json" }</w:instrText>
      </w:r>
      <w:r w:rsidRPr="00C3671E">
        <w:rPr>
          <w:lang w:eastAsia="zh-CN"/>
        </w:rPr>
        <w:fldChar w:fldCharType="separate"/>
      </w:r>
      <w:r w:rsidR="00224AA0" w:rsidRPr="00C3671E">
        <w:rPr>
          <w:noProof/>
          <w:lang w:eastAsia="zh-CN"/>
        </w:rPr>
        <w:t>(George 1993; Kim and Moen 2001, 2002)</w:t>
      </w:r>
      <w:r w:rsidRPr="00C3671E">
        <w:rPr>
          <w:lang w:eastAsia="zh-CN"/>
        </w:rPr>
        <w:fldChar w:fldCharType="end"/>
      </w:r>
      <w:r w:rsidRPr="00C3671E">
        <w:rPr>
          <w:lang w:eastAsia="zh-CN"/>
        </w:rPr>
        <w:t xml:space="preserve">. While the factors mediating the effect of retirement on subjective QoL at the individual or household level have been analysed repeatedly </w:t>
      </w:r>
      <w:r w:rsidRPr="00C3671E">
        <w:rPr>
          <w:lang w:eastAsia="zh-CN"/>
        </w:rPr>
        <w:fldChar w:fldCharType="begin" w:fldLock="1"/>
      </w:r>
      <w:r w:rsidR="001257AA" w:rsidRPr="00C3671E">
        <w:rPr>
          <w:lang w:eastAsia="zh-CN"/>
        </w:rPr>
        <w:instrText>ADDIN CSL_CITATION { "citationItems" : [ { "id" : "ITEM-1", "itemData" : { "DOI" : "10.1016/j.socec.2011.05.010", "ISBN" : "1053-5357", "ISSN" : "10535357", "abstract" : "This paper examines a wide range of determinants of retiree well-being of retirees. Using data from the 2000 Health and Retirement Study, increases in economic factors such as income lead to higher well-being, although relative income has a larger effect than absolute income. The strongest predictors are the voluntariness of entering retirement, pension characteristics, and health. Retirees \" forced\" to retire or have defined contribution pensions or bad health have significantly lower well-being. The results suggest a more nuanced approach in addressing retiree well-being than just a focus on the economic well-being of retirees. ?? 2011 Elsevier Inc.", "author" : [ { "dropping-particle" : "", "family" : "Bender", "given" : "Keith A.", "non-dropping-particle" : "", "parse-names" : false, "suffix" : "" } ], "container-title" : "Journal of Socio-Economics", "id" : "ITEM-1", "issue" : "4", "issued" : { "date-parts" : [ [ "2012" ] ] }, "page" : "424-433", "publisher" : "Elsevier Inc.", "title" : "An analysis of well-being in retirement: The role of pensions, health, and 'voluntariness' of retirement", "type" : "article-journal", "volume" : "41" }, "uris" : [ "http://www.mendeley.com/documents/?uuid=b93971aa-9931-4825-9234-2662dd4edc6f" ] }, { "id" : "ITEM-2", "itemData" : { "DOI" : "Doi 10.1017/S0144686x08008179", "ISBN" : "0144-686X", "ISSN" : "0144-686X", "abstract" : "Given the increased heterogeneity of the transition from work to retirement, this study aimed to analyse the associations between different reasons for retirement and psychosocial wellbeing as a pensioner. The study used data from the Swedish Panel Survey of Ageing and the Elderly (PSAE), a nationally representative survey of the living conditions of older people in Sweden. The results show that almost one-half of all pensioners cited health problems as a contributory reason for ceasing work. Furthermore, those who retired for 'push' reasons, such as health problems or labour market factors, experienced lower psychosocial wellbeing than those who retired For other reasons. Moreover, the results show that those who were able to influence the time of their retirement enjoyed better psychosocial wellbeing than those who had little or no opportunity to do so. This was true when controlling for other factors relevant to the wellbeing of pensioners. The results lend support to the argument that, if a mail's retirement is instigated because his skills are no longer required, there will be a decidedly negative effect on his wellbeing and that this effect is stronger than the equivalent impact oil a woman's wellbeing. In relation to previous findings in this field, the results make it clear that retirement is far from a uniform process or state.", "author" : [ { "dropping-particle" : "", "family" : "Nordenmark", "given" : "Mikael", "non-dropping-particle" : "", "parse-names" : false, "suffix" : "" }, { "dropping-particle" : "", "family" : "Stattin", "given" : "Mikael", "non-dropping-particle" : "", "parse-names" : false, "suffix" : "" } ], "container-title" : "Ageing &amp; Society", "id" : "ITEM-2", "issue" : "May", "issued" : { "date-parts" : [ [ "2009" ] ] }, "page" : "413-430", "title" : "Psychosocial wellbeing and reasons for retirement in Sweden", "type" : "article-journal", "volume" : "29" }, "uris" : [ "http://www.mendeley.com/documents/?uuid=b75db940-cd46-4e37-8351-fad87bff7d29" ] }, { "id" : "ITEM-3", "itemData" : { "DOI" : "10.1093/geronb/59.5.P233", "ISBN" : "1079-5014 (Print)", "ISSN" : "1079-5014", "PMID" : "15358796", "abstract" : "With hypotheses derived from a life course perspective in conjunction with life event stress and role theories, we examine whether a spouse's employment and length of retirement affect a person's postretirement depressive symptoms and whether such effects differ by gender. Analyses use pooled data from Waves 1-4 of the Health and Retirement Survey, using a subsample of married individuals who either remained continuously employed over time or completely retired since the Wave 1 interviews (N = 2,695). Recently retired men seem to be negatively affected by their spouses' continuous employment when compared with men whose wives were continuously not employed. In contrast, spouses' joint retirement has a beneficial influence on both recently retired and longer-retired men. However, for recently retired men, the positive effect of wives' retirement seems to be contingent on spouses' enjoyment of joint activities. Among women, effects of spouses' employment occur only among very recently retired wives (0-6 months). These wives report more depressive symptoms if their spouses were already nonemployed prior to wives' retirement. These results demonstrate the complexity of retirement adaptation processes and suggest that marital context plays an important role in retirement well-being.", "author" : [ { "dropping-particle" : "", "family" : "Szinovacz", "given" : "Maximiliane E", "non-dropping-particle" : "", "parse-names" : false, "suffix" : "" }, { "dropping-particle" : "", "family" : "Davey", "given" : "Adam", "non-dropping-particle" : "", "parse-names" : false, "suffix" : "" } ], "container-title" : "The journals of gerontology: Psychological sciences", "id" : "ITEM-3", "issue" : "5", "issued" : { "date-parts" : [ [ "2004" ] ] }, "note" : "Szinovacz, Davey 2004: Honeymoons and Joint Lunches: Effects of Retirement and Spouse\u2019s \nEmployment on Depressive Symptoms\nEarlier studies on postretirement well-being focused either on retirees\u2019 activities and roles or on selected resources such as health, finances, or marital status\ncontexts of retirement according to the life.course theory: former work roles and work history, health, finances, and marital status\nretirement contexts and retirement meanings vary by gender\nretirement phases: honeymoon, disenchantment, reorientation, stability, and termination (Atchley 1976)\nWaves 1\u20134 of the Health and Retirement Survey - married individuals who either remained continuously employed over time or completely retired since the Wave 1\nThe analyses pool persons who retired between Waves 1 and 2, Waves 2 and 3, and Waves 3 and 4\nRecently retired men seem to be negatively affected by their spouses\u2019 continuous employment\nspouses\u2019 joint retirement has a beneficial influence on both recently retired and longer- retired men\nnot many effects of husband's employment for women\nthe honeymoon may last longer among men than among women\nhigher depression of retired men with employed women - conflicts over household works, lonelyness+boredom, loss of the role of breadwinner and status\nAlthough we control for \u2018\u2018forced\u2019\u2019 retirement and health in the analyses, these controls may not capture the full range of adverse retirement circumstances\ncomplexity of retirement adaptation processes, marital context plays an important role in retirement well-being", "page" : "233-245", "title" : "Honeymoons and joint lunches: effects of retirement and spouse's employment on depressive symptoms", "type" : "article-journal", "volume" : "59" }, "uris" : [ "http://www.mendeley.com/documents/?uuid=0cc6f073-0890-45e1-9dcd-c29a27cd0bbe" ] }, { "id" : "ITEM-4", "itemData" : { "DOI" : "10.2190/8Q46-GJX4-M2VM-W60V", "ISBN" : "0091-4150 (Print)", "ISSN" : "0091-4150", "PMID" : "16454480", "abstract" : "This study explores how grandchild care in conjunction with grandparents' retirement affects depressive symptoms, using data from the Health and Retirement Survey. The findings demonstrate that retirement moderates the influence of grandchild care obligations on well-being, measured by depressive symptoms. For retired men, freedom from grandchild care obligations is associated with heightened well-being. Among women, continued employment seems to protect against potential negative effects of extensive grandchild care obligations on well-being. The results for men seem most in line with the argument that family care obligations spoil retirement, whereas the results for women suggest a scenario that is most compatible with the role enhancement thesis.", "author" : [ { "dropping-particle" : "", "family" : "Szinovacz", "given" : "Maximiliane E", "non-dropping-particle" : "", "parse-names" : false, "suffix" : "" }, { "dropping-particle" : "", "family" : "Davey", "given" : "Adam", "non-dropping-particle" : "", "parse-names" : false, "suffix" : "" } ], "container-title" : "International journal of aging &amp; human development", "id" : "ITEM-4", "issue" : "1", "issued" : { "date-parts" : [ [ "2006" ] ] }, "page" : "1-20", "title" : "Effects of retirement and grandchild care on depressive symptoms.", "type" : "article-journal", "volume" : "62" }, "uris" : [ "http://www.mendeley.com/documents/?uuid=8f001e1e-4a57-4a2b-8d78-1d7814bf6fe2" ] }, { "id" : "ITEM-5", "itemData" : { "DOI" : "10.1016/j.jvb.2008.12.010", "ISBN" : "0415384818", "ISSN" : "00018791", "abstract" : "This cross-sectional study examines three predictors of retirement adjustment: individual (demographic and health), psychosocial (work centrality), and organizational (conditions of workforce exit). It also examines the effect of work centrality on post-retirement activity levels. Survey data was collected from 394 retirees (aged 45-93 years). Results suggested that better psychological health, higher income, and being married predicted better retirement adjustment. Work centrality was neither related to retirement adjustment nor to post-retirement activity levels. Conditions of exit significantly predicted retirement adjustment, even after controlling for lower-level individual and psychosocial influences. Practical implications for the design of retirement planning programs and organizational exit strategies are discussed. ?? 2009 Elsevier Inc. All rights reserved.", "author" : [ { "dropping-particle" : "", "family" : "Wong", "given" : "Jessica Y.", "non-dropping-particle" : "", "parse-names" : false, "suffix" : "" }, { "dropping-particle" : "", "family" : "Earl", "given" : "Joanne K.", "non-dropping-particle" : "", "parse-names" : false, "suffix" : "" } ], "container-title" : "Journal of Vocational Behavior", "id" : "ITEM-5", "issue" : "1", "issued" : { "date-parts" : [ [ "2009" ] ] }, "note" : "Wong, Earl 2009: Towards an integrated model of individual, psychosocial, and organizational predictors of retirement adjustment\nAccording to role theory (e.g., George, 1993), individuals occupy a number of roles, each critical to the self concept and\npersonal identity\nThis cross-sectional study examines three predictors of retirement adjustment: individual (demographic and health), psychosocial (work centrality), and organizational (conditions of workforce exit)\nbetter psychological health, higher income, and being married predicted better retire- ment adjustment\nWork centrality was neither related to retirement adjustment nor to post-retirement activity levels", "page" : "1-13", "publisher" : "Elsevier Inc.", "title" : "Towards an integrated model of individual, psychosocial, and organizational predictors of retirement adjustment", "type" : "article-journal", "volume" : "75" }, "uris" : [ "http://www.mendeley.com/documents/?uuid=482f55ba-6cce-4d84-8512-ed86b3be5b64" ] } ], "mendeley" : { "formattedCitation" : "(Bender 2012; Nordenmark and Stattin 2009; Szinovacz and Davey 2004, 2006; Wong and Earl 2009)", "plainTextFormattedCitation" : "(Bender 2012; Nordenmark and Stattin 2009; Szinovacz and Davey 2004, 2006; Wong and Earl 2009)", "previouslyFormattedCitation" : "(Bender 2012; Nordenmark and Stattin 2009; Szinovacz and Davey 2004, 2006; Wong and Earl 2009)" }, "properties" : { "noteIndex" : 0 }, "schema" : "https://github.com/citation-style-language/schema/raw/master/csl-citation.json" }</w:instrText>
      </w:r>
      <w:r w:rsidRPr="00C3671E">
        <w:rPr>
          <w:lang w:eastAsia="zh-CN"/>
        </w:rPr>
        <w:fldChar w:fldCharType="separate"/>
      </w:r>
      <w:r w:rsidR="00A91559" w:rsidRPr="00C3671E">
        <w:rPr>
          <w:noProof/>
          <w:lang w:eastAsia="zh-CN"/>
        </w:rPr>
        <w:t>(Bender 2012; Nordenmark and Stattin 2009; Szinovacz and Davey 2004, 2006; Wong and Earl 2009)</w:t>
      </w:r>
      <w:r w:rsidRPr="00C3671E">
        <w:rPr>
          <w:lang w:eastAsia="zh-CN"/>
        </w:rPr>
        <w:fldChar w:fldCharType="end"/>
      </w:r>
      <w:r w:rsidRPr="00C3671E">
        <w:rPr>
          <w:lang w:eastAsia="zh-CN"/>
        </w:rPr>
        <w:t xml:space="preserve">, there is almost no research on macro-level mediators of this relationship, and this is true even though the engagement of older people in caregiving </w:t>
      </w:r>
      <w:r w:rsidRPr="00C3671E">
        <w:rPr>
          <w:lang w:eastAsia="zh-CN"/>
        </w:rPr>
        <w:fldChar w:fldCharType="begin" w:fldLock="1"/>
      </w:r>
      <w:r w:rsidR="001257AA" w:rsidRPr="00C3671E">
        <w:rPr>
          <w:lang w:eastAsia="zh-CN"/>
        </w:rPr>
        <w:instrText>ADDIN CSL_CITATION { "citationItems" : [ { "id" : "ITEM-1", "itemData" : { "DOI" : "10.1007/s10680-014-9336-7", "ISBN" : "1068001493367", "ISSN" : "15729885", "abstract" : "We analyse the impact of the provision of care on the health and quality of life (QoL) of adult female informal caregivers using a representative sample drawn from the survey of health, ageing and retirement in Europe (SHARE). We match each informal caregiver with a non-carer using propensity score matching and test whether matched individuals differ on self-assessed health and a functional indicator of QoL and whether this relationship differs across European regions. We find a North-South gradient both for self-assessed health and QoL, and our results show that the provision of caregiving to close relatives in Europe impacts on the caregivers' QoL and health in a way that depends on their geographical location, the degree of formal care and specific cultural and social factors of the area. We find that informal caregiving is a complex phenomenon which may bring both psychological rewards and distress to providers of care and this complexity, along with the geographical gradient highlight the importance of ensuring that policies match the needs of individual carers in their own geographical areas and cultural contexts. [ABSTRACT FROM AUTHOR] Copyright of European Journal of Population is the property of Springer Science &amp; Business Media B.V.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"Novi", "given" : "Cinzia", "non-dropping-particle" : "Di", "parse-names" : false, "suffix" : "" }, { "dropping-particle" : "", "family" : "Jacobs", "given" : "Rowena", "non-dropping-particle" : "", "parse-names" : false, "suffix" : "" }, { "dropping-particle" : "", "family" : "Migheli", "given" : "Matteo", "non-dropping-particle" : "", "parse-names" : false, "suffix" : "" } ], "container-title" : "European Journal of Population", "id" : "ITEM-1", "issue" : "3", "issued" : { "date-parts" : [ [ "2015" ] ] }, "page" : "309-333", "publisher" : "Springer Netherlands", "title" : "The Quality of Life of Female Informal Caregivers: From Scandinavia to the Mediterranean Sea", "type" : "article-journal", "volume" : "31" }, "uris" : [ "http://www.mendeley.com/documents/?uuid=1ccc65b6-fa56-4844-8194-2bfe00ef56d5" ] }, { "id" : "ITEM-2", "itemData" : { "DOI" : "10.1007/s10433-013-0294-4", "ISBN" : "1613-9372", "ISSN" : "1613-9372", "abstract" : "This study employs the concept of structured ambivalence to analyse the effect of grandchild care on quality of life (QoL) in different cultural contexts. We define structured ambivalence as the contradiction between behaviour and cultural norms. The analysis is based on the Survey of Health, Ageing and Retirement in Europe with 14 countries in the sample. We focus on grandparents aged 50 and over with at least one grandchild 12 years old or younger (n = 12,740). In countries with high grandparent obligations, grandparents who did not look after their grandchildren reported a lower quality of life. Compliance with such grandparental obligations (e.g. providing grandchild care in a country with high grandparent obligations) was found to increase the QoL of grandparents. Family policy should consider family practices that better match the realities of current grandparents\u2019 lives in order to reduce structured ambivalence and increase the QoL of grandparents.", "author" : [ { "dropping-particle" : "", "family" : "Neuberger", "given" : "Franz S.", "non-dropping-particle" : "", "parse-names" : false, "suffix" : "" }, { "dropping-particle" : "", "family" : "Haberkern", "given" : "Klaus", "non-dropping-particle" : "", "parse-names" : false, "suffix" : "" } ], "container-title" : "European Journal of Ageing", "id" : "ITEM-2", "issue" : "2", "issued" : { "date-parts" : [ [ "2014" ] ] }, "page" : "171-181", "title" : "Structured ambivalence in grandchild care and the quality of life among European grandparents", "type" : "article-journal", "volume" : "11" }, "uris" : [ "http://www.mendeley.com/documents/?uuid=f5b5cac1-e999-4c39-a97d-1363ab276312" ] } ], "mendeley" : { "formattedCitation" : "(Neuberger and Haberkern 2014; Di Novi et al. 2015)", "plainTextFormattedCitation" : "(Neuberger and Haberkern 2014; Di Novi et al. 2015)", "previouslyFormattedCitation" : "(Neuberger and Haberkern 2014; Di Novi et al. 2015)" }, "properties" : { "noteIndex" : 0 }, "schema" : "https://github.com/citation-style-language/schema/raw/master/csl-citation.json" }</w:instrText>
      </w:r>
      <w:r w:rsidRPr="00C3671E">
        <w:rPr>
          <w:lang w:eastAsia="zh-CN"/>
        </w:rPr>
        <w:fldChar w:fldCharType="separate"/>
      </w:r>
      <w:r w:rsidR="00A91559" w:rsidRPr="00C3671E">
        <w:rPr>
          <w:noProof/>
          <w:lang w:eastAsia="zh-CN"/>
        </w:rPr>
        <w:t>(Neuberger and Haberkern 2014; Di Novi et al. 2015)</w:t>
      </w:r>
      <w:r w:rsidRPr="00C3671E">
        <w:rPr>
          <w:lang w:eastAsia="zh-CN"/>
        </w:rPr>
        <w:fldChar w:fldCharType="end"/>
      </w:r>
      <w:r w:rsidRPr="00C3671E">
        <w:rPr>
          <w:lang w:eastAsia="zh-CN"/>
        </w:rPr>
        <w:t xml:space="preserve"> or more types of activities </w:t>
      </w:r>
      <w:r w:rsidRPr="00C3671E">
        <w:rPr>
          <w:lang w:eastAsia="zh-CN"/>
        </w:rPr>
        <w:fldChar w:fldCharType="begin" w:fldLock="1"/>
      </w:r>
      <w:r w:rsidR="00AA6335" w:rsidRPr="00C3671E">
        <w:rPr>
          <w:lang w:eastAsia="zh-CN"/>
        </w:rPr>
        <w:instrText>ADDIN CSL_CITATION { "citationItems" : [ { "id" : "ITEM-1", "itemData" : { "DOI" : "10.1136/jech-2013-202820", "ISBN" : "0143-005x", "ISSN" : "1470-2738", "PMID" : "22156662", "abstract" : "BACKGROUND: 'Active ageing' has been promoted as a strategy for extending quality of life and healthy life expectancy. However, there is limited evidence from nationally representative longitudinal studies on whether engagement among older adults is associated with better outcomes and few studies have considered possible bias arising from differential study attrition. METHODS: We investigate associations between the engagement of people aged 50-69 in three types of activity with self-rated health and depression 2 years later using nationally representative longitudinal data from four European countries (Denmark, France, Italy and England). Data were drawn from waves 1 and 2 of the Survey of Health, Ageing and Retirement in Europe and the English Longitudinal Study of Ageing. Multivariable analysis was used to analyse associations between baseline activity and outcomes at follow-up controlling for socioeconomic, demographic and health-related variables at baseline. Multiple imputation techniques and sensitivity analyses were undertaken to investigate possible bias arising from sample attrition. RESULTS: Respondents in paid work at baseline were less likely to be depressed or to report poor or fair health at follow-up than those who were 'inactive', although not in Italy. Engagement in formal and informal activities was not significantly associated with health at follow-up. Sensitivity analyses showed that assuming that those in bad health were over-represented among study attritors weakened the association between work at baseline and health at follow-up. CONCLUSIONS: Engagement in paid work may help maintain health in later life, although mechanisms and contextual influences need further investigation.", "author" : [ { "dropping-particle" : "", "family" : "Gessa", "given" : "Giorgio", "non-dropping-particle" : "Di", "parse-names" : false, "suffix" : "" }, { "dropping-particle" : "", "family" : "Grundy", "given" : "Emily", "non-dropping-particle" : "", "parse-names" : false, "suffix" : "" } ], "container-title" : "Journal of Epidemiology and Community Health", "id" : "ITEM-1", "issue" : "3", "issued" : { "date-parts" : [ [ "2013" ] ] }, "note" : "Gessa, Grundy 2013: The relationship between active ageing and health using longitudinal data from Denmark, France, Italy and England\n\u2018Active ageing\u2019 has been promoted as a strategy for extending quality of life and healthy life expectancy\nEngagement of older people occurs within a socio-political context and may be influenced by the provision of services and generosity of benefits, pension schemes and labour, retirement and early retirement policies, as well as norms and values.14 15 It is well recognised that these contextual factors vary within Europe, and typologies have been developed that group together countries with similar policies\nEngagement in formal and informal activities was not significantly associated with health at follow-up - higher attrition\nof ill respondents\npossitive impact of work in three countries except Italy\npaid work - prestige, power, status + physical activity + economic resources\nNo associations were found between engagement in the other types of activity considered and either depression or SRH\nEngagement in paid work may help maintain health in later life, although mechanisms and contextual influences need further investigation\n\u2192\nIndividual consequences of volunteer and paid work in old age: health and mortality\nIs work good for your health and well-being?\nPolicy and practices relating to the active engagement of older people in the community\nVariations in older people\u2019s social and productive ageing activities across different social welfare regimes", "page" : "261-267", "title" : "The relationship between active ageing and health using longitudinal data from Denmark, France, Italy and England", "type" : "article-journal", "volume" : "68" }, "uris" : [ "http://www.mendeley.com/documents/?uuid=099505a4-8bdf-490c-ae2d-b130a8bcf814" ] } ], "mendeley" : { "formattedCitation" : "(Di Gessa and Grundy 2013)", "plainTextFormattedCitation" : "(Di Gessa and Grundy 2013)", "previouslyFormattedCitation" : "(Di Gessa and Grundy 2013)" }, "properties" : { "noteIndex" : 0 }, "schema" : "https://github.com/citation-style-language/schema/raw/master/csl-citation.json" }</w:instrText>
      </w:r>
      <w:r w:rsidRPr="00C3671E">
        <w:rPr>
          <w:lang w:eastAsia="zh-CN"/>
        </w:rPr>
        <w:fldChar w:fldCharType="separate"/>
      </w:r>
      <w:r w:rsidRPr="00C3671E">
        <w:rPr>
          <w:noProof/>
          <w:lang w:eastAsia="zh-CN"/>
        </w:rPr>
        <w:t>(Di Gessa and Grundy 2013)</w:t>
      </w:r>
      <w:r w:rsidRPr="00C3671E">
        <w:rPr>
          <w:lang w:eastAsia="zh-CN"/>
        </w:rPr>
        <w:fldChar w:fldCharType="end"/>
      </w:r>
      <w:r w:rsidRPr="00C3671E">
        <w:rPr>
          <w:lang w:eastAsia="zh-CN"/>
        </w:rPr>
        <w:t xml:space="preserve"> have contrasting outcomes across different European regions. The study of the macro-effects on subjective QoL is nowadays not only more feasible due to more developed statistical techniques and more accessible pan-European quantitative data, but also a highly relevant topic for the development of both social theory and social policies </w:t>
      </w:r>
      <w:r w:rsidRPr="00C3671E">
        <w:rPr>
          <w:lang w:eastAsia="zh-CN"/>
        </w:rPr>
        <w:fldChar w:fldCharType="begin" w:fldLock="1"/>
      </w:r>
      <w:r w:rsidR="001257AA" w:rsidRPr="00C3671E">
        <w:rPr>
          <w:lang w:eastAsia="zh-CN"/>
        </w:rPr>
        <w:instrText>ADDIN CSL_CITATION { "citationItems" : [ { "id" : "ITEM-1", "itemData" : { "DOI" : "10.1093/geronb/gbq006", "ISBN" : "1758-5368 (Electronic)\\r1079-5014 (Linking)", "ISSN" : "1079-5014, 1758-5368", "PMID" : "20233742", "abstract" : "OBJECTIVES. Understanding the factors that promote quality of life in old age has been a staple of social gerontology since its inception and remains a significant theme in aging research. The purpose of this article was to review the state of the science with regard to subjective well-being (SWB) in later life and to identify promising directions for future research. METHODS: This article is based on a review of literature on SWB in aging, sociological, and psychological journals. Although the materials reviewed date back to the early 1960s, the emphasis is on publications in the past decade. RESULTS: Research to date paints an effective portrait of the epidemiology of SWB in late life and the factors associated with it. Although the research base is large, causal inferences about the determinants of SWB remain problematic. Two recent contributions to the research base are highlighted as emerging issues: studies of secular trends in SWB and cross-national studies. Discussion. The review ends with discussion of priority issues for future research.", "author" : [ { "dropping-particle" : "", "family" : "George", "given" : "Linda K", "non-dropping-particle" : "", "parse-names" : false, "suffix" : "" } ], "container-title" : "The journals of gerontology. Series B, Psychological sciences and social sciences", "id" : "ITEM-1", "issue" : "3", "issued" : { "date-parts" : [ [ "2010" ] ] }, "note" : "George 2010: Still Happy After All These Years: Research Frontiers on Subjective Well-being in Later Life\na review of literature on SWB in aging, sociological, and psychological journals\nUnderstanding the factors that promote quality of life in old age has been a staple of social gerontology\nsince its inception\nThe terms SWB, happiness, psychological well-being,\npositive affect, and morale are often used interchangeably\nSingle-item measures psychometrically inferior to multi-item (and, therefore, multidimensional) scales because of lower validity and reliability - not for single-item measures of SWB (Diener, Suh, Lucas, &amp;amp; Smith, 1999). Single-item measures used in social surveys because they are short and in cross-national comparisons because happiness and life satisfaction translate well across cultures, but some of the items in multi-item scales do not.\ntheoretical orientations of SWB research:\n1. discrepancy theories - gap between aspirations and achievements\n2. social comparisons - how we rank relative ot others\n3. strategic investment of resources - decline of resources does not mean decline of SWB\n4. the social stratitfication of SWB - possesion of resources mean higher SWB\n5. the social indicators perspective - importance of aggregate level\npredictors of SWB - higher age, white, men?, education, income, health, integration (ind and soc), soc relationships and suport, psychosocial resources\nconsequences of SWB - lower mortality and disability\nresearch base is large, but causal inferences about the determinants of SWB remain problematic\nemerging issues: studies of secular trends in SWB (happy life expectancy, wealth-happines paradox) and cross-national studies (age-heterogenous samples)\nDespite the growing popularity of multilevel models, very few analyses focus specifically on older adults\u2014and none examine SWB in later life.\nThe most exciting contribution of cross-national research is the ability to examine the effects of macro-level factors on SWB.\nlongitudinal studies are needed to verify that the presumptive determinants of SWB in late life meet the criteria for social causation inferences\nAggregate-level studies of the factors that promote SWB during late life constitute a \u201cwide open\u201d field that I urge gerontological investigators to pursue.", "page" : "331-339", "title" : "Still happy after all these years: research frontiers on subjective well-being in later life.", "type" : "article-journal", "volume" : "65B" }, "uris" : [ "http://www.mendeley.com/documents/?uuid=cfcaca6d-e930-40c1-a50e-014db51e6de1" ] }, { "id" : "ITEM-2", "itemData" : { "DOI" : "10.1007/s10680-014-9336-7", "ISBN" : "1068001493367", "ISSN" : "15729885", "abstract" : "We analyse the impact of the provision of care on the health and quality of life (QoL) of adult female informal caregivers using a representative sample drawn from the survey of health, ageing and retirement in Europe (SHARE). We match each informal caregiver with a non-carer using propensity score matching and test whether matched individuals differ on self-assessed health and a functional indicator of QoL and whether this relationship differs across European regions. We find a North-South gradient both for self-assessed health and QoL, and our results show that the provision of caregiving to close relatives in Europe impacts on the caregivers' QoL and health in a way that depends on their geographical location, the degree of formal care and specific cultural and social factors of the area. We find that informal caregiving is a complex phenomenon which may bring both psychological rewards and distress to providers of care and this complexity, along with the geographical gradient highlight the importance of ensuring that policies match the needs of individual carers in their own geographical areas and cultural contexts. [ABSTRACT FROM AUTHOR] Copyright of European Journal of Population is the property of Springer Science &amp; Business Media B.V.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"Novi", "given" : "Cinzia", "non-dropping-particle" : "Di", "parse-names" : false, "suffix" : "" }, { "dropping-particle" : "", "family" : "Jacobs", "given" : "Rowena", "non-dropping-particle" : "", "parse-names" : false, "suffix" : "" }, { "dropping-particle" : "", "family" : "Migheli", "given" : "Matteo", "non-dropping-particle" : "", "parse-names" : false, "suffix" : "" } ], "container-title" : "European Journal of Population", "id" : "ITEM-2", "issue" : "3", "issued" : { "date-parts" : [ [ "2015" ] ] }, "page" : "309-333", "publisher" : "Springer Netherlands", "title" : "The Quality of Life of Female Informal Caregivers: From Scandinavia to the Mediterranean Sea", "type" : "article-journal", "volume" : "31" }, "uris" : [ "http://www.mendeley.com/documents/?uuid=1ccc65b6-fa56-4844-8194-2bfe00ef56d5" ] }, { "id" : "ITEM-3", "itemData" : { "DOI" : "10.1007/s10433-013-0294-4", "ISBN" : "1613-9372", "ISSN" : "1613-9372", "abstract" : "This study employs the concept of structured ambivalence to analyse the effect of grandchild care on quality of life (QoL) in different cultural contexts. We define structured ambivalence as the contradiction between behaviour and cultural norms. The analysis is based on the Survey of Health, Ageing and Retirement in Europe with 14 countries in the sample. We focus on grandparents aged 50 and over with at least one grandchild 12 years old or younger (n = 12,740). In countries with high grandparent obligations, grandparents who did not look after their grandchildren reported a lower quality of life. Compliance with such grandparental obligations (e.g. providing grandchild care in a country with high grandparent obligations) was found to increase the QoL of grandparents. Family policy should consider family practices that better match the realities of current grandparents\u2019 lives in order to reduce structured ambivalence and increase the QoL of grandparents.", "author" : [ { "dropping-particle" : "", "family" : "Neuberger", "given" : "Franz S.", "non-dropping-particle" : "", "parse-names" : false, "suffix" : "" }, { "dropping-particle" : "", "family" : "Haberkern", "given" : "Klaus", "non-dropping-particle" : "", "parse-names" : false, "suffix" : "" } ], "container-title" : "European Journal of Ageing", "id" : "ITEM-3", "issue" : "2", "issued" : { "date-parts" : [ [ "2014" ] ] }, "page" : "171-181", "title" : "Structured ambivalence in grandchild care and the quality of life among European grandparents", "type" : "article-journal", "volume" : "11" }, "uris" : [ "http://www.mendeley.com/documents/?uuid=f5b5cac1-e999-4c39-a97d-1363ab276312" ] } ], "mendeley" : { "formattedCitation" : "(George 2010; Neuberger and Haberkern 2014; Di Novi et al. 2015)", "plainTextFormattedCitation" : "(George 2010; Neuberger and Haberkern 2014; Di Novi et al. 2015)", "previouslyFormattedCitation" : "(George 2010; Neuberger and Haberkern 2014; Di Novi et al. 2015)" }, "properties" : { "noteIndex" : 0 }, "schema" : "https://github.com/citation-style-language/schema/raw/master/csl-citation.json" }</w:instrText>
      </w:r>
      <w:r w:rsidRPr="00C3671E">
        <w:rPr>
          <w:lang w:eastAsia="zh-CN"/>
        </w:rPr>
        <w:fldChar w:fldCharType="separate"/>
      </w:r>
      <w:r w:rsidR="00A91559" w:rsidRPr="00C3671E">
        <w:rPr>
          <w:noProof/>
          <w:lang w:eastAsia="zh-CN"/>
        </w:rPr>
        <w:t>(George 2010; Neuberger and Haberkern 2014; Di Novi et al. 2015)</w:t>
      </w:r>
      <w:r w:rsidRPr="00C3671E">
        <w:rPr>
          <w:lang w:eastAsia="zh-CN"/>
        </w:rPr>
        <w:fldChar w:fldCharType="end"/>
      </w:r>
      <w:r w:rsidRPr="00C3671E">
        <w:rPr>
          <w:lang w:eastAsia="zh-CN"/>
        </w:rPr>
        <w:t>. Therefore, this study compares the effect of prolonged working careers on QoL across European regions.</w:t>
      </w:r>
    </w:p>
    <w:p w14:paraId="0F1040AC" w14:textId="77777777" w:rsidR="001A7940" w:rsidRPr="00C3671E" w:rsidRDefault="001A7940" w:rsidP="007E6D8E">
      <w:pPr>
        <w:pStyle w:val="Nadpis2"/>
        <w:spacing w:line="480" w:lineRule="auto"/>
        <w:rPr>
          <w:sz w:val="26"/>
          <w:szCs w:val="26"/>
          <w:lang w:val="en-GB"/>
        </w:rPr>
      </w:pPr>
      <w:bookmarkStart w:id="27" w:name="_Toc512687738"/>
      <w:r w:rsidRPr="00C3671E">
        <w:rPr>
          <w:sz w:val="26"/>
          <w:szCs w:val="26"/>
          <w:lang w:val="en-GB"/>
        </w:rPr>
        <w:t>Different meaning and value of work across Europe</w:t>
      </w:r>
      <w:bookmarkEnd w:id="27"/>
    </w:p>
    <w:p w14:paraId="7D8DB59C" w14:textId="59C76E2D" w:rsidR="001A7940" w:rsidRPr="00C3671E" w:rsidRDefault="001A7940" w:rsidP="00F4146A">
      <w:pPr>
        <w:suppressAutoHyphens/>
        <w:spacing w:line="480" w:lineRule="auto"/>
        <w:jc w:val="both"/>
        <w:rPr>
          <w:lang w:val="en-GB" w:eastAsia="zh-CN"/>
        </w:rPr>
      </w:pPr>
      <w:r w:rsidRPr="00C3671E">
        <w:rPr>
          <w:lang w:val="en-GB" w:eastAsia="zh-CN"/>
        </w:rPr>
        <w:t xml:space="preserve">The macro-conditions shaping retirement decisions and consequences of prolonged labour force participation can be divided into economic, institutional, and cultural factors. First, economic factors relate to the economic development of the country and its indicators are wages, pensions, private savings, </w:t>
      </w:r>
      <w:r w:rsidRPr="00F4146A">
        <w:rPr>
          <w:rFonts w:eastAsia="Calibri"/>
          <w:lang w:val="en-GB" w:eastAsia="en-US"/>
        </w:rPr>
        <w:t>employment</w:t>
      </w:r>
      <w:r w:rsidRPr="00C3671E">
        <w:rPr>
          <w:lang w:val="en-GB" w:eastAsia="zh-CN"/>
        </w:rPr>
        <w:t xml:space="preserve"> rate, and inequalities </w:t>
      </w:r>
      <w:r w:rsidRPr="00C3671E">
        <w:rPr>
          <w:lang w:val="en-GB" w:eastAsia="zh-CN"/>
        </w:rPr>
        <w:fldChar w:fldCharType="begin" w:fldLock="1"/>
      </w:r>
      <w:r w:rsidR="00AA6335" w:rsidRPr="00C3671E">
        <w:rPr>
          <w:lang w:val="en-GB" w:eastAsia="zh-CN"/>
        </w:rPr>
        <w:instrText>ADDIN CSL_CITATION { "citationItems" : [ { "id" : "ITEM-1", "itemData" : { "DOI" : "10.1017/S0144686X1400035X", "ISBN" : "0144-686X", "ISSN" : "0144-686X", "PMID" : "103631598", "abstract" : "Faced with demographic ageing, European policy makers since the mid-1990s have taken a turn from fostering early retirement to promoting longer working life by reducing early exit incentives and facilitating work continuation. However, it remains open whether these reforms are yet reflected in the retirement plans and preferences of future pensioners\u2019 cohorts. Using most recent data on desired retirement ages from the fifth wave of the European Social Survey (2010/11 wave), this paper empirically investigates how far current policy reforms are in line with the retirement age preferences of older workers aged 45 and over. Results show that older workers approaching retirement ages still intend to retire before the politically envisioned age of 65, and in many cases also before nationally defined standard retirement ages. Despite visible progress in implementing active ageing measures, the challenge of motivating older workers to continue working until or even beyond retirement ages thus remains. At the same time, there are regime-specific problem groups that face difficulties in adjusting to the active ageing paradigm of longer working life. Especially in countries with little employment support, those with unstable work careers, employment interruptions and few financial resources are at a high risk of being crowded out from late career employment and thus from the possibility of ensuring a decent standard of living in old age.", "author" : [ { "dropping-particle" : "", "family" : "Hof\u00e4cker", "given" : "Dirk", "non-dropping-particle" : "", "parse-names" : false, "suffix" : "" } ], "container-title" : "Ageing &amp; Society", "id" : "ITEM-1", "issue" : "07", "issued" : { "date-parts" : [ [ "2015" ] ] }, "page" : "1529-1556", "title" : "In line or at odds with active ageing policies? Exploring patterns of retirement preferences in Europe", "type" : "article-journal", "volume" : "35" }, "uris" : [ "http://www.mendeley.com/documents/?uuid=4475c386-f8dc-4818-8918-2dd7e514f58a" ] } ], "mendeley" : { "formattedCitation" : "(Hof\u00e4cker 2015)", "plainTextFormattedCitation" : "(Hof\u00e4cker 2015)", "previouslyFormattedCitation" : "(Hof\u00e4cker 2015)" }, "properties" : { "noteIndex" : 0 }, "schema" : "https://github.com/citation-style-language/schema/raw/master/csl-citation.json" }</w:instrText>
      </w:r>
      <w:r w:rsidRPr="00C3671E">
        <w:rPr>
          <w:lang w:val="en-GB" w:eastAsia="zh-CN"/>
        </w:rPr>
        <w:fldChar w:fldCharType="separate"/>
      </w:r>
      <w:r w:rsidRPr="00C3671E">
        <w:rPr>
          <w:noProof/>
          <w:lang w:val="en-GB" w:eastAsia="zh-CN"/>
        </w:rPr>
        <w:t>(Hofäcker 2015)</w:t>
      </w:r>
      <w:r w:rsidRPr="00C3671E">
        <w:rPr>
          <w:lang w:val="en-GB" w:eastAsia="zh-CN"/>
        </w:rPr>
        <w:fldChar w:fldCharType="end"/>
      </w:r>
      <w:r w:rsidRPr="00C3671E">
        <w:rPr>
          <w:lang w:val="en-GB" w:eastAsia="zh-CN"/>
        </w:rPr>
        <w:t xml:space="preserve">. Second, institutional conditions affecting retirement decisions are legal retirement age, early retirement options, and pension schemes </w:t>
      </w:r>
      <w:r w:rsidRPr="00C3671E">
        <w:rPr>
          <w:lang w:val="en-GB" w:eastAsia="zh-CN"/>
        </w:rPr>
        <w:fldChar w:fldCharType="begin" w:fldLock="1"/>
      </w:r>
      <w:r w:rsidR="001257AA" w:rsidRPr="00C3671E">
        <w:rPr>
          <w:lang w:val="en-GB" w:eastAsia="zh-CN"/>
        </w:rPr>
        <w:instrText>ADDIN CSL_CITATION { "citationItems" : [ { "id" : "ITEM-1", "itemData" : { "DOI" : "10.1177/1350506809341515", "ISBN" : "0958-9287", "ISSN" : "0958-9287", "PMID" : "20428466", "abstract" : "This paper uses the Survey of Health, Ageing and Retirement in Europe (SHARE) to investigate the role of pension and social security institutions in shaping the European patterns of work and retirement. The key novelty of our paper is a careful account of the health status of the respondents. We provide new evidence on the extent of health-adjusted \"unused capacity\" in the labour force, on the institutional determinants of the pathways to retirement, and on the relationship between actual health status and disability-benefit recipiency. We find that institutional differences between countries explain much of the cross-national differences in work and retirement, while differences in health and demographics play only a minor role.", "author" : [ { "dropping-particle" : "", "family" : "B\u00f6rsch-Supan", "given" : "Axel", "non-dropping-particle" : "", "parse-names" : false, "suffix" : "" }, { "dropping-particle" : "", "family" : "Brugiavini", "given" : "Agar", "non-dropping-particle" : "", "parse-names" : false, "suffix" : "" }, { "dropping-particle" : "", "family" : "Croda", "given" : "Enrica", "non-dropping-particle" : "", "parse-names" : false, "suffix" : "" } ], "container-title" : "Journal of European Social Policy", "id" : "ITEM-1", "issue" : "4", "issued" : { "date-parts" : [ [ "2009" ] ] }, "page" : "341-358", "title" : "The role of institutions and health in European patterns of work and retirement", "type" : "article-journal", "volume" : "19" }, "uris" : [ "http://www.mendeley.com/documents/?uuid=684eb855-ea53-484d-b6d9-be8651cb0db8" ] }, { "id" : "ITEM-2", "itemData" : { "DOI" : "10.1136/jech-2013-202820", "ISBN" : "0143-005x", "ISSN" : "1470-2738", "PMID" : "22156662", "abstract" : "BACKGROUND: 'Active ageing' has been promoted as a strategy for extending quality of life and healthy life expectancy. However, there is limited evidence from nationally representative longitudinal studies on whether engagement among older adults is associated with better outcomes and few studies have considered possible bias arising from differential study attrition. METHODS: We investigate associations between the engagement of people aged 50-69 in three types of activity with self-rated health and depression 2 years later using nationally representative longitudinal data from four European countries (Denmark, France, Italy and England). Data were drawn from waves 1 and 2 of the Survey of Health, Ageing and Retirement in Europe and the English Longitudinal Study of Ageing. Multivariable analysis was used to analyse associations between baseline activity and outcomes at follow-up controlling for socioeconomic, demographic and health-related variables at baseline. Multiple imputation techniques and sensitivity analyses were undertaken to investigate possible bias arising from sample attrition. RESULTS: Respondents in paid work at baseline were less likely to be depressed or to report poor or fair health at follow-up than those who were 'inactive', although not in Italy. Engagement in formal and informal activities was not significantly associated with health at follow-up. Sensitivity analyses showed that assuming that those in bad health were over-represented among study attritors weakened the association between work at baseline and health at follow-up. CONCLUSIONS: Engagement in paid work may help maintain health in later life, although mechanisms and contextual influences need further investigation.", "author" : [ { "dropping-particle" : "", "family" : "Gessa", "given" : "Giorgio", "non-dropping-particle" : "Di", "parse-names" : false, "suffix" : "" }, { "dropping-particle" : "", "family" : "Grundy", "given" : "Emily", "non-dropping-particle" : "", "parse-names" : false, "suffix" : "" } ], "container-title" : "Journal of Epidemiology and Community Health", "id" : "ITEM-2", "issue" : "3", "issued" : { "date-parts" : [ [ "2013" ] ] }, "note" : "Gessa, Grundy 2013: The relationship between active ageing and health using longitudinal data from Denmark, France, Italy and England\n\u2018Active ageing\u2019 has been promoted as a strategy for extending quality of life and healthy life expectancy\nEngagement of older people occurs within a socio-political context and may be influenced by the provision of services and generosity of benefits, pension schemes and labour, retirement and early retirement policies, as well as norms and values.14 15 It is well recognised that these contextual factors vary within Europe, and typologies have been developed that group together countries with similar policies\nEngagement in formal and informal activities was not significantly associated with health at follow-up - higher attrition\nof ill respondents\npossitive impact of work in three countries except Italy\npaid work - prestige, power, status + physical activity + economic resources\nNo associations were found between engagement in the other types of activity considered and either depression or SRH\nEngagement in paid work may help maintain health in later life, although mechanisms and contextual influences need further investigation\n\u2192\nIndividual consequences of volunteer and paid work in old age: health and mortality\nIs work good for your health and well-being?\nPolicy and practices relating to the active engagement of older people in the community\nVariations in older people\u2019s social and productive ageing activities across different social welfare regimes", "page" : "261-267", "title" : "The relationship between active ageing and health using longitudinal data from Denmark, France, Italy and England", "type" : "article-journal", "volume" : "68" }, "uris" : [ "http://www.mendeley.com/documents/?uuid=099505a4-8bdf-490c-ae2d-b130a8bcf814" ] } ], "mendeley" : { "formattedCitation" : "(B\u00f6rsch-Supan, Brugiavini, and Croda 2009; Di Gessa and Grundy 2013)", "plainTextFormattedCitation" : "(B\u00f6rsch-Supan, Brugiavini, and Croda 2009; Di Gessa and Grundy 2013)", "previouslyFormattedCitation" : "(B\u00f6rsch-Supan, Brugiavini, and Croda 2009; Di Gessa and Grundy 2013)" }, "properties" : { "noteIndex" : 0 }, "schema" : "https://github.com/citation-style-language/schema/raw/master/csl-citation.json" }</w:instrText>
      </w:r>
      <w:r w:rsidRPr="00C3671E">
        <w:rPr>
          <w:lang w:val="en-GB" w:eastAsia="zh-CN"/>
        </w:rPr>
        <w:fldChar w:fldCharType="separate"/>
      </w:r>
      <w:r w:rsidR="00A91559" w:rsidRPr="00C3671E">
        <w:rPr>
          <w:noProof/>
          <w:lang w:val="en-GB" w:eastAsia="zh-CN"/>
        </w:rPr>
        <w:t>(Börsch-Supan, Brugiavini, and Croda 2009; Di Gessa and Grundy 2013)</w:t>
      </w:r>
      <w:r w:rsidRPr="00C3671E">
        <w:rPr>
          <w:lang w:val="en-GB" w:eastAsia="zh-CN"/>
        </w:rPr>
        <w:fldChar w:fldCharType="end"/>
      </w:r>
      <w:r w:rsidRPr="00C3671E">
        <w:rPr>
          <w:lang w:val="en-GB" w:eastAsia="zh-CN"/>
        </w:rPr>
        <w:t xml:space="preserve">. Third, cultural factors contain values and norms connected to work and retirement </w:t>
      </w:r>
      <w:r w:rsidRPr="00C3671E">
        <w:rPr>
          <w:lang w:val="en-GB" w:eastAsia="zh-CN"/>
        </w:rPr>
        <w:fldChar w:fldCharType="begin" w:fldLock="1"/>
      </w:r>
      <w:r w:rsidR="00AA6335" w:rsidRPr="00C3671E">
        <w:rPr>
          <w:lang w:val="en-GB" w:eastAsia="zh-CN"/>
        </w:rPr>
        <w:instrText>ADDIN CSL_CITATION { "citationItems" : [ { "id" : "ITEM-1", "itemData" : { "ISSN" : "13368613", "author" : [ { "dropping-particle" : "", "family" : "Petrov\u00e1 Kafkov\u00e1", "given" : "Marcela", "non-dropping-particle" : "", "parse-names" : false, "suffix" : "" }, { "dropping-particle" : "", "family" : "Rabu\u0161ic", "given" : "Ladislav", "non-dropping-particle" : "", "parse-names" : false, "suffix" : "" } ], "container-title" : "Sociol\u00f3gia", "id" : "ITEM-1", "issue" : "4", "issued" : { "date-parts" : [ [ "2010" ] ] }, "page" : "316-338", "title" : "V\u00fdznam pr\u00e1ce v \u017eivote \u010desk\u00fdch a slovensk\u00fdch star\u0161\u00edch pracovn\u00edk\u016f", "type" : "article-journal", "volume" : "42" }, "uris" : [ "http://www.mendeley.com/documents/?uuid=32398214-ed39-43a7-8663-66785ff3dce7" ] } ], "mendeley" : { "formattedCitation" : "(Petrov\u00e1 Kafkov\u00e1 and Rabu\u0161ic 2010)", "plainTextFormattedCitation" : "(Petrov\u00e1 Kafkov\u00e1 and Rabu\u0161ic 2010)", "previouslyFormattedCitation" : "(Petrov\u00e1 Kafkov\u00e1 and Rabu\u0161ic 2010)" }, "properties" : { "noteIndex" : 0 }, "schema" : "https://github.com/citation-style-language/schema/raw/master/csl-citation.json" }</w:instrText>
      </w:r>
      <w:r w:rsidRPr="00C3671E">
        <w:rPr>
          <w:lang w:val="en-GB" w:eastAsia="zh-CN"/>
        </w:rPr>
        <w:fldChar w:fldCharType="separate"/>
      </w:r>
      <w:r w:rsidRPr="00C3671E">
        <w:rPr>
          <w:noProof/>
          <w:lang w:val="en-GB" w:eastAsia="zh-CN"/>
        </w:rPr>
        <w:t>(Petrová Kafková and Rabušic 2010)</w:t>
      </w:r>
      <w:r w:rsidRPr="00C3671E">
        <w:rPr>
          <w:lang w:val="en-GB" w:eastAsia="zh-CN"/>
        </w:rPr>
        <w:fldChar w:fldCharType="end"/>
      </w:r>
      <w:r w:rsidRPr="00C3671E">
        <w:rPr>
          <w:lang w:val="en-GB" w:eastAsia="zh-CN"/>
        </w:rPr>
        <w:t>. Some ways how these three groups of macro-</w:t>
      </w:r>
      <w:r w:rsidRPr="00C3671E">
        <w:rPr>
          <w:lang w:val="en-GB" w:eastAsia="zh-CN"/>
        </w:rPr>
        <w:lastRenderedPageBreak/>
        <w:t>factors they can shape retirement decisions and outcomes are elaborated in the next paragraphs. Additionally, a focus on differences among European countries in these factors helps to formulate some expectations about the differences in the effect of prolonged working life across Europe.</w:t>
      </w:r>
    </w:p>
    <w:p w14:paraId="407D2B8A" w14:textId="33795582" w:rsidR="001A7940" w:rsidRPr="00C3671E" w:rsidRDefault="001A7940" w:rsidP="00F4146A">
      <w:pPr>
        <w:pStyle w:val="Newparagraph"/>
        <w:jc w:val="both"/>
        <w:rPr>
          <w:lang w:eastAsia="zh-CN"/>
        </w:rPr>
      </w:pPr>
      <w:r w:rsidRPr="00C3671E">
        <w:rPr>
          <w:lang w:eastAsia="zh-CN"/>
        </w:rPr>
        <w:t xml:space="preserve">The economic conditions, which have been better in Northern and Western, have a large explanatory potential for other areas of life </w:t>
      </w:r>
      <w:r w:rsidRPr="00C3671E">
        <w:rPr>
          <w:lang w:eastAsia="zh-CN"/>
        </w:rPr>
        <w:fldChar w:fldCharType="begin" w:fldLock="1"/>
      </w:r>
      <w:r w:rsidR="00AA6335" w:rsidRPr="00C3671E">
        <w:rPr>
          <w:lang w:eastAsia="zh-CN"/>
        </w:rPr>
        <w:instrText>ADDIN CSL_CITATION { "citationItems" : [ { "id" : "ITEM-1", "itemData" : { "author" : [ { "dropping-particle" : "", "family" : "Inglehart", "given" : "Ronald", "non-dropping-particle" : "", "parse-names" : false, "suffix" : "" } ], "id" : "ITEM-1", "issued" : { "date-parts" : [ [ "1990" ] ] }, "publisher" : "Princeton University Press", "publisher-place" : "Princeton", "title" : "Culture Shift in Advanced Industrial Society", "type" : "book" }, "uris" : [ "http://www.mendeley.com/documents/?uuid=25dc8f63-d26d-432e-8cdc-a1a2c72d612c" ] }, { "id" : "ITEM-2", "itemData" : { "author" : [ { "dropping-particle" : "", "family" : "Inglehart", "given" : "Ronald", "non-dropping-particle" : "", "parse-names" : false, "suffix" : "" } ], "id" : "ITEM-2", "issued" : { "date-parts" : [ [ "1997" ] ] }, "publisher" : "Princeton University Press", "publisher-place" : "Princeton", "title" : "Modernization and postmodernization: Cultural, economic, and political change in 43 societies", "type" : "book" }, "uris" : [ "http://www.mendeley.com/documents/?uuid=d9d09854-470b-4e95-9b3e-bf59c6eb759b" ] } ], "mendeley" : { "formattedCitation" : "(Inglehart 1990, 1997)", "plainTextFormattedCitation" : "(Inglehart 1990, 1997)", "previouslyFormattedCitation" : "(Inglehart 1990, 1997)" }, "properties" : { "noteIndex" : 0 }, "schema" : "https://github.com/citation-style-language/schema/raw/master/csl-citation.json" }</w:instrText>
      </w:r>
      <w:r w:rsidRPr="00C3671E">
        <w:rPr>
          <w:lang w:eastAsia="zh-CN"/>
        </w:rPr>
        <w:fldChar w:fldCharType="separate"/>
      </w:r>
      <w:r w:rsidRPr="00C3671E">
        <w:rPr>
          <w:noProof/>
          <w:lang w:eastAsia="zh-CN"/>
        </w:rPr>
        <w:t>(Inglehart 1990, 1997)</w:t>
      </w:r>
      <w:r w:rsidRPr="00C3671E">
        <w:rPr>
          <w:lang w:eastAsia="zh-CN"/>
        </w:rPr>
        <w:fldChar w:fldCharType="end"/>
      </w:r>
      <w:r w:rsidRPr="00C3671E">
        <w:rPr>
          <w:lang w:eastAsia="zh-CN"/>
        </w:rPr>
        <w:t xml:space="preserve">. </w:t>
      </w:r>
      <w:r w:rsidRPr="00C3671E">
        <w:rPr>
          <w:lang w:eastAsia="zh-CN"/>
        </w:rPr>
        <w:fldChar w:fldCharType="begin" w:fldLock="1"/>
      </w:r>
      <w:r w:rsidR="001257AA" w:rsidRPr="00C3671E">
        <w:rPr>
          <w:lang w:eastAsia="zh-CN"/>
        </w:rPr>
        <w:instrText>ADDIN CSL_CITATION { "citationItems" : [ { "id" : "ITEM-1", "itemData" : { "ISBN" : "9783110295467", "author" : [ { "dropping-particle" : "", "family" : "Borges Neves", "given" : "Rita", "non-dropping-particle" : "", "parse-names" : false, "suffix" : "" }, { "dropping-particle" : "", "family" : "Barbosa", "given" : "F\u00e1tima", "non-dropping-particle" : "", "parse-names" : false, "suffix" : "" }, { "dropping-particle" : "", "family" : "Matos", "given" : "Alice Delerue", "non-dropping-particle" : "", "parse-names" : false, "suffix" : "" }, { "dropping-particle" : "", "family" : "Rodrigues", "given" : "Victor", "non-dropping-particle" : "", "parse-names" : false, "suffix" : "" }, { "dropping-particle" : "", "family" : "Machado", "given" : "Jos\u00e9", "non-dropping-particle" : "", "parse-names" : false, "suffix" : "" } ], "chapter-number" : "8", "container-title" : "Active ageing and solidarity between generations in Europe: first results from SHARE after the economic crisis", "editor" : [ { "dropping-particle" : "", "family" : "B\u00f6rsch-Supan", "given" : "Axel", "non-dropping-particle" : "", "parse-names" : false, "suffix" : "" }, { "dropping-particle" : "", "family" : "Brandt", "given" : "Martina", "non-dropping-particle" : "", "parse-names" : false, "suffix" : "" }, { "dropping-particle" : "", "family" : "Litwin", "given" : "Howard", "non-dropping-particle" : "", "parse-names" : false, "suffix" : "" }, { "dropping-particle" : "", "family" : "Weber", "given" : "Guglielmo", "non-dropping-particle" : "", "parse-names" : false, "suffix" : "" } ], "id" : "ITEM-1", "issued" : { "date-parts" : [ [ "2013" ] ] }, "page" : "91-100", "publisher" : "De Gruyter", "publisher-place" : "Berlin", "title" : "Unemployed 50+: exploring risk factors for depression in Europe", "type" : "chapter" }, "uris" : [ "http://www.mendeley.com/documents/?uuid=4c05bf1f-3887-461f-bfcf-4489bfcc36c8" ] } ], "mendeley" : { "formattedCitation" : "(Borges Neves et al. 2013)", "manualFormatting" : "Neves et al. (2013)", "plainTextFormattedCitation" : "(Borges Neves et al. 2013)", "previouslyFormattedCitation" : "(Borges Neves et al. 2013)" }, "properties" : { "noteIndex" : 0 }, "schema" : "https://github.com/citation-style-language/schema/raw/master/csl-citation.json" }</w:instrText>
      </w:r>
      <w:r w:rsidRPr="00C3671E">
        <w:rPr>
          <w:lang w:eastAsia="zh-CN"/>
        </w:rPr>
        <w:fldChar w:fldCharType="separate"/>
      </w:r>
      <w:r w:rsidRPr="00C3671E">
        <w:rPr>
          <w:noProof/>
          <w:lang w:eastAsia="zh-CN"/>
        </w:rPr>
        <w:t>Neves et al. (2013)</w:t>
      </w:r>
      <w:r w:rsidRPr="00C3671E">
        <w:rPr>
          <w:lang w:eastAsia="zh-CN"/>
        </w:rPr>
        <w:fldChar w:fldCharType="end"/>
      </w:r>
      <w:r w:rsidRPr="00C3671E">
        <w:rPr>
          <w:lang w:eastAsia="zh-CN"/>
        </w:rPr>
        <w:t xml:space="preserve"> found a higher risk of depression among unemployed 50+ in Southern and Eastern Europe, while there was no such effect in the rest of the </w:t>
      </w:r>
      <w:r w:rsidRPr="00C3671E">
        <w:t>continent</w:t>
      </w:r>
      <w:r w:rsidRPr="00C3671E">
        <w:rPr>
          <w:lang w:eastAsia="zh-CN"/>
        </w:rPr>
        <w:t xml:space="preserve">. The authors do not provide any explanation, but the difference could be explained by a higher dependence on paid work in less wealthy countries. Furthermore, people from Southern Europe and Post-communist countries plan to work longer and seek for an extra job after retirement more often than people from other regions </w:t>
      </w:r>
      <w:r w:rsidRPr="00C3671E">
        <w:rPr>
          <w:lang w:eastAsia="zh-CN"/>
        </w:rPr>
        <w:fldChar w:fldCharType="begin" w:fldLock="1"/>
      </w:r>
      <w:r w:rsidR="00AA6335" w:rsidRPr="00C3671E">
        <w:rPr>
          <w:lang w:eastAsia="zh-CN"/>
        </w:rPr>
        <w:instrText>ADDIN CSL_CITATION { "citationItems" : [ { "id" : "ITEM-1", "itemData" : { "DOI" : "10.4017/gt.2011.10.01.014.00", "ISBN" : "9789279215070", "ISSN" : "1569-111X", "abstract" : "In response to the demographic challenge which all EU Member States are facing, the European Union has designated 2012 as the European Year for Active Ageing and Solidarity between Generations. Active ageing is defined by the World Health Organisation as the process of optimising opportunities for health, participation and security in order to enhance quality of life as people age. Eurostat is marking the European Year 2012 by presenting in this book statistics on topics related to Active Ageing and Solidarity between Generations, such as demography, healthcare, pensions, volunteering and adult learning. Tis publication has been produced in collaboration with the Directorate-General for Employment, Social Affairs and Inclusion and Eurofound, the European Foundation for the Improvement of Living and Working Conditions.", "author" : [ { "dropping-particle" : "", "family" : "Eurostat", "given" : "", "non-dropping-particle" : "", "parse-names" : false, "suffix" : "" } ], "id" : "ITEM-1", "issued" : { "date-parts" : [ [ "2012" ] ] }, "number-of-pages" : "147", "title" : "Active ageing and solidarity between generations", "type" : "book" }, "uris" : [ "http://www.mendeley.com/documents/?uuid=1dd08e23-fc88-436d-8418-971846dbc156" ] } ], "mendeley" : { "formattedCitation" : "(Eurostat 2012)", "plainTextFormattedCitation" : "(Eurostat 2012)", "previouslyFormattedCitation" : "(Eurostat 2012)" }, "properties" : { "noteIndex" : 0 }, "schema" : "https://github.com/citation-style-language/schema/raw/master/csl-citation.json" }</w:instrText>
      </w:r>
      <w:r w:rsidRPr="00C3671E">
        <w:rPr>
          <w:lang w:eastAsia="zh-CN"/>
        </w:rPr>
        <w:fldChar w:fldCharType="separate"/>
      </w:r>
      <w:r w:rsidRPr="00C3671E">
        <w:rPr>
          <w:noProof/>
          <w:lang w:eastAsia="zh-CN"/>
        </w:rPr>
        <w:t>(Eurostat 2012)</w:t>
      </w:r>
      <w:r w:rsidRPr="00C3671E">
        <w:rPr>
          <w:lang w:eastAsia="zh-CN"/>
        </w:rPr>
        <w:fldChar w:fldCharType="end"/>
      </w:r>
      <w:r w:rsidRPr="00C3671E">
        <w:rPr>
          <w:lang w:eastAsia="zh-CN"/>
        </w:rPr>
        <w:t xml:space="preserve">. Thus, older workers from less wealthy countries can benefit more from paid work, as they get more financially secured than those who are not willing/able to work in the same age </w:t>
      </w:r>
      <w:r w:rsidRPr="00C3671E">
        <w:rPr>
          <w:lang w:eastAsia="zh-CN"/>
        </w:rPr>
        <w:fldChar w:fldCharType="begin" w:fldLock="1"/>
      </w:r>
      <w:r w:rsidR="00AA6335" w:rsidRPr="00C3671E">
        <w:rPr>
          <w:lang w:eastAsia="zh-CN"/>
        </w:rPr>
        <w:instrText>ADDIN CSL_CITATION { "citationItems" : [ { "id" : "ITEM-1", "itemData" : { "DOI" : "10.1017/S0144686X1400035X", "ISBN" : "0144-686X", "ISSN" : "0144-686X", "PMID" : "103631598", "abstract" : "Faced with demographic ageing, European policy makers since the mid-1990s have taken a turn from fostering early retirement to promoting longer working life by reducing early exit incentives and facilitating work continuation. However, it remains open whether these reforms are yet reflected in the retirement plans and preferences of future pensioners\u2019 cohorts. Using most recent data on desired retirement ages from the fifth wave of the European Social Survey (2010/11 wave), this paper empirically investigates how far current policy reforms are in line with the retirement age preferences of older workers aged 45 and over. Results show that older workers approaching retirement ages still intend to retire before the politically envisioned age of 65, and in many cases also before nationally defined standard retirement ages. Despite visible progress in implementing active ageing measures, the challenge of motivating older workers to continue working until or even beyond retirement ages thus remains. At the same time, there are regime-specific problem groups that face difficulties in adjusting to the active ageing paradigm of longer working life. Especially in countries with little employment support, those with unstable work careers, employment interruptions and few financial resources are at a high risk of being crowded out from late career employment and thus from the possibility of ensuring a decent standard of living in old age.", "author" : [ { "dropping-particle" : "", "family" : "Hof\u00e4cker", "given" : "Dirk", "non-dropping-particle" : "", "parse-names" : false, "suffix" : "" } ], "container-title" : "Ageing &amp; Society", "id" : "ITEM-1", "issue" : "07", "issued" : { "date-parts" : [ [ "2015" ] ] }, "page" : "1529-1556", "title" : "In line or at odds with active ageing policies? Exploring patterns of retirement preferences in Europe", "type" : "article-journal", "volume" : "35" }, "uris" : [ "http://www.mendeley.com/documents/?uuid=4475c386-f8dc-4818-8918-2dd7e514f58a" ] } ], "mendeley" : { "formattedCitation" : "(Hof\u00e4cker 2015)", "plainTextFormattedCitation" : "(Hof\u00e4cker 2015)", "previouslyFormattedCitation" : "(Hof\u00e4cker 2015)" }, "properties" : { "noteIndex" : 0 }, "schema" : "https://github.com/citation-style-language/schema/raw/master/csl-citation.json" }</w:instrText>
      </w:r>
      <w:r w:rsidRPr="00C3671E">
        <w:rPr>
          <w:lang w:eastAsia="zh-CN"/>
        </w:rPr>
        <w:fldChar w:fldCharType="separate"/>
      </w:r>
      <w:r w:rsidRPr="00C3671E">
        <w:rPr>
          <w:noProof/>
          <w:lang w:eastAsia="zh-CN"/>
        </w:rPr>
        <w:t>(Hofäcker 2015)</w:t>
      </w:r>
      <w:r w:rsidRPr="00C3671E">
        <w:rPr>
          <w:lang w:eastAsia="zh-CN"/>
        </w:rPr>
        <w:fldChar w:fldCharType="end"/>
      </w:r>
      <w:r w:rsidRPr="00C3671E">
        <w:rPr>
          <w:lang w:eastAsia="zh-CN"/>
        </w:rPr>
        <w:t>.</w:t>
      </w:r>
    </w:p>
    <w:p w14:paraId="1CFC2F5E" w14:textId="260D357A" w:rsidR="001A7940" w:rsidRPr="00C3671E" w:rsidRDefault="001A7940" w:rsidP="00F4146A">
      <w:pPr>
        <w:pStyle w:val="Newparagraph"/>
        <w:jc w:val="both"/>
        <w:rPr>
          <w:lang w:eastAsia="zh-CN"/>
        </w:rPr>
      </w:pPr>
      <w:r w:rsidRPr="00C3671E">
        <w:rPr>
          <w:lang w:eastAsia="zh-CN"/>
        </w:rPr>
        <w:t xml:space="preserve">Institutional conditions of retirement are usually represented by a legal retirement age. However, this indicator has only </w:t>
      </w:r>
      <w:r w:rsidRPr="00C3671E">
        <w:t>moderate</w:t>
      </w:r>
      <w:r w:rsidRPr="00C3671E">
        <w:rPr>
          <w:lang w:eastAsia="zh-CN"/>
        </w:rPr>
        <w:t xml:space="preserve"> variations across Europe </w:t>
      </w:r>
      <w:r w:rsidRPr="00C3671E">
        <w:rPr>
          <w:lang w:eastAsia="zh-CN"/>
        </w:rPr>
        <w:fldChar w:fldCharType="begin" w:fldLock="1"/>
      </w:r>
      <w:r w:rsidR="00AA6335" w:rsidRPr="00C3671E">
        <w:rPr>
          <w:lang w:eastAsia="zh-CN"/>
        </w:rPr>
        <w:instrText>ADDIN CSL_CITATION { "citationItems" : [ { "id" : "ITEM-1", "itemData" : { "URL" : "https://tradingeconomics.com/country-list/retirement-age-women", "accessed" : { "date-parts" : [ [ "2017", "10", "19" ] ] }, "author" : [ { "dropping-particle" : "", "family" : "Trading Economics", "given" : "", "non-dropping-particle" : "", "parse-names" : false, "suffix" : "" } ], "id" : "ITEM-1", "issued" : { "date-parts" : [ [ "2017" ] ] }, "title" : "Retirement age of men and women", "type" : "webpage" }, "uris" : [ "http://www.mendeley.com/documents/?uuid=e150edc8-7bcd-4394-a592-b839489dd4f4" ] } ], "mendeley" : { "formattedCitation" : "(Trading Economics 2017)", "plainTextFormattedCitation" : "(Trading Economics 2017)", "previouslyFormattedCitation" : "(Trading Economics 2017)" }, "properties" : { "noteIndex" : 0 }, "schema" : "https://github.com/citation-style-language/schema/raw/master/csl-citation.json" }</w:instrText>
      </w:r>
      <w:r w:rsidRPr="00C3671E">
        <w:rPr>
          <w:lang w:eastAsia="zh-CN"/>
        </w:rPr>
        <w:fldChar w:fldCharType="separate"/>
      </w:r>
      <w:r w:rsidRPr="00C3671E">
        <w:rPr>
          <w:noProof/>
          <w:lang w:eastAsia="zh-CN"/>
        </w:rPr>
        <w:t>(Trading Economics 2017)</w:t>
      </w:r>
      <w:r w:rsidRPr="00C3671E">
        <w:rPr>
          <w:lang w:eastAsia="zh-CN"/>
        </w:rPr>
        <w:fldChar w:fldCharType="end"/>
      </w:r>
      <w:r w:rsidRPr="00C3671E">
        <w:rPr>
          <w:lang w:eastAsia="zh-CN"/>
        </w:rPr>
        <w:t xml:space="preserve"> caused mostly by the differences in a life expectancy </w:t>
      </w:r>
      <w:r w:rsidRPr="00C3671E">
        <w:rPr>
          <w:lang w:eastAsia="zh-CN"/>
        </w:rPr>
        <w:fldChar w:fldCharType="begin" w:fldLock="1"/>
      </w:r>
      <w:r w:rsidR="001257AA" w:rsidRPr="00C3671E">
        <w:rPr>
          <w:lang w:eastAsia="zh-CN"/>
        </w:rPr>
        <w:instrText>ADDIN CSL_CITATION { "citationItems" : [ { "id" : "ITEM-1", "itemData" : { "DOI" : "10.1016/S0140-6736(12)61690-0", "ISBN" : "0140-6736", "ISSN" : "01406736", "PMID" : "23245606", "abstract" : "Background Healthy life expectancy (HALE) summarises mortality and non-fatal outcomes in a single measure of average population health. It has been used to compare health between countries, or to measure changes over time. These comparisons can inform policy questions that depend on how morbidity changes as mortality decreases. We characterise current HALE and changes over the past two decades in 187 countries. Methods Using inputs from the Global Burden of Disease Study (GBD) 2010, we assessed HALE for 1990 and 2010. We calculated HALE with life table methods, incorporating estimates of average health over each age interval. Inputs from GBD 2010 included age-specific information for mortality rates and prevalence of 1160 sequelae, and disability weights associated with 220 distinct health states relating to these sequelae. We computed estimates of average overall health for each age group, adjusting for comorbidity with a Monte Carlo simulation method to capture how multiple morbidities can combine in an individual. We incorporated these estimates in the life table by the Sullivan method to produce HALE estimates for each population defined by sex, country, and year. We estimated the contributions of changes in child mortality, adult mortality, and disability to overall change in population health between 1990 and 2010. Findings In 2010, global male HALE at birth was 58 3 years (uncertainty interval 56 7-59 8) and global female HALE at birth was 61 8 years (60 1-63 4). HALE increased more slowly than did life expectancy over the past 20 years, with each 1-year increase in life expectancy at birth associated with a 0 8-year increase in HALE. Across countries in 2010, male HALE at birth ranged from 27 9 years (17 3-36 5) in Haiti, to 68 8 years (67 0-70 4) in Japan. Female HALE at birth ranged from 37 1 years (26 9-43 7) in Haiti, to 71 7 years (69 7-73 4) in Japan. Between 1990 and 2010, male HALE increased by 5 years or more in 42 countries compared with 37 countries for female HALE, while male HALE decreased in 21 countries and 11 for female HALE. Between countries and over time, life expectancy was strongly and positively related to number of years lost to disability. This relation was consistent between sexes, in cross-sectional and longitudinal analysis, and when assessed at birth, or at age 50 years. Changes in disability had small effects on changes in HALE compared with changes in mortality. Interpretation HALE differs substantially between coun\u2026", "author" : [ { "dropping-particle" : "", "family" : "Salomon", "given" : "Joshua A.", "non-dropping-particle" : "", "parse-names" : false, "suffix" : "" }, { "dropping-particle" : "", "family" : "Wang", "given" : "Haidong", "non-dropping-particle" : "", "parse-names" : false, "suffix" : "" }, { "dropping-particle" : "", "family" : "Freeman", "given" : "Michael K.", "non-dropping-particle" : "", "parse-names" : false, "suffix" : "" }, { "dropping-particle" : "", "family" : "Vos", "given" : "Theo", "non-dropping-particle" : "", "parse-names" : false, "suffix" : "" }, { "dropping-particle" : "", "family" : "Flaxman", "given" : "Abraham D.", "non-dropping-particle" : "", "parse-names" : false, "suffix" : "" }, { "dropping-particle" : "", "family" : "Lopez", "given" : "Alan D.", "non-dropping-particle" : "", "parse-names" : false, "suffix" : "" }, { "dropping-particle" : "", "family" : "Murray", "given" : "Christopher J L", "non-dropping-particle" : "", "parse-names" : false, "suffix" : "" } ], "container-title" : "The Lancet", "id" : "ITEM-1", "issue" : "9859", "issued" : { "date-parts" : [ [ "2012" ] ] }, "page" : "2144-2162", "publisher" : "Elsevier Ltd", "title" : "Healthy life expectancy for 187 countries, 1990-2010: A systematic analysis for the Global Burden Disease Study 2010", "type" : "article-journal", "volume" : "380" }, "uris" : [ "http://www.mendeley.com/documents/?uuid=09daa9c9-6741-457d-bca3-b674be8f3977" ] } ], "mendeley" : { "formattedCitation" : "(Salomon et al. 2012)", "plainTextFormattedCitation" : "(Salomon et al. 2012)", "previouslyFormattedCitation" : "(Salomon et al. 2012)" }, "properties" : { "noteIndex" : 0 }, "schema" : "https://github.com/citation-style-language/schema/raw/master/csl-citation.json" }</w:instrText>
      </w:r>
      <w:r w:rsidRPr="00C3671E">
        <w:rPr>
          <w:lang w:eastAsia="zh-CN"/>
        </w:rPr>
        <w:fldChar w:fldCharType="separate"/>
      </w:r>
      <w:r w:rsidRPr="00C3671E">
        <w:rPr>
          <w:noProof/>
          <w:lang w:eastAsia="zh-CN"/>
        </w:rPr>
        <w:t>(Salomon et al. 2012)</w:t>
      </w:r>
      <w:r w:rsidRPr="00C3671E">
        <w:rPr>
          <w:lang w:eastAsia="zh-CN"/>
        </w:rPr>
        <w:fldChar w:fldCharType="end"/>
      </w:r>
      <w:r w:rsidRPr="00C3671E">
        <w:rPr>
          <w:lang w:eastAsia="zh-CN"/>
        </w:rPr>
        <w:t xml:space="preserve">. The more relevant factor for this study is availability of early retirement, which is more prevalent in west and south than in other European regions </w:t>
      </w:r>
      <w:r w:rsidRPr="00C3671E">
        <w:rPr>
          <w:lang w:eastAsia="zh-CN"/>
        </w:rPr>
        <w:fldChar w:fldCharType="begin" w:fldLock="1"/>
      </w:r>
      <w:r w:rsidR="00AA6335" w:rsidRPr="00C3671E">
        <w:rPr>
          <w:lang w:eastAsia="zh-CN"/>
        </w:rPr>
        <w:instrText>ADDIN CSL_CITATION { "citationItems" : [ { "id" : "ITEM-1", "itemData" : { "URL" : "http://ec.europa.eu/eurostat/statistics-explained/index.php/Labour_force_survey_statistics_-_transition_from_work_to_retirement#Early_retirement", "accessed" : { "date-parts" : [ [ "2017", "10", "19" ] ] }, "author" : [ { "dropping-particle" : "", "family" : "Eurostat", "given" : "", "non-dropping-particle" : "", "parse-names" : false, "suffix" : "" } ], "id" : "ITEM-1", "issued" : { "date-parts" : [ [ "2014" ] ] }, "title" : "Labour force survey statistics - transition from work to retirement", "type" : "webpage" }, "uris" : [ "http://www.mendeley.com/documents/?uuid=e54e1bb1-bd16-4163-a9a8-baf43baad850" ] } ], "mendeley" : { "formattedCitation" : "(Eurostat 2014)", "plainTextFormattedCitation" : "(Eurostat 2014)", "previouslyFormattedCitation" : "(Eurostat 2014)" }, "properties" : { "noteIndex" : 0 }, "schema" : "https://github.com/citation-style-language/schema/raw/master/csl-citation.json" }</w:instrText>
      </w:r>
      <w:r w:rsidRPr="00C3671E">
        <w:rPr>
          <w:lang w:eastAsia="zh-CN"/>
        </w:rPr>
        <w:fldChar w:fldCharType="separate"/>
      </w:r>
      <w:r w:rsidRPr="00C3671E">
        <w:rPr>
          <w:noProof/>
          <w:lang w:eastAsia="zh-CN"/>
        </w:rPr>
        <w:t>(Eurostat 2014)</w:t>
      </w:r>
      <w:r w:rsidRPr="00C3671E">
        <w:rPr>
          <w:lang w:eastAsia="zh-CN"/>
        </w:rPr>
        <w:fldChar w:fldCharType="end"/>
      </w:r>
      <w:r w:rsidRPr="00C3671E">
        <w:rPr>
          <w:lang w:eastAsia="zh-CN"/>
        </w:rPr>
        <w:t xml:space="preserve">. Early retirement can be caused by negative conditions like higher unemployment or bad health status </w:t>
      </w:r>
      <w:r w:rsidRPr="00C3671E">
        <w:rPr>
          <w:lang w:eastAsia="zh-CN"/>
        </w:rPr>
        <w:fldChar w:fldCharType="begin" w:fldLock="1"/>
      </w:r>
      <w:r w:rsidR="001257AA" w:rsidRPr="00C3671E">
        <w:rPr>
          <w:lang w:eastAsia="zh-CN"/>
        </w:rPr>
        <w:instrText>ADDIN CSL_CITATION { "citationItems" : [ { "id" : "ITEM-1", "itemData" : { "DOI" : "10.1177/1350506809341515", "ISBN" : "0958-9287", "ISSN" : "0958-9287", "PMID" : "20428466", "abstract" : "This paper uses the Survey of Health, Ageing and Retirement in Europe (SHARE) to investigate the role of pension and social security institutions in shaping the European patterns of work and retirement. The key novelty of our paper is a careful account of the health status of the respondents. We provide new evidence on the extent of health-adjusted \"unused capacity\" in the labour force, on the institutional determinants of the pathways to retirement, and on the relationship between actual health status and disability-benefit recipiency. We find that institutional differences between countries explain much of the cross-national differences in work and retirement, while differences in health and demographics play only a minor role.", "author" : [ { "dropping-particle" : "", "family" : "B\u00f6rsch-Supan", "given" : "Axel", "non-dropping-particle" : "", "parse-names" : false, "suffix" : "" }, { "dropping-particle" : "", "family" : "Brugiavini", "given" : "Agar", "non-dropping-particle" : "", "parse-names" : false, "suffix" : "" }, { "dropping-particle" : "", "family" : "Croda", "given" : "Enrica", "non-dropping-particle" : "", "parse-names" : false, "suffix" : "" } ], "container-title" : "Journal of European Social Policy", "id" : "ITEM-1", "issue" : "4", "issued" : { "date-parts" : [ [ "2009" ] ] }, "page" : "341-358", "title" : "The role of institutions and health in European patterns of work and retirement", "type" : "article-journal", "volume" : "19" }, "uris" : [ "http://www.mendeley.com/documents/?uuid=684eb855-ea53-484d-b6d9-be8651cb0db8" ] }, { "id" : "ITEM-2", "itemData" : { "DOI" : "10.1093/esr/jcs045", "ISBN" : "0266-7215, 1468-2672", "ISSN" : "02667215", "abstract" : "This article analyses social variability in retirement timing. It draws on a social stratification perspective, which arguably provides a richer theoretical framework than one-dimensional pull or push approaches. The first objective is to establish how class membership influences both the timing of retirement as well as the degree of accessibility to different pathways to retirement. The second objective is to elucidate the interplay of gender and class in work-exit dynamics. The empirical analysis uses data from the Survey of Health, Ageing and Retirement in Europe (SHARE) to estimate a series of event-history models for a sample of respondents from 11 Western European countries. The results show that social class exerts a strong influence on retirement processes, over and beyond other socio-economic characteristics, and especially on the risk of involuntary retirement. Employment constraints (push factors) and economic incentives (pull factors) affect workers in different class positions in markedly different ways. While there exist significant gender differences in retirement behaviour, these appear to be largely driven by women's lower class positions. The article concludes that ill health and unemployment remain heavy obstacles to prolonging working life in contemporary Western Europe.", "author" : [ { "dropping-particle" : "", "family" : "Radl", "given" : "Jonas", "non-dropping-particle" : "", "parse-names" : false, "suffix" : "" } ], "container-title" : "European Sociological Review", "id" : "ITEM-2", "issue" : "3", "issued" : { "date-parts" : [ [ "2013" ] ] }, "page" : "654-668", "title" : "Labour market exit and social stratification in western europe: The effects of social class and gender on the timing of retirement", "type" : "article-journal", "volume" : "29" }, "uris" : [ "http://www.mendeley.com/documents/?uuid=5f761fa6-f66b-499e-958b-383788cd8643" ] } ], "mendeley" : { "formattedCitation" : "(B\u00f6rsch-Supan et al. 2009; Radl 2013)", "plainTextFormattedCitation" : "(B\u00f6rsch-Supan et al. 2009; Radl 2013)", "previouslyFormattedCitation" : "(B\u00f6rsch-Supan et al. 2009; Radl 2013)" }, "properties" : { "noteIndex" : 0 }, "schema" : "https://github.com/citation-style-language/schema/raw/master/csl-citation.json" }</w:instrText>
      </w:r>
      <w:r w:rsidRPr="00C3671E">
        <w:rPr>
          <w:lang w:eastAsia="zh-CN"/>
        </w:rPr>
        <w:fldChar w:fldCharType="separate"/>
      </w:r>
      <w:r w:rsidR="00A91559" w:rsidRPr="00C3671E">
        <w:rPr>
          <w:noProof/>
          <w:lang w:eastAsia="zh-CN"/>
        </w:rPr>
        <w:t>(Börsch-Supan et al. 2009; Radl 2013)</w:t>
      </w:r>
      <w:r w:rsidRPr="00C3671E">
        <w:rPr>
          <w:lang w:eastAsia="zh-CN"/>
        </w:rPr>
        <w:fldChar w:fldCharType="end"/>
      </w:r>
      <w:r w:rsidRPr="00C3671E">
        <w:rPr>
          <w:lang w:eastAsia="zh-CN"/>
        </w:rPr>
        <w:t xml:space="preserve">, but it often indicates the retirement by a choice and this more positive way is expected to prevail in countries with more available early retirement </w:t>
      </w:r>
      <w:r w:rsidRPr="00C3671E">
        <w:rPr>
          <w:lang w:eastAsia="zh-CN"/>
        </w:rPr>
        <w:fldChar w:fldCharType="begin" w:fldLock="1"/>
      </w:r>
      <w:r w:rsidR="001257AA" w:rsidRPr="00C3671E">
        <w:rPr>
          <w:lang w:eastAsia="zh-CN"/>
        </w:rPr>
        <w:instrText>ADDIN CSL_CITATION { "citationItems" : [ { "id" : "ITEM-1", "itemData" : { "DOI" : "10.1080/00036840701663277", "ISSN" : "00036846", "abstract" : "Recent literature makes a distinction between \u2018voluntary\u2019 and \u2018involuntary\u2019\\nearly retirement, where \u2018involuntary\u2019 early retirement results from\\nemployment constraints rather than from a preference for leisure relative\\nto work. This article analyses \u2018voluntary\u2019 and \u2018involuntary\u2019 early retirement\\nbased on international microdata covering 19 industrialized countries. The\\nresults show that \u2018involuntary\u2019 early retirement is particularly widespread\\nin Continental Europe. Countries facing economic recessions and having\\nstrict employment protection legislation have higher shares of \u2018involuntary\u2019\\nretirements among early retirees. Generous early retirement provisions of\\nthe social security system do not only make \u2018voluntary\u2019 early retirement\\nmore attractive for individuals, but also induce firms to push more\\nemployees to retire early.\\n", "author" : [ { "dropping-particle" : "", "family" : "Dorn", "given" : "David", "non-dropping-particle" : "", "parse-names" : false, "suffix" : "" }, { "dropping-particle" : "", "family" : "Sousa-Poza", "given" : "Alfonso", "non-dropping-particle" : "", "parse-names" : false, "suffix" : "" } ], "container-title" : "Applied Economics", "id" : "ITEM-1", "issue" : "4", "issued" : { "date-parts" : [ [ "2010" ] ] }, "page" : "427-438", "title" : "'Voluntary' and 'involuntary' early retirement: An international analysis", "type" : "article-journal", "volume" : "42" }, "uris" : [ "http://www.mendeley.com/documents/?uuid=df7e6bd0-95a7-41b9-9fed-3a388c97bb3a" ] }, { "id" : "ITEM-2", "itemData" : { "DOI" : "10.1093/esr/jct005", "ISBN" : "0266-7215, 1468-2672", "ISSN" : "02667215", "abstract" : "Given that the funding of pensions is at issue, governments across Europe now try to discourage early retirement. Yet, international research about the determinants of early retirement based on appropriate micro-data is scarce. In addition, studies have tended to look at the retiring generation in an isolated way, ignoring the intergenerational ties that may play a role in their retirement decision. This article uses the European Social Survey, covering 22 countries from all regions of Europe, to investigate to what extent becoming a grandparent affects early retirement in European countries. We apply multilevel event history modelling to data from the third round of the European Social Survey and from the MULTILINKS database on intergenerational policy indicators. We find that becoming a grandparent speeds up retirement, especially at the round ages of 55 and 60 years. However, the effect is statistically significant only for women, not for men. We discuss differences between countries, including the role played by differences in formal childcare provisions.", "author" : [ { "dropping-particle" : "", "family" : "Bavel", "given" : "Jan", "non-dropping-particle" : "Van", "parse-names" : false, "suffix" : "" }, { "dropping-particle" : "", "family" : "Winter", "given" : "Tom", "non-dropping-particle" : "De", "parse-names" : false, "suffix" : "" } ], "container-title" : "European Sociological Review", "id" : "ITEM-2", "issue" : "6", "issued" : { "date-parts" : [ [ "2013" ] ] }, "page" : "1295-1308", "title" : "Becoming a grandparent and early retirement in Europe", "type" : "article-journal", "volume" : "29" }, "uris" : [ "http://www.mendeley.com/documents/?uuid=65b9665c-2a4b-46aa-8d13-d33abbe53513" ] } ], "mendeley" : { "formattedCitation" : "(Van Bavel and De Winter 2013; Dorn and Sousa-Poza 2010)", "plainTextFormattedCitation" : "(Van Bavel and De Winter 2013; Dorn and Sousa-Poza 2010)", "previouslyFormattedCitation" : "(Van Bavel and De Winter 2013; Dorn and Sousa-Poza 2010)" }, "properties" : { "noteIndex" : 0 }, "schema" : "https://github.com/citation-style-language/schema/raw/master/csl-citation.json" }</w:instrText>
      </w:r>
      <w:r w:rsidRPr="00C3671E">
        <w:rPr>
          <w:lang w:eastAsia="zh-CN"/>
        </w:rPr>
        <w:fldChar w:fldCharType="separate"/>
      </w:r>
      <w:r w:rsidR="00A91559" w:rsidRPr="00C3671E">
        <w:rPr>
          <w:noProof/>
          <w:lang w:eastAsia="zh-CN"/>
        </w:rPr>
        <w:t>(Van Bavel and De Winter 2013; Dorn and Sousa-Poza 2010)</w:t>
      </w:r>
      <w:r w:rsidRPr="00C3671E">
        <w:rPr>
          <w:lang w:eastAsia="zh-CN"/>
        </w:rPr>
        <w:fldChar w:fldCharType="end"/>
      </w:r>
      <w:r w:rsidRPr="00C3671E">
        <w:rPr>
          <w:lang w:eastAsia="zh-CN"/>
        </w:rPr>
        <w:t>. Hence, the retirement expectedly has a more positive effect, if the early retirement possibility is more available.</w:t>
      </w:r>
    </w:p>
    <w:p w14:paraId="11B1E1A6" w14:textId="298B18FF" w:rsidR="001A7940" w:rsidRPr="00C3671E" w:rsidRDefault="001A7940" w:rsidP="00F4146A">
      <w:pPr>
        <w:pStyle w:val="Newparagraph"/>
        <w:jc w:val="both"/>
        <w:rPr>
          <w:lang w:eastAsia="zh-CN"/>
        </w:rPr>
      </w:pPr>
      <w:r w:rsidRPr="00C3671E">
        <w:rPr>
          <w:lang w:eastAsia="zh-CN"/>
        </w:rPr>
        <w:lastRenderedPageBreak/>
        <w:t xml:space="preserve">Finally, the cultural settings can be also relevant for the studied relationship. The key value here is the value of work in a society, as more socially appreciated activity is often more beneficial for QoL </w:t>
      </w:r>
      <w:r w:rsidRPr="00C3671E">
        <w:rPr>
          <w:lang w:eastAsia="zh-CN"/>
        </w:rPr>
        <w:fldChar w:fldCharType="begin" w:fldLock="1"/>
      </w:r>
      <w:r w:rsidR="00AA6335" w:rsidRPr="00C3671E">
        <w:rPr>
          <w:lang w:eastAsia="zh-CN"/>
        </w:rPr>
        <w:instrText>ADDIN CSL_CITATION { "citationItems" : [ { "id" : "ITEM-1", "itemData" : { "DOI" : "10.1007/s10433-013-0294-4", "ISBN" : "1613-9372", "ISSN" : "1613-9372", "abstract" : "This study employs the concept of structured ambivalence to analyse the effect of grandchild care on quality of life (QoL) in different cultural contexts. We define structured ambivalence as the contradiction between behaviour and cultural norms. The analysis is based on the Survey of Health, Ageing and Retirement in Europe with 14 countries in the sample. We focus on grandparents aged 50 and over with at least one grandchild 12 years old or younger (n = 12,740). In countries with high grandparent obligations, grandparents who did not look after their grandchildren reported a lower quality of life. Compliance with such grandparental obligations (e.g. providing grandchild care in a country with high grandparent obligations) was found to increase the QoL of grandparents. Family policy should consider family practices that better match the realities of current grandparents\u2019 lives in order to reduce structured ambivalence and increase the QoL of grandparents.", "author" : [ { "dropping-particle" : "", "family" : "Neuberger", "given" : "Franz S.", "non-dropping-particle" : "", "parse-names" : false, "suffix" : "" }, { "dropping-particle" : "", "family" : "Haberkern", "given" : "Klaus", "non-dropping-particle" : "", "parse-names" : false, "suffix" : "" } ], "container-title" : "European Journal of Ageing", "id" : "ITEM-1", "issue" : "2", "issued" : { "date-parts" : [ [ "2014" ] ] }, "page" : "171-181", "title" : "Structured ambivalence in grandchild care and the quality of life among European grandparents", "type" : "article-journal", "volume" : "11" }, "uris" : [ "http://www.mendeley.com/documents/?uuid=f5b5cac1-e999-4c39-a97d-1363ab276312" ] } ], "mendeley" : { "formattedCitation" : "(Neuberger and Haberkern 2014)", "plainTextFormattedCitation" : "(Neuberger and Haberkern 2014)", "previouslyFormattedCitation" : "(Neuberger and Haberkern 2014)" }, "properties" : { "noteIndex" : 0 }, "schema" : "https://github.com/citation-style-language/schema/raw/master/csl-citation.json" }</w:instrText>
      </w:r>
      <w:r w:rsidRPr="00C3671E">
        <w:rPr>
          <w:lang w:eastAsia="zh-CN"/>
        </w:rPr>
        <w:fldChar w:fldCharType="separate"/>
      </w:r>
      <w:r w:rsidRPr="00C3671E">
        <w:rPr>
          <w:noProof/>
          <w:lang w:eastAsia="zh-CN"/>
        </w:rPr>
        <w:t>(Neuberger and Haberkern 2014)</w:t>
      </w:r>
      <w:r w:rsidRPr="00C3671E">
        <w:rPr>
          <w:lang w:eastAsia="zh-CN"/>
        </w:rPr>
        <w:fldChar w:fldCharType="end"/>
      </w:r>
      <w:r w:rsidRPr="00C3671E">
        <w:rPr>
          <w:lang w:eastAsia="zh-CN"/>
        </w:rPr>
        <w:t xml:space="preserve">. Unfortunately, a research on cross-national differences in work values in later life is scarce. The research on the pre-retirement population in Czechia found that this age group is generally eager to retire </w:t>
      </w:r>
      <w:r w:rsidRPr="00C3671E">
        <w:rPr>
          <w:lang w:eastAsia="zh-CN"/>
        </w:rPr>
        <w:fldChar w:fldCharType="begin" w:fldLock="1"/>
      </w:r>
      <w:r w:rsidR="00AA6335" w:rsidRPr="00C3671E">
        <w:rPr>
          <w:lang w:eastAsia="zh-CN"/>
        </w:rPr>
        <w:instrText>ADDIN CSL_CITATION { "citationItems" : [ { "id" : "ITEM-1", "itemData" : { "ISBN" : "0038-0288", "ISSN" : "00380288", "abstract" : "In an ageing Czech society, the age of retirement has become an important issue in the debates over how to reform the pension system. In this article, which deals with the transition to retirement, the central questions posed are what perspective Czechs have on the liming of their retirement, and whether they are beginning to prepare themselves for the eventuality that they will have to retire much later than has thus far been the case. Using the results from various Czech representative surveys, the paper uncovers the paradox of early retirement. This consists of contradictory links. The Czechs know that their society is ageing, that they are living longer and that the number of pensioners is increasing. They know also that after retirement their level of income (pension) will decrease substantially, having a serious impact on their standard of living. Yet despite these facts, middle-aged and elderly Czechs (45 years and older) not only are opposed to any increase in the statutory retirement age, but more frequently they even indicate a preference for early retirement. Interestingly, research conducted among the elderly has shown that many of those who are already retired today admit that they did not really want to retire. This article tries to find an explanation for this paradox in the mentality that exists with regard to retirement, which was formed by the peculiarities of the socialist labor market, and/or in the psychology of the life course. [ABSTRACT FROM AUTHOR]", "author" : [ { "dropping-particle" : "", "family" : "Rabu\u0161ic", "given" : "Ladislav", "non-dropping-particle" : "", "parse-names" : false, "suffix" : "" } ], "container-title" : "Czech Sociological Review", "id" : "ITEM-1", "issue" : "3", "issued" : { "date-parts" : [ [ "2004" ] ] }, "page" : "319-342", "title" : "Why Are They All So Eager to Retire? (On the Transition to Retirement in the Czech Republic)", "type" : "article-journal", "volume" : "40" }, "uris" : [ "http://www.mendeley.com/documents/?uuid=a0999320-2b47-4cab-8456-0195c7554410" ] } ], "mendeley" : { "formattedCitation" : "(Rabu\u0161ic 2004)", "plainTextFormattedCitation" : "(Rabu\u0161ic 2004)", "previouslyFormattedCitation" : "(Rabu\u0161ic 2004)" }, "properties" : { "noteIndex" : 0 }, "schema" : "https://github.com/citation-style-language/schema/raw/master/csl-citation.json" }</w:instrText>
      </w:r>
      <w:r w:rsidRPr="00C3671E">
        <w:rPr>
          <w:lang w:eastAsia="zh-CN"/>
        </w:rPr>
        <w:fldChar w:fldCharType="separate"/>
      </w:r>
      <w:r w:rsidRPr="00C3671E">
        <w:rPr>
          <w:noProof/>
          <w:lang w:eastAsia="zh-CN"/>
        </w:rPr>
        <w:t>(Rabušic 2004)</w:t>
      </w:r>
      <w:r w:rsidRPr="00C3671E">
        <w:rPr>
          <w:lang w:eastAsia="zh-CN"/>
        </w:rPr>
        <w:fldChar w:fldCharType="end"/>
      </w:r>
      <w:r w:rsidRPr="00C3671E">
        <w:rPr>
          <w:lang w:eastAsia="zh-CN"/>
        </w:rPr>
        <w:t xml:space="preserve"> and that their work values, satisfaction, and ambitions decrease in time </w:t>
      </w:r>
      <w:r w:rsidRPr="00C3671E">
        <w:rPr>
          <w:lang w:eastAsia="zh-CN"/>
        </w:rPr>
        <w:fldChar w:fldCharType="begin" w:fldLock="1"/>
      </w:r>
      <w:r w:rsidR="00AA6335" w:rsidRPr="00C3671E">
        <w:rPr>
          <w:lang w:eastAsia="zh-CN"/>
        </w:rPr>
        <w:instrText>ADDIN CSL_CITATION { "citationItems" : [ { "id" : "ITEM-1", "itemData" : { "ISSN" : "13368613", "author" : [ { "dropping-particle" : "", "family" : "Petrov\u00e1 Kafkov\u00e1", "given" : "Marcela", "non-dropping-particle" : "", "parse-names" : false, "suffix" : "" }, { "dropping-particle" : "", "family" : "Rabu\u0161ic", "given" : "Ladislav", "non-dropping-particle" : "", "parse-names" : false, "suffix" : "" } ], "container-title" : "Sociol\u00f3gia", "id" : "ITEM-1", "issue" : "4", "issued" : { "date-parts" : [ [ "2010" ] ] }, "page" : "316-338", "title" : "V\u00fdznam pr\u00e1ce v \u017eivote \u010desk\u00fdch a slovensk\u00fdch star\u0161\u00edch pracovn\u00edk\u016f", "type" : "article-journal", "volume" : "42" }, "uris" : [ "http://www.mendeley.com/documents/?uuid=32398214-ed39-43a7-8663-66785ff3dce7" ] } ], "mendeley" : { "formattedCitation" : "(Petrov\u00e1 Kafkov\u00e1 and Rabu\u0161ic 2010)", "plainTextFormattedCitation" : "(Petrov\u00e1 Kafkov\u00e1 and Rabu\u0161ic 2010)", "previouslyFormattedCitation" : "(Petrov\u00e1 Kafkov\u00e1 and Rabu\u0161ic 2010)" }, "properties" : { "noteIndex" : 0 }, "schema" : "https://github.com/citation-style-language/schema/raw/master/csl-citation.json" }</w:instrText>
      </w:r>
      <w:r w:rsidRPr="00C3671E">
        <w:rPr>
          <w:lang w:eastAsia="zh-CN"/>
        </w:rPr>
        <w:fldChar w:fldCharType="separate"/>
      </w:r>
      <w:r w:rsidRPr="00C3671E">
        <w:rPr>
          <w:noProof/>
          <w:lang w:eastAsia="zh-CN"/>
        </w:rPr>
        <w:t>(Petrová Kafková and Rabušic 2010)</w:t>
      </w:r>
      <w:r w:rsidRPr="00C3671E">
        <w:rPr>
          <w:lang w:eastAsia="zh-CN"/>
        </w:rPr>
        <w:fldChar w:fldCharType="end"/>
      </w:r>
      <w:r w:rsidRPr="00C3671E">
        <w:rPr>
          <w:lang w:eastAsia="zh-CN"/>
        </w:rPr>
        <w:t xml:space="preserve">. The last data collection of European Values Study indicates that older people experience higher value of work in Nordic countries than in Post-communist countries with the remaining two regions in the middle </w:t>
      </w:r>
      <w:r w:rsidRPr="00C3671E">
        <w:rPr>
          <w:lang w:eastAsia="zh-CN"/>
        </w:rPr>
        <w:fldChar w:fldCharType="begin" w:fldLock="1"/>
      </w:r>
      <w:r w:rsidR="00AA6335" w:rsidRPr="00C3671E">
        <w:rPr>
          <w:lang w:eastAsia="zh-CN"/>
        </w:rPr>
        <w:instrText>ADDIN CSL_CITATION { "citationItems" : [ { "id" : "ITEM-1", "itemData" : { "author" : [ { "dropping-particle" : "", "family" : "EVS", "given" : "", "non-dropping-particle" : "", "parse-names" : false, "suffix" : "" } ], "id" : "ITEM-1", "issued" : { "date-parts" : [ [ "2011" ] ] }, "publisher" : "GESIS Data Archive", "publisher-place" : "Cologne", "title" : "European Values Study 2008, Cross-Sectional Data File", "type" : "article" }, "uris" : [ "http://www.mendeley.com/documents/?uuid=5c9d6280-861a-467b-96b2-82da5b35b09b" ] } ], "mendeley" : { "formattedCitation" : "(EVS 2011)", "plainTextFormattedCitation" : "(EVS 2011)", "previouslyFormattedCitation" : "(EVS 2011)" }, "properties" : { "noteIndex" : 0 }, "schema" : "https://github.com/citation-style-language/schema/raw/master/csl-citation.json" }</w:instrText>
      </w:r>
      <w:r w:rsidRPr="00C3671E">
        <w:rPr>
          <w:lang w:eastAsia="zh-CN"/>
        </w:rPr>
        <w:fldChar w:fldCharType="separate"/>
      </w:r>
      <w:r w:rsidRPr="00C3671E">
        <w:rPr>
          <w:noProof/>
          <w:lang w:eastAsia="zh-CN"/>
        </w:rPr>
        <w:t>(EVS 2011)</w:t>
      </w:r>
      <w:r w:rsidRPr="00C3671E">
        <w:rPr>
          <w:lang w:eastAsia="zh-CN"/>
        </w:rPr>
        <w:fldChar w:fldCharType="end"/>
      </w:r>
      <w:r w:rsidRPr="00C3671E">
        <w:rPr>
          <w:lang w:eastAsia="zh-CN"/>
        </w:rPr>
        <w:t xml:space="preserve">. The differences of value of work between regions can be connected to a higher potential of work for self-expression and self-development, which are more important motivations in more developed countries </w:t>
      </w:r>
      <w:r w:rsidRPr="00C3671E">
        <w:rPr>
          <w:lang w:eastAsia="zh-CN"/>
        </w:rPr>
        <w:fldChar w:fldCharType="begin" w:fldLock="1"/>
      </w:r>
      <w:r w:rsidR="001257AA" w:rsidRPr="00C3671E">
        <w:rPr>
          <w:lang w:eastAsia="zh-CN"/>
        </w:rPr>
        <w:instrText>ADDIN CSL_CITATION { "citationItems" : [ { "id" : "ITEM-1", "itemData" : { "DOI" : "10.1177/0018726711435180", "ISBN" : "0018-7267\\r1741-282X", "ISSN" : "0018-7267", "PMID" : "4035", "abstract" : "In this article, the authors critically examine themes that have become associated with work and retirement in the context of demographic change. Two discourses are looked at in detail, those of \u2018active\u2019 and \u2018productive\u2019 ageing, with a focus upon International and European social policy. Drawing on the work of Foucault and others, the emergence of a dominant discourse and its effects on policy-based understandings of ageing are examined. A new orthodoxy of ageing subjectivity is identified, restricting the social contribution of older adults to work and work-like activities. A subtext refers to the co-option of liberal gerontological priorities into new and socially rigid forms of identity that legitimize particular ways of growing old. The authors conclude that a radical re-positioning, inspired by mature identity, is required to rely less upon economically determined roles and more upon alternative grounding in existential life tasks and experience to give space for a \u2018mature subjectivity\u2019 and a desirable \u2018mature subject\u2019.", "author" : [ { "dropping-particle" : "", "family" : "Moulaert", "given" : "Thibauld", "non-dropping-particle" : "", "parse-names" : false, "suffix" : "" }, { "dropping-particle" : "", "family" : "Biggs", "given" : "Simon", "non-dropping-particle" : "", "parse-names" : false, "suffix" : "" } ], "container-title" : "Human Relations", "id" : "ITEM-1", "issue" : "1", "issued" : { "date-parts" : [ [ "2013" ] ] }, "page" : "23-43", "title" : "International and European policy on work and retirement: Reinventing critical perspectives on active ageing and mature subjectivity", "type" : "article-journal", "volume" : "66" }, "uris" : [ "http://www.mendeley.com/documents/?uuid=67729728-4602-49d9-ae72-d5f3efb3e94c" ] }, { "id" : "ITEM-2", "itemData" : { "author" : [ { "dropping-particle" : "", "family" : "Inglehart", "given" : "Ronald", "non-dropping-particle" : "", "parse-names" : false, "suffix" : "" } ], "id" : "ITEM-2", "issued" : { "date-parts" : [ [ "1990" ] ] }, "publisher" : "Princeton University Press", "publisher-place" : "Princeton", "title" : "Culture Shift in Advanced Industrial Society", "type" : "book" }, "uris" : [ "http://www.mendeley.com/documents/?uuid=25dc8f63-d26d-432e-8cdc-a1a2c72d612c" ] } ], "mendeley" : { "formattedCitation" : "(Inglehart 1990; Moulaert and Biggs 2013)", "plainTextFormattedCitation" : "(Inglehart 1990; Moulaert and Biggs 2013)", "previouslyFormattedCitation" : "(Inglehart 1990; Moulaert and Biggs 2013)" }, "properties" : { "noteIndex" : 0 }, "schema" : "https://github.com/citation-style-language/schema/raw/master/csl-citation.json" }</w:instrText>
      </w:r>
      <w:r w:rsidRPr="00C3671E">
        <w:rPr>
          <w:lang w:eastAsia="zh-CN"/>
        </w:rPr>
        <w:fldChar w:fldCharType="separate"/>
      </w:r>
      <w:r w:rsidR="00A91559" w:rsidRPr="00C3671E">
        <w:rPr>
          <w:noProof/>
          <w:lang w:eastAsia="zh-CN"/>
        </w:rPr>
        <w:t>(Inglehart 1990; Moulaert and Biggs 2013)</w:t>
      </w:r>
      <w:r w:rsidRPr="00C3671E">
        <w:rPr>
          <w:lang w:eastAsia="zh-CN"/>
        </w:rPr>
        <w:fldChar w:fldCharType="end"/>
      </w:r>
      <w:r w:rsidRPr="00C3671E">
        <w:rPr>
          <w:lang w:eastAsia="zh-CN"/>
        </w:rPr>
        <w:t>. Therefore, working longer can be more beneficial in Nordic countries due to more intrinsic and generally higher motivation to work with the Post-communist countries on the other end of the continuum.</w:t>
      </w:r>
    </w:p>
    <w:p w14:paraId="702A4F21" w14:textId="77777777" w:rsidR="001A7940" w:rsidRPr="00C3671E" w:rsidRDefault="001A7940" w:rsidP="00F4146A">
      <w:pPr>
        <w:pStyle w:val="Newparagraph"/>
        <w:jc w:val="both"/>
        <w:rPr>
          <w:lang w:eastAsia="zh-CN"/>
        </w:rPr>
      </w:pPr>
      <w:r w:rsidRPr="00C3671E">
        <w:rPr>
          <w:lang w:eastAsia="zh-CN"/>
        </w:rPr>
        <w:t xml:space="preserve">Based on the presented literature, </w:t>
      </w:r>
      <w:r w:rsidRPr="00C3671E">
        <w:t>the</w:t>
      </w:r>
      <w:r w:rsidRPr="00C3671E">
        <w:rPr>
          <w:lang w:eastAsia="zh-CN"/>
        </w:rPr>
        <w:t xml:space="preserve"> effect of working on QoL is not expected to be strong, as both retirement and working have several beneficial and harmful effects. However, this paper prefers the ecological model to theory of role strain and theory of role enhancement as more plausible framework and expects the effect of working/retirement to differ across European regions. Then, the study hypothesizes more positive effect of working in countries with a better economic situation, less available early retirement, and more prevalent intrinsic motivation for work.</w:t>
      </w:r>
    </w:p>
    <w:p w14:paraId="222A9D2D" w14:textId="77777777" w:rsidR="001A7940" w:rsidRPr="00C3671E" w:rsidRDefault="001A7940" w:rsidP="007E6D8E">
      <w:pPr>
        <w:pStyle w:val="Nadpis2"/>
        <w:spacing w:line="480" w:lineRule="auto"/>
        <w:rPr>
          <w:sz w:val="26"/>
          <w:szCs w:val="26"/>
          <w:lang w:val="en-GB"/>
        </w:rPr>
      </w:pPr>
      <w:bookmarkStart w:id="28" w:name="_Toc512687739"/>
      <w:r w:rsidRPr="00C3671E">
        <w:rPr>
          <w:sz w:val="26"/>
          <w:szCs w:val="26"/>
          <w:lang w:val="en-GB"/>
        </w:rPr>
        <w:t>Data and methods</w:t>
      </w:r>
      <w:bookmarkEnd w:id="28"/>
    </w:p>
    <w:p w14:paraId="57DC884F" w14:textId="77777777" w:rsidR="001A7940" w:rsidRPr="00C3671E" w:rsidRDefault="001A7940" w:rsidP="007E6D8E">
      <w:pPr>
        <w:pStyle w:val="Nadpis3"/>
        <w:spacing w:line="480" w:lineRule="auto"/>
        <w:rPr>
          <w:rFonts w:ascii="Times New Roman" w:hAnsi="Times New Roman" w:cs="Times New Roman"/>
          <w:b w:val="0"/>
          <w:i/>
          <w:lang w:val="en-GB" w:eastAsia="zh-CN"/>
        </w:rPr>
      </w:pPr>
      <w:bookmarkStart w:id="29" w:name="_Toc512687740"/>
      <w:r w:rsidRPr="00C3671E">
        <w:rPr>
          <w:rFonts w:ascii="Times New Roman" w:hAnsi="Times New Roman" w:cs="Times New Roman"/>
          <w:b w:val="0"/>
          <w:i/>
          <w:lang w:val="en-GB" w:eastAsia="zh-CN"/>
        </w:rPr>
        <w:lastRenderedPageBreak/>
        <w:t>Data</w:t>
      </w:r>
      <w:bookmarkEnd w:id="29"/>
    </w:p>
    <w:p w14:paraId="42662B0C" w14:textId="079E73B3" w:rsidR="001A7940" w:rsidRPr="00C3671E" w:rsidRDefault="001A7940" w:rsidP="00F4146A">
      <w:pPr>
        <w:suppressAutoHyphens/>
        <w:spacing w:line="480" w:lineRule="auto"/>
        <w:jc w:val="both"/>
        <w:rPr>
          <w:lang w:val="en-GB" w:eastAsia="zh-CN"/>
        </w:rPr>
      </w:pPr>
      <w:r w:rsidRPr="00C3671E">
        <w:rPr>
          <w:lang w:val="en-GB" w:eastAsia="zh-CN"/>
        </w:rPr>
        <w:t xml:space="preserve">This paper employs data from SHARE, which is a cross-national panel survey using computer-assisted personal interviews on probability samples of populations over the age of 50 and their partners. This project is unique in collecting information about a variety of topics relevant in later life, such as employment, living standard, health, social participation, social support, family structure, and QoL. So far, six waves of data collection were conducted between 2004 and 2015 with 21 countries participating in at least one wave </w:t>
      </w:r>
      <w:r w:rsidRPr="00C3671E">
        <w:rPr>
          <w:lang w:val="en-GB" w:eastAsia="zh-CN"/>
        </w:rPr>
        <w:fldChar w:fldCharType="begin" w:fldLock="1"/>
      </w:r>
      <w:r w:rsidR="004F5010" w:rsidRPr="00C3671E">
        <w:rPr>
          <w:lang w:val="en-GB" w:eastAsia="zh-CN"/>
        </w:rPr>
        <w:instrText>ADDIN CSL_CITATION { "citationItems" : [ { "id" : "ITEM-1", "itemData" : { "DOI" : "10.6103/SHARE.w6.600", "author" : [ { "dropping-particle" : "", "family" : "B\u00f6rsch-Supan", "given" : "Axel", "non-dropping-particle" : "", "parse-names" : false, "suffix" : "" } ], "id" : "ITEM-1", "issued" : { "date-parts" : [ [ "2017" ] ] }, "title" : "Survey of Health, Ageing and Retirement in Europe (SHARE) Wave 6. Release version: 6.0.0. SHARE-ERIC. Data set.", "type" : "article" }, "uris" : [ "http://www.mendeley.com/documents/?uuid=509eb8ec-6e26-4145-8fe8-95bd3ced9407" ] }, { "id" : "ITEM-2", "itemData" : { "DOI" : "10.1093/ije/dyt088", "ISBN" : "0300-5771", "ISSN" : "03005771", "PMID" : "23778574", "abstract" : "SHARE is a unique panel database of micro data on health, socio-economic status and social and family networks covering most of the European Union and Israel. To date, SHARE has collected three panel waves (2004, 2006, 2010) of current living circumstances and retrospective life histories (2008, SHARELIFE); 6 additional waves are planned until 2024. The more than 150 000 interviews give a broad picture of life after the age of 50 years, measuring physical and mental health, economic and non-economic activities, income and wealth, transfers of time and money within and outside the family as well as life satisfaction and well-being. The data are available to the scientific community free of charge at www.share-project.org after registration. SHARE is harmonized with the US Health and Retirement Study (HRS) and the English Longitudinal Study of Ageing (ELSA) and has become a role model for several ageing surveys worldwide. SHARE's scientific power is based on its panel design that grasps the dynamic character of the ageing process, its multidisciplinary approach that delivers the full picture of individual and societal ageing, and its cross-nationally ex-ante harmonized design that permits international comparisons of health, economic and social outcomes in Europe and the USA.", "author" : [ { "dropping-particle" : "", "family" : "B\u00f6rsch-Supan", "given" : "Axel", "non-dropping-particle" : "", "parse-names" : false, "suffix" : "" }, { "dropping-particle" : "", "family" : "Brandt", "given" : "Martina", "non-dropping-particle" : "", "parse-names" : false, "suffix" : "" }, { "dropping-particle" : "", "family" : "Hunkler", "given" : "Christian", "non-dropping-particle" : "", "parse-names" : false, "suffix" : "" }, { "dropping-particle" : "", "family" : "Kneip", "given" : "Thorsten", "non-dropping-particle" : "", "parse-names" : false, "suffix" : "" }, { "dropping-particle" : "", "family" : "Korbmacher", "given" : "Julie", "non-dropping-particle" : "", "parse-names" : false, "suffix" : "" }, { "dropping-particle" : "", "family" : "Malter", "given" : "Frederic", "non-dropping-particle" : "", "parse-names" : false, "suffix" : "" }, { "dropping-particle" : "", "family" : "Schaan", "given" : "Barbara", "non-dropping-particle" : "", "parse-names" : false, "suffix" : "" }, { "dropping-particle" : "", "family" : "Stuck", "given" : "Stephanie", "non-dropping-particle" : "", "parse-names" : false, "suffix" : "" }, { "dropping-particle" : "", "family" : "Zuber", "given" : "Sabrina", "non-dropping-particle" : "", "parse-names" : false, "suffix" : "" } ], "container-title" : "International Journal of Epidemiology", "id" : "ITEM-2", "issue" : "4", "issued" : { "date-parts" : [ [ "2013" ] ] }, "page" : "992-1001", "title" : "Data resource profile: The Survey of Health, Ageing and Retirement in Europe (SHARE)", "type" : "article-journal", "volume" : "42" }, "uris" : [ "http://www.mendeley.com/documents/?uuid=a62ea0f6-9469-4439-98a6-a5f414d5782a" ] } ], "mendeley" : { "formattedCitation" : "(B\u00f6rsch-Supan et al. 2013; B\u00f6rsch-Supan 2017e)", "plainTextFormattedCitation" : "(B\u00f6rsch-Supan et al. 2013; B\u00f6rsch-Supan 2017e)", "previouslyFormattedCitation" : "(B\u00f6rsch-Supan 2017e; B\u00f6rsch-Supan et al. 2013)" }, "properties" : { "noteIndex" : 0 }, "schema" : "https://github.com/citation-style-language/schema/raw/master/csl-citation.json" }</w:instrText>
      </w:r>
      <w:r w:rsidRPr="00C3671E">
        <w:rPr>
          <w:lang w:val="en-GB" w:eastAsia="zh-CN"/>
        </w:rPr>
        <w:fldChar w:fldCharType="separate"/>
      </w:r>
      <w:r w:rsidR="004F5010" w:rsidRPr="00C3671E">
        <w:rPr>
          <w:noProof/>
          <w:lang w:val="en-GB" w:eastAsia="zh-CN"/>
        </w:rPr>
        <w:t>(Börsch-Supan et al. 2013; Börsch-Supan 2017e)</w:t>
      </w:r>
      <w:r w:rsidRPr="00C3671E">
        <w:rPr>
          <w:lang w:val="en-GB" w:eastAsia="zh-CN"/>
        </w:rPr>
        <w:fldChar w:fldCharType="end"/>
      </w:r>
      <w:r w:rsidRPr="00C3671E">
        <w:rPr>
          <w:lang w:val="en-GB" w:eastAsia="zh-CN"/>
        </w:rPr>
        <w:t xml:space="preserve">. This study uses data from wave 6 collected in 2015 and released in 2017 to capitalize on the most current data </w:t>
      </w:r>
      <w:r w:rsidRPr="00F4146A">
        <w:rPr>
          <w:rFonts w:eastAsia="Calibri"/>
          <w:lang w:val="en-GB" w:eastAsia="en-US"/>
        </w:rPr>
        <w:t>from</w:t>
      </w:r>
      <w:r w:rsidRPr="00C3671E">
        <w:rPr>
          <w:lang w:val="en-GB" w:eastAsia="zh-CN"/>
        </w:rPr>
        <w:t xml:space="preserve"> this project.</w:t>
      </w:r>
    </w:p>
    <w:p w14:paraId="648E37DC" w14:textId="77777777" w:rsidR="001A7940" w:rsidRPr="00C3671E" w:rsidRDefault="001A7940" w:rsidP="00F4146A">
      <w:pPr>
        <w:pStyle w:val="Newparagraph"/>
        <w:jc w:val="both"/>
        <w:rPr>
          <w:lang w:eastAsia="zh-CN"/>
        </w:rPr>
      </w:pPr>
      <w:r w:rsidRPr="00C3671E">
        <w:rPr>
          <w:lang w:eastAsia="zh-CN"/>
        </w:rPr>
        <w:t xml:space="preserve">In total, 18 countries participated in wave 6 of SHARE. These countries are namely Austria, Belgium, Croatia, Czechia, </w:t>
      </w:r>
      <w:r w:rsidRPr="00C3671E">
        <w:t>Denmark</w:t>
      </w:r>
      <w:r w:rsidRPr="00C3671E">
        <w:rPr>
          <w:lang w:eastAsia="zh-CN"/>
        </w:rPr>
        <w:t>, Estonia, France, Germany, Greece, Israel, Italy, Luxembourg, Portugal, Poland, Slovenia, Spain, Sweden, and Switzerland. This study focuses on the situation in different European regions. Hence, a) Israel as a non-European country was dropped from the sample and b) other countries were classified into the following regions: Nordic countries (Denmark and Sweden), Western Europe (Austria, Belgium, France, Germany, Luxembourg, and Switzerland), Southern Europe (Greece, Italy, Portugal, and Spain), and Post-communist countries (Croatia, Czechia, Estonia, Poland, and Slovenia).</w:t>
      </w:r>
    </w:p>
    <w:p w14:paraId="3F01DE38" w14:textId="622D12D8" w:rsidR="001A7940" w:rsidRPr="00C3671E" w:rsidRDefault="001A7940" w:rsidP="00F4146A">
      <w:pPr>
        <w:pStyle w:val="Newparagraph"/>
        <w:jc w:val="both"/>
        <w:rPr>
          <w:lang w:eastAsia="zh-CN"/>
        </w:rPr>
      </w:pPr>
      <w:r w:rsidRPr="00C3671E">
        <w:rPr>
          <w:lang w:eastAsia="zh-CN"/>
        </w:rPr>
        <w:t xml:space="preserve">The final sample contains </w:t>
      </w:r>
      <w:r w:rsidRPr="00C3671E">
        <w:t>respondents</w:t>
      </w:r>
      <w:r w:rsidRPr="00C3671E">
        <w:rPr>
          <w:lang w:eastAsia="zh-CN"/>
        </w:rPr>
        <w:t xml:space="preserve"> from 17 countries. Only respondents around the retirement age are used in the analysis, as the purpose of this study is to compare employed and retired older people of comparable characteristics. Regarding the institutional retirement age across examined countries </w:t>
      </w:r>
      <w:r w:rsidRPr="00C3671E">
        <w:rPr>
          <w:lang w:eastAsia="zh-CN"/>
        </w:rPr>
        <w:fldChar w:fldCharType="begin" w:fldLock="1"/>
      </w:r>
      <w:r w:rsidR="00AA6335" w:rsidRPr="00C3671E">
        <w:rPr>
          <w:lang w:eastAsia="zh-CN"/>
        </w:rPr>
        <w:instrText>ADDIN CSL_CITATION { "citationItems" : [ { "id" : "ITEM-1", "itemData" : { "URL" : "https://tradingeconomics.com/country-list/retirement-age-women", "accessed" : { "date-parts" : [ [ "2017", "10", "19" ] ] }, "author" : [ { "dropping-particle" : "", "family" : "Trading Economics", "given" : "", "non-dropping-particle" : "", "parse-names" : false, "suffix" : "" } ], "id" : "ITEM-1", "issued" : { "date-parts" : [ [ "2017" ] ] }, "title" : "Retirement age of men and women", "type" : "webpage" }, "uris" : [ "http://www.mendeley.com/documents/?uuid=e150edc8-7bcd-4394-a592-b839489dd4f4" ] } ], "mendeley" : { "formattedCitation" : "(Trading Economics 2017)", "plainTextFormattedCitation" : "(Trading Economics 2017)", "previouslyFormattedCitation" : "(Trading Economics 2017)" }, "properties" : { "noteIndex" : 0 }, "schema" : "https://github.com/citation-style-language/schema/raw/master/csl-citation.json" }</w:instrText>
      </w:r>
      <w:r w:rsidRPr="00C3671E">
        <w:rPr>
          <w:lang w:eastAsia="zh-CN"/>
        </w:rPr>
        <w:fldChar w:fldCharType="separate"/>
      </w:r>
      <w:r w:rsidRPr="00C3671E">
        <w:rPr>
          <w:noProof/>
          <w:lang w:eastAsia="zh-CN"/>
        </w:rPr>
        <w:t>(Trading Economics 2017)</w:t>
      </w:r>
      <w:r w:rsidRPr="00C3671E">
        <w:rPr>
          <w:lang w:eastAsia="zh-CN"/>
        </w:rPr>
        <w:fldChar w:fldCharType="end"/>
      </w:r>
      <w:r w:rsidRPr="00C3671E">
        <w:rPr>
          <w:lang w:eastAsia="zh-CN"/>
        </w:rPr>
        <w:t xml:space="preserve"> and distribution of the retirement age in SHARE data, respondents between 57 and 65 years of age were kept for the analysis. This age definition produced a sample with comparable numbers of working and retired respondents for three European regions. However, Nordic countries were the exception in this regularity – there were five times more workers than retirees of this age. This ratio lead to a very ineffective </w:t>
      </w:r>
      <w:r w:rsidRPr="00C3671E">
        <w:rPr>
          <w:lang w:eastAsia="zh-CN"/>
        </w:rPr>
        <w:lastRenderedPageBreak/>
        <w:t>matching, and also questioned the assumptions that mostly people around retirement exit are included. Therefore, the age range for this region was defined from 61 to 68 years to aim for a group of respondents around the retirement exit and get much more effective matching.</w:t>
      </w:r>
    </w:p>
    <w:p w14:paraId="45B6E861" w14:textId="77777777" w:rsidR="001A7940" w:rsidRPr="00C3671E" w:rsidRDefault="001A7940" w:rsidP="00F4146A">
      <w:pPr>
        <w:pStyle w:val="Newparagraph"/>
        <w:jc w:val="both"/>
        <w:rPr>
          <w:lang w:eastAsia="zh-CN"/>
        </w:rPr>
      </w:pPr>
      <w:r w:rsidRPr="00C3671E">
        <w:rPr>
          <w:lang w:eastAsia="zh-CN"/>
        </w:rPr>
        <w:t xml:space="preserve">The last correction of the sample serves to the effort to make workers and retirees comparable in terms of health status. </w:t>
      </w:r>
      <w:r w:rsidRPr="00C3671E">
        <w:t>People</w:t>
      </w:r>
      <w:r w:rsidRPr="00C3671E">
        <w:rPr>
          <w:lang w:eastAsia="zh-CN"/>
        </w:rPr>
        <w:t xml:space="preserve"> who cannot work due to their health status seems to be in a different situation that those who work or those who entered the retirement for other than health reasons. Thus, respondents describing their working situation as being ‘permanently sick or disabled’ or choosing the option ‘own ill health’ as the main reason for early retirement were dropped from the sample. The final sample for the analysis contains 16,884 respondents from 17 countries after the described changes. 8,537 of them were identified as economically inactive and 8,447 as economically active.</w:t>
      </w:r>
    </w:p>
    <w:p w14:paraId="14FDA982" w14:textId="77777777" w:rsidR="001A7940" w:rsidRPr="00C3671E" w:rsidRDefault="001A7940" w:rsidP="007E6D8E">
      <w:pPr>
        <w:pStyle w:val="Nadpis3"/>
        <w:spacing w:line="480" w:lineRule="auto"/>
        <w:rPr>
          <w:rFonts w:ascii="Times New Roman" w:hAnsi="Times New Roman" w:cs="Times New Roman"/>
          <w:b w:val="0"/>
          <w:i/>
          <w:lang w:val="en-GB" w:eastAsia="zh-CN"/>
        </w:rPr>
      </w:pPr>
      <w:bookmarkStart w:id="30" w:name="_Toc512687741"/>
      <w:r w:rsidRPr="00C3671E">
        <w:rPr>
          <w:rFonts w:ascii="Times New Roman" w:hAnsi="Times New Roman" w:cs="Times New Roman"/>
          <w:b w:val="0"/>
          <w:i/>
          <w:lang w:val="en-GB" w:eastAsia="zh-CN"/>
        </w:rPr>
        <w:t>Method</w:t>
      </w:r>
      <w:bookmarkEnd w:id="30"/>
    </w:p>
    <w:p w14:paraId="625C92A7" w14:textId="05C4F076" w:rsidR="001A7940" w:rsidRPr="00C3671E" w:rsidRDefault="001A7940" w:rsidP="00F4146A">
      <w:pPr>
        <w:suppressAutoHyphens/>
        <w:spacing w:line="480" w:lineRule="auto"/>
        <w:jc w:val="both"/>
        <w:rPr>
          <w:lang w:val="en-GB" w:eastAsia="zh-CN"/>
        </w:rPr>
      </w:pPr>
      <w:r w:rsidRPr="00C3671E">
        <w:rPr>
          <w:lang w:val="en-GB" w:eastAsia="zh-CN"/>
        </w:rPr>
        <w:t xml:space="preserve">The method of the analysis is presented first, as the chosen method predetermine selection, definition, and usage of variables. The main criterium of the method selection is the ability to address the research question – What is </w:t>
      </w:r>
      <w:r w:rsidRPr="00F4146A">
        <w:rPr>
          <w:rFonts w:eastAsia="Calibri"/>
          <w:lang w:val="en-GB" w:eastAsia="en-US"/>
        </w:rPr>
        <w:t>the</w:t>
      </w:r>
      <w:r w:rsidRPr="00C3671E">
        <w:rPr>
          <w:lang w:val="en-GB" w:eastAsia="zh-CN"/>
        </w:rPr>
        <w:t xml:space="preserve"> effect of labour force participation in later life on the QoL compared to retirement – as plausibly as possible. The best way would be to compare the QoL of working person with the QoL of the same person in the same situation, when the only difference is being retired. This is not possible, but propensity score matching follows the same logic by matching individuals balanced in all relevant characteristics and creating counterfactuals, which are potential ‘state(s) of affairs that would have happened in the absence of the cause’ </w:t>
      </w:r>
      <w:r w:rsidRPr="00C3671E">
        <w:rPr>
          <w:lang w:val="en-GB" w:eastAsia="zh-CN"/>
        </w:rPr>
        <w:fldChar w:fldCharType="begin" w:fldLock="1"/>
      </w:r>
      <w:r w:rsidR="00AA6335" w:rsidRPr="00C3671E">
        <w:rPr>
          <w:lang w:val="en-GB" w:eastAsia="zh-CN"/>
        </w:rPr>
        <w:instrText>ADDIN CSL_CITATION { "citationItems" : [ { "id" : "ITEM-1", "itemData" : { "author" : [ { "dropping-particle" : "", "family" : "Guo", "given" : "Shenyang", "non-dropping-particle" : "", "parse-names" : false, "suffix" : "" }, { "dropping-particle" : "", "family" : "Fraser", "given" : "Mark W.", "non-dropping-particle" : "", "parse-names" : false, "suffix" : "" } ], "id" : "ITEM-1", "issued" : { "date-parts" : [ [ "2010" ] ] }, "publisher" : "SAGE Publications", "publisher-place" : "Los Angeles", "title" : "Propensity score analysis", "type" : "book" }, "uris" : [ "http://www.mendeley.com/documents/?uuid=120a1036-b80d-4ac9-a122-504878340dbd" ] } ], "mendeley" : { "formattedCitation" : "(Guo and Fraser 2010)", "manualFormatting" : "(Guo and Fraser 2010: 24)", "plainTextFormattedCitation" : "(Guo and Fraser 2010)", "previouslyFormattedCitation" : "(Guo and Fraser 2010)" }, "properties" : { "noteIndex" : 0 }, "schema" : "https://github.com/citation-style-language/schema/raw/master/csl-citation.json" }</w:instrText>
      </w:r>
      <w:r w:rsidRPr="00C3671E">
        <w:rPr>
          <w:lang w:val="en-GB" w:eastAsia="zh-CN"/>
        </w:rPr>
        <w:fldChar w:fldCharType="separate"/>
      </w:r>
      <w:r w:rsidRPr="00C3671E">
        <w:rPr>
          <w:noProof/>
          <w:lang w:val="en-GB" w:eastAsia="zh-CN"/>
        </w:rPr>
        <w:t>(Guo and Fraser 2010: 24)</w:t>
      </w:r>
      <w:r w:rsidRPr="00C3671E">
        <w:rPr>
          <w:lang w:val="en-GB" w:eastAsia="zh-CN"/>
        </w:rPr>
        <w:fldChar w:fldCharType="end"/>
      </w:r>
      <w:r w:rsidRPr="00C3671E">
        <w:rPr>
          <w:lang w:val="en-GB" w:eastAsia="zh-CN"/>
        </w:rPr>
        <w:t>.</w:t>
      </w:r>
    </w:p>
    <w:p w14:paraId="1472F3E0" w14:textId="129FE9F5" w:rsidR="001A7940" w:rsidRPr="00C3671E" w:rsidRDefault="001A7940" w:rsidP="00F4146A">
      <w:pPr>
        <w:pStyle w:val="Newparagraph"/>
        <w:jc w:val="both"/>
        <w:rPr>
          <w:lang w:eastAsia="zh-CN"/>
        </w:rPr>
      </w:pPr>
      <w:r w:rsidRPr="00C3671E">
        <w:rPr>
          <w:lang w:eastAsia="zh-CN"/>
        </w:rPr>
        <w:t xml:space="preserve">Propensity score matching is a </w:t>
      </w:r>
      <w:r w:rsidRPr="00C3671E">
        <w:t>technique</w:t>
      </w:r>
      <w:r w:rsidRPr="00C3671E">
        <w:rPr>
          <w:lang w:eastAsia="zh-CN"/>
        </w:rPr>
        <w:t xml:space="preserve"> developed most of all by </w:t>
      </w:r>
      <w:r w:rsidRPr="00C3671E">
        <w:rPr>
          <w:lang w:eastAsia="zh-CN"/>
        </w:rPr>
        <w:fldChar w:fldCharType="begin" w:fldLock="1"/>
      </w:r>
      <w:r w:rsidR="00AA6335" w:rsidRPr="00C3671E">
        <w:rPr>
          <w:lang w:eastAsia="zh-CN"/>
        </w:rPr>
        <w:instrText>ADDIN CSL_CITATION { "citationItems" : [ { "id" : "ITEM-1", "itemData" : { "DOI" : "10.1093/biomet/70.1.41", "ISBN" : "0006-3444", "ISSN" : "0006-3444", "PMID" : "179", "abstract" : "SUMMARY The propensity score is the conditional probability of assignment to a particular treatment given a vector of observed covariates. Both large and small sample theory show that adjustment for the scalar propensity score is sufficient to remove bias due to all observed covariates. Applications include: (i) matched sampling on the univariate propensity score, which is a generalization of discriminant matching, (ii) multivariate adjustment by subclassification on the propensity score where the same subclasses are used to estimate treatment effects for all outcome variables and in all subpopulations, and (iii) visual representation of multivariate covariance adjustment by a two- dimensional plot.", "author" : [ { "dropping-particle" : "", "family" : "Rosenbaum", "given" : "Paul", "non-dropping-particle" : "", "parse-names" : false, "suffix" : "" }, { "dropping-particle" : "", "family" : "Rubin", "given" : "Donald", "non-dropping-particle" : "", "parse-names" : false, "suffix" : "" } ], "container-title" : "Biometrika", "id" : "ITEM-1", "issue" : "1", "issued" : { "date-parts" : [ [ "1983" ] ] }, "page" : "41-55", "title" : "The Central Role of the Propensity Score in Observational Studies for Causal Effects", "type" : "article-journal", "volume" : "70" }, "uris" : [ "http://www.mendeley.com/documents/?uuid=5463d54a-2bc2-47da-976b-f788825267dc" ] }, { "id" : "ITEM-2", "itemData" : { "DOI" : "10.1080/00031305.1985.10479383", "ISBN" : "00031305", "ISSN" : "15372731", "PMID" : "5025595", "abstract" : "Matched sampling is a method for selecting units from a large reservoir of potential controls to produce a control group of modest size that is similar to a treated group with respect to the distribution of observed covariates. We illustrate the use of multivariate matching methods in an observational study of the effects of prenatal exposure to barbiturates on subsequent psychological development. A key ideas is the use of the propensity score as a distinct matching variable.", "author" : [ { "dropping-particle" : "", "family" : "Rosenbaum", "given" : "Paul R.", "non-dropping-particle" : "", "parse-names" : false, "suffix" : "" }, { "dropping-particle" : "", "family" : "Rubin", "given" : "Donald B.", "non-dropping-particle" : "", "parse-names" : false, "suffix" : "" } ], "container-title" : "The American Statistician", "id" : "ITEM-2", "issue" : "1", "issued" : { "date-parts" : [ [ "1985" ] ] }, "page" : "33-38", "title" : "Constructing a control group using multivariate matched sampling methods that incorporate the propensity score", "type" : "article", "volume" : "39" }, "uris" : [ "http://www.mendeley.com/documents/?uuid=61372b08-190b-4210-9937-13cc01a6dd05" ] }, { "id" : "ITEM-3", "itemData" : { "DOI" : "10.2307/2288398", "ISSN" : "01621459", "abstract" : "The propensity score is the conditional probability of assignment to a particular treatment given a vector of observed covariates. Previous theoretical arguments have shown that subclassification on the propensity score will balance all observed covariates. Subclassification on an estimated propensity score is illustrated, using observational data on treatments for coronary artery disease. Five subclasses defined by the estimated propensity score are constructed that balance 74 covariates, and thereby provide estimates of treatment effects using direct adjustment. These subclasses are appleid within subpopulations, and model-based adjustments are then used to provide estimates of treatment effects within these subpopulations. Two appendixes address theoretical issues related to the application: the effectiveness of subclassification on the propensity score in removing bias, and balancing properties of propensity scores with incomplete data.", "author" : [ { "dropping-particle" : "", "family" : "Rosenbaum", "given" : "Paul R", "non-dropping-particle" : "", "parse-names" : false, "suffix" : "" }, { "dropping-particle" : "", "family" : "Rubin", "given" : "Donald B", "non-dropping-particle" : "", "parse-names" : false, "suffix" : "" } ], "container-title" : "Journal of the American Statistical Association", "id" : "ITEM-3", "issue" : "387", "issued" : { "date-parts" : [ [ "1984" ] ] }, "page" : "516-524", "title" : "Reducing Bias in Observaitonal Studies Using Subclassification on the Propensity Score", "type" : "article", "volume" : "79" }, "uris" : [ "http://www.mendeley.com/documents/?uuid=72b865f6-2282-4dcc-81ef-e052f0f1876b" ] } ], "mendeley" : { "formattedCitation" : "(Rosenbaum and Rubin 1983, 1984, 1985)", "manualFormatting" : "Rosenbaum and Rubin (1983, 1984, 1985)", "plainTextFormattedCitation" : "(Rosenbaum and Rubin 1983, 1984, 1985)", "previouslyFormattedCitation" : "(Rosenbaum and Rubin 1983, 1984, 1985)" }, "properties" : { "noteIndex" : 0 }, "schema" : "https://github.com/citation-style-language/schema/raw/master/csl-citation.json" }</w:instrText>
      </w:r>
      <w:r w:rsidRPr="00C3671E">
        <w:rPr>
          <w:lang w:eastAsia="zh-CN"/>
        </w:rPr>
        <w:fldChar w:fldCharType="separate"/>
      </w:r>
      <w:r w:rsidRPr="00C3671E">
        <w:rPr>
          <w:noProof/>
          <w:lang w:eastAsia="zh-CN"/>
        </w:rPr>
        <w:t>Rosenbaum and Rubin (1983, 1984, 1985)</w:t>
      </w:r>
      <w:r w:rsidRPr="00C3671E">
        <w:rPr>
          <w:lang w:eastAsia="zh-CN"/>
        </w:rPr>
        <w:fldChar w:fldCharType="end"/>
      </w:r>
      <w:r w:rsidRPr="00C3671E">
        <w:rPr>
          <w:lang w:eastAsia="zh-CN"/>
        </w:rPr>
        <w:t xml:space="preserve">, which aims for causal inference based on a comparison of two groups of individuals in the observational type of study. This method has been popular especially in economics and medicine </w:t>
      </w:r>
      <w:r w:rsidRPr="00C3671E">
        <w:rPr>
          <w:lang w:eastAsia="zh-CN"/>
        </w:rPr>
        <w:fldChar w:fldCharType="begin" w:fldLock="1"/>
      </w:r>
      <w:r w:rsidR="001257AA" w:rsidRPr="00C3671E">
        <w:rPr>
          <w:lang w:eastAsia="zh-CN"/>
        </w:rPr>
        <w:instrText>ADDIN CSL_CITATION { "citationItems" : [ { "id" : "ITEM-1", "itemData" : { "DOI" : "10.1016/j.jtcvs.2007.07.021", "ISBN" : "1941-7705; 1941-7713", "ISSN" : "00225223", "PMID" : "17976439", "abstract" : "Objective: I conducted a systematic review of the use of propensity score matching in the cardiovascular surgery literature. I examined the adequacy of reporting and whether appropriate statistical methods were used. Methods: I examined 60 articles published in the Annals of Thoracic Surgery, European Journal of Cardio-thoracic Surgery, Journal of Cardiovascular Surgery, and the Journal of Thoracic and Cardiovascular Surgery between January 1, 2004, and December 31, 2006. Results: Thirty-one of the 60 studies did not provide adequate information on how the propensity score-matched pairs were formed. Eleven (18%) of studies did not report on whether matching on the propensity score balanced baseline characteristics between treated and untreated subjects in the matched sample. No studies used appropriate methods to compare baseline characteristics between treated and untreated subjects in the propensity score-matched sample. Eight (13%) of the 60 studies explicitly used statistical methods appropriate for the analysis of matched data when estimating the effect of treatment on the outcomes. Two studies used appropriate methods for some outcomes, but not for all outcomes. Thirty-nine (65%) studies explicitly used statistical methods that were inappropriate for matched-pairs data when estimating the effect of treatment on outcomes. Eleven studies did not report the statistical tests that were used to assess the statistical significance of the treatment effect. Conclusions: Analysis of propensity score-matched samples tended to be poor in the cardiovascular surgery literature. Most statistical analyses ignored the matched nature of the sample. I provide suggestions for improving the reporting and analysis of studies that use propensity score matching. \u00a9 2007 The American Association for Thoracic Surgery.", "author" : [ { "dropping-particle" : "", "family" : "Austin", "given" : "Peter C.", "non-dropping-particle" : "", "parse-names" : false, "suffix" : "" } ], "container-title" : "Journal of Thoracic and Cardiovascular Surgery", "id" : "ITEM-1", "issue" : "5", "issued" : { "date-parts" : [ [ "2007" ] ] }, "title" : "Propensity-score matching in the cardiovascular surgery literature from 2004 to 2006: A systematic review and suggestions for improvement", "type" : "article-journal", "volume" : "134" }, "uris" : [ "http://www.mendeley.com/documents/?uuid=ea607ec6-a509-44b5-a673-aed4ec4696dc" ] }, { "id" : "ITEM-2", "itemData" : { "ISBN" : "9796964600", "ISSN" : "00338419", "abstract" : "In this paper, I show how to estimate the parameters of the beta-binomial distribution and its multivariate generalization, the Dirichlet-multinomial distribution. This approach involves no additional programming, as it relies on an existing Stata command used for overdispersed count panel data. Including covariates to allow for regression models based in these distributions is straightforward.", "author" : [ { "dropping-particle" : "", "family" : "Becker", "given" : "Sascha O.", "non-dropping-particle" : "", "parse-names" : false, "suffix" : "" }, { "dropping-particle" : "", "family" : "Ichino", "given" : "Andrea", "non-dropping-particle" : "", "parse-names" : false, "suffix" : "" } ], "container-title" : "The Stata Journal", "id" : "ITEM-2", "issue" : "4", "issued" : { "date-parts" : [ [ "2002" ] ] }, "page" : "358-377", "title" : "Estimation of average treatment effects based on propensity scores", "type" : "article-journal", "volume" : "2" }, "uris" : [ "http://www.mendeley.com/documents/?uuid=024adc06-0968-48b6-9fb1-78eaac7c0e2a" ] }, { "id" : "ITEM-3", "itemData" : { "author" : [ { "dropping-particle" : "", "family" : "Guo", "given" : "Shenyang", "non-dropping-particle" : "", "parse-names" : false, "suffix" : "" }, { "dropping-particle" : "", "family" : "Fraser", "given" : "Mark W.", "non-dropping-particle" : "", "parse-names" : false, "suffix" : "" } ], "id" : "ITEM-3", "issued" : { "date-parts" : [ [ "2010" ] ] }, "publisher" : "SAGE Publications", "publisher-place" : "Los Angeles", "title" : "Propensity score analysis", "type" : "book" }, "uris" : [ "http://www.mendeley.com/documents/?uuid=120a1036-b80d-4ac9-a122-504878340dbd" ] } ], "mendeley" : { "formattedCitation" : "(Austin 2007; Becker and Ichino 2002; Guo and Fraser 2010)", "plainTextFormattedCitation" : "(Austin 2007; Becker and Ichino 2002; Guo and Fraser 2010)", "previouslyFormattedCitation" : "(Austin 2007; Becker and Ichino 2002; Guo and Fraser 2010)" }, "properties" : { "noteIndex" : 0 }, "schema" : "https://github.com/citation-style-language/schema/raw/master/csl-citation.json" }</w:instrText>
      </w:r>
      <w:r w:rsidRPr="00C3671E">
        <w:rPr>
          <w:lang w:eastAsia="zh-CN"/>
        </w:rPr>
        <w:fldChar w:fldCharType="separate"/>
      </w:r>
      <w:r w:rsidR="00A91559" w:rsidRPr="00C3671E">
        <w:rPr>
          <w:noProof/>
          <w:lang w:eastAsia="zh-CN"/>
        </w:rPr>
        <w:t xml:space="preserve">(Austin 2007; Becker and Ichino 2002; Guo and Fraser </w:t>
      </w:r>
      <w:r w:rsidR="00A91559" w:rsidRPr="00C3671E">
        <w:rPr>
          <w:noProof/>
          <w:lang w:eastAsia="zh-CN"/>
        </w:rPr>
        <w:lastRenderedPageBreak/>
        <w:t>2010)</w:t>
      </w:r>
      <w:r w:rsidRPr="00C3671E">
        <w:rPr>
          <w:lang w:eastAsia="zh-CN"/>
        </w:rPr>
        <w:fldChar w:fldCharType="end"/>
      </w:r>
      <w:r w:rsidRPr="00C3671E">
        <w:rPr>
          <w:lang w:eastAsia="zh-CN"/>
        </w:rPr>
        <w:t xml:space="preserve">, as it is designed for comparing outcomes between two groups without studying other effects, which also fits well with this study. The first step of propensity score matching is specifying the propensity score, which is defined as ‘the conditional probability of assignment to a particular treatment given a vector of observed covariates’ </w:t>
      </w:r>
      <w:r w:rsidRPr="00C3671E">
        <w:rPr>
          <w:lang w:eastAsia="zh-CN"/>
        </w:rPr>
        <w:fldChar w:fldCharType="begin" w:fldLock="1"/>
      </w:r>
      <w:r w:rsidR="00AA6335" w:rsidRPr="00C3671E">
        <w:rPr>
          <w:lang w:eastAsia="zh-CN"/>
        </w:rPr>
        <w:instrText>ADDIN CSL_CITATION { "citationItems" : [ { "id" : "ITEM-1", "itemData" : { "DOI" : "10.2307/2288398", "ISSN" : "01621459", "abstract" : "The propensity score is the conditional probability of assignment to a particular treatment given a vector of observed covariates. Previous theoretical arguments have shown that subclassification on the propensity score will balance all observed covariates. Subclassification on an estimated propensity score is illustrated, using observational data on treatments for coronary artery disease. Five subclasses defined by the estimated propensity score are constructed that balance 74 covariates, and thereby provide estimates of treatment effects using direct adjustment. These subclasses are appleid within subpopulations, and model-based adjustments are then used to provide estimates of treatment effects within these subpopulations. Two appendixes address theoretical issues related to the application: the effectiveness of subclassification on the propensity score in removing bias, and balancing properties of propensity scores with incomplete data.", "author" : [ { "dropping-particle" : "", "family" : "Rosenbaum", "given" : "Paul R", "non-dropping-particle" : "", "parse-names" : false, "suffix" : "" }, { "dropping-particle" : "", "family" : "Rubin", "given" : "Donald B", "non-dropping-particle" : "", "parse-names" : false, "suffix" : "" } ], "container-title" : "Journal of the American Statistical Association", "id" : "ITEM-1", "issue" : "387", "issued" : { "date-parts" : [ [ "1984" ] ] }, "page" : "516-524", "title" : "Reducing Bias in Observaitonal Studies Using Subclassification on the Propensity Score", "type" : "article", "volume" : "79" }, "uris" : [ "http://www.mendeley.com/documents/?uuid=72b865f6-2282-4dcc-81ef-e052f0f1876b" ] } ], "mendeley" : { "formattedCitation" : "(Rosenbaum and Rubin 1984)", "manualFormatting" : "(Rosenbaum and Rubin 1984", "plainTextFormattedCitation" : "(Rosenbaum and Rubin 1984)", "previouslyFormattedCitation" : "(Rosenbaum and Rubin 1984)" }, "properties" : { "noteIndex" : 0 }, "schema" : "https://github.com/citation-style-language/schema/raw/master/csl-citation.json" }</w:instrText>
      </w:r>
      <w:r w:rsidRPr="00C3671E">
        <w:rPr>
          <w:lang w:eastAsia="zh-CN"/>
        </w:rPr>
        <w:fldChar w:fldCharType="separate"/>
      </w:r>
      <w:r w:rsidRPr="00C3671E">
        <w:rPr>
          <w:noProof/>
          <w:lang w:eastAsia="zh-CN"/>
        </w:rPr>
        <w:t>(Rosenbaum and Rubin 1984</w:t>
      </w:r>
      <w:r w:rsidRPr="00C3671E">
        <w:rPr>
          <w:lang w:eastAsia="zh-CN"/>
        </w:rPr>
        <w:fldChar w:fldCharType="end"/>
      </w:r>
      <w:r w:rsidRPr="00C3671E">
        <w:rPr>
          <w:lang w:eastAsia="zh-CN"/>
        </w:rPr>
        <w:t xml:space="preserve">: 516), by estimating a treatment probability by potentially confounding variables. Propensity scores were estimated via probit model with retired/working as a dependent binary variable. The value of propensity score enables to match respondents from treated (work) and nontreated (retirement) group into pairs with balanced characteristics. The matching can be done by more techniques of pairing individuals. In order to eliminate a number of respondents dropped from the sample and to avoid matching of too distant observations at the same time, this paper uses two methods – Kernel matching and Radius matching with replacement. Radius matching uses caliper equal to 0.25 of the standard deviation of the propensity score </w:t>
      </w:r>
      <w:r w:rsidRPr="00C3671E">
        <w:rPr>
          <w:lang w:eastAsia="zh-CN"/>
        </w:rPr>
        <w:fldChar w:fldCharType="begin" w:fldLock="1"/>
      </w:r>
      <w:r w:rsidR="00AA6335" w:rsidRPr="00C3671E">
        <w:rPr>
          <w:lang w:eastAsia="zh-CN"/>
        </w:rPr>
        <w:instrText>ADDIN CSL_CITATION { "citationItems" : [ { "id" : "ITEM-1", "itemData" : { "DOI" : "10.1080/00031305.1985.10479383", "ISBN" : "00031305", "ISSN" : "15372731", "PMID" : "5025595", "abstract" : "Matched sampling is a method for selecting units from a large reservoir of potential controls to produce a control group of modest size that is similar to a treated group with respect to the distribution of observed covariates. We illustrate the use of multivariate matching methods in an observational study of the effects of prenatal exposure to barbiturates on subsequent psychological development. A key ideas is the use of the propensity score as a distinct matching variable.", "author" : [ { "dropping-particle" : "", "family" : "Rosenbaum", "given" : "Paul R.", "non-dropping-particle" : "", "parse-names" : false, "suffix" : "" }, { "dropping-particle" : "", "family" : "Rubin", "given" : "Donald B.", "non-dropping-particle" : "", "parse-names" : false, "suffix" : "" } ], "container-title" : "The American Statistician", "id" : "ITEM-1", "issue" : "1", "issued" : { "date-parts" : [ [ "1985" ] ] }, "page" : "33-38", "title" : "Constructing a control group using multivariate matched sampling methods that incorporate the propensity score", "type" : "article", "volume" : "39" }, "uris" : [ "http://www.mendeley.com/documents/?uuid=61372b08-190b-4210-9937-13cc01a6dd05" ] } ], "mendeley" : { "formattedCitation" : "(Rosenbaum and Rubin 1985)", "plainTextFormattedCitation" : "(Rosenbaum and Rubin 1985)", "previouslyFormattedCitation" : "(Rosenbaum and Rubin 1985)" }, "properties" : { "noteIndex" : 0 }, "schema" : "https://github.com/citation-style-language/schema/raw/master/csl-citation.json" }</w:instrText>
      </w:r>
      <w:r w:rsidRPr="00C3671E">
        <w:rPr>
          <w:lang w:eastAsia="zh-CN"/>
        </w:rPr>
        <w:fldChar w:fldCharType="separate"/>
      </w:r>
      <w:r w:rsidRPr="00C3671E">
        <w:rPr>
          <w:noProof/>
          <w:lang w:eastAsia="zh-CN"/>
        </w:rPr>
        <w:t>(Rosenbaum and Rubin 1985)</w:t>
      </w:r>
      <w:r w:rsidRPr="00C3671E">
        <w:rPr>
          <w:lang w:eastAsia="zh-CN"/>
        </w:rPr>
        <w:fldChar w:fldCharType="end"/>
      </w:r>
      <w:r w:rsidRPr="00C3671E">
        <w:rPr>
          <w:lang w:eastAsia="zh-CN"/>
        </w:rPr>
        <w:t xml:space="preserve">, as this solution balanced two groups and reduced bias much better than caliper equal to 0.2 of the standard deviation of the logit of the propensity score suggested by </w:t>
      </w:r>
      <w:r w:rsidRPr="00C3671E">
        <w:rPr>
          <w:lang w:eastAsia="zh-CN"/>
        </w:rPr>
        <w:fldChar w:fldCharType="begin" w:fldLock="1"/>
      </w:r>
      <w:r w:rsidR="00AA6335" w:rsidRPr="00C3671E">
        <w:rPr>
          <w:lang w:eastAsia="zh-CN"/>
        </w:rPr>
        <w:instrText>ADDIN CSL_CITATION { "citationItems" : [ { "id" : "ITEM-1", "itemData" : { "DOI" : "10.1080/00273171.2011.568786", "ISBN" : "0027-3171", "ISSN" : "00273171", "PMID" : "21818162", "abstract" : "The propensity score is the probability of treatment assignment conditional on observed baseline characteristics. The propensity score allows one to design and analyze an observational (nonrandomized) study so that it mimics some of the particular characteristics of a randomized controlled trial. In particular, the propensity score is a balancing score: conditional on the propensity score, the distribution of observed baseline covariates will be similar between treated and untreated subjects. I describe 4 different propensity score methods: matching on the propensity score, stratification on the propensity score, inverse probability of treatment weighting using the propensity score, and covariate adjustment using the propensity score. I describe balance diagnostics for examining whether the propensity score model has been adequately specified. Furthermore, I discuss differences between regression-based methods and propensity score-based methods for the analysis of observational data. I describe different causal average treatment effects and their relationship with propensity score analyses.", "author" : [ { "dropping-particle" : "", "family" : "Austin", "given" : "Peter C.", "non-dropping-particle" : "", "parse-names" : false, "suffix" : "" } ], "container-title" : "Multivariate Behavioral Research", "id" : "ITEM-1", "issue" : "3", "issued" : { "date-parts" : [ [ "2011" ] ] }, "page" : "399-424", "title" : "An introduction to propensity score methods for reducing the effects of confounding in observational studies", "type" : "article-journal", "volume" : "46" }, "uris" : [ "http://www.mendeley.com/documents/?uuid=993dfbfa-db75-40c0-856a-923a62337906" ] } ], "mendeley" : { "formattedCitation" : "(Austin 2011)", "manualFormatting" : "Austin (2011)", "plainTextFormattedCitation" : "(Austin 2011)", "previouslyFormattedCitation" : "(Austin 2011)" }, "properties" : { "noteIndex" : 0 }, "schema" : "https://github.com/citation-style-language/schema/raw/master/csl-citation.json" }</w:instrText>
      </w:r>
      <w:r w:rsidRPr="00C3671E">
        <w:rPr>
          <w:lang w:eastAsia="zh-CN"/>
        </w:rPr>
        <w:fldChar w:fldCharType="separate"/>
      </w:r>
      <w:r w:rsidRPr="00C3671E">
        <w:rPr>
          <w:noProof/>
          <w:lang w:eastAsia="zh-CN"/>
        </w:rPr>
        <w:t>Austin (2011)</w:t>
      </w:r>
      <w:r w:rsidRPr="00C3671E">
        <w:rPr>
          <w:lang w:eastAsia="zh-CN"/>
        </w:rPr>
        <w:fldChar w:fldCharType="end"/>
      </w:r>
      <w:r w:rsidRPr="00C3671E">
        <w:rPr>
          <w:lang w:eastAsia="zh-CN"/>
        </w:rPr>
        <w:t>. Finally, the average treatment effect with bootstrapped standard errors is estimated to indicate the effect of staying in the labour force.</w:t>
      </w:r>
    </w:p>
    <w:p w14:paraId="19029EBC" w14:textId="5227B53C" w:rsidR="001A7940" w:rsidRPr="00C3671E" w:rsidRDefault="001A7940" w:rsidP="00F4146A">
      <w:pPr>
        <w:pStyle w:val="Newparagraph"/>
        <w:jc w:val="both"/>
        <w:rPr>
          <w:lang w:eastAsia="zh-CN"/>
        </w:rPr>
      </w:pPr>
      <w:r w:rsidRPr="00C3671E">
        <w:rPr>
          <w:lang w:eastAsia="zh-CN"/>
        </w:rPr>
        <w:t xml:space="preserve">The described procedure aims to address </w:t>
      </w:r>
      <w:r w:rsidRPr="00C3671E">
        <w:t>frequent</w:t>
      </w:r>
      <w:r w:rsidRPr="00C3671E">
        <w:rPr>
          <w:lang w:eastAsia="zh-CN"/>
        </w:rPr>
        <w:t xml:space="preserve"> threats to nonexperimental data, such as endogeneity, potential reversed causality </w:t>
      </w:r>
      <w:r w:rsidRPr="00C3671E">
        <w:rPr>
          <w:lang w:eastAsia="zh-CN"/>
        </w:rPr>
        <w:fldChar w:fldCharType="begin" w:fldLock="1"/>
      </w:r>
      <w:r w:rsidR="001257AA" w:rsidRPr="00C3671E">
        <w:rPr>
          <w:lang w:eastAsia="zh-CN"/>
        </w:rPr>
        <w:instrText>ADDIN CSL_CITATION { "citationItems" : [ { "id" : "ITEM-1", "itemData" : { "DOI" : "10.1007/s10680-014-9336-7", "ISBN" : "1068001493367", "ISSN" : "15729885", "abstract" : "We analyse the impact of the provision of care on the health and quality of life (QoL) of adult female informal caregivers using a representative sample drawn from the survey of health, ageing and retirement in Europe (SHARE). We match each informal caregiver with a non-carer using propensity score matching and test whether matched individuals differ on self-assessed health and a functional indicator of QoL and whether this relationship differs across European regions. We find a North-South gradient both for self-assessed health and QoL, and our results show that the provision of caregiving to close relatives in Europe impacts on the caregivers' QoL and health in a way that depends on their geographical location, the degree of formal care and specific cultural and social factors of the area. We find that informal caregiving is a complex phenomenon which may bring both psychological rewards and distress to providers of care and this complexity, along with the geographical gradient highlight the importance of ensuring that policies match the needs of individual carers in their own geographical areas and cultural contexts. [ABSTRACT FROM AUTHOR] Copyright of European Journal of Population is the property of Springer Science &amp; Business Media B.V.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"Novi", "given" : "Cinzia", "non-dropping-particle" : "Di", "parse-names" : false, "suffix" : "" }, { "dropping-particle" : "", "family" : "Jacobs", "given" : "Rowena", "non-dropping-particle" : "", "parse-names" : false, "suffix" : "" }, { "dropping-particle" : "", "family" : "Migheli", "given" : "Matteo", "non-dropping-particle" : "", "parse-names" : false, "suffix" : "" } ], "container-title" : "European Journal of Population", "id" : "ITEM-1", "issue" : "3", "issued" : { "date-parts" : [ [ "2015" ] ] }, "page" : "309-333", "publisher" : "Springer Netherlands", "title" : "The Quality of Life of Female Informal Caregivers: From Scandinavia to the Mediterranean Sea", "type" : "article-journal", "volume" : "31" }, "uris" : [ "http://www.mendeley.com/documents/?uuid=1ccc65b6-fa56-4844-8194-2bfe00ef56d5" ] } ], "mendeley" : { "formattedCitation" : "(Di Novi et al. 2015)", "plainTextFormattedCitation" : "(Di Novi et al. 2015)", "previouslyFormattedCitation" : "(Di Novi et al. 2015)" }, "properties" : { "noteIndex" : 0 }, "schema" : "https://github.com/citation-style-language/schema/raw/master/csl-citation.json" }</w:instrText>
      </w:r>
      <w:r w:rsidRPr="00C3671E">
        <w:rPr>
          <w:lang w:eastAsia="zh-CN"/>
        </w:rPr>
        <w:fldChar w:fldCharType="separate"/>
      </w:r>
      <w:r w:rsidRPr="00C3671E">
        <w:rPr>
          <w:noProof/>
          <w:lang w:eastAsia="zh-CN"/>
        </w:rPr>
        <w:t>(Di Novi et al. 2015)</w:t>
      </w:r>
      <w:r w:rsidRPr="00C3671E">
        <w:rPr>
          <w:lang w:eastAsia="zh-CN"/>
        </w:rPr>
        <w:fldChar w:fldCharType="end"/>
      </w:r>
      <w:r w:rsidRPr="00C3671E">
        <w:rPr>
          <w:lang w:eastAsia="zh-CN"/>
        </w:rPr>
        <w:t xml:space="preserve">, a possible bias from unspecified model </w:t>
      </w:r>
      <w:r w:rsidRPr="00C3671E">
        <w:rPr>
          <w:lang w:eastAsia="zh-CN"/>
        </w:rPr>
        <w:fldChar w:fldCharType="begin" w:fldLock="1"/>
      </w:r>
      <w:r w:rsidR="001257AA" w:rsidRPr="00C3671E">
        <w:rPr>
          <w:lang w:eastAsia="zh-CN"/>
        </w:rPr>
        <w:instrText>ADDIN CSL_CITATION { "citationItems" : [ { "id" : "ITEM-1", "itemData" : { "abstract" : "In situations where randomized trials are not feasible, analysis of observational data must be used instead. However, when using observational data, there is often selection bias for which we must account in order to adjust for pre-treatment differences between groups in their baseline characteristics. As an example of this, we used the Linked Medicare-Tumor Registry Database created by the National Cancer Institute and the Centers for Medicare and Medicaid Services to look at screening with mammography in older women to determine its effectiveness in detecting cancer at an earlier stage. The standard regression method and two methods of adjusting for selection bias are compared. We start with the standard analysis, a logistic regression predicting stage at diagnosis that includes as independent variables a set of covariates to adjust for differences in baseline risk plus an indicator variable for whether the woman used screening. Next, we employ propensity score matching, which evens out the distribution of measured baseline characteristics across groups, and is more robust to model mis-specification than the standard analysis. Lastly, we conduct an instrumental variable analysis, which addresses unmeasured differences between the users and non-users. This article compares these methods and discusses issues of which researchers and analysts should be aware. It is important to look beyond the standard analysis and to consider propensity score matching when there is concern about group differences in measured covariates and instrumental variable analysis when there is concern about differences in unmeasured covariates.", "author" : [ { "dropping-particle" : "", "family" : "Posner", "given" : "Michael A.", "non-dropping-particle" : "", "parse-names" : false, "suffix" : "" }, { "dropping-particle" : "", "family" : "Ash", "given" : "Arlene S.", "non-dropping-particle" : "", "parse-names" : false, "suffix" : "" }, { "dropping-particle" : "", "family" : "Freund", "given" : "Karen M.", "non-dropping-particle" : "", "parse-names" : false, "suffix" : "" }, { "dropping-particle" : "", "family" : "Moskowitz", "given" : "Mark A.", "non-dropping-particle" : "", "parse-names" : false, "suffix" : "" }, { "dropping-particle" : "", "family" : "Shwartz", "given" : "Michael", "non-dropping-particle" : "", "parse-names" : false, "suffix" : "" } ], "container-title" : "Health services &amp; outcomes research methodology", "id" : "ITEM-1", "issue" : "3-4", "issued" : { "date-parts" : [ [ "2001" ] ] }, "page" : "279-290", "title" : "Comparing regression, propensity score matching, and instrumental variables methods for determining the influence of mammography on stage diagnosis", "type" : "article-journal", "volume" : "2" }, "uris" : [ "http://www.mendeley.com/documents/?uuid=fa260511-e89a-46bb-9f92-feebca20bd1c" ] } ], "mendeley" : { "formattedCitation" : "(Posner et al. 2001)", "plainTextFormattedCitation" : "(Posner et al. 2001)", "previouslyFormattedCitation" : "(Posner et al. 2001)" }, "properties" : { "noteIndex" : 0 }, "schema" : "https://github.com/citation-style-language/schema/raw/master/csl-citation.json" }</w:instrText>
      </w:r>
      <w:r w:rsidRPr="00C3671E">
        <w:rPr>
          <w:lang w:eastAsia="zh-CN"/>
        </w:rPr>
        <w:fldChar w:fldCharType="separate"/>
      </w:r>
      <w:r w:rsidRPr="00C3671E">
        <w:rPr>
          <w:noProof/>
          <w:lang w:eastAsia="zh-CN"/>
        </w:rPr>
        <w:t>(Posner et al. 2001)</w:t>
      </w:r>
      <w:r w:rsidRPr="00C3671E">
        <w:rPr>
          <w:lang w:eastAsia="zh-CN"/>
        </w:rPr>
        <w:fldChar w:fldCharType="end"/>
      </w:r>
      <w:r w:rsidRPr="00C3671E">
        <w:rPr>
          <w:lang w:eastAsia="zh-CN"/>
        </w:rPr>
        <w:t xml:space="preserve">, and inability to compare two groups of individuals based on one defining characteristic </w:t>
      </w:r>
      <w:r w:rsidRPr="00C3671E">
        <w:rPr>
          <w:lang w:eastAsia="zh-CN"/>
        </w:rPr>
        <w:fldChar w:fldCharType="begin" w:fldLock="1"/>
      </w:r>
      <w:r w:rsidR="001257AA" w:rsidRPr="00C3671E">
        <w:rPr>
          <w:lang w:eastAsia="zh-CN"/>
        </w:rPr>
        <w:instrText>ADDIN CSL_CITATION { "citationItems" : [ { "id" : "ITEM-1", "itemData" : { "DOI" : "10.1007/s40258-013-0075-4", "ISBN" : "11755652", "ISSN" : "11755652", "PMID" : "24399360", "abstract" : "This paper examines the use of propensity score matching in economic analyses of observational data. Several excellent papers have previously reviewed practical aspects of propensity score estimation and other aspects of the propensity score literature. The purpose of this paper is to compare the conceptual foundation of propensity score models with alternative estimators of treatment effects. References are provided to empirical comparisons among methods that have appeared in the literature. These comparisons are available for a subset of the methods considered in this paper. However, in some cases, no pairwise comparisons of particular methods are yet available, and there are no examples of comparisons across all of the methods surveyed here. Irrespective of the availability of empirical comparisons, the goal of this paper is to provide some intuition about the relative merits of alternative estimators in health economic evaluations where nonlinearity, sample size, availability of pre/post data, heterogeneity, and missing variables can have important implications for choice of methodology. Also considered is the potential combination of propensity score matching with alternative methods such as differences-in-differences and decomposition methods that have not yet appeared in the empirical literature.", "author" : [ { "dropping-particle" : "", "family" : "Crown", "given" : "William H.", "non-dropping-particle" : "", "parse-names" : false, "suffix" : "" } ], "container-title" : "Applied Health Economics and Health Policy", "id" : "ITEM-1", "issue" : "1", "issued" : { "date-parts" : [ [ "2014" ] ] }, "page" : "7-18", "title" : "Propensity-score matching in economic analyses: Comparison with regression models, instrumental variables, residual inclusion, differences-in-differences, and decomposition methods", "type" : "article-journal", "volume" : "12" }, "uris" : [ "http://www.mendeley.com/documents/?uuid=bc97eb33-fe06-441c-a5e6-8fac5d0c5256" ] }, { "id" : "ITEM-2", "itemData" : { "ISBN" : "1680-743X", "abstract" : "We extend propensity score methodology to incorporate survey weights from complex survey data and compare the use of multiple linear regression and propensity score analysis to estimate treatment effects in ob- servational data from a complex survey. For illustration, we use these two methods to estimate the effect of gender on information technology (IT) salaries. In our analysis, both methods agree on the size and statistical significance of the overall gender salary gaps in the United States in four different IT occupations after controlling for educational and job-related co- variates. Eachmethod, however, has its own advantages which are discussed. We also show that it is important to incorporate the survey design in both linear regression and propensity score analysis. Ignoring the survey weights affects the estimates of population-level effects substantially in our analysis.", "author" : [ { "dropping-particle" : "", "family" : "Zanutto", "given" : "Elaine L", "non-dropping-particle" : "", "parse-names" : false, "suffix" : "" } ], "container-title" : "Journal of Data Science", "id" : "ITEM-2", "issue" : "1", "issued" : { "date-parts" : [ [ "2006" ] ] }, "page" : "67-91", "title" : "A Comparison of Propensity Score and Linear Regression Analysis of Complex Survey Data", "type" : "article-journal", "volume" : "4" }, "uris" : [ "http://www.mendeley.com/documents/?uuid=7361c128-f20c-45b8-b584-6ea7d7c49f53" ] } ], "mendeley" : { "formattedCitation" : "(Crown 2014; Zanutto 2006)", "plainTextFormattedCitation" : "(Crown 2014; Zanutto 2006)", "previouslyFormattedCitation" : "(Crown 2014; Zanutto 2006)" }, "properties" : { "noteIndex" : 0 }, "schema" : "https://github.com/citation-style-language/schema/raw/master/csl-citation.json" }</w:instrText>
      </w:r>
      <w:r w:rsidRPr="00C3671E">
        <w:rPr>
          <w:lang w:eastAsia="zh-CN"/>
        </w:rPr>
        <w:fldChar w:fldCharType="separate"/>
      </w:r>
      <w:r w:rsidR="00A91559" w:rsidRPr="00C3671E">
        <w:rPr>
          <w:noProof/>
          <w:lang w:eastAsia="zh-CN"/>
        </w:rPr>
        <w:t>(Crown 2014; Zanutto 2006)</w:t>
      </w:r>
      <w:r w:rsidRPr="00C3671E">
        <w:rPr>
          <w:lang w:eastAsia="zh-CN"/>
        </w:rPr>
        <w:fldChar w:fldCharType="end"/>
      </w:r>
      <w:r w:rsidRPr="00C3671E">
        <w:rPr>
          <w:lang w:eastAsia="zh-CN"/>
        </w:rPr>
        <w:t xml:space="preserve">. Propensity score matching has also some drawbacks, such as omitting unobserved variables from the matching procedure </w:t>
      </w:r>
      <w:r w:rsidRPr="00C3671E">
        <w:rPr>
          <w:lang w:eastAsia="zh-CN"/>
        </w:rPr>
        <w:fldChar w:fldCharType="begin" w:fldLock="1"/>
      </w:r>
      <w:r w:rsidR="001257AA" w:rsidRPr="00C3671E">
        <w:rPr>
          <w:lang w:eastAsia="zh-CN"/>
        </w:rPr>
        <w:instrText>ADDIN CSL_CITATION { "citationItems" : [ { "id" : "ITEM-1", "itemData" : { "DOI" : "10.1007/s40258-013-0075-4", "ISBN" : "11755652", "ISSN" : "11755652", "PMID" : "24399360", "abstract" : "This paper examines the use of propensity score matching in economic analyses of observational data. Several excellent papers have previously reviewed practical aspects of propensity score estimation and other aspects of the propensity score literature. The purpose of this paper is to compare the conceptual foundation of propensity score models with alternative estimators of treatment effects. References are provided to empirical comparisons among methods that have appeared in the literature. These comparisons are available for a subset of the methods considered in this paper. However, in some cases, no pairwise comparisons of particular methods are yet available, and there are no examples of comparisons across all of the methods surveyed here. Irrespective of the availability of empirical comparisons, the goal of this paper is to provide some intuition about the relative merits of alternative estimators in health economic evaluations where nonlinearity, sample size, availability of pre/post data, heterogeneity, and missing variables can have important implications for choice of methodology. Also considered is the potential combination of propensity score matching with alternative methods such as differences-in-differences and decomposition methods that have not yet appeared in the empirical literature.", "author" : [ { "dropping-particle" : "", "family" : "Crown", "given" : "William H.", "non-dropping-particle" : "", "parse-names" : false, "suffix" : "" } ], "container-title" : "Applied Health Economics and Health Policy", "id" : "ITEM-1", "issue" : "1", "issued" : { "date-parts" : [ [ "2014" ] ] }, "page" : "7-18", "title" : "Propensity-score matching in economic analyses: Comparison with regression models, instrumental variables, residual inclusion, differences-in-differences, and decomposition methods", "type" : "article-journal", "volume" : "12" }, "uris" : [ "http://www.mendeley.com/documents/?uuid=bc97eb33-fe06-441c-a5e6-8fac5d0c5256" ] }, { "id" : "ITEM-2", "itemData" : { "ISBN" : "1680-743X", "abstract" : "We extend propensity score methodology to incorporate survey weights from complex survey data and compare the use of multiple linear regression and propensity score analysis to estimate treatment effects in ob- servational data from a complex survey. For illustration, we use these two methods to estimate the effect of gender on information technology (IT) salaries. In our analysis, both methods agree on the size and statistical significance of the overall gender salary gaps in the United States in four different IT occupations after controlling for educational and job-related co- variates. Eachmethod, however, has its own advantages which are discussed. We also show that it is important to incorporate the survey design in both linear regression and propensity score analysis. Ignoring the survey weights affects the estimates of population-level effects substantially in our analysis.", "author" : [ { "dropping-particle" : "", "family" : "Zanutto", "given" : "Elaine L", "non-dropping-particle" : "", "parse-names" : false, "suffix" : "" } ], "container-title" : "Journal of Data Science", "id" : "ITEM-2", "issue" : "1", "issued" : { "date-parts" : [ [ "2006" ] ] }, "page" : "67-91", "title" : "A Comparison of Propensity Score and Linear Regression Analysis of Complex Survey Data", "type" : "article-journal", "volume" : "4" }, "uris" : [ "http://www.mendeley.com/documents/?uuid=7361c128-f20c-45b8-b584-6ea7d7c49f53" ] } ], "mendeley" : { "formattedCitation" : "(Crown 2014; Zanutto 2006)", "plainTextFormattedCitation" : "(Crown 2014; Zanutto 2006)", "previouslyFormattedCitation" : "(Crown 2014; Zanutto 2006)" }, "properties" : { "noteIndex" : 0 }, "schema" : "https://github.com/citation-style-language/schema/raw/master/csl-citation.json" }</w:instrText>
      </w:r>
      <w:r w:rsidRPr="00C3671E">
        <w:rPr>
          <w:lang w:eastAsia="zh-CN"/>
        </w:rPr>
        <w:fldChar w:fldCharType="separate"/>
      </w:r>
      <w:r w:rsidR="00A91559" w:rsidRPr="00C3671E">
        <w:rPr>
          <w:noProof/>
          <w:lang w:eastAsia="zh-CN"/>
        </w:rPr>
        <w:t>(Crown 2014; Zanutto 2006)</w:t>
      </w:r>
      <w:r w:rsidRPr="00C3671E">
        <w:rPr>
          <w:lang w:eastAsia="zh-CN"/>
        </w:rPr>
        <w:fldChar w:fldCharType="end"/>
      </w:r>
      <w:r w:rsidRPr="00C3671E">
        <w:rPr>
          <w:lang w:eastAsia="zh-CN"/>
        </w:rPr>
        <w:t xml:space="preserve"> and a sample reduction due to unmatched individuals </w:t>
      </w:r>
      <w:r w:rsidRPr="00C3671E">
        <w:rPr>
          <w:lang w:eastAsia="zh-CN"/>
        </w:rPr>
        <w:fldChar w:fldCharType="begin" w:fldLock="1"/>
      </w:r>
      <w:r w:rsidR="001257AA" w:rsidRPr="00C3671E">
        <w:rPr>
          <w:lang w:eastAsia="zh-CN"/>
        </w:rPr>
        <w:instrText>ADDIN CSL_CITATION { "citationItems" : [ { "id" : "ITEM-1", "itemData" : { "DOI" : "10.1007/s10680-014-9336-7", "ISBN" : "1068001493367", "ISSN" : "15729885", "abstract" : "We analyse the impact of the provision of care on the health and quality of life (QoL) of adult female informal caregivers using a representative sample drawn from the survey of health, ageing and retirement in Europe (SHARE). We match each informal caregiver with a non-carer using propensity score matching and test whether matched individuals differ on self-assessed health and a functional indicator of QoL and whether this relationship differs across European regions. We find a North-South gradient both for self-assessed health and QoL, and our results show that the provision of caregiving to close relatives in Europe impacts on the caregivers' QoL and health in a way that depends on their geographical location, the degree of formal care and specific cultural and social factors of the area. We find that informal caregiving is a complex phenomenon which may bring both psychological rewards and distress to providers of care and this complexity, along with the geographical gradient highlight the importance of ensuring that policies match the needs of individual carers in their own geographical areas and cultural contexts. [ABSTRACT FROM AUTHOR] Copyright of European Journal of Population is the property of Springer Science &amp; Business Media B.V.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"Novi", "given" : "Cinzia", "non-dropping-particle" : "Di", "parse-names" : false, "suffix" : "" }, { "dropping-particle" : "", "family" : "Jacobs", "given" : "Rowena", "non-dropping-particle" : "", "parse-names" : false, "suffix" : "" }, { "dropping-particle" : "", "family" : "Migheli", "given" : "Matteo", "non-dropping-particle" : "", "parse-names" : false, "suffix" : "" } ], "container-title" : "European Journal of Population", "id" : "ITEM-1", "issue" : "3", "issued" : { "date-parts" : [ [ "2015" ] ] }, "page" : "309-333", "publisher" : "Springer Netherlands", "title" : "The Quality of Life of Female Informal Caregivers: From Scandinavia to the Mediterranean Sea", "type" : "article-journal", "volume" : "31" }, "uris" : [ "http://www.mendeley.com/documents/?uuid=1ccc65b6-fa56-4844-8194-2bfe00ef56d5" ] }, { "id" : "ITEM-2", "itemData" : { "abstract" : "In situations where randomized trials are not feasible, analysis of observational data must be used instead. However, when using observational data, there is often selection bias for which we must account in order to adjust for pre-treatment differences between groups in their baseline characteristics. As an example of this, we used the Linked Medicare-Tumor Registry Database created by the National Cancer Institute and the Centers for Medicare and Medicaid Services to look at screening with mammography in older women to determine its effectiveness in detecting cancer at an earlier stage. The standard regression method and two methods of adjusting for selection bias are compared. We start with the standard analysis, a logistic regression predicting stage at diagnosis that includes as independent variables a set of covariates to adjust for differences in baseline risk plus an indicator variable for whether the woman used screening. Next, we employ propensity score matching, which evens out the distribution of measured baseline characteristics across groups, and is more robust to model mis-specification than the standard analysis. Lastly, we conduct an instrumental variable analysis, which addresses unmeasured differences between the users and non-users. This article compares these methods and discusses issues of which researchers and analysts should be aware. It is important to look beyond the standard analysis and to consider propensity score matching when there is concern about group differences in measured covariates and instrumental variable analysis when there is concern about differences in unmeasured covariates.", "author" : [ { "dropping-particle" : "", "family" : "Posner", "given" : "Michael A.", "non-dropping-particle" : "", "parse-names" : false, "suffix" : "" }, { "dropping-particle" : "", "family" : "Ash", "given" : "Arlene S.", "non-dropping-particle" : "", "parse-names" : false, "suffix" : "" }, { "dropping-particle" : "", "family" : "Freund", "given" : "Karen M.", "non-dropping-particle" : "", "parse-names" : false, "suffix" : "" }, { "dropping-particle" : "", "family" : "Moskowitz", "given" : "Mark A.", "non-dropping-particle" : "", "parse-names" : false, "suffix" : "" }, { "dropping-particle" : "", "family" : "Shwartz", "given" : "Michael", "non-dropping-particle" : "", "parse-names" : false, "suffix" : "" } ], "container-title" : "Health services &amp; outcomes research methodology", "id" : "ITEM-2", "issue" : "3-4", "issued" : { "date-parts" : [ [ "2001" ] ] }, "page" : "279-290", "title" : "Comparing regression, propensity score matching, and instrumental variables methods for determining the influence of mammography on stage diagnosis", "type" : "article-journal", "volume" : "2" }, "uris" : [ "http://www.mendeley.com/documents/?uuid=fa260511-e89a-46bb-9f92-feebca20bd1c" ] } ], "mendeley" : { "formattedCitation" : "(Di Novi et al. 2015; Posner et al. 2001)", "plainTextFormattedCitation" : "(Di Novi et al. 2015; Posner et al. 2001)", "previouslyFormattedCitation" : "(Di Novi et al. 2015; Posner et al. 2001)" }, "properties" : { "noteIndex" : 0 }, "schema" : "https://github.com/citation-style-language/schema/raw/master/csl-citation.json" }</w:instrText>
      </w:r>
      <w:r w:rsidRPr="00C3671E">
        <w:rPr>
          <w:lang w:eastAsia="zh-CN"/>
        </w:rPr>
        <w:fldChar w:fldCharType="separate"/>
      </w:r>
      <w:r w:rsidR="00A91559" w:rsidRPr="00C3671E">
        <w:rPr>
          <w:noProof/>
          <w:lang w:eastAsia="zh-CN"/>
        </w:rPr>
        <w:t>(Di Novi et al. 2015; Posner et al. 2001)</w:t>
      </w:r>
      <w:r w:rsidRPr="00C3671E">
        <w:rPr>
          <w:lang w:eastAsia="zh-CN"/>
        </w:rPr>
        <w:fldChar w:fldCharType="end"/>
      </w:r>
      <w:r w:rsidRPr="00C3671E">
        <w:rPr>
          <w:lang w:eastAsia="zh-CN"/>
        </w:rPr>
        <w:t xml:space="preserve">. Still, this analysis contains the most important predictors of QoL in older ages and techniques like linear regression are not better in controlling for unobserved factors. Then, Radius matching keeps most of the respondents in the sample, while it drops only </w:t>
      </w:r>
      <w:r w:rsidRPr="00C3671E">
        <w:rPr>
          <w:lang w:eastAsia="zh-CN"/>
        </w:rPr>
        <w:lastRenderedPageBreak/>
        <w:t>those outside the caliper. Additionally, groups of workers and retirees are of a comparable size in all regions, and the sample is thus not reduced substantively.</w:t>
      </w:r>
    </w:p>
    <w:p w14:paraId="14905B48" w14:textId="77777777" w:rsidR="001A7940" w:rsidRPr="00C3671E" w:rsidRDefault="001A7940" w:rsidP="007E6D8E">
      <w:pPr>
        <w:pStyle w:val="Nadpis3"/>
        <w:spacing w:line="480" w:lineRule="auto"/>
        <w:rPr>
          <w:rFonts w:ascii="Times New Roman" w:hAnsi="Times New Roman" w:cs="Times New Roman"/>
          <w:b w:val="0"/>
          <w:i/>
          <w:lang w:val="en-GB" w:eastAsia="zh-CN"/>
        </w:rPr>
      </w:pPr>
      <w:bookmarkStart w:id="31" w:name="_Toc512687742"/>
      <w:r w:rsidRPr="00C3671E">
        <w:rPr>
          <w:rFonts w:ascii="Times New Roman" w:hAnsi="Times New Roman" w:cs="Times New Roman"/>
          <w:b w:val="0"/>
          <w:i/>
          <w:lang w:val="en-GB" w:eastAsia="zh-CN"/>
        </w:rPr>
        <w:t>Outcome variable</w:t>
      </w:r>
      <w:bookmarkEnd w:id="31"/>
    </w:p>
    <w:p w14:paraId="010A897D" w14:textId="7CC805D3" w:rsidR="001A7940" w:rsidRPr="00C3671E" w:rsidRDefault="001A7940" w:rsidP="00F4146A">
      <w:pPr>
        <w:pStyle w:val="Newparagraph"/>
        <w:jc w:val="both"/>
        <w:rPr>
          <w:lang w:eastAsia="zh-CN"/>
        </w:rPr>
      </w:pPr>
      <w:r w:rsidRPr="00C3671E">
        <w:rPr>
          <w:lang w:eastAsia="zh-CN"/>
        </w:rPr>
        <w:t xml:space="preserve">The subjective QoL measured by the </w:t>
      </w:r>
      <w:r w:rsidRPr="00C3671E">
        <w:t>CASP</w:t>
      </w:r>
      <w:r w:rsidRPr="00C3671E">
        <w:rPr>
          <w:lang w:eastAsia="zh-CN"/>
        </w:rPr>
        <w:t>-12 scale is the outcome (</w:t>
      </w:r>
      <w:r w:rsidRPr="00C3671E">
        <w:rPr>
          <w:i/>
          <w:lang w:eastAsia="zh-CN"/>
        </w:rPr>
        <w:t>i.e.</w:t>
      </w:r>
      <w:r w:rsidRPr="00C3671E">
        <w:rPr>
          <w:lang w:eastAsia="zh-CN"/>
        </w:rPr>
        <w:t xml:space="preserve"> dependent variable) of this study. CASP-12, which is a shortened version of original CASP-19, is the scale specifically developed ‘to measure the fulfilment of those human needs which are particularly relevant in later life’ </w:t>
      </w:r>
      <w:r w:rsidRPr="00C3671E">
        <w:rPr>
          <w:lang w:eastAsia="zh-CN"/>
        </w:rPr>
        <w:fldChar w:fldCharType="begin" w:fldLock="1"/>
      </w:r>
      <w:r w:rsidR="001257AA" w:rsidRPr="00C3671E">
        <w:rPr>
          <w:lang w:eastAsia="zh-CN"/>
        </w:rPr>
        <w:instrText>ADDIN CSL_CITATION { "citationItems" : [ { "id" : "ITEM-1", "itemData" : { "DOI" : "10.1080/13607863.2014.955458", "ISBN" : "1360-7863", "ISSN" : "1364-6915", "PMID" : "25220504", "abstract" : "OBJECTIVES: This article aims to contribute to the literature on life course influences upon quality of life by examining pathways linking social position in middle age to quality of life following retirement in French men and women.\\n\\nMETHOD: Data are from the GAZEL cohort study of employees at the French national gas and electricity company. A finely grained measure of occupational grade in 1989 was obtained from company records. Annual self-completion questionnaires provided information on quality of life in 2005, measured with the CASP-19 scale, and on participants' recent circumstances 2002-2005: mental health, physical functioning, wealth, social status, neighbourhood characteristics, social support and social participation. Path analysis using full information maximum likelihood estimation was performed on 11,293 retired participants.\\n\\nRESULTS: Higher occupational grade in 1989 was associated, in a graded relationship, with better quality of life 16 years later. This association was accounted for by individuals' more recent circumstances, particularly their social status, mental health, physical functioning and wealth.\\n\\nCONCLUSION: The graded relationship between occupational grade in mid-life and quality of life after labour market exit was largely accounted for by more recent socio-economic circumstances and state of health. The results support a pathway model for the development of social disparities in quality of life, in which earlier social position shapes individual circumstances in later life.", "author" : [ { "dropping-particle" : "", "family" : "Platts", "given" : "Loretta G", "non-dropping-particle" : "", "parse-names" : false, "suffix" : "" }, { "dropping-particle" : "", "family" : "Webb", "given" : "Elizabeth", "non-dropping-particle" : "", "parse-names" : false, "suffix" : "" }, { "dropping-particle" : "", "family" : "Zins", "given" : "Marie", "non-dropping-particle" : "", "parse-names" : false, "suffix" : "" }, { "dropping-particle" : "", "family" : "Goldberg", "given" : "Marcel", "non-dropping-particle" : "", "parse-names" : false, "suffix" : "" }, { "dropping-particle" : "", "family" : "Netuveli", "given" : "Gopalakrishnan", "non-dropping-particle" : "", "parse-names" : false, "suffix" : "" } ], "container-title" : "Aging &amp; mental health", "id" : "ITEM-1", "issue" : "7", "issued" : { "date-parts" : [ [ "2015" ] ] }, "note" : "Platts et al. 2015: Mid-life occupational grade and quality of life (CASP-19, nice introduction) following retirement: a 16-year follow-up of the French GAZEL study\nexperience of ageing shaped by social structure and personal history\na concensus is that the main predictors of quality of life in later life are: physical and mental health, participation in social activities, social relationships, neighbourhood quality and financial adequacy\naim: pathways linking social position in middle age to quality of life following retirement\nFrench cohort study of employees in electricity company conducted annually since 1989 - used 1989, and 2002-2005, path analysis\nhigher occupational grade in 1989 - better quality of life in 2005 - association accounted for recent circumstances (status, mental and physical health, wealth)\npath model for social disparities - earlier social position shapes individual circumstances in later life\nnote: not surprising findings, only one characteristic from 1989 controlled", "page" : "634-46", "publisher" : "Taylor &amp; Francis", "title" : "Mid-life occupational grade and quality of life following retirement: a 16-year follow-up of the French GAZEL study.", "type" : "article-journal", "volume" : "19" }, "uris" : [ "http://www.mendeley.com/documents/?uuid=93202b5b-209f-4936-b992-a2cf1ae65f35" ] } ], "mendeley" : { "formattedCitation" : "(Platts et al. 2015)", "manualFormatting" : "(Platts et al. 2015", "plainTextFormattedCitation" : "(Platts et al. 2015)", "previouslyFormattedCitation" : "(Platts et al. 2015)" }, "properties" : { "noteIndex" : 0 }, "schema" : "https://github.com/citation-style-language/schema/raw/master/csl-citation.json" }</w:instrText>
      </w:r>
      <w:r w:rsidRPr="00C3671E">
        <w:rPr>
          <w:lang w:eastAsia="zh-CN"/>
        </w:rPr>
        <w:fldChar w:fldCharType="separate"/>
      </w:r>
      <w:r w:rsidRPr="00C3671E">
        <w:rPr>
          <w:noProof/>
          <w:lang w:eastAsia="zh-CN"/>
        </w:rPr>
        <w:t>(Platts et al. 2015</w:t>
      </w:r>
      <w:r w:rsidRPr="00C3671E">
        <w:rPr>
          <w:lang w:eastAsia="zh-CN"/>
        </w:rPr>
        <w:fldChar w:fldCharType="end"/>
      </w:r>
      <w:r w:rsidRPr="00C3671E">
        <w:rPr>
          <w:lang w:eastAsia="zh-CN"/>
        </w:rPr>
        <w:t xml:space="preserve">: 2). These needs comprise four domains – control, autonomy, self-realization, and pleasure – and four letters of the CASP acronym. This measurement is theoretically grounded and empirically tested and makes a popular alternative to approaches reducing the QoL in older ages to health and disease </w:t>
      </w:r>
      <w:r w:rsidRPr="00C3671E">
        <w:rPr>
          <w:lang w:eastAsia="zh-CN"/>
        </w:rPr>
        <w:fldChar w:fldCharType="begin" w:fldLock="1"/>
      </w:r>
      <w:r w:rsidR="001257AA" w:rsidRPr="00C3671E">
        <w:rPr>
          <w:lang w:eastAsia="zh-CN"/>
        </w:rPr>
        <w:instrText>ADDIN CSL_CITATION { "citationItems" : [ { "id" : "ITEM-1", "itemData" : { "DOI" : "10.1111/1467-9515.00336", "ISBN" : "0144-5596", "ISSN" : "1467-9515", "abstract" : "Measurement of quality of life has become a major feature of much social and epidemiological research in health and social care settings. It is seen as an important alternative to more process-based outcome measures but remains poorly defined. A major weakness is the absence of any coherent theoretical underpinning whether sociological, psychological or philosophical. Into this conceptual vacuum proxies for quality of life have been introduced. Quality of life [QoL] research into older populations has focused on measures of health and illness as equivalents of QoL. This paper argues that this response is inadequate as it reduces old age to a dimension of health, disability and disease. Instead, we argue that it is necessary to create a theoretically based measure of QoL in early old age which relates to those aspects of later life that are not defined by health. We present a model of QoL that is derived from aspects of contemporary social theory as they relate to the ontology of late modernity. In particular, we utilize a model based upon needs satisfaction. The model contains four domains: Control, Autonomy, Pleasure and Self-realization. The measure consists of a 19-item scale. The four domains load on to a single latent QoL factor. We argue that the CASP 19 scale offers an approach to QoL that integrates a sociologically based model of quality of life with a meaningful and valid research instrument.", "author" : [ { "dropping-particle" : "", "family" : "Higgs", "given" : "Paul", "non-dropping-particle" : "", "parse-names" : false, "suffix" : "" }, { "dropping-particle" : "", "family" : "Hyde", "given" : "Martin", "non-dropping-particle" : "", "parse-names" : false, "suffix" : "" }, { "dropping-particle" : "", "family" : "Wiggins", "given" : "Richard", "non-dropping-particle" : "", "parse-names" : false, "suffix" : "" }, { "dropping-particle" : "", "family" : "Blane", "given" : "David", "non-dropping-particle" : "", "parse-names" : false, "suffix" : "" } ], "container-title" : "Social Policy &amp; Administration", "id" : "ITEM-1", "issue" : "3", "issued" : { "date-parts" : [ [ "2003" ] ] }, "note" : "Higgs, Hyde, Wiggins, Blane 2003: Researching Quality of Life in Early Old Age: The Importance of the Sociological Dimension\nboom of QoL - important alternative, but poorly defined, absence of theoretical underpinning\ninadequate measurement of QoL as health in old age\na model of QoL that is derived from aspects of contemporary social theory as they relate to the ontology of late modernity\nIn particular, we utilize a model based upon needs satisfaction - CASP\nan approach to QoL that integrates a sociologically based model of quality of life with a meaningful and valid research instrument", "page" : "239\u2013252", "title" : "Researching Quality of Life in Early Old Age: The Importance of the Sociological Dimension", "type" : "article-journal", "volume" : "37" }, "uris" : [ "http://www.mendeley.com/documents/?uuid=7105cc95-ef76-45a5-9996-cfd6dee69270" ] } ], "mendeley" : { "formattedCitation" : "(Higgs et al. 2003b)", "plainTextFormattedCitation" : "(Higgs et al. 2003b)", "previouslyFormattedCitation" : "(Higgs et al. 2003b)" }, "properties" : { "noteIndex" : 0 }, "schema" : "https://github.com/citation-style-language/schema/raw/master/csl-citation.json" }</w:instrText>
      </w:r>
      <w:r w:rsidRPr="00C3671E">
        <w:rPr>
          <w:lang w:eastAsia="zh-CN"/>
        </w:rPr>
        <w:fldChar w:fldCharType="separate"/>
      </w:r>
      <w:r w:rsidR="00C004DA" w:rsidRPr="00C3671E">
        <w:rPr>
          <w:noProof/>
          <w:lang w:eastAsia="zh-CN"/>
        </w:rPr>
        <w:t>(Higgs et al. 2003b)</w:t>
      </w:r>
      <w:r w:rsidRPr="00C3671E">
        <w:rPr>
          <w:lang w:eastAsia="zh-CN"/>
        </w:rPr>
        <w:fldChar w:fldCharType="end"/>
      </w:r>
      <w:r w:rsidRPr="00C3671E">
        <w:rPr>
          <w:lang w:eastAsia="zh-CN"/>
        </w:rPr>
        <w:t>.</w:t>
      </w:r>
    </w:p>
    <w:p w14:paraId="0C4939F5" w14:textId="0556358B" w:rsidR="001A7940" w:rsidRPr="00C3671E" w:rsidRDefault="001A7940" w:rsidP="00F4146A">
      <w:pPr>
        <w:pStyle w:val="Newparagraph"/>
        <w:jc w:val="both"/>
        <w:rPr>
          <w:lang w:eastAsia="zh-CN"/>
        </w:rPr>
      </w:pPr>
      <w:r w:rsidRPr="00C3671E">
        <w:rPr>
          <w:lang w:eastAsia="zh-CN"/>
        </w:rPr>
        <w:t xml:space="preserve">CASP-12 is a summation scale comprised of four-point Likert-scale items, in which each of four domains is indicated by three items. Hence, CASP-12 has values from 12 to 48 with a higher score indicating higher QoL. This </w:t>
      </w:r>
      <w:r w:rsidRPr="00C3671E">
        <w:t>paper</w:t>
      </w:r>
      <w:r w:rsidRPr="00C3671E">
        <w:rPr>
          <w:lang w:eastAsia="zh-CN"/>
        </w:rPr>
        <w:t xml:space="preserve"> takes the approach of </w:t>
      </w:r>
      <w:r w:rsidRPr="00C3671E">
        <w:rPr>
          <w:lang w:eastAsia="zh-CN"/>
        </w:rPr>
        <w:fldChar w:fldCharType="begin" w:fldLock="1"/>
      </w:r>
      <w:r w:rsidR="001257AA" w:rsidRPr="00C3671E">
        <w:rPr>
          <w:lang w:eastAsia="zh-CN"/>
        </w:rPr>
        <w:instrText>ADDIN CSL_CITATION { "citationItems" : [ { "id" : "ITEM-1", "itemData" : { "DOI" : "10.1007/s10680-014-9336-7", "ISBN" : "1068001493367", "ISSN" : "15729885", "abstract" : "We analyse the impact of the provision of care on the health and quality of life (QoL) of adult female informal caregivers using a representative sample drawn from the survey of health, ageing and retirement in Europe (SHARE). We match each informal caregiver with a non-carer using propensity score matching and test whether matched individuals differ on self-assessed health and a functional indicator of QoL and whether this relationship differs across European regions. We find a North-South gradient both for self-assessed health and QoL, and our results show that the provision of caregiving to close relatives in Europe impacts on the caregivers' QoL and health in a way that depends on their geographical location, the degree of formal care and specific cultural and social factors of the area. We find that informal caregiving is a complex phenomenon which may bring both psychological rewards and distress to providers of care and this complexity, along with the geographical gradient highlight the importance of ensuring that policies match the needs of individual carers in their own geographical areas and cultural contexts. [ABSTRACT FROM AUTHOR] Copyright of European Journal of Population is the property of Springer Science &amp; Business Media B.V.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"Novi", "given" : "Cinzia", "non-dropping-particle" : "Di", "parse-names" : false, "suffix" : "" }, { "dropping-particle" : "", "family" : "Jacobs", "given" : "Rowena", "non-dropping-particle" : "", "parse-names" : false, "suffix" : "" }, { "dropping-particle" : "", "family" : "Migheli", "given" : "Matteo", "non-dropping-particle" : "", "parse-names" : false, "suffix" : "" } ], "container-title" : "European Journal of Population", "id" : "ITEM-1", "issue" : "3", "issued" : { "date-parts" : [ [ "2015" ] ] }, "page" : "309-333", "publisher" : "Springer Netherlands", "title" : "The Quality of Life of Female Informal Caregivers: From Scandinavia to the Mediterranean Sea", "type" : "article-journal", "volume" : "31" }, "uris" : [ "http://www.mendeley.com/documents/?uuid=1ccc65b6-fa56-4844-8194-2bfe00ef56d5" ] } ], "mendeley" : { "formattedCitation" : "(Di Novi et al. 2015)", "manualFormatting" : "Di Novi, Jacobs, and Migheli (2015)", "plainTextFormattedCitation" : "(Di Novi et al. 2015)", "previouslyFormattedCitation" : "(Di Novi et al. 2015)" }, "properties" : { "noteIndex" : 0 }, "schema" : "https://github.com/citation-style-language/schema/raw/master/csl-citation.json" }</w:instrText>
      </w:r>
      <w:r w:rsidRPr="00C3671E">
        <w:rPr>
          <w:lang w:eastAsia="zh-CN"/>
        </w:rPr>
        <w:fldChar w:fldCharType="separate"/>
      </w:r>
      <w:r w:rsidRPr="00C3671E">
        <w:rPr>
          <w:noProof/>
          <w:lang w:eastAsia="zh-CN"/>
        </w:rPr>
        <w:t>Di Novi, Jacobs, and Migheli (2015)</w:t>
      </w:r>
      <w:r w:rsidRPr="00C3671E">
        <w:rPr>
          <w:lang w:eastAsia="zh-CN"/>
        </w:rPr>
        <w:fldChar w:fldCharType="end"/>
      </w:r>
      <w:r w:rsidRPr="00C3671E">
        <w:rPr>
          <w:lang w:eastAsia="zh-CN"/>
        </w:rPr>
        <w:t xml:space="preserve"> and compares not only the overall CASP-12 score for working and retired, but also scores for particular domains of CASP-12. The four subscales then take values 4-12 and are considered as interval in the analysis. This approach makes possible to identify differences between workers and retired people in dimensions of QoL, which is one of the purposes of multidimensional scales like this </w:t>
      </w:r>
      <w:r w:rsidRPr="00C3671E">
        <w:rPr>
          <w:lang w:eastAsia="zh-CN"/>
        </w:rPr>
        <w:fldChar w:fldCharType="begin" w:fldLock="1"/>
      </w:r>
      <w:r w:rsidR="00AA6335" w:rsidRPr="00C3671E">
        <w:rPr>
          <w:lang w:eastAsia="zh-CN"/>
        </w:rPr>
        <w:instrText>ADDIN CSL_CITATION { "citationItems" : [ { "id" : "ITEM-1", "itemData" : { "DOI" : "10.1093/geronb/gbq006", "ISBN" : "1758-5368 (Electronic)\\r1079-5014 (Linking)", "ISSN" : "1079-5014, 1758-5368", "PMID" : "20233742", "abstract" : "OBJECTIVES. Understanding the factors that promote quality of life in old age has been a staple of social gerontology since its inception and remains a significant theme in aging research. The purpose of this article was to review the state of the science with regard to subjective well-being (SWB) in later life and to identify promising directions for future research. METHODS: This article is based on a review of literature on SWB in aging, sociological, and psychological journals. Although the materials reviewed date back to the early 1960s, the emphasis is on publications in the past decade. RESULTS: Research to date paints an effective portrait of the epidemiology of SWB in late life and the factors associated with it. Although the research base is large, causal inferences about the determinants of SWB remain problematic. Two recent contributions to the research base are highlighted as emerging issues: studies of secular trends in SWB and cross-national studies. Discussion. The review ends with discussion of priority issues for future research.", "author" : [ { "dropping-particle" : "", "family" : "George", "given" : "Linda K", "non-dropping-particle" : "", "parse-names" : false, "suffix" : "" } ], "container-title" : "The journals of gerontology. Series B, Psychological sciences and social sciences", "id" : "ITEM-1", "issue" : "3", "issued" : { "date-parts" : [ [ "2010" ] ] }, "note" : "George 2010: Still Happy After All These Years: Research Frontiers on Subjective Well-being in Later Life\na review of literature on SWB in aging, sociological, and psychological journals\nUnderstanding the factors that promote quality of life in old age has been a staple of social gerontology\nsince its inception\nThe terms SWB, happiness, psychological well-being,\npositive affect, and morale are often used interchangeably\nSingle-item measures psychometrically inferior to multi-item (and, therefore, multidimensional) scales because of lower validity and reliability - not for single-item measures of SWB (Diener, Suh, Lucas, &amp;amp; Smith, 1999). Single-item measures used in social surveys because they are short and in cross-national comparisons because happiness and life satisfaction translate well across cultures, but some of the items in multi-item scales do not.\ntheoretical orientations of SWB research:\n1. discrepancy theories - gap between aspirations and achievements\n2. social comparisons - how we rank relative ot others\n3. strategic investment of resources - decline of resources does not mean decline of SWB\n4. the social stratitfication of SWB - possesion of resources mean higher SWB\n5. the social indicators perspective - importance of aggregate level\npredictors of SWB - higher age, white, men?, education, income, health, integration (ind and soc), soc relationships and suport, psychosocial resources\nconsequences of SWB - lower mortality and disability\nresearch base is large, but causal inferences about the determinants of SWB remain problematic\nemerging issues: studies of secular trends in SWB (happy life expectancy, wealth-happines paradox) and cross-national studies (age-heterogenous samples)\nDespite the growing popularity of multilevel models, very few analyses focus specifically on older adults\u2014and none examine SWB in later life.\nThe most exciting contribution of cross-national research is the ability to examine the effects of macro-level factors on SWB.\nlongitudinal studies are needed to verify that the presumptive determinants of SWB in late life meet the criteria for social causation inferences\nAggregate-level studies of the factors that promote SWB during late life constitute a \u201cwide open\u201d field that I urge gerontological investigators to pursue.", "page" : "331-339", "title" : "Still happy after all these years: research frontiers on subjective well-being in later life.", "type" : "article-journal", "volume" : "65B" }, "uris" : [ "http://www.mendeley.com/documents/?uuid=cfcaca6d-e930-40c1-a50e-014db51e6de1" ] } ], "mendeley" : { "formattedCitation" : "(George 2010)", "plainTextFormattedCitation" : "(George 2010)", "previouslyFormattedCitation" : "(George 2010)" }, "properties" : { "noteIndex" : 0 }, "schema" : "https://github.com/citation-style-language/schema/raw/master/csl-citation.json" }</w:instrText>
      </w:r>
      <w:r w:rsidRPr="00C3671E">
        <w:rPr>
          <w:lang w:eastAsia="zh-CN"/>
        </w:rPr>
        <w:fldChar w:fldCharType="separate"/>
      </w:r>
      <w:r w:rsidRPr="00C3671E">
        <w:rPr>
          <w:noProof/>
          <w:lang w:eastAsia="zh-CN"/>
        </w:rPr>
        <w:t>(George 2010)</w:t>
      </w:r>
      <w:r w:rsidRPr="00C3671E">
        <w:rPr>
          <w:lang w:eastAsia="zh-CN"/>
        </w:rPr>
        <w:fldChar w:fldCharType="end"/>
      </w:r>
      <w:r w:rsidRPr="00C3671E">
        <w:rPr>
          <w:lang w:eastAsia="zh-CN"/>
        </w:rPr>
        <w:t>.</w:t>
      </w:r>
    </w:p>
    <w:p w14:paraId="704132A9" w14:textId="77777777" w:rsidR="001A7940" w:rsidRPr="00C3671E" w:rsidRDefault="001A7940" w:rsidP="007E6D8E">
      <w:pPr>
        <w:pStyle w:val="Nadpis3"/>
        <w:spacing w:line="480" w:lineRule="auto"/>
        <w:rPr>
          <w:rFonts w:ascii="Times New Roman" w:hAnsi="Times New Roman" w:cs="Times New Roman"/>
          <w:b w:val="0"/>
          <w:i/>
          <w:lang w:val="en-GB" w:eastAsia="zh-CN"/>
        </w:rPr>
      </w:pPr>
      <w:bookmarkStart w:id="32" w:name="_Toc512687743"/>
      <w:r w:rsidRPr="00C3671E">
        <w:rPr>
          <w:rFonts w:ascii="Times New Roman" w:hAnsi="Times New Roman" w:cs="Times New Roman"/>
          <w:b w:val="0"/>
          <w:i/>
          <w:lang w:val="en-GB" w:eastAsia="zh-CN"/>
        </w:rPr>
        <w:t>Treatment variable</w:t>
      </w:r>
      <w:bookmarkEnd w:id="32"/>
    </w:p>
    <w:p w14:paraId="10416DC1" w14:textId="77777777" w:rsidR="001A7940" w:rsidRPr="00C3671E" w:rsidRDefault="001A7940" w:rsidP="00F4146A">
      <w:pPr>
        <w:suppressAutoHyphens/>
        <w:spacing w:line="480" w:lineRule="auto"/>
        <w:jc w:val="both"/>
        <w:rPr>
          <w:lang w:val="en-GB"/>
        </w:rPr>
      </w:pPr>
      <w:r w:rsidRPr="00C3671E">
        <w:rPr>
          <w:lang w:val="en-GB"/>
        </w:rPr>
        <w:t xml:space="preserve">Older adults working around retirement age are defined as ‘treated’ by active ageing policy and policy of increasing retirement age in Europe. These people are treated in a sense that they continue to work (although they would probably retire without the mentioned policies) amid the promise of improved QoL. Retired people of the defined age range are taken as a ‘control group’, which indicates the QoL without a presence of the treatment. The retired/working </w:t>
      </w:r>
      <w:r w:rsidRPr="00C3671E">
        <w:rPr>
          <w:lang w:val="en-GB"/>
        </w:rPr>
        <w:lastRenderedPageBreak/>
        <w:t>variable originates from the current job status variable with categories ‘retired’ and ‘homemaker’ merged into ‘retired’ and categories ‘employed or self-employed’ and ‘unemployed’ merged into ‘working’. As already mentioned, respondents from category ‘permanently sick or disabled’ were dropped, since they are technically retired, but retired from specific reasons strongly shaping their QoL.</w:t>
      </w:r>
    </w:p>
    <w:p w14:paraId="391C33A5" w14:textId="77777777" w:rsidR="001A7940" w:rsidRPr="00C3671E" w:rsidRDefault="001A7940" w:rsidP="007E6D8E">
      <w:pPr>
        <w:pStyle w:val="Nadpis3"/>
        <w:spacing w:line="480" w:lineRule="auto"/>
        <w:rPr>
          <w:rFonts w:ascii="Times New Roman" w:hAnsi="Times New Roman" w:cs="Times New Roman"/>
          <w:b w:val="0"/>
          <w:i/>
          <w:lang w:val="en-GB" w:eastAsia="zh-CN"/>
        </w:rPr>
      </w:pPr>
      <w:bookmarkStart w:id="33" w:name="_Toc512687744"/>
      <w:r w:rsidRPr="00C3671E">
        <w:rPr>
          <w:rFonts w:ascii="Times New Roman" w:hAnsi="Times New Roman" w:cs="Times New Roman"/>
          <w:b w:val="0"/>
          <w:i/>
          <w:lang w:val="en-GB" w:eastAsia="zh-CN"/>
        </w:rPr>
        <w:t>Covariates</w:t>
      </w:r>
      <w:bookmarkEnd w:id="33"/>
    </w:p>
    <w:p w14:paraId="09F61311" w14:textId="07A84B20" w:rsidR="001A7940" w:rsidRPr="00C3671E" w:rsidRDefault="001A7940" w:rsidP="00F4146A">
      <w:pPr>
        <w:suppressAutoHyphens/>
        <w:spacing w:line="480" w:lineRule="auto"/>
        <w:jc w:val="both"/>
        <w:rPr>
          <w:lang w:val="en-GB"/>
        </w:rPr>
      </w:pPr>
      <w:r w:rsidRPr="00C3671E">
        <w:rPr>
          <w:lang w:val="en-GB"/>
        </w:rPr>
        <w:t xml:space="preserve">The propensity score matching technique used by this study uses covariates/independent variables for matching workers and retirees </w:t>
      </w:r>
      <w:r w:rsidRPr="00F4146A">
        <w:rPr>
          <w:rFonts w:eastAsia="Calibri"/>
          <w:lang w:val="en-GB" w:eastAsia="en-US"/>
        </w:rPr>
        <w:t>of</w:t>
      </w:r>
      <w:r w:rsidRPr="00C3671E">
        <w:rPr>
          <w:lang w:val="en-GB"/>
        </w:rPr>
        <w:t xml:space="preserve"> the same characteristics. Thus, these variables are not used for predicting an outcome as in a regression-type of analysis, but rather for predicting the propensity score. The assumption is that respondents matched together on possible predictors of QoL in older ages differ only in their employment status, and thus can be compared in QoL without distortion </w:t>
      </w:r>
      <w:r w:rsidRPr="00C3671E">
        <w:rPr>
          <w:lang w:val="en-GB"/>
        </w:rPr>
        <w:fldChar w:fldCharType="begin" w:fldLock="1"/>
      </w:r>
      <w:r w:rsidR="001257AA" w:rsidRPr="00C3671E">
        <w:rPr>
          <w:lang w:val="en-GB"/>
        </w:rPr>
        <w:instrText>ADDIN CSL_CITATION { "citationItems" : [ { "id" : "ITEM-1", "itemData" : { "DOI" : "10.1016/j.jtcvs.2007.07.021", "ISBN" : "1941-7705; 1941-7713", "ISSN" : "00225223", "PMID" : "17976439", "abstract" : "Objective: I conducted a systematic review of the use of propensity score matching in the cardiovascular surgery literature. I examined the adequacy of reporting and whether appropriate statistical methods were used. Methods: I examined 60 articles published in the Annals of Thoracic Surgery, European Journal of Cardio-thoracic Surgery, Journal of Cardiovascular Surgery, and the Journal of Thoracic and Cardiovascular Surgery between January 1, 2004, and December 31, 2006. Results: Thirty-one of the 60 studies did not provide adequate information on how the propensity score-matched pairs were formed. Eleven (18%) of studies did not report on whether matching on the propensity score balanced baseline characteristics between treated and untreated subjects in the matched sample. No studies used appropriate methods to compare baseline characteristics between treated and untreated subjects in the propensity score-matched sample. Eight (13%) of the 60 studies explicitly used statistical methods appropriate for the analysis of matched data when estimating the effect of treatment on the outcomes. Two studies used appropriate methods for some outcomes, but not for all outcomes. Thirty-nine (65%) studies explicitly used statistical methods that were inappropriate for matched-pairs data when estimating the effect of treatment on outcomes. Eleven studies did not report the statistical tests that were used to assess the statistical significance of the treatment effect. Conclusions: Analysis of propensity score-matched samples tended to be poor in the cardiovascular surgery literature. Most statistical analyses ignored the matched nature of the sample. I provide suggestions for improving the reporting and analysis of studies that use propensity score matching. \u00a9 2007 The American Association for Thoracic Surgery.", "author" : [ { "dropping-particle" : "", "family" : "Austin", "given" : "Peter C.", "non-dropping-particle" : "", "parse-names" : false, "suffix" : "" } ], "container-title" : "Journal of Thoracic and Cardiovascular Surgery", "id" : "ITEM-1", "issue" : "5", "issued" : { "date-parts" : [ [ "2007" ] ] }, "title" : "Propensity-score matching in the cardiovascular surgery literature from 2004 to 2006: A systematic review and suggestions for improvement", "type" : "article-journal", "volume" : "134" }, "uris" : [ "http://www.mendeley.com/documents/?uuid=ea607ec6-a509-44b5-a673-aed4ec4696dc" ] }, { "id" : "ITEM-2", "itemData" : { "author" : [ { "dropping-particle" : "", "family" : "Guo", "given" : "Shenyang", "non-dropping-particle" : "", "parse-names" : false, "suffix" : "" }, { "dropping-particle" : "", "family" : "Fraser", "given" : "Mark W.", "non-dropping-particle" : "", "parse-names" : false, "suffix" : "" } ], "id" : "ITEM-2", "issued" : { "date-parts" : [ [ "2010" ] ] }, "publisher" : "SAGE Publications", "publisher-place" : "Los Angeles", "title" : "Propensity score analysis", "type" : "book" }, "uris" : [ "http://www.mendeley.com/documents/?uuid=120a1036-b80d-4ac9-a122-504878340dbd" ] } ], "mendeley" : { "formattedCitation" : "(Austin 2007; Guo and Fraser 2010)", "plainTextFormattedCitation" : "(Austin 2007; Guo and Fraser 2010)", "previouslyFormattedCitation" : "(Austin 2007; Guo and Fraser 2010)" }, "properties" : { "noteIndex" : 0 }, "schema" : "https://github.com/citation-style-language/schema/raw/master/csl-citation.json" }</w:instrText>
      </w:r>
      <w:r w:rsidRPr="00C3671E">
        <w:rPr>
          <w:lang w:val="en-GB"/>
        </w:rPr>
        <w:fldChar w:fldCharType="separate"/>
      </w:r>
      <w:r w:rsidR="00A91559" w:rsidRPr="00C3671E">
        <w:rPr>
          <w:noProof/>
          <w:lang w:val="en-GB"/>
        </w:rPr>
        <w:t>(Austin 2007; Guo and Fraser 2010)</w:t>
      </w:r>
      <w:r w:rsidRPr="00C3671E">
        <w:rPr>
          <w:lang w:val="en-GB"/>
        </w:rPr>
        <w:fldChar w:fldCharType="end"/>
      </w:r>
      <w:r w:rsidRPr="00C3671E">
        <w:rPr>
          <w:lang w:val="en-GB"/>
        </w:rPr>
        <w:t xml:space="preserve">. Propensity score estimation should use covariates, which are strongly associated with both treatment and outcome, while it is preferable to include rather less than more variables </w:t>
      </w:r>
      <w:r w:rsidRPr="00C3671E">
        <w:rPr>
          <w:lang w:val="en-GB"/>
        </w:rPr>
        <w:fldChar w:fldCharType="begin" w:fldLock="1"/>
      </w:r>
      <w:r w:rsidR="00AA6335" w:rsidRPr="00C3671E">
        <w:rPr>
          <w:lang w:val="en-GB"/>
        </w:rPr>
        <w:instrText>ADDIN CSL_CITATION { "citationItems" : [ { "id" : "ITEM-1", "itemData" : { "DOI" : "10.1111/j.1467-6419.2007.00527.x", "ISBN" : "09500804", "ISSN" : "09500804", "PMID" : "28680618", "abstract" : "Abstract Propensity score matching (PSM) has become a popular approach to estimate causal treatment effects. It is widely applied when evaluating labour market policies, but empirical examples can be found in very diverse fields of study. Once the researcher has decided to use PSM, he is confronted with a lot of questions regarding its implementation. To begin with, a first decision has to be made concerning the estimation of the propensity score. Following that one has to decide which matching algorithm to choose and determine the region of common support. Subsequently, the matching quality has to be assessed and treatment effects and their standard errors have to be estimated. Furthermore, questions like \u2018what to do if there is choice-based sampling?\u2019 or \u2018when to measure effects?\u2019 can be important in empirical studies. Finally, one might also want to test the sensitivity of estimated treatment effects with respect to unobserved heterogeneity or failure of the common support condition. Each implementation step involves a lot of decisions and different approaches can be thought of. The aim of this paper is to discuss these implementation issues and give some guidance to researchers who want to use PSM for evaluation purposes.", "author" : [ { "dropping-particle" : "", "family" : "Caliendo", "given" : "Marco", "non-dropping-particle" : "", "parse-names" : false, "suffix" : "" }, { "dropping-particle" : "", "family" : "Kopeinig", "given" : "Sabine", "non-dropping-particle" : "", "parse-names" : false, "suffix" : "" } ], "container-title" : "Journal of Economic Surveys", "id" : "ITEM-1", "issue" : "1", "issued" : { "date-parts" : [ [ "2008" ] ] }, "page" : "31-72", "title" : "Some practical guidance for the implementation of propensity score matching", "type" : "article-journal", "volume" : "22" }, "uris" : [ "http://www.mendeley.com/documents/?uuid=34db4157-b56a-45d5-92ab-46fb3654b0fe" ] } ], "mendeley" : { "formattedCitation" : "(Caliendo and Kopeinig 2008)", "plainTextFormattedCitation" : "(Caliendo and Kopeinig 2008)", "previouslyFormattedCitation" : "(Caliendo and Kopeinig 2008)" }, "properties" : { "noteIndex" : 0 }, "schema" : "https://github.com/citation-style-language/schema/raw/master/csl-citation.json" }</w:instrText>
      </w:r>
      <w:r w:rsidRPr="00C3671E">
        <w:rPr>
          <w:lang w:val="en-GB"/>
        </w:rPr>
        <w:fldChar w:fldCharType="separate"/>
      </w:r>
      <w:r w:rsidRPr="00C3671E">
        <w:rPr>
          <w:noProof/>
          <w:lang w:val="en-GB"/>
        </w:rPr>
        <w:t>(Caliendo and Kopeinig 2008)</w:t>
      </w:r>
      <w:r w:rsidRPr="00C3671E">
        <w:rPr>
          <w:lang w:val="en-GB"/>
        </w:rPr>
        <w:fldChar w:fldCharType="end"/>
      </w:r>
      <w:r w:rsidRPr="00C3671E">
        <w:rPr>
          <w:lang w:val="en-GB"/>
        </w:rPr>
        <w:t xml:space="preserve">. Therefore, the analysis utilizes the following variables, which are according to the literature </w:t>
      </w:r>
      <w:r w:rsidRPr="00C3671E">
        <w:rPr>
          <w:lang w:val="en-GB"/>
        </w:rPr>
        <w:fldChar w:fldCharType="begin" w:fldLock="1"/>
      </w:r>
      <w:r w:rsidR="001257AA" w:rsidRPr="00C3671E">
        <w:rPr>
          <w:lang w:val="en-GB"/>
        </w:rPr>
        <w:instrText>ADDIN CSL_CITATION { "citationItems" : [ { "id" : "ITEM-1", "itemData" : { "DOI" : "10.1007/s10433-010-0163-3", "ISBN" : "1613-9372", "ISSN" : "16139372", "abstract" : "Population ageing changes profoundly the current balance between generations. Governments are responding with policies to promote later retirement and family care, but these ideals may come in conflict in mid-life when family obligations can be hard to reconcile with employment. Yet we know little about the prevalence of being \"sandwiched\", and even less about the consequences. This article maps out the prevalence of different forms of family and work sandwiching for the Norwegian population, and explores adaptive strategies and psycho-social outcomes. The analyses are based on data from the NorLAG and LOGG studies (n = 15 109, age 18-84). Preliminary findings indicate that 75-80% of the population are located in-between younger and older family generations in mid-life, the great majority are at the same time in paid work, but comparatively few (8-9% aged 35-45) have both children and parents in need at the same time, and fewer still (3%) are then also caregivers to older parents. Although few in proportion of their age group, they add up to a considerable number of persons. Women are more likely to reduce work in response to family needs than men. Implications of family and work sandwiching for health and well-being are analysed. \u00a9 2010 Springer-Verlag.", "author" : [ { "dropping-particle" : "", "family" : "Daatland", "given" : "Svein Olav", "non-dropping-particle" : "", "parse-names" : false, "suffix" : "" }, { "dropping-particle" : "", "family" : "Veenstra", "given" : "Marijke", "non-dropping-particle" : "", "parse-names" : false, "suffix" : "" }, { "dropping-particle" : "", "family" : "Lima", "given" : "Ivar A.", "non-dropping-particle" : "", "parse-names" : false, "suffix" : "" } ], "container-title" : "European Journal of Ageing", "id" : "ITEM-1", "issue" : "4", "issued" : { "date-parts" : [ [ "2010" ] ] }, "page" : "271-281", "title" : "Norwegian sandwiches: On the prevalence and consequences of family and work role squeezes over the life course", "type" : "article-journal", "volume" : "7" }, "uris" : [ "http://www.mendeley.com/documents/?uuid=c1eb358a-9caf-403f-9959-f499ef63b4b6" ] }, { "id" : "ITEM-2", "itemData" : { "DOI" : "10.1080/13607863.2014.955458", "ISBN" : "1360-7863", "ISSN" : "1364-6915", "PMID" : "25220504", "abstract" : "OBJECTIVES: This article aims to contribute to the literature on life course influences upon quality of life by examining pathways linking social position in middle age to quality of life following retirement in French men and women.\\n\\nMETHOD: Data are from the GAZEL cohort study of employees at the French national gas and electricity company. A finely grained measure of occupational grade in 1989 was obtained from company records. Annual self-completion questionnaires provided information on quality of life in 2005, measured with the CASP-19 scale, and on participants' recent circumstances 2002-2005: mental health, physical functioning, wealth, social status, neighbourhood characteristics, social support and social participation. Path analysis using full information maximum likelihood estimation was performed on 11,293 retired participants.\\n\\nRESULTS: Higher occupational grade in 1989 was associated, in a graded relationship, with better quality of life 16 years later. This association was accounted for by individuals' more recent circumstances, particularly their social status, mental health, physical functioning and wealth.\\n\\nCONCLUSION: The graded relationship between occupational grade in mid-life and quality of life after labour market exit was largely accounted for by more recent socio-economic circumstances and state of health. The results support a pathway model for the development of social disparities in quality of life, in which earlier social position shapes individual circumstances in later life.", "author" : [ { "dropping-particle" : "", "family" : "Platts", "given" : "Loretta G", "non-dropping-particle" : "", "parse-names" : false, "suffix" : "" }, { "dropping-particle" : "", "family" : "Webb", "given" : "Elizabeth", "non-dropping-particle" : "", "parse-names" : false, "suffix" : "" }, { "dropping-particle" : "", "family" : "Zins", "given" : "Marie", "non-dropping-particle" : "", "parse-names" : false, "suffix" : "" }, { "dropping-particle" : "", "family" : "Goldberg", "given" : "Marcel", "non-dropping-particle" : "", "parse-names" : false, "suffix" : "" }, { "dropping-particle" : "", "family" : "Netuveli", "given" : "Gopalakrishnan", "non-dropping-particle" : "", "parse-names" : false, "suffix" : "" } ], "container-title" : "Aging &amp; mental health", "id" : "ITEM-2", "issue" : "7", "issued" : { "date-parts" : [ [ "2015" ] ] }, "note" : "Platts et al. 2015: Mid-life occupational grade and quality of life (CASP-19, nice introduction) following retirement: a 16-year follow-up of the French GAZEL study\nexperience of ageing shaped by social structure and personal history\na concensus is that the main predictors of quality of life in later life are: physical and mental health, participation in social activities, social relationships, neighbourhood quality and financial adequacy\naim: pathways linking social position in middle age to quality of life following retirement\nFrench cohort study of employees in electricity company conducted annually since 1989 - used 1989, and 2002-2005, path analysis\nhigher occupational grade in 1989 - better quality of life in 2005 - association accounted for recent circumstances (status, mental and physical health, wealth)\npath model for social disparities - earlier social position shapes individual circumstances in later life\nnote: not surprising findings, only one characteristic from 1989 controlled", "page" : "634-46", "publisher" : "Taylor &amp; Francis", "title" : "Mid-life occupational grade and quality of life following retirement: a 16-year follow-up of the French GAZEL study.", "type" : "article-journal", "volume" : "19" }, "uris" : [ "http://www.mendeley.com/documents/?uuid=93202b5b-209f-4936-b992-a2cf1ae65f35" ] }, { "id" : "ITEM-3", "itemData" : { "DOI" : "10.1111/joop.12003", "ISBN" : "09631798", "ISSN" : "09631798", "PMID" : "90563210", "abstract" : "This study examines the impact of engaging in seven types of activities on depression and quality of life in retirees and older workers over a period of 2 years, using a sample from the survey of health, ageing and retirement in Europe. Longitudinal data were available from 2,813 retirees and 1,372 older employees. Our results showed that volunteering, providing help and going to sports or social clubs at the baseline improved retirees\u2019 quality of lifeover a period of 2 years. No direct effects of engaging in activities were found for older employees. Moreover, higher depression at the baseline fostered the depression experience at the follow-up in those retirees and older employees who were caring for disabled adults at baseline. In retirees with higher depression at baseline, participation in religious organizations was associated with a greater decrease in depression at follow-up than in those who had lower levels of depression at baseline. For older employees, taking part in political or community organizations at baselinewas related to a greater decrease in depression at follow-up than in those employees who experienced higher initial depression.", "author" : [ { "dropping-particle" : "", "family" : "Poto\u010dnik", "given" : "Kristina", "non-dropping-particle" : "", "parse-names" : false, "suffix" : "" }, { "dropping-particle" : "", "family" : "Sonnentag", "given" : "Sabine", "non-dropping-particle" : "", "parse-names" : false, "suffix" : "" } ], "container-title" : "Journal of Occupational and Organizational Psychology", "id" : "ITEM-3", "issue" : "4", "issued" : { "date-parts" : [ [ "2013" ] ] }, "page" : "497-521", "title" : "A longitudinal study of well-being in older workers and retirees: The role of engaging in different types of activities", "type" : "article-journal", "volume" : "86" }, "uris" : [ "http://www.mendeley.com/documents/?uuid=5889bc5d-921b-416d-a3eb-706b9facb5cf" ] } ], "mendeley" : { "formattedCitation" : "(Daatland et al. 2010; Platts et al. 2015; Poto\u010dnik and Sonnentag 2013)", "plainTextFormattedCitation" : "(Daatland et al. 2010; Platts et al. 2015; Poto\u010dnik and Sonnentag 2013)", "previouslyFormattedCitation" : "(Daatland et al. 2010; Platts et al. 2015; Poto\u010dnik and Sonnentag 2013)" }, "properties" : { "noteIndex" : 0 }, "schema" : "https://github.com/citation-style-language/schema/raw/master/csl-citation.json" }</w:instrText>
      </w:r>
      <w:r w:rsidRPr="00C3671E">
        <w:rPr>
          <w:lang w:val="en-GB"/>
        </w:rPr>
        <w:fldChar w:fldCharType="separate"/>
      </w:r>
      <w:r w:rsidR="00A91559" w:rsidRPr="00C3671E">
        <w:rPr>
          <w:noProof/>
          <w:lang w:val="en-GB"/>
        </w:rPr>
        <w:t>(Daatland et al. 2010; Platts et al. 2015; Potočnik and Sonnentag 2013)</w:t>
      </w:r>
      <w:r w:rsidRPr="00C3671E">
        <w:rPr>
          <w:lang w:val="en-GB"/>
        </w:rPr>
        <w:fldChar w:fldCharType="end"/>
      </w:r>
      <w:r w:rsidRPr="00C3671E">
        <w:rPr>
          <w:lang w:val="en-GB"/>
        </w:rPr>
        <w:t xml:space="preserve"> the main possible cofounders of the studied relationship.</w:t>
      </w:r>
    </w:p>
    <w:p w14:paraId="404629A6" w14:textId="77777777" w:rsidR="001A7940" w:rsidRPr="00C3671E" w:rsidRDefault="001A7940" w:rsidP="00F4146A">
      <w:pPr>
        <w:pStyle w:val="Newparagraph"/>
        <w:jc w:val="both"/>
      </w:pPr>
      <w:r w:rsidRPr="00C3671E">
        <w:t>Probit models estimating propensity scores contain three continuous, two dichotomous, and two formerly categorical predictors transformed to dummy variables. The continuous predictors are age, years of education and net household assets (assets seem better for indicating material resources than income on the threshold of retirement). Gender (male/female) and partner in the household (no/yes) are the employed dichotomous variables. Finally, health (fair or poor/good/very good/excellent) and countries in a region listed in the data section are used as dummy variables.</w:t>
      </w:r>
    </w:p>
    <w:p w14:paraId="5EB8A12A" w14:textId="77777777" w:rsidR="001A7940" w:rsidRPr="00C3671E" w:rsidRDefault="001A7940" w:rsidP="007E6D8E">
      <w:pPr>
        <w:pStyle w:val="Nadpis2"/>
        <w:spacing w:line="480" w:lineRule="auto"/>
        <w:rPr>
          <w:sz w:val="26"/>
          <w:szCs w:val="26"/>
          <w:lang w:val="en-GB"/>
        </w:rPr>
      </w:pPr>
      <w:bookmarkStart w:id="34" w:name="_Toc512687745"/>
      <w:r w:rsidRPr="00C3671E">
        <w:rPr>
          <w:sz w:val="26"/>
          <w:szCs w:val="26"/>
          <w:lang w:val="en-GB"/>
        </w:rPr>
        <w:lastRenderedPageBreak/>
        <w:t>Results</w:t>
      </w:r>
      <w:bookmarkEnd w:id="34"/>
    </w:p>
    <w:p w14:paraId="6C0BBC9E" w14:textId="77777777" w:rsidR="001A7940" w:rsidRPr="00C3671E" w:rsidRDefault="001A7940" w:rsidP="007E6D8E">
      <w:pPr>
        <w:pStyle w:val="Nadpis3"/>
        <w:spacing w:line="480" w:lineRule="auto"/>
        <w:rPr>
          <w:rFonts w:ascii="Times New Roman" w:hAnsi="Times New Roman" w:cs="Times New Roman"/>
          <w:b w:val="0"/>
          <w:i/>
          <w:lang w:val="en-GB" w:eastAsia="zh-CN"/>
        </w:rPr>
      </w:pPr>
      <w:bookmarkStart w:id="35" w:name="_Toc512687746"/>
      <w:r w:rsidRPr="00C3671E">
        <w:rPr>
          <w:rFonts w:ascii="Times New Roman" w:hAnsi="Times New Roman" w:cs="Times New Roman"/>
          <w:b w:val="0"/>
          <w:i/>
          <w:lang w:val="en-GB" w:eastAsia="zh-CN"/>
        </w:rPr>
        <w:t>Description of the outcome variable</w:t>
      </w:r>
      <w:bookmarkEnd w:id="35"/>
    </w:p>
    <w:p w14:paraId="7B93689F" w14:textId="7AFBD3E0" w:rsidR="00CF34BC" w:rsidRPr="00C3671E" w:rsidRDefault="001A7940" w:rsidP="00F4146A">
      <w:pPr>
        <w:suppressAutoHyphens/>
        <w:spacing w:line="480" w:lineRule="auto"/>
        <w:jc w:val="both"/>
        <w:rPr>
          <w:lang w:val="en-GB"/>
        </w:rPr>
      </w:pPr>
      <w:r w:rsidRPr="00C3671E">
        <w:rPr>
          <w:lang w:val="en-GB"/>
        </w:rPr>
        <w:t xml:space="preserve">The scale CASP-12 indicating the subjective QoL takes all possible value from 12 to 48 in the sample. It has mean value 38.2, median 39, and modus 42, which indicates that majority of respondents reached quite high value of </w:t>
      </w:r>
      <w:r w:rsidRPr="00F4146A">
        <w:rPr>
          <w:rFonts w:eastAsia="Calibri"/>
          <w:lang w:val="en-GB" w:eastAsia="en-US"/>
        </w:rPr>
        <w:t>QoL</w:t>
      </w:r>
      <w:r w:rsidRPr="00C3671E">
        <w:rPr>
          <w:lang w:val="en-GB"/>
        </w:rPr>
        <w:t xml:space="preserve">. Figure </w:t>
      </w:r>
      <w:r w:rsidR="00714E3B" w:rsidRPr="00C3671E">
        <w:rPr>
          <w:lang w:val="en-GB"/>
        </w:rPr>
        <w:t>7</w:t>
      </w:r>
      <w:r w:rsidRPr="00C3671E">
        <w:rPr>
          <w:lang w:val="en-GB"/>
        </w:rPr>
        <w:t xml:space="preserve"> displays differences of QoL across countries and regions in the sample. Countries from Northern Europe and Western Europe have higher means, while Post-communist countries have lower and Southern Europe the lowest. The differences have a clear pattern, although their magnitude is nor large regarding scale length and standard deviation 5.8. This overview shows that the four regions are quite consistent in the outcome and that the differences are not large, which are good assumptions for further analysis.</w:t>
      </w:r>
    </w:p>
    <w:p w14:paraId="1DFCE816" w14:textId="1738A5F7" w:rsidR="00CF34BC" w:rsidRPr="00C3671E" w:rsidRDefault="00CF34BC" w:rsidP="00CF34BC">
      <w:pPr>
        <w:spacing w:before="100" w:beforeAutospacing="1"/>
        <w:jc w:val="both"/>
        <w:rPr>
          <w:b/>
          <w:lang w:val="en-GB"/>
        </w:rPr>
      </w:pPr>
      <w:bookmarkStart w:id="36" w:name="_Toc512687439"/>
      <w:r w:rsidRPr="00C3671E">
        <w:rPr>
          <w:b/>
          <w:lang w:val="en-GB"/>
        </w:rPr>
        <w:t xml:space="preserve">Figure </w:t>
      </w:r>
      <w:r w:rsidRPr="00C3671E">
        <w:rPr>
          <w:b/>
          <w:lang w:val="en-GB"/>
        </w:rPr>
        <w:fldChar w:fldCharType="begin"/>
      </w:r>
      <w:r w:rsidRPr="00C3671E">
        <w:rPr>
          <w:b/>
          <w:lang w:val="en-GB"/>
        </w:rPr>
        <w:instrText xml:space="preserve"> SEQ Figure \* ARABIC </w:instrText>
      </w:r>
      <w:r w:rsidRPr="00C3671E">
        <w:rPr>
          <w:b/>
          <w:lang w:val="en-GB"/>
        </w:rPr>
        <w:fldChar w:fldCharType="separate"/>
      </w:r>
      <w:r w:rsidR="00A95FE5" w:rsidRPr="00C3671E">
        <w:rPr>
          <w:b/>
          <w:noProof/>
          <w:lang w:val="en-GB"/>
        </w:rPr>
        <w:t>7</w:t>
      </w:r>
      <w:r w:rsidRPr="00C3671E">
        <w:rPr>
          <w:b/>
          <w:lang w:val="en-GB"/>
        </w:rPr>
        <w:fldChar w:fldCharType="end"/>
      </w:r>
      <w:r w:rsidRPr="00C3671E">
        <w:rPr>
          <w:b/>
          <w:lang w:val="en-GB"/>
        </w:rPr>
        <w:t>: Differences among countries and regions in subjective QoL measured by CASP-12. Nordic countries are coloured in blue, Western Europe in green, Southern Europe in yellow, and Post-communist countries in red.</w:t>
      </w:r>
      <w:bookmarkEnd w:id="36"/>
    </w:p>
    <w:p w14:paraId="0A60503D" w14:textId="77777777" w:rsidR="00CF34BC" w:rsidRPr="00C3671E" w:rsidRDefault="00CF34BC" w:rsidP="00CF34BC">
      <w:pPr>
        <w:rPr>
          <w:noProof/>
          <w:lang w:val="en-GB"/>
        </w:rPr>
      </w:pPr>
      <w:r w:rsidRPr="00C3671E">
        <w:rPr>
          <w:noProof/>
          <w:lang w:val="en-GB"/>
        </w:rPr>
        <w:drawing>
          <wp:inline distT="0" distB="0" distL="0" distR="0" wp14:anchorId="20E6A74D" wp14:editId="4BAD08AB">
            <wp:extent cx="5245100" cy="2195830"/>
            <wp:effectExtent l="0" t="0" r="12700" b="13970"/>
            <wp:docPr id="23" name="Graf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F2E923" w14:textId="77777777" w:rsidR="00CF34BC" w:rsidRPr="00C3671E" w:rsidRDefault="00CF34BC" w:rsidP="00CF34BC">
      <w:pPr>
        <w:rPr>
          <w:sz w:val="20"/>
          <w:lang w:val="en-GB"/>
        </w:rPr>
      </w:pPr>
      <w:r w:rsidRPr="00C3671E">
        <w:rPr>
          <w:i/>
          <w:sz w:val="20"/>
          <w:lang w:val="en-GB"/>
        </w:rPr>
        <w:t xml:space="preserve">Source: </w:t>
      </w:r>
      <w:r w:rsidRPr="00C3671E">
        <w:rPr>
          <w:sz w:val="20"/>
          <w:lang w:val="en-GB"/>
        </w:rPr>
        <w:t>These calculations use data from SHARE, wave 6.</w:t>
      </w:r>
    </w:p>
    <w:p w14:paraId="561584BB" w14:textId="77777777" w:rsidR="001A7940" w:rsidRPr="00C3671E" w:rsidRDefault="001A7940" w:rsidP="005E32BB">
      <w:pPr>
        <w:suppressAutoHyphens/>
        <w:spacing w:line="480" w:lineRule="auto"/>
        <w:jc w:val="both"/>
        <w:rPr>
          <w:lang w:val="en-GB"/>
        </w:rPr>
      </w:pPr>
    </w:p>
    <w:p w14:paraId="1291E708" w14:textId="77777777" w:rsidR="001A7940" w:rsidRPr="00C3671E" w:rsidRDefault="001A7940" w:rsidP="007E6D8E">
      <w:pPr>
        <w:pStyle w:val="Nadpis3"/>
        <w:spacing w:line="480" w:lineRule="auto"/>
        <w:rPr>
          <w:rFonts w:ascii="Times New Roman" w:hAnsi="Times New Roman" w:cs="Times New Roman"/>
          <w:b w:val="0"/>
          <w:i/>
          <w:lang w:val="en-GB" w:eastAsia="zh-CN"/>
        </w:rPr>
      </w:pPr>
      <w:bookmarkStart w:id="37" w:name="_Toc512687747"/>
      <w:r w:rsidRPr="00C3671E">
        <w:rPr>
          <w:rFonts w:ascii="Times New Roman" w:hAnsi="Times New Roman" w:cs="Times New Roman"/>
          <w:b w:val="0"/>
          <w:i/>
          <w:lang w:val="en-GB" w:eastAsia="zh-CN"/>
        </w:rPr>
        <w:t>The process of matching</w:t>
      </w:r>
      <w:bookmarkEnd w:id="37"/>
    </w:p>
    <w:p w14:paraId="27174F3D" w14:textId="110CBC43" w:rsidR="001A7940" w:rsidRPr="00C3671E" w:rsidRDefault="001A7940" w:rsidP="00F4146A">
      <w:pPr>
        <w:suppressAutoHyphens/>
        <w:spacing w:line="480" w:lineRule="auto"/>
        <w:jc w:val="both"/>
        <w:rPr>
          <w:lang w:val="en-GB"/>
        </w:rPr>
      </w:pPr>
      <w:r w:rsidRPr="00C3671E">
        <w:rPr>
          <w:lang w:val="en-GB"/>
        </w:rPr>
        <w:t xml:space="preserve">The matching procedure has a meaning only if the treated and untreated groups differ in key cofounding characteristics. Table 1 shows that they differ considerably and in expected </w:t>
      </w:r>
      <w:r w:rsidRPr="00C3671E">
        <w:rPr>
          <w:lang w:val="en-GB"/>
        </w:rPr>
        <w:lastRenderedPageBreak/>
        <w:t>directions across all four regions. Retired people are generally older, less educated, and possess fewer material resources than their working counterparts. Further, retirement is more frequent among women, people living without partners, and people with worse health status. Generally, the differences between retirees and workers have the same direction, but different magnitude across regions. The main difference seems to appear between Northern/Western Europe and Southern/Post-communist countries. The latter group of countries shows higher differences between retirees and workers in gender and education, which imply higher dependence of retirement decisions on these characteristics.</w:t>
      </w:r>
    </w:p>
    <w:p w14:paraId="45147372" w14:textId="008029E7" w:rsidR="005E32BB" w:rsidRPr="00C3671E" w:rsidRDefault="005E32BB" w:rsidP="005E32BB">
      <w:pPr>
        <w:spacing w:before="100" w:beforeAutospacing="1"/>
        <w:jc w:val="both"/>
        <w:rPr>
          <w:b/>
          <w:lang w:val="en-GB"/>
        </w:rPr>
      </w:pPr>
      <w:bookmarkStart w:id="38" w:name="_Toc512687476"/>
      <w:r w:rsidRPr="00C3671E">
        <w:rPr>
          <w:b/>
          <w:lang w:val="en-GB"/>
        </w:rPr>
        <w:t xml:space="preserve">Table </w:t>
      </w:r>
      <w:r w:rsidRPr="00C3671E">
        <w:rPr>
          <w:b/>
          <w:lang w:val="en-GB"/>
        </w:rPr>
        <w:fldChar w:fldCharType="begin"/>
      </w:r>
      <w:r w:rsidRPr="00C3671E">
        <w:rPr>
          <w:b/>
          <w:lang w:val="en-GB"/>
        </w:rPr>
        <w:instrText xml:space="preserve"> SEQ Table \* ARABIC </w:instrText>
      </w:r>
      <w:r w:rsidRPr="00C3671E">
        <w:rPr>
          <w:b/>
          <w:lang w:val="en-GB"/>
        </w:rPr>
        <w:fldChar w:fldCharType="separate"/>
      </w:r>
      <w:r w:rsidR="00F96318" w:rsidRPr="00C3671E">
        <w:rPr>
          <w:b/>
          <w:noProof/>
          <w:lang w:val="en-GB"/>
        </w:rPr>
        <w:t>1</w:t>
      </w:r>
      <w:r w:rsidRPr="00C3671E">
        <w:rPr>
          <w:b/>
          <w:lang w:val="en-GB"/>
        </w:rPr>
        <w:fldChar w:fldCharType="end"/>
      </w:r>
      <w:r w:rsidRPr="00C3671E">
        <w:rPr>
          <w:b/>
          <w:lang w:val="en-GB"/>
        </w:rPr>
        <w:t>: Descriptive statistics of pre-matched variables – means (for the first three variables) and column percentages</w:t>
      </w:r>
      <w:bookmarkEnd w:id="38"/>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2502"/>
        <w:gridCol w:w="1367"/>
        <w:gridCol w:w="1367"/>
        <w:gridCol w:w="1367"/>
      </w:tblGrid>
      <w:tr w:rsidR="005E32BB" w:rsidRPr="00C3671E" w14:paraId="34537992" w14:textId="77777777" w:rsidTr="00AA6335">
        <w:tc>
          <w:tcPr>
            <w:tcW w:w="1272" w:type="dxa"/>
            <w:shd w:val="clear" w:color="auto" w:fill="auto"/>
          </w:tcPr>
          <w:p w14:paraId="3C9DBEDF" w14:textId="77777777" w:rsidR="005E32BB" w:rsidRPr="00C3671E" w:rsidRDefault="005E32BB" w:rsidP="00AA6335">
            <w:pPr>
              <w:rPr>
                <w:sz w:val="20"/>
                <w:szCs w:val="20"/>
                <w:lang w:val="en-GB"/>
              </w:rPr>
            </w:pPr>
          </w:p>
        </w:tc>
        <w:tc>
          <w:tcPr>
            <w:tcW w:w="2502" w:type="dxa"/>
            <w:shd w:val="clear" w:color="auto" w:fill="auto"/>
          </w:tcPr>
          <w:p w14:paraId="0AB03E6B" w14:textId="77777777" w:rsidR="005E32BB" w:rsidRPr="00C3671E" w:rsidRDefault="005E32BB" w:rsidP="00AA6335">
            <w:pPr>
              <w:rPr>
                <w:sz w:val="20"/>
                <w:szCs w:val="20"/>
                <w:lang w:val="en-GB"/>
              </w:rPr>
            </w:pPr>
          </w:p>
        </w:tc>
        <w:tc>
          <w:tcPr>
            <w:tcW w:w="1367" w:type="dxa"/>
            <w:shd w:val="clear" w:color="auto" w:fill="auto"/>
          </w:tcPr>
          <w:p w14:paraId="26573456" w14:textId="77777777" w:rsidR="005E32BB" w:rsidRPr="00C3671E" w:rsidRDefault="005E32BB" w:rsidP="00AA6335">
            <w:pPr>
              <w:rPr>
                <w:sz w:val="20"/>
                <w:szCs w:val="20"/>
                <w:lang w:val="en-GB"/>
              </w:rPr>
            </w:pPr>
            <w:r w:rsidRPr="00C3671E">
              <w:rPr>
                <w:sz w:val="20"/>
                <w:szCs w:val="20"/>
                <w:lang w:val="en-GB"/>
              </w:rPr>
              <w:t>Total</w:t>
            </w:r>
          </w:p>
        </w:tc>
        <w:tc>
          <w:tcPr>
            <w:tcW w:w="1367" w:type="dxa"/>
          </w:tcPr>
          <w:p w14:paraId="7A7F9A2F" w14:textId="77777777" w:rsidR="005E32BB" w:rsidRPr="00C3671E" w:rsidRDefault="005E32BB" w:rsidP="00AA6335">
            <w:pPr>
              <w:rPr>
                <w:sz w:val="20"/>
                <w:szCs w:val="20"/>
                <w:lang w:val="en-GB"/>
              </w:rPr>
            </w:pPr>
            <w:r w:rsidRPr="00C3671E">
              <w:rPr>
                <w:sz w:val="20"/>
                <w:szCs w:val="20"/>
                <w:lang w:val="en-GB"/>
              </w:rPr>
              <w:t>Retired</w:t>
            </w:r>
          </w:p>
        </w:tc>
        <w:tc>
          <w:tcPr>
            <w:tcW w:w="1367" w:type="dxa"/>
            <w:shd w:val="clear" w:color="auto" w:fill="auto"/>
          </w:tcPr>
          <w:p w14:paraId="0C4B0034" w14:textId="77777777" w:rsidR="005E32BB" w:rsidRPr="00C3671E" w:rsidRDefault="005E32BB" w:rsidP="00AA6335">
            <w:pPr>
              <w:rPr>
                <w:sz w:val="20"/>
                <w:szCs w:val="20"/>
                <w:lang w:val="en-GB"/>
              </w:rPr>
            </w:pPr>
            <w:r w:rsidRPr="00C3671E">
              <w:rPr>
                <w:sz w:val="20"/>
                <w:szCs w:val="20"/>
                <w:lang w:val="en-GB"/>
              </w:rPr>
              <w:t>Working</w:t>
            </w:r>
          </w:p>
        </w:tc>
      </w:tr>
      <w:tr w:rsidR="005E32BB" w:rsidRPr="00C3671E" w14:paraId="0786A3B2" w14:textId="77777777" w:rsidTr="00AA6335">
        <w:tc>
          <w:tcPr>
            <w:tcW w:w="1272" w:type="dxa"/>
            <w:vMerge w:val="restart"/>
            <w:shd w:val="clear" w:color="auto" w:fill="auto"/>
          </w:tcPr>
          <w:p w14:paraId="016BB61A" w14:textId="77777777" w:rsidR="005E32BB" w:rsidRPr="00C3671E" w:rsidRDefault="005E32BB" w:rsidP="00AA6335">
            <w:pPr>
              <w:rPr>
                <w:sz w:val="20"/>
                <w:szCs w:val="20"/>
                <w:lang w:val="en-GB"/>
              </w:rPr>
            </w:pPr>
            <w:r w:rsidRPr="00C3671E">
              <w:rPr>
                <w:sz w:val="20"/>
                <w:szCs w:val="20"/>
                <w:lang w:val="en-GB"/>
              </w:rPr>
              <w:t>Nordic countries</w:t>
            </w:r>
          </w:p>
        </w:tc>
        <w:tc>
          <w:tcPr>
            <w:tcW w:w="2502" w:type="dxa"/>
            <w:shd w:val="clear" w:color="auto" w:fill="auto"/>
          </w:tcPr>
          <w:p w14:paraId="1C35B1AE" w14:textId="77777777" w:rsidR="005E32BB" w:rsidRPr="00C3671E" w:rsidRDefault="005E32BB" w:rsidP="00AA6335">
            <w:pPr>
              <w:rPr>
                <w:sz w:val="20"/>
                <w:szCs w:val="20"/>
                <w:lang w:val="en-GB"/>
              </w:rPr>
            </w:pPr>
            <w:r w:rsidRPr="00C3671E">
              <w:rPr>
                <w:sz w:val="20"/>
                <w:szCs w:val="20"/>
                <w:lang w:val="en-GB"/>
              </w:rPr>
              <w:t>Age</w:t>
            </w:r>
          </w:p>
        </w:tc>
        <w:tc>
          <w:tcPr>
            <w:tcW w:w="1367" w:type="dxa"/>
            <w:shd w:val="clear" w:color="auto" w:fill="auto"/>
          </w:tcPr>
          <w:p w14:paraId="52EE1676" w14:textId="77777777" w:rsidR="005E32BB" w:rsidRPr="00C3671E" w:rsidRDefault="005E32BB" w:rsidP="00AA6335">
            <w:pPr>
              <w:rPr>
                <w:sz w:val="20"/>
                <w:szCs w:val="20"/>
                <w:lang w:val="en-GB"/>
              </w:rPr>
            </w:pPr>
            <w:r w:rsidRPr="00C3671E">
              <w:rPr>
                <w:sz w:val="20"/>
                <w:szCs w:val="20"/>
                <w:lang w:val="en-GB"/>
              </w:rPr>
              <w:t>64.6</w:t>
            </w:r>
          </w:p>
        </w:tc>
        <w:tc>
          <w:tcPr>
            <w:tcW w:w="1367" w:type="dxa"/>
          </w:tcPr>
          <w:p w14:paraId="12E07F54" w14:textId="77777777" w:rsidR="005E32BB" w:rsidRPr="00C3671E" w:rsidRDefault="005E32BB" w:rsidP="00AA6335">
            <w:pPr>
              <w:rPr>
                <w:sz w:val="20"/>
                <w:szCs w:val="20"/>
                <w:lang w:val="en-GB"/>
              </w:rPr>
            </w:pPr>
            <w:r w:rsidRPr="00C3671E">
              <w:rPr>
                <w:sz w:val="20"/>
                <w:szCs w:val="20"/>
                <w:lang w:val="en-GB"/>
              </w:rPr>
              <w:t>66.0</w:t>
            </w:r>
          </w:p>
        </w:tc>
        <w:tc>
          <w:tcPr>
            <w:tcW w:w="1367" w:type="dxa"/>
            <w:shd w:val="clear" w:color="auto" w:fill="auto"/>
          </w:tcPr>
          <w:p w14:paraId="49817C34" w14:textId="77777777" w:rsidR="005E32BB" w:rsidRPr="00C3671E" w:rsidRDefault="005E32BB" w:rsidP="00AA6335">
            <w:pPr>
              <w:rPr>
                <w:sz w:val="20"/>
                <w:szCs w:val="20"/>
                <w:lang w:val="en-GB"/>
              </w:rPr>
            </w:pPr>
            <w:r w:rsidRPr="00C3671E">
              <w:rPr>
                <w:sz w:val="20"/>
                <w:szCs w:val="20"/>
                <w:lang w:val="en-GB"/>
              </w:rPr>
              <w:t>63.2</w:t>
            </w:r>
          </w:p>
        </w:tc>
      </w:tr>
      <w:tr w:rsidR="005E32BB" w:rsidRPr="00C3671E" w14:paraId="049E9FA3" w14:textId="77777777" w:rsidTr="00AA6335">
        <w:tc>
          <w:tcPr>
            <w:tcW w:w="1272" w:type="dxa"/>
            <w:vMerge/>
            <w:shd w:val="clear" w:color="auto" w:fill="auto"/>
          </w:tcPr>
          <w:p w14:paraId="53429E1B" w14:textId="77777777" w:rsidR="005E32BB" w:rsidRPr="00C3671E" w:rsidRDefault="005E32BB" w:rsidP="00AA6335">
            <w:pPr>
              <w:rPr>
                <w:sz w:val="20"/>
                <w:szCs w:val="20"/>
                <w:lang w:val="en-GB"/>
              </w:rPr>
            </w:pPr>
          </w:p>
        </w:tc>
        <w:tc>
          <w:tcPr>
            <w:tcW w:w="2502" w:type="dxa"/>
            <w:shd w:val="clear" w:color="auto" w:fill="auto"/>
          </w:tcPr>
          <w:p w14:paraId="3DB865B9" w14:textId="77777777" w:rsidR="005E32BB" w:rsidRPr="00C3671E" w:rsidRDefault="005E32BB" w:rsidP="00AA6335">
            <w:pPr>
              <w:rPr>
                <w:sz w:val="20"/>
                <w:szCs w:val="20"/>
                <w:lang w:val="en-GB"/>
              </w:rPr>
            </w:pPr>
            <w:r w:rsidRPr="00C3671E">
              <w:rPr>
                <w:sz w:val="20"/>
                <w:szCs w:val="20"/>
                <w:lang w:val="en-GB"/>
              </w:rPr>
              <w:t>Years of education</w:t>
            </w:r>
          </w:p>
        </w:tc>
        <w:tc>
          <w:tcPr>
            <w:tcW w:w="1367" w:type="dxa"/>
            <w:shd w:val="clear" w:color="auto" w:fill="auto"/>
          </w:tcPr>
          <w:p w14:paraId="662343F8" w14:textId="77777777" w:rsidR="005E32BB" w:rsidRPr="00C3671E" w:rsidRDefault="005E32BB" w:rsidP="00AA6335">
            <w:pPr>
              <w:rPr>
                <w:sz w:val="20"/>
                <w:szCs w:val="20"/>
                <w:lang w:val="en-GB"/>
              </w:rPr>
            </w:pPr>
            <w:r w:rsidRPr="00C3671E">
              <w:rPr>
                <w:sz w:val="20"/>
                <w:szCs w:val="20"/>
                <w:lang w:val="en-GB"/>
              </w:rPr>
              <w:t>13.3</w:t>
            </w:r>
          </w:p>
        </w:tc>
        <w:tc>
          <w:tcPr>
            <w:tcW w:w="1367" w:type="dxa"/>
          </w:tcPr>
          <w:p w14:paraId="71F37228" w14:textId="77777777" w:rsidR="005E32BB" w:rsidRPr="00C3671E" w:rsidRDefault="005E32BB" w:rsidP="00AA6335">
            <w:pPr>
              <w:rPr>
                <w:sz w:val="20"/>
                <w:szCs w:val="20"/>
                <w:lang w:val="en-GB"/>
              </w:rPr>
            </w:pPr>
            <w:r w:rsidRPr="00C3671E">
              <w:rPr>
                <w:sz w:val="20"/>
                <w:szCs w:val="20"/>
                <w:lang w:val="en-GB"/>
              </w:rPr>
              <w:t>13.1</w:t>
            </w:r>
          </w:p>
        </w:tc>
        <w:tc>
          <w:tcPr>
            <w:tcW w:w="1367" w:type="dxa"/>
            <w:shd w:val="clear" w:color="auto" w:fill="auto"/>
          </w:tcPr>
          <w:p w14:paraId="236F6C68" w14:textId="77777777" w:rsidR="005E32BB" w:rsidRPr="00C3671E" w:rsidRDefault="005E32BB" w:rsidP="00AA6335">
            <w:pPr>
              <w:rPr>
                <w:sz w:val="20"/>
                <w:szCs w:val="20"/>
                <w:lang w:val="en-GB"/>
              </w:rPr>
            </w:pPr>
            <w:r w:rsidRPr="00C3671E">
              <w:rPr>
                <w:sz w:val="20"/>
                <w:szCs w:val="20"/>
                <w:lang w:val="en-GB"/>
              </w:rPr>
              <w:t>13.6</w:t>
            </w:r>
          </w:p>
        </w:tc>
      </w:tr>
      <w:tr w:rsidR="005E32BB" w:rsidRPr="00C3671E" w14:paraId="7B65E20E" w14:textId="77777777" w:rsidTr="00AA6335">
        <w:tc>
          <w:tcPr>
            <w:tcW w:w="1272" w:type="dxa"/>
            <w:vMerge/>
            <w:shd w:val="clear" w:color="auto" w:fill="auto"/>
          </w:tcPr>
          <w:p w14:paraId="545ED920" w14:textId="77777777" w:rsidR="005E32BB" w:rsidRPr="00C3671E" w:rsidRDefault="005E32BB" w:rsidP="00AA6335">
            <w:pPr>
              <w:rPr>
                <w:sz w:val="20"/>
                <w:szCs w:val="20"/>
                <w:lang w:val="en-GB"/>
              </w:rPr>
            </w:pPr>
          </w:p>
        </w:tc>
        <w:tc>
          <w:tcPr>
            <w:tcW w:w="2502" w:type="dxa"/>
            <w:shd w:val="clear" w:color="auto" w:fill="auto"/>
          </w:tcPr>
          <w:p w14:paraId="55BC8135" w14:textId="77777777" w:rsidR="005E32BB" w:rsidRPr="00C3671E" w:rsidRDefault="005E32BB" w:rsidP="00AA6335">
            <w:pPr>
              <w:rPr>
                <w:sz w:val="20"/>
                <w:szCs w:val="20"/>
                <w:lang w:val="en-GB"/>
              </w:rPr>
            </w:pPr>
            <w:r w:rsidRPr="00C3671E">
              <w:rPr>
                <w:sz w:val="20"/>
                <w:szCs w:val="20"/>
                <w:lang w:val="en-GB"/>
              </w:rPr>
              <w:t>Financial assets (thsds)</w:t>
            </w:r>
          </w:p>
        </w:tc>
        <w:tc>
          <w:tcPr>
            <w:tcW w:w="1367" w:type="dxa"/>
            <w:shd w:val="clear" w:color="auto" w:fill="auto"/>
          </w:tcPr>
          <w:p w14:paraId="3BB5AD43" w14:textId="77777777" w:rsidR="005E32BB" w:rsidRPr="00C3671E" w:rsidRDefault="005E32BB" w:rsidP="00AA6335">
            <w:pPr>
              <w:rPr>
                <w:sz w:val="20"/>
                <w:szCs w:val="20"/>
                <w:lang w:val="en-GB"/>
              </w:rPr>
            </w:pPr>
            <w:r w:rsidRPr="00C3671E">
              <w:rPr>
                <w:sz w:val="20"/>
                <w:szCs w:val="20"/>
                <w:lang w:val="en-GB"/>
              </w:rPr>
              <w:t>150.5</w:t>
            </w:r>
          </w:p>
        </w:tc>
        <w:tc>
          <w:tcPr>
            <w:tcW w:w="1367" w:type="dxa"/>
          </w:tcPr>
          <w:p w14:paraId="43C4C978" w14:textId="77777777" w:rsidR="005E32BB" w:rsidRPr="00C3671E" w:rsidRDefault="005E32BB" w:rsidP="00AA6335">
            <w:pPr>
              <w:rPr>
                <w:sz w:val="20"/>
                <w:szCs w:val="20"/>
                <w:lang w:val="en-GB"/>
              </w:rPr>
            </w:pPr>
            <w:r w:rsidRPr="00C3671E">
              <w:rPr>
                <w:sz w:val="20"/>
                <w:szCs w:val="20"/>
                <w:lang w:val="en-GB"/>
              </w:rPr>
              <w:t>143.4</w:t>
            </w:r>
          </w:p>
        </w:tc>
        <w:tc>
          <w:tcPr>
            <w:tcW w:w="1367" w:type="dxa"/>
            <w:shd w:val="clear" w:color="auto" w:fill="auto"/>
          </w:tcPr>
          <w:p w14:paraId="6F71CA2C" w14:textId="77777777" w:rsidR="005E32BB" w:rsidRPr="00C3671E" w:rsidRDefault="005E32BB" w:rsidP="00AA6335">
            <w:pPr>
              <w:rPr>
                <w:sz w:val="20"/>
                <w:szCs w:val="20"/>
                <w:lang w:val="en-GB"/>
              </w:rPr>
            </w:pPr>
            <w:r w:rsidRPr="00C3671E">
              <w:rPr>
                <w:sz w:val="20"/>
                <w:szCs w:val="20"/>
                <w:lang w:val="en-GB"/>
              </w:rPr>
              <w:t>156.8</w:t>
            </w:r>
          </w:p>
        </w:tc>
      </w:tr>
      <w:tr w:rsidR="005E32BB" w:rsidRPr="00C3671E" w14:paraId="4DECDF79" w14:textId="77777777" w:rsidTr="00AA6335">
        <w:tc>
          <w:tcPr>
            <w:tcW w:w="1272" w:type="dxa"/>
            <w:vMerge/>
            <w:shd w:val="clear" w:color="auto" w:fill="auto"/>
          </w:tcPr>
          <w:p w14:paraId="0E9E3ED5" w14:textId="77777777" w:rsidR="005E32BB" w:rsidRPr="00C3671E" w:rsidRDefault="005E32BB" w:rsidP="00AA6335">
            <w:pPr>
              <w:rPr>
                <w:sz w:val="20"/>
                <w:szCs w:val="20"/>
                <w:lang w:val="en-GB"/>
              </w:rPr>
            </w:pPr>
          </w:p>
        </w:tc>
        <w:tc>
          <w:tcPr>
            <w:tcW w:w="2502" w:type="dxa"/>
            <w:shd w:val="clear" w:color="auto" w:fill="auto"/>
          </w:tcPr>
          <w:p w14:paraId="67DD1BB6" w14:textId="77777777" w:rsidR="005E32BB" w:rsidRPr="00C3671E" w:rsidRDefault="005E32BB" w:rsidP="00AA6335">
            <w:pPr>
              <w:rPr>
                <w:sz w:val="20"/>
                <w:szCs w:val="20"/>
                <w:lang w:val="en-GB"/>
              </w:rPr>
            </w:pPr>
            <w:r w:rsidRPr="00C3671E">
              <w:rPr>
                <w:sz w:val="20"/>
                <w:szCs w:val="20"/>
                <w:lang w:val="en-GB"/>
              </w:rPr>
              <w:t>Gender – female</w:t>
            </w:r>
          </w:p>
        </w:tc>
        <w:tc>
          <w:tcPr>
            <w:tcW w:w="1367" w:type="dxa"/>
            <w:shd w:val="clear" w:color="auto" w:fill="auto"/>
          </w:tcPr>
          <w:p w14:paraId="287D0703" w14:textId="77777777" w:rsidR="005E32BB" w:rsidRPr="00C3671E" w:rsidRDefault="005E32BB" w:rsidP="00AA6335">
            <w:pPr>
              <w:rPr>
                <w:sz w:val="20"/>
                <w:szCs w:val="20"/>
                <w:lang w:val="en-GB"/>
              </w:rPr>
            </w:pPr>
            <w:r w:rsidRPr="00C3671E">
              <w:rPr>
                <w:sz w:val="20"/>
                <w:szCs w:val="20"/>
                <w:lang w:val="en-GB"/>
              </w:rPr>
              <w:t>52.0</w:t>
            </w:r>
          </w:p>
        </w:tc>
        <w:tc>
          <w:tcPr>
            <w:tcW w:w="1367" w:type="dxa"/>
          </w:tcPr>
          <w:p w14:paraId="5F82B529" w14:textId="77777777" w:rsidR="005E32BB" w:rsidRPr="00C3671E" w:rsidRDefault="005E32BB" w:rsidP="00AA6335">
            <w:pPr>
              <w:rPr>
                <w:sz w:val="20"/>
                <w:szCs w:val="20"/>
                <w:lang w:val="en-GB"/>
              </w:rPr>
            </w:pPr>
            <w:r w:rsidRPr="00C3671E">
              <w:rPr>
                <w:sz w:val="20"/>
                <w:szCs w:val="20"/>
                <w:lang w:val="en-GB"/>
              </w:rPr>
              <w:t>55.8</w:t>
            </w:r>
          </w:p>
        </w:tc>
        <w:tc>
          <w:tcPr>
            <w:tcW w:w="1367" w:type="dxa"/>
            <w:shd w:val="clear" w:color="auto" w:fill="auto"/>
          </w:tcPr>
          <w:p w14:paraId="346CD324" w14:textId="77777777" w:rsidR="005E32BB" w:rsidRPr="00C3671E" w:rsidRDefault="005E32BB" w:rsidP="00AA6335">
            <w:pPr>
              <w:rPr>
                <w:sz w:val="20"/>
                <w:szCs w:val="20"/>
                <w:lang w:val="en-GB"/>
              </w:rPr>
            </w:pPr>
            <w:r w:rsidRPr="00C3671E">
              <w:rPr>
                <w:sz w:val="20"/>
                <w:szCs w:val="20"/>
                <w:lang w:val="en-GB"/>
              </w:rPr>
              <w:t>48.2</w:t>
            </w:r>
          </w:p>
        </w:tc>
      </w:tr>
      <w:tr w:rsidR="005E32BB" w:rsidRPr="00C3671E" w14:paraId="230AC615" w14:textId="77777777" w:rsidTr="00AA6335">
        <w:tc>
          <w:tcPr>
            <w:tcW w:w="1272" w:type="dxa"/>
            <w:vMerge/>
            <w:shd w:val="clear" w:color="auto" w:fill="auto"/>
          </w:tcPr>
          <w:p w14:paraId="1346052B" w14:textId="77777777" w:rsidR="005E32BB" w:rsidRPr="00C3671E" w:rsidRDefault="005E32BB" w:rsidP="00AA6335">
            <w:pPr>
              <w:rPr>
                <w:sz w:val="20"/>
                <w:szCs w:val="20"/>
                <w:lang w:val="en-GB"/>
              </w:rPr>
            </w:pPr>
          </w:p>
        </w:tc>
        <w:tc>
          <w:tcPr>
            <w:tcW w:w="2502" w:type="dxa"/>
            <w:shd w:val="clear" w:color="auto" w:fill="auto"/>
          </w:tcPr>
          <w:p w14:paraId="0040FECB" w14:textId="77777777" w:rsidR="005E32BB" w:rsidRPr="00C3671E" w:rsidRDefault="005E32BB" w:rsidP="00AA6335">
            <w:pPr>
              <w:rPr>
                <w:sz w:val="20"/>
                <w:szCs w:val="20"/>
                <w:lang w:val="en-GB"/>
              </w:rPr>
            </w:pPr>
            <w:r w:rsidRPr="00C3671E">
              <w:rPr>
                <w:sz w:val="20"/>
                <w:szCs w:val="20"/>
                <w:lang w:val="en-GB"/>
              </w:rPr>
              <w:t>Living with partner</w:t>
            </w:r>
          </w:p>
        </w:tc>
        <w:tc>
          <w:tcPr>
            <w:tcW w:w="1367" w:type="dxa"/>
            <w:shd w:val="clear" w:color="auto" w:fill="auto"/>
          </w:tcPr>
          <w:p w14:paraId="587B5FC0" w14:textId="77777777" w:rsidR="005E32BB" w:rsidRPr="00C3671E" w:rsidRDefault="005E32BB" w:rsidP="00AA6335">
            <w:pPr>
              <w:rPr>
                <w:sz w:val="20"/>
                <w:szCs w:val="20"/>
                <w:lang w:val="en-GB"/>
              </w:rPr>
            </w:pPr>
            <w:r w:rsidRPr="00C3671E">
              <w:rPr>
                <w:sz w:val="20"/>
                <w:szCs w:val="20"/>
                <w:lang w:val="en-GB"/>
              </w:rPr>
              <w:t>80.2</w:t>
            </w:r>
          </w:p>
        </w:tc>
        <w:tc>
          <w:tcPr>
            <w:tcW w:w="1367" w:type="dxa"/>
          </w:tcPr>
          <w:p w14:paraId="101536D3" w14:textId="77777777" w:rsidR="005E32BB" w:rsidRPr="00C3671E" w:rsidRDefault="005E32BB" w:rsidP="00AA6335">
            <w:pPr>
              <w:rPr>
                <w:sz w:val="20"/>
                <w:szCs w:val="20"/>
                <w:lang w:val="en-GB"/>
              </w:rPr>
            </w:pPr>
            <w:r w:rsidRPr="00C3671E">
              <w:rPr>
                <w:sz w:val="20"/>
                <w:szCs w:val="20"/>
                <w:lang w:val="en-GB"/>
              </w:rPr>
              <w:t>81.4</w:t>
            </w:r>
          </w:p>
        </w:tc>
        <w:tc>
          <w:tcPr>
            <w:tcW w:w="1367" w:type="dxa"/>
            <w:shd w:val="clear" w:color="auto" w:fill="auto"/>
          </w:tcPr>
          <w:p w14:paraId="18E4F800" w14:textId="77777777" w:rsidR="005E32BB" w:rsidRPr="00C3671E" w:rsidRDefault="005E32BB" w:rsidP="00AA6335">
            <w:pPr>
              <w:rPr>
                <w:sz w:val="20"/>
                <w:szCs w:val="20"/>
                <w:lang w:val="en-GB"/>
              </w:rPr>
            </w:pPr>
            <w:r w:rsidRPr="00C3671E">
              <w:rPr>
                <w:sz w:val="20"/>
                <w:szCs w:val="20"/>
                <w:lang w:val="en-GB"/>
              </w:rPr>
              <w:t>79.0</w:t>
            </w:r>
          </w:p>
        </w:tc>
      </w:tr>
      <w:tr w:rsidR="005E32BB" w:rsidRPr="00C3671E" w14:paraId="1F559601" w14:textId="77777777" w:rsidTr="00AA6335">
        <w:tc>
          <w:tcPr>
            <w:tcW w:w="1272" w:type="dxa"/>
            <w:vMerge/>
            <w:shd w:val="clear" w:color="auto" w:fill="auto"/>
          </w:tcPr>
          <w:p w14:paraId="6F5DE24D" w14:textId="77777777" w:rsidR="005E32BB" w:rsidRPr="00C3671E" w:rsidRDefault="005E32BB" w:rsidP="00AA6335">
            <w:pPr>
              <w:rPr>
                <w:sz w:val="20"/>
                <w:szCs w:val="20"/>
                <w:lang w:val="en-GB"/>
              </w:rPr>
            </w:pPr>
          </w:p>
        </w:tc>
        <w:tc>
          <w:tcPr>
            <w:tcW w:w="2502" w:type="dxa"/>
            <w:shd w:val="clear" w:color="auto" w:fill="auto"/>
          </w:tcPr>
          <w:p w14:paraId="7FBF9988" w14:textId="77777777" w:rsidR="005E32BB" w:rsidRPr="00C3671E" w:rsidRDefault="005E32BB" w:rsidP="00AA6335">
            <w:pPr>
              <w:rPr>
                <w:sz w:val="20"/>
                <w:szCs w:val="20"/>
                <w:lang w:val="en-GB"/>
              </w:rPr>
            </w:pPr>
            <w:r w:rsidRPr="00C3671E">
              <w:rPr>
                <w:sz w:val="20"/>
                <w:szCs w:val="20"/>
                <w:lang w:val="en-GB"/>
              </w:rPr>
              <w:t>Health – poor or fair</w:t>
            </w:r>
          </w:p>
        </w:tc>
        <w:tc>
          <w:tcPr>
            <w:tcW w:w="1367" w:type="dxa"/>
            <w:shd w:val="clear" w:color="auto" w:fill="auto"/>
          </w:tcPr>
          <w:p w14:paraId="7471F675" w14:textId="77777777" w:rsidR="005E32BB" w:rsidRPr="00C3671E" w:rsidRDefault="005E32BB" w:rsidP="00AA6335">
            <w:pPr>
              <w:rPr>
                <w:sz w:val="20"/>
                <w:szCs w:val="20"/>
                <w:lang w:val="en-GB"/>
              </w:rPr>
            </w:pPr>
            <w:r w:rsidRPr="00C3671E">
              <w:rPr>
                <w:sz w:val="20"/>
                <w:szCs w:val="20"/>
                <w:lang w:val="en-GB"/>
              </w:rPr>
              <w:t>14.5</w:t>
            </w:r>
          </w:p>
        </w:tc>
        <w:tc>
          <w:tcPr>
            <w:tcW w:w="1367" w:type="dxa"/>
          </w:tcPr>
          <w:p w14:paraId="5308D0AD" w14:textId="77777777" w:rsidR="005E32BB" w:rsidRPr="00C3671E" w:rsidRDefault="005E32BB" w:rsidP="00AA6335">
            <w:pPr>
              <w:rPr>
                <w:sz w:val="20"/>
                <w:szCs w:val="20"/>
                <w:lang w:val="en-GB"/>
              </w:rPr>
            </w:pPr>
            <w:r w:rsidRPr="00C3671E">
              <w:rPr>
                <w:sz w:val="20"/>
                <w:szCs w:val="20"/>
                <w:lang w:val="en-GB"/>
              </w:rPr>
              <w:t>16.9</w:t>
            </w:r>
          </w:p>
        </w:tc>
        <w:tc>
          <w:tcPr>
            <w:tcW w:w="1367" w:type="dxa"/>
            <w:shd w:val="clear" w:color="auto" w:fill="auto"/>
          </w:tcPr>
          <w:p w14:paraId="143A6587" w14:textId="77777777" w:rsidR="005E32BB" w:rsidRPr="00C3671E" w:rsidRDefault="005E32BB" w:rsidP="00AA6335">
            <w:pPr>
              <w:rPr>
                <w:sz w:val="20"/>
                <w:szCs w:val="20"/>
                <w:lang w:val="en-GB"/>
              </w:rPr>
            </w:pPr>
            <w:r w:rsidRPr="00C3671E">
              <w:rPr>
                <w:sz w:val="20"/>
                <w:szCs w:val="20"/>
                <w:lang w:val="en-GB"/>
              </w:rPr>
              <w:t>12.0</w:t>
            </w:r>
          </w:p>
        </w:tc>
      </w:tr>
      <w:tr w:rsidR="005E32BB" w:rsidRPr="00C3671E" w14:paraId="1999589F" w14:textId="77777777" w:rsidTr="00AA6335">
        <w:tc>
          <w:tcPr>
            <w:tcW w:w="1272" w:type="dxa"/>
            <w:vMerge/>
            <w:shd w:val="clear" w:color="auto" w:fill="auto"/>
          </w:tcPr>
          <w:p w14:paraId="3168736A" w14:textId="77777777" w:rsidR="005E32BB" w:rsidRPr="00C3671E" w:rsidRDefault="005E32BB" w:rsidP="00AA6335">
            <w:pPr>
              <w:rPr>
                <w:sz w:val="20"/>
                <w:szCs w:val="20"/>
                <w:lang w:val="en-GB"/>
              </w:rPr>
            </w:pPr>
          </w:p>
        </w:tc>
        <w:tc>
          <w:tcPr>
            <w:tcW w:w="2502" w:type="dxa"/>
            <w:shd w:val="clear" w:color="auto" w:fill="auto"/>
          </w:tcPr>
          <w:p w14:paraId="0F207530" w14:textId="77777777" w:rsidR="005E32BB" w:rsidRPr="00C3671E" w:rsidRDefault="005E32BB" w:rsidP="00AA6335">
            <w:pPr>
              <w:rPr>
                <w:sz w:val="20"/>
                <w:szCs w:val="20"/>
                <w:lang w:val="en-GB"/>
              </w:rPr>
            </w:pPr>
            <w:r w:rsidRPr="00C3671E">
              <w:rPr>
                <w:sz w:val="20"/>
                <w:szCs w:val="20"/>
                <w:lang w:val="en-GB"/>
              </w:rPr>
              <w:t xml:space="preserve">     good</w:t>
            </w:r>
          </w:p>
        </w:tc>
        <w:tc>
          <w:tcPr>
            <w:tcW w:w="1367" w:type="dxa"/>
            <w:shd w:val="clear" w:color="auto" w:fill="auto"/>
          </w:tcPr>
          <w:p w14:paraId="6B3C7772" w14:textId="77777777" w:rsidR="005E32BB" w:rsidRPr="00C3671E" w:rsidRDefault="005E32BB" w:rsidP="00AA6335">
            <w:pPr>
              <w:rPr>
                <w:sz w:val="20"/>
                <w:szCs w:val="20"/>
                <w:lang w:val="en-GB"/>
              </w:rPr>
            </w:pPr>
            <w:r w:rsidRPr="00C3671E">
              <w:rPr>
                <w:sz w:val="20"/>
                <w:szCs w:val="20"/>
                <w:lang w:val="en-GB"/>
              </w:rPr>
              <w:t>28.3</w:t>
            </w:r>
          </w:p>
        </w:tc>
        <w:tc>
          <w:tcPr>
            <w:tcW w:w="1367" w:type="dxa"/>
          </w:tcPr>
          <w:p w14:paraId="09BF356C" w14:textId="77777777" w:rsidR="005E32BB" w:rsidRPr="00C3671E" w:rsidRDefault="005E32BB" w:rsidP="00AA6335">
            <w:pPr>
              <w:rPr>
                <w:sz w:val="20"/>
                <w:szCs w:val="20"/>
                <w:lang w:val="en-GB"/>
              </w:rPr>
            </w:pPr>
            <w:r w:rsidRPr="00C3671E">
              <w:rPr>
                <w:sz w:val="20"/>
                <w:szCs w:val="20"/>
                <w:lang w:val="en-GB"/>
              </w:rPr>
              <w:t>28.6</w:t>
            </w:r>
          </w:p>
        </w:tc>
        <w:tc>
          <w:tcPr>
            <w:tcW w:w="1367" w:type="dxa"/>
            <w:shd w:val="clear" w:color="auto" w:fill="auto"/>
          </w:tcPr>
          <w:p w14:paraId="07711E05" w14:textId="77777777" w:rsidR="005E32BB" w:rsidRPr="00C3671E" w:rsidRDefault="005E32BB" w:rsidP="00AA6335">
            <w:pPr>
              <w:rPr>
                <w:sz w:val="20"/>
                <w:szCs w:val="20"/>
                <w:lang w:val="en-GB"/>
              </w:rPr>
            </w:pPr>
            <w:r w:rsidRPr="00C3671E">
              <w:rPr>
                <w:sz w:val="20"/>
                <w:szCs w:val="20"/>
                <w:lang w:val="en-GB"/>
              </w:rPr>
              <w:t>27.9</w:t>
            </w:r>
          </w:p>
        </w:tc>
      </w:tr>
      <w:tr w:rsidR="005E32BB" w:rsidRPr="00C3671E" w14:paraId="1895EF2F" w14:textId="77777777" w:rsidTr="00AA6335">
        <w:tc>
          <w:tcPr>
            <w:tcW w:w="1272" w:type="dxa"/>
            <w:vMerge/>
            <w:shd w:val="clear" w:color="auto" w:fill="auto"/>
          </w:tcPr>
          <w:p w14:paraId="2AE98515" w14:textId="77777777" w:rsidR="005E32BB" w:rsidRPr="00C3671E" w:rsidRDefault="005E32BB" w:rsidP="00AA6335">
            <w:pPr>
              <w:rPr>
                <w:sz w:val="20"/>
                <w:szCs w:val="20"/>
                <w:lang w:val="en-GB"/>
              </w:rPr>
            </w:pPr>
          </w:p>
        </w:tc>
        <w:tc>
          <w:tcPr>
            <w:tcW w:w="2502" w:type="dxa"/>
            <w:shd w:val="clear" w:color="auto" w:fill="auto"/>
          </w:tcPr>
          <w:p w14:paraId="5BA34EBE" w14:textId="77777777" w:rsidR="005E32BB" w:rsidRPr="00C3671E" w:rsidRDefault="005E32BB" w:rsidP="00AA6335">
            <w:pPr>
              <w:rPr>
                <w:sz w:val="20"/>
                <w:szCs w:val="20"/>
                <w:lang w:val="en-GB"/>
              </w:rPr>
            </w:pPr>
            <w:r w:rsidRPr="00C3671E">
              <w:rPr>
                <w:sz w:val="20"/>
                <w:szCs w:val="20"/>
                <w:lang w:val="en-GB"/>
              </w:rPr>
              <w:t xml:space="preserve">     very good</w:t>
            </w:r>
          </w:p>
        </w:tc>
        <w:tc>
          <w:tcPr>
            <w:tcW w:w="1367" w:type="dxa"/>
            <w:shd w:val="clear" w:color="auto" w:fill="auto"/>
          </w:tcPr>
          <w:p w14:paraId="2310C03E" w14:textId="77777777" w:rsidR="005E32BB" w:rsidRPr="00C3671E" w:rsidRDefault="005E32BB" w:rsidP="00AA6335">
            <w:pPr>
              <w:rPr>
                <w:sz w:val="20"/>
                <w:szCs w:val="20"/>
                <w:lang w:val="en-GB"/>
              </w:rPr>
            </w:pPr>
            <w:r w:rsidRPr="00C3671E">
              <w:rPr>
                <w:sz w:val="20"/>
                <w:szCs w:val="20"/>
                <w:lang w:val="en-GB"/>
              </w:rPr>
              <w:t>34.1</w:t>
            </w:r>
          </w:p>
        </w:tc>
        <w:tc>
          <w:tcPr>
            <w:tcW w:w="1367" w:type="dxa"/>
          </w:tcPr>
          <w:p w14:paraId="54ABCF9B" w14:textId="77777777" w:rsidR="005E32BB" w:rsidRPr="00C3671E" w:rsidRDefault="005E32BB" w:rsidP="00AA6335">
            <w:pPr>
              <w:rPr>
                <w:sz w:val="20"/>
                <w:szCs w:val="20"/>
                <w:lang w:val="en-GB"/>
              </w:rPr>
            </w:pPr>
            <w:r w:rsidRPr="00C3671E">
              <w:rPr>
                <w:sz w:val="20"/>
                <w:szCs w:val="20"/>
                <w:lang w:val="en-GB"/>
              </w:rPr>
              <w:t>34.9</w:t>
            </w:r>
          </w:p>
        </w:tc>
        <w:tc>
          <w:tcPr>
            <w:tcW w:w="1367" w:type="dxa"/>
            <w:shd w:val="clear" w:color="auto" w:fill="auto"/>
          </w:tcPr>
          <w:p w14:paraId="5E485947" w14:textId="77777777" w:rsidR="005E32BB" w:rsidRPr="00C3671E" w:rsidRDefault="005E32BB" w:rsidP="00AA6335">
            <w:pPr>
              <w:rPr>
                <w:sz w:val="20"/>
                <w:szCs w:val="20"/>
                <w:lang w:val="en-GB"/>
              </w:rPr>
            </w:pPr>
            <w:r w:rsidRPr="00C3671E">
              <w:rPr>
                <w:sz w:val="20"/>
                <w:szCs w:val="20"/>
                <w:lang w:val="en-GB"/>
              </w:rPr>
              <w:t>33.3</w:t>
            </w:r>
          </w:p>
        </w:tc>
      </w:tr>
      <w:tr w:rsidR="005E32BB" w:rsidRPr="00C3671E" w14:paraId="01A434EB" w14:textId="77777777" w:rsidTr="00AA6335">
        <w:tc>
          <w:tcPr>
            <w:tcW w:w="1272" w:type="dxa"/>
            <w:vMerge/>
            <w:shd w:val="clear" w:color="auto" w:fill="auto"/>
          </w:tcPr>
          <w:p w14:paraId="4B059140" w14:textId="77777777" w:rsidR="005E32BB" w:rsidRPr="00C3671E" w:rsidRDefault="005E32BB" w:rsidP="00AA6335">
            <w:pPr>
              <w:rPr>
                <w:sz w:val="20"/>
                <w:szCs w:val="20"/>
                <w:lang w:val="en-GB"/>
              </w:rPr>
            </w:pPr>
          </w:p>
        </w:tc>
        <w:tc>
          <w:tcPr>
            <w:tcW w:w="2502" w:type="dxa"/>
            <w:shd w:val="clear" w:color="auto" w:fill="auto"/>
          </w:tcPr>
          <w:p w14:paraId="2FA2206A" w14:textId="77777777" w:rsidR="005E32BB" w:rsidRPr="00C3671E" w:rsidRDefault="005E32BB" w:rsidP="00AA6335">
            <w:pPr>
              <w:rPr>
                <w:sz w:val="20"/>
                <w:szCs w:val="20"/>
                <w:lang w:val="en-GB"/>
              </w:rPr>
            </w:pPr>
            <w:r w:rsidRPr="00C3671E">
              <w:rPr>
                <w:sz w:val="20"/>
                <w:szCs w:val="20"/>
                <w:lang w:val="en-GB"/>
              </w:rPr>
              <w:t xml:space="preserve">     excellent</w:t>
            </w:r>
          </w:p>
        </w:tc>
        <w:tc>
          <w:tcPr>
            <w:tcW w:w="1367" w:type="dxa"/>
            <w:shd w:val="clear" w:color="auto" w:fill="auto"/>
          </w:tcPr>
          <w:p w14:paraId="79C24604" w14:textId="77777777" w:rsidR="005E32BB" w:rsidRPr="00C3671E" w:rsidRDefault="005E32BB" w:rsidP="00AA6335">
            <w:pPr>
              <w:rPr>
                <w:sz w:val="20"/>
                <w:szCs w:val="20"/>
                <w:lang w:val="en-GB"/>
              </w:rPr>
            </w:pPr>
            <w:r w:rsidRPr="00C3671E">
              <w:rPr>
                <w:sz w:val="20"/>
                <w:szCs w:val="20"/>
                <w:lang w:val="en-GB"/>
              </w:rPr>
              <w:t>23.1</w:t>
            </w:r>
          </w:p>
        </w:tc>
        <w:tc>
          <w:tcPr>
            <w:tcW w:w="1367" w:type="dxa"/>
          </w:tcPr>
          <w:p w14:paraId="2D04FA8B" w14:textId="77777777" w:rsidR="005E32BB" w:rsidRPr="00C3671E" w:rsidRDefault="005E32BB" w:rsidP="00AA6335">
            <w:pPr>
              <w:rPr>
                <w:sz w:val="20"/>
                <w:szCs w:val="20"/>
                <w:lang w:val="en-GB"/>
              </w:rPr>
            </w:pPr>
            <w:r w:rsidRPr="00C3671E">
              <w:rPr>
                <w:sz w:val="20"/>
                <w:szCs w:val="20"/>
                <w:lang w:val="en-GB"/>
              </w:rPr>
              <w:t>19.6</w:t>
            </w:r>
          </w:p>
        </w:tc>
        <w:tc>
          <w:tcPr>
            <w:tcW w:w="1367" w:type="dxa"/>
            <w:shd w:val="clear" w:color="auto" w:fill="auto"/>
          </w:tcPr>
          <w:p w14:paraId="330C8056" w14:textId="77777777" w:rsidR="005E32BB" w:rsidRPr="00C3671E" w:rsidRDefault="005E32BB" w:rsidP="00AA6335">
            <w:pPr>
              <w:rPr>
                <w:sz w:val="20"/>
                <w:szCs w:val="20"/>
                <w:lang w:val="en-GB"/>
              </w:rPr>
            </w:pPr>
            <w:r w:rsidRPr="00C3671E">
              <w:rPr>
                <w:sz w:val="20"/>
                <w:szCs w:val="20"/>
                <w:lang w:val="en-GB"/>
              </w:rPr>
              <w:t>26.8</w:t>
            </w:r>
          </w:p>
        </w:tc>
      </w:tr>
      <w:tr w:rsidR="005E32BB" w:rsidRPr="00C3671E" w14:paraId="47F68A88" w14:textId="77777777" w:rsidTr="00AA6335">
        <w:tc>
          <w:tcPr>
            <w:tcW w:w="1272" w:type="dxa"/>
            <w:vMerge/>
            <w:shd w:val="clear" w:color="auto" w:fill="auto"/>
          </w:tcPr>
          <w:p w14:paraId="138ECE66" w14:textId="77777777" w:rsidR="005E32BB" w:rsidRPr="00C3671E" w:rsidRDefault="005E32BB" w:rsidP="00AA6335">
            <w:pPr>
              <w:rPr>
                <w:sz w:val="20"/>
                <w:szCs w:val="20"/>
                <w:lang w:val="en-GB"/>
              </w:rPr>
            </w:pPr>
          </w:p>
        </w:tc>
        <w:tc>
          <w:tcPr>
            <w:tcW w:w="2502" w:type="dxa"/>
            <w:shd w:val="clear" w:color="auto" w:fill="auto"/>
          </w:tcPr>
          <w:p w14:paraId="6890ED47" w14:textId="77777777" w:rsidR="005E32BB" w:rsidRPr="00C3671E" w:rsidRDefault="005E32BB" w:rsidP="00AA6335">
            <w:pPr>
              <w:rPr>
                <w:sz w:val="20"/>
                <w:szCs w:val="20"/>
                <w:lang w:val="en-GB"/>
              </w:rPr>
            </w:pPr>
            <w:r w:rsidRPr="00C3671E">
              <w:rPr>
                <w:sz w:val="20"/>
                <w:szCs w:val="20"/>
                <w:lang w:val="en-GB"/>
              </w:rPr>
              <w:t>Denmark</w:t>
            </w:r>
          </w:p>
        </w:tc>
        <w:tc>
          <w:tcPr>
            <w:tcW w:w="1367" w:type="dxa"/>
            <w:shd w:val="clear" w:color="auto" w:fill="auto"/>
          </w:tcPr>
          <w:p w14:paraId="1AEBBA6A" w14:textId="77777777" w:rsidR="005E32BB" w:rsidRPr="00C3671E" w:rsidRDefault="005E32BB" w:rsidP="00AA6335">
            <w:pPr>
              <w:rPr>
                <w:sz w:val="20"/>
                <w:szCs w:val="20"/>
                <w:lang w:val="en-GB"/>
              </w:rPr>
            </w:pPr>
            <w:r w:rsidRPr="00C3671E">
              <w:rPr>
                <w:sz w:val="20"/>
                <w:szCs w:val="20"/>
                <w:lang w:val="en-GB"/>
              </w:rPr>
              <w:t>46.5</w:t>
            </w:r>
          </w:p>
        </w:tc>
        <w:tc>
          <w:tcPr>
            <w:tcW w:w="1367" w:type="dxa"/>
          </w:tcPr>
          <w:p w14:paraId="605B28CE" w14:textId="77777777" w:rsidR="005E32BB" w:rsidRPr="00C3671E" w:rsidRDefault="005E32BB" w:rsidP="00AA6335">
            <w:pPr>
              <w:rPr>
                <w:sz w:val="20"/>
                <w:szCs w:val="20"/>
                <w:lang w:val="en-GB"/>
              </w:rPr>
            </w:pPr>
            <w:r w:rsidRPr="00C3671E">
              <w:rPr>
                <w:sz w:val="20"/>
                <w:szCs w:val="20"/>
                <w:lang w:val="en-GB"/>
              </w:rPr>
              <w:t>49.0</w:t>
            </w:r>
          </w:p>
        </w:tc>
        <w:tc>
          <w:tcPr>
            <w:tcW w:w="1367" w:type="dxa"/>
            <w:shd w:val="clear" w:color="auto" w:fill="auto"/>
          </w:tcPr>
          <w:p w14:paraId="24395ECC" w14:textId="77777777" w:rsidR="005E32BB" w:rsidRPr="00C3671E" w:rsidRDefault="005E32BB" w:rsidP="00AA6335">
            <w:pPr>
              <w:rPr>
                <w:sz w:val="20"/>
                <w:szCs w:val="20"/>
                <w:lang w:val="en-GB"/>
              </w:rPr>
            </w:pPr>
            <w:r w:rsidRPr="00C3671E">
              <w:rPr>
                <w:sz w:val="20"/>
                <w:szCs w:val="20"/>
                <w:lang w:val="en-GB"/>
              </w:rPr>
              <w:t>41.8</w:t>
            </w:r>
          </w:p>
        </w:tc>
      </w:tr>
      <w:tr w:rsidR="005E32BB" w:rsidRPr="00C3671E" w14:paraId="67B569AF" w14:textId="77777777" w:rsidTr="00AA6335">
        <w:tc>
          <w:tcPr>
            <w:tcW w:w="1272" w:type="dxa"/>
            <w:vMerge/>
            <w:shd w:val="clear" w:color="auto" w:fill="auto"/>
          </w:tcPr>
          <w:p w14:paraId="582D55C0" w14:textId="77777777" w:rsidR="005E32BB" w:rsidRPr="00C3671E" w:rsidRDefault="005E32BB" w:rsidP="00AA6335">
            <w:pPr>
              <w:rPr>
                <w:sz w:val="20"/>
                <w:szCs w:val="20"/>
                <w:lang w:val="en-GB"/>
              </w:rPr>
            </w:pPr>
          </w:p>
        </w:tc>
        <w:tc>
          <w:tcPr>
            <w:tcW w:w="2502" w:type="dxa"/>
            <w:shd w:val="clear" w:color="auto" w:fill="auto"/>
          </w:tcPr>
          <w:p w14:paraId="5E3F987D" w14:textId="77777777" w:rsidR="005E32BB" w:rsidRPr="00C3671E" w:rsidRDefault="005E32BB" w:rsidP="00AA6335">
            <w:pPr>
              <w:rPr>
                <w:sz w:val="20"/>
                <w:szCs w:val="20"/>
                <w:lang w:val="en-GB"/>
              </w:rPr>
            </w:pPr>
            <w:r w:rsidRPr="00C3671E">
              <w:rPr>
                <w:sz w:val="20"/>
                <w:szCs w:val="20"/>
                <w:lang w:val="en-GB"/>
              </w:rPr>
              <w:t>Sweden</w:t>
            </w:r>
          </w:p>
        </w:tc>
        <w:tc>
          <w:tcPr>
            <w:tcW w:w="1367" w:type="dxa"/>
            <w:shd w:val="clear" w:color="auto" w:fill="auto"/>
          </w:tcPr>
          <w:p w14:paraId="48C9E946" w14:textId="77777777" w:rsidR="005E32BB" w:rsidRPr="00C3671E" w:rsidRDefault="005E32BB" w:rsidP="00AA6335">
            <w:pPr>
              <w:rPr>
                <w:sz w:val="20"/>
                <w:szCs w:val="20"/>
                <w:lang w:val="en-GB"/>
              </w:rPr>
            </w:pPr>
            <w:r w:rsidRPr="00C3671E">
              <w:rPr>
                <w:sz w:val="20"/>
                <w:szCs w:val="20"/>
                <w:lang w:val="en-GB"/>
              </w:rPr>
              <w:t>53.5</w:t>
            </w:r>
          </w:p>
        </w:tc>
        <w:tc>
          <w:tcPr>
            <w:tcW w:w="1367" w:type="dxa"/>
          </w:tcPr>
          <w:p w14:paraId="0506F18F" w14:textId="77777777" w:rsidR="005E32BB" w:rsidRPr="00C3671E" w:rsidRDefault="005E32BB" w:rsidP="00AA6335">
            <w:pPr>
              <w:rPr>
                <w:sz w:val="20"/>
                <w:szCs w:val="20"/>
                <w:lang w:val="en-GB"/>
              </w:rPr>
            </w:pPr>
            <w:r w:rsidRPr="00C3671E">
              <w:rPr>
                <w:sz w:val="20"/>
                <w:szCs w:val="20"/>
                <w:lang w:val="en-GB"/>
              </w:rPr>
              <w:t>51.0</w:t>
            </w:r>
          </w:p>
        </w:tc>
        <w:tc>
          <w:tcPr>
            <w:tcW w:w="1367" w:type="dxa"/>
            <w:shd w:val="clear" w:color="auto" w:fill="auto"/>
          </w:tcPr>
          <w:p w14:paraId="766DA73B" w14:textId="77777777" w:rsidR="005E32BB" w:rsidRPr="00C3671E" w:rsidRDefault="005E32BB" w:rsidP="00AA6335">
            <w:pPr>
              <w:rPr>
                <w:sz w:val="20"/>
                <w:szCs w:val="20"/>
                <w:lang w:val="en-GB"/>
              </w:rPr>
            </w:pPr>
            <w:r w:rsidRPr="00C3671E">
              <w:rPr>
                <w:sz w:val="20"/>
                <w:szCs w:val="20"/>
                <w:lang w:val="en-GB"/>
              </w:rPr>
              <w:t>58.2</w:t>
            </w:r>
          </w:p>
        </w:tc>
      </w:tr>
      <w:tr w:rsidR="005E32BB" w:rsidRPr="00C3671E" w14:paraId="6E75366E" w14:textId="77777777" w:rsidTr="00AA6335">
        <w:tc>
          <w:tcPr>
            <w:tcW w:w="1272" w:type="dxa"/>
            <w:vMerge/>
            <w:shd w:val="clear" w:color="auto" w:fill="auto"/>
          </w:tcPr>
          <w:p w14:paraId="35A4441A" w14:textId="77777777" w:rsidR="005E32BB" w:rsidRPr="00C3671E" w:rsidRDefault="005E32BB" w:rsidP="00AA6335">
            <w:pPr>
              <w:rPr>
                <w:sz w:val="20"/>
                <w:szCs w:val="20"/>
                <w:lang w:val="en-GB"/>
              </w:rPr>
            </w:pPr>
          </w:p>
        </w:tc>
        <w:tc>
          <w:tcPr>
            <w:tcW w:w="2502" w:type="dxa"/>
            <w:shd w:val="clear" w:color="auto" w:fill="auto"/>
          </w:tcPr>
          <w:p w14:paraId="79D57800" w14:textId="77777777" w:rsidR="005E32BB" w:rsidRPr="00C3671E" w:rsidRDefault="005E32BB" w:rsidP="00AA6335">
            <w:pPr>
              <w:rPr>
                <w:sz w:val="20"/>
                <w:szCs w:val="20"/>
                <w:lang w:val="en-GB"/>
              </w:rPr>
            </w:pPr>
            <w:r w:rsidRPr="00C3671E">
              <w:rPr>
                <w:sz w:val="20"/>
                <w:szCs w:val="20"/>
                <w:lang w:val="en-GB"/>
              </w:rPr>
              <w:t>N</w:t>
            </w:r>
          </w:p>
        </w:tc>
        <w:tc>
          <w:tcPr>
            <w:tcW w:w="1367" w:type="dxa"/>
            <w:shd w:val="clear" w:color="auto" w:fill="auto"/>
          </w:tcPr>
          <w:p w14:paraId="0D69A10C" w14:textId="77777777" w:rsidR="005E32BB" w:rsidRPr="00C3671E" w:rsidRDefault="005E32BB" w:rsidP="00AA6335">
            <w:pPr>
              <w:rPr>
                <w:sz w:val="20"/>
                <w:szCs w:val="20"/>
                <w:lang w:val="en-GB"/>
              </w:rPr>
            </w:pPr>
            <w:r w:rsidRPr="00C3671E">
              <w:rPr>
                <w:sz w:val="20"/>
                <w:szCs w:val="20"/>
                <w:lang w:val="en-GB"/>
              </w:rPr>
              <w:t>1824</w:t>
            </w:r>
          </w:p>
        </w:tc>
        <w:tc>
          <w:tcPr>
            <w:tcW w:w="1367" w:type="dxa"/>
          </w:tcPr>
          <w:p w14:paraId="28540561" w14:textId="77777777" w:rsidR="005E32BB" w:rsidRPr="00C3671E" w:rsidRDefault="005E32BB" w:rsidP="00AA6335">
            <w:pPr>
              <w:rPr>
                <w:sz w:val="20"/>
                <w:szCs w:val="20"/>
                <w:lang w:val="en-GB"/>
              </w:rPr>
            </w:pPr>
            <w:r w:rsidRPr="00C3671E">
              <w:rPr>
                <w:sz w:val="20"/>
                <w:szCs w:val="20"/>
                <w:lang w:val="en-GB"/>
              </w:rPr>
              <w:t>925</w:t>
            </w:r>
          </w:p>
        </w:tc>
        <w:tc>
          <w:tcPr>
            <w:tcW w:w="1367" w:type="dxa"/>
            <w:shd w:val="clear" w:color="auto" w:fill="auto"/>
          </w:tcPr>
          <w:p w14:paraId="3A5F20AC" w14:textId="77777777" w:rsidR="005E32BB" w:rsidRPr="00C3671E" w:rsidRDefault="005E32BB" w:rsidP="00AA6335">
            <w:pPr>
              <w:rPr>
                <w:sz w:val="20"/>
                <w:szCs w:val="20"/>
                <w:lang w:val="en-GB"/>
              </w:rPr>
            </w:pPr>
            <w:r w:rsidRPr="00C3671E">
              <w:rPr>
                <w:sz w:val="20"/>
                <w:szCs w:val="20"/>
                <w:lang w:val="en-GB"/>
              </w:rPr>
              <w:t>899</w:t>
            </w:r>
          </w:p>
        </w:tc>
      </w:tr>
      <w:tr w:rsidR="005E32BB" w:rsidRPr="00C3671E" w14:paraId="5F375AB3" w14:textId="77777777" w:rsidTr="00AA6335">
        <w:tc>
          <w:tcPr>
            <w:tcW w:w="1272" w:type="dxa"/>
            <w:vMerge w:val="restart"/>
            <w:shd w:val="clear" w:color="auto" w:fill="auto"/>
          </w:tcPr>
          <w:p w14:paraId="21B612E6" w14:textId="77777777" w:rsidR="005E32BB" w:rsidRPr="00C3671E" w:rsidRDefault="005E32BB" w:rsidP="00AA6335">
            <w:pPr>
              <w:rPr>
                <w:sz w:val="20"/>
                <w:szCs w:val="20"/>
                <w:lang w:val="en-GB"/>
              </w:rPr>
            </w:pPr>
            <w:r w:rsidRPr="00C3671E">
              <w:rPr>
                <w:sz w:val="20"/>
                <w:szCs w:val="20"/>
                <w:lang w:val="en-GB"/>
              </w:rPr>
              <w:t>Western Europe</w:t>
            </w:r>
          </w:p>
        </w:tc>
        <w:tc>
          <w:tcPr>
            <w:tcW w:w="2502" w:type="dxa"/>
            <w:shd w:val="clear" w:color="auto" w:fill="auto"/>
          </w:tcPr>
          <w:p w14:paraId="60FFBB9F" w14:textId="77777777" w:rsidR="005E32BB" w:rsidRPr="00C3671E" w:rsidRDefault="005E32BB" w:rsidP="00AA6335">
            <w:pPr>
              <w:rPr>
                <w:sz w:val="20"/>
                <w:szCs w:val="20"/>
                <w:lang w:val="en-GB"/>
              </w:rPr>
            </w:pPr>
            <w:r w:rsidRPr="00C3671E">
              <w:rPr>
                <w:sz w:val="20"/>
                <w:szCs w:val="20"/>
                <w:lang w:val="en-GB"/>
              </w:rPr>
              <w:t>Age</w:t>
            </w:r>
          </w:p>
        </w:tc>
        <w:tc>
          <w:tcPr>
            <w:tcW w:w="1367" w:type="dxa"/>
            <w:shd w:val="clear" w:color="auto" w:fill="auto"/>
          </w:tcPr>
          <w:p w14:paraId="4DCDBA32" w14:textId="77777777" w:rsidR="005E32BB" w:rsidRPr="00C3671E" w:rsidRDefault="005E32BB" w:rsidP="00AA6335">
            <w:pPr>
              <w:rPr>
                <w:sz w:val="20"/>
                <w:szCs w:val="20"/>
                <w:lang w:val="en-GB"/>
              </w:rPr>
            </w:pPr>
            <w:r w:rsidRPr="00C3671E">
              <w:rPr>
                <w:sz w:val="20"/>
                <w:szCs w:val="20"/>
                <w:lang w:val="en-GB"/>
              </w:rPr>
              <w:t>61.1</w:t>
            </w:r>
          </w:p>
        </w:tc>
        <w:tc>
          <w:tcPr>
            <w:tcW w:w="1367" w:type="dxa"/>
          </w:tcPr>
          <w:p w14:paraId="686CFE88" w14:textId="77777777" w:rsidR="005E32BB" w:rsidRPr="00C3671E" w:rsidRDefault="005E32BB" w:rsidP="00AA6335">
            <w:pPr>
              <w:rPr>
                <w:sz w:val="20"/>
                <w:szCs w:val="20"/>
                <w:lang w:val="en-GB"/>
              </w:rPr>
            </w:pPr>
            <w:r w:rsidRPr="00C3671E">
              <w:rPr>
                <w:sz w:val="20"/>
                <w:szCs w:val="20"/>
                <w:lang w:val="en-GB"/>
              </w:rPr>
              <w:t>62.5</w:t>
            </w:r>
          </w:p>
        </w:tc>
        <w:tc>
          <w:tcPr>
            <w:tcW w:w="1367" w:type="dxa"/>
            <w:shd w:val="clear" w:color="auto" w:fill="auto"/>
          </w:tcPr>
          <w:p w14:paraId="386D969A" w14:textId="77777777" w:rsidR="005E32BB" w:rsidRPr="00C3671E" w:rsidRDefault="005E32BB" w:rsidP="00AA6335">
            <w:pPr>
              <w:rPr>
                <w:sz w:val="20"/>
                <w:szCs w:val="20"/>
                <w:lang w:val="en-GB"/>
              </w:rPr>
            </w:pPr>
            <w:r w:rsidRPr="00C3671E">
              <w:rPr>
                <w:sz w:val="20"/>
                <w:szCs w:val="20"/>
                <w:lang w:val="en-GB"/>
              </w:rPr>
              <w:t>59.4</w:t>
            </w:r>
          </w:p>
        </w:tc>
      </w:tr>
      <w:tr w:rsidR="005E32BB" w:rsidRPr="00C3671E" w14:paraId="0CC1BBD0" w14:textId="77777777" w:rsidTr="00AA6335">
        <w:tc>
          <w:tcPr>
            <w:tcW w:w="1272" w:type="dxa"/>
            <w:vMerge/>
            <w:shd w:val="clear" w:color="auto" w:fill="auto"/>
          </w:tcPr>
          <w:p w14:paraId="699F6D2D" w14:textId="77777777" w:rsidR="005E32BB" w:rsidRPr="00C3671E" w:rsidRDefault="005E32BB" w:rsidP="00AA6335">
            <w:pPr>
              <w:rPr>
                <w:sz w:val="20"/>
                <w:szCs w:val="20"/>
                <w:lang w:val="en-GB"/>
              </w:rPr>
            </w:pPr>
          </w:p>
        </w:tc>
        <w:tc>
          <w:tcPr>
            <w:tcW w:w="2502" w:type="dxa"/>
            <w:shd w:val="clear" w:color="auto" w:fill="auto"/>
          </w:tcPr>
          <w:p w14:paraId="242C439F" w14:textId="77777777" w:rsidR="005E32BB" w:rsidRPr="00C3671E" w:rsidRDefault="005E32BB" w:rsidP="00AA6335">
            <w:pPr>
              <w:rPr>
                <w:sz w:val="20"/>
                <w:szCs w:val="20"/>
                <w:lang w:val="en-GB"/>
              </w:rPr>
            </w:pPr>
            <w:r w:rsidRPr="00C3671E">
              <w:rPr>
                <w:sz w:val="20"/>
                <w:szCs w:val="20"/>
                <w:lang w:val="en-GB"/>
              </w:rPr>
              <w:t>Years of education</w:t>
            </w:r>
          </w:p>
        </w:tc>
        <w:tc>
          <w:tcPr>
            <w:tcW w:w="1367" w:type="dxa"/>
            <w:shd w:val="clear" w:color="auto" w:fill="auto"/>
          </w:tcPr>
          <w:p w14:paraId="512AF04B" w14:textId="77777777" w:rsidR="005E32BB" w:rsidRPr="00C3671E" w:rsidRDefault="005E32BB" w:rsidP="00AA6335">
            <w:pPr>
              <w:rPr>
                <w:sz w:val="20"/>
                <w:szCs w:val="20"/>
                <w:lang w:val="en-GB"/>
              </w:rPr>
            </w:pPr>
            <w:r w:rsidRPr="00C3671E">
              <w:rPr>
                <w:sz w:val="20"/>
                <w:szCs w:val="20"/>
                <w:lang w:val="en-GB"/>
              </w:rPr>
              <w:t>12.0</w:t>
            </w:r>
          </w:p>
        </w:tc>
        <w:tc>
          <w:tcPr>
            <w:tcW w:w="1367" w:type="dxa"/>
          </w:tcPr>
          <w:p w14:paraId="77515CA9" w14:textId="77777777" w:rsidR="005E32BB" w:rsidRPr="00C3671E" w:rsidRDefault="005E32BB" w:rsidP="00AA6335">
            <w:pPr>
              <w:rPr>
                <w:sz w:val="20"/>
                <w:szCs w:val="20"/>
                <w:lang w:val="en-GB"/>
              </w:rPr>
            </w:pPr>
            <w:r w:rsidRPr="00C3671E">
              <w:rPr>
                <w:sz w:val="20"/>
                <w:szCs w:val="20"/>
                <w:lang w:val="en-GB"/>
              </w:rPr>
              <w:t>11.6</w:t>
            </w:r>
          </w:p>
        </w:tc>
        <w:tc>
          <w:tcPr>
            <w:tcW w:w="1367" w:type="dxa"/>
            <w:shd w:val="clear" w:color="auto" w:fill="auto"/>
          </w:tcPr>
          <w:p w14:paraId="075CC36C" w14:textId="77777777" w:rsidR="005E32BB" w:rsidRPr="00C3671E" w:rsidRDefault="005E32BB" w:rsidP="00AA6335">
            <w:pPr>
              <w:rPr>
                <w:sz w:val="20"/>
                <w:szCs w:val="20"/>
                <w:lang w:val="en-GB"/>
              </w:rPr>
            </w:pPr>
            <w:r w:rsidRPr="00C3671E">
              <w:rPr>
                <w:sz w:val="20"/>
                <w:szCs w:val="20"/>
                <w:lang w:val="en-GB"/>
              </w:rPr>
              <w:t>12.4</w:t>
            </w:r>
          </w:p>
        </w:tc>
      </w:tr>
      <w:tr w:rsidR="005E32BB" w:rsidRPr="00C3671E" w14:paraId="4EC15F8C" w14:textId="77777777" w:rsidTr="00AA6335">
        <w:tc>
          <w:tcPr>
            <w:tcW w:w="1272" w:type="dxa"/>
            <w:vMerge/>
            <w:shd w:val="clear" w:color="auto" w:fill="auto"/>
          </w:tcPr>
          <w:p w14:paraId="7F4EC92A" w14:textId="77777777" w:rsidR="005E32BB" w:rsidRPr="00C3671E" w:rsidRDefault="005E32BB" w:rsidP="00AA6335">
            <w:pPr>
              <w:rPr>
                <w:sz w:val="20"/>
                <w:szCs w:val="20"/>
                <w:lang w:val="en-GB"/>
              </w:rPr>
            </w:pPr>
          </w:p>
        </w:tc>
        <w:tc>
          <w:tcPr>
            <w:tcW w:w="2502" w:type="dxa"/>
            <w:shd w:val="clear" w:color="auto" w:fill="auto"/>
          </w:tcPr>
          <w:p w14:paraId="0C884FB7" w14:textId="77777777" w:rsidR="005E32BB" w:rsidRPr="00C3671E" w:rsidRDefault="005E32BB" w:rsidP="00AA6335">
            <w:pPr>
              <w:rPr>
                <w:sz w:val="20"/>
                <w:szCs w:val="20"/>
                <w:lang w:val="en-GB"/>
              </w:rPr>
            </w:pPr>
            <w:r w:rsidRPr="00C3671E">
              <w:rPr>
                <w:sz w:val="20"/>
                <w:szCs w:val="20"/>
                <w:lang w:val="en-GB"/>
              </w:rPr>
              <w:t>Financial assets (thsds)</w:t>
            </w:r>
          </w:p>
        </w:tc>
        <w:tc>
          <w:tcPr>
            <w:tcW w:w="1367" w:type="dxa"/>
            <w:shd w:val="clear" w:color="auto" w:fill="auto"/>
          </w:tcPr>
          <w:p w14:paraId="6466D1E8" w14:textId="77777777" w:rsidR="005E32BB" w:rsidRPr="00C3671E" w:rsidRDefault="005E32BB" w:rsidP="00AA6335">
            <w:pPr>
              <w:rPr>
                <w:sz w:val="20"/>
                <w:szCs w:val="20"/>
                <w:lang w:val="en-GB"/>
              </w:rPr>
            </w:pPr>
            <w:r w:rsidRPr="00C3671E">
              <w:rPr>
                <w:sz w:val="20"/>
                <w:szCs w:val="20"/>
                <w:lang w:val="en-GB"/>
              </w:rPr>
              <w:t>100.5</w:t>
            </w:r>
          </w:p>
        </w:tc>
        <w:tc>
          <w:tcPr>
            <w:tcW w:w="1367" w:type="dxa"/>
          </w:tcPr>
          <w:p w14:paraId="578F947C" w14:textId="77777777" w:rsidR="005E32BB" w:rsidRPr="00C3671E" w:rsidRDefault="005E32BB" w:rsidP="00AA6335">
            <w:pPr>
              <w:rPr>
                <w:sz w:val="20"/>
                <w:szCs w:val="20"/>
                <w:lang w:val="en-GB"/>
              </w:rPr>
            </w:pPr>
            <w:r w:rsidRPr="00C3671E">
              <w:rPr>
                <w:sz w:val="20"/>
                <w:szCs w:val="20"/>
                <w:lang w:val="en-GB"/>
              </w:rPr>
              <w:t>84.3</w:t>
            </w:r>
          </w:p>
        </w:tc>
        <w:tc>
          <w:tcPr>
            <w:tcW w:w="1367" w:type="dxa"/>
            <w:shd w:val="clear" w:color="auto" w:fill="auto"/>
          </w:tcPr>
          <w:p w14:paraId="3A4045C5" w14:textId="77777777" w:rsidR="005E32BB" w:rsidRPr="00C3671E" w:rsidRDefault="005E32BB" w:rsidP="00AA6335">
            <w:pPr>
              <w:rPr>
                <w:sz w:val="20"/>
                <w:szCs w:val="20"/>
                <w:lang w:val="en-GB"/>
              </w:rPr>
            </w:pPr>
            <w:r w:rsidRPr="00C3671E">
              <w:rPr>
                <w:sz w:val="20"/>
                <w:szCs w:val="20"/>
                <w:lang w:val="en-GB"/>
              </w:rPr>
              <w:t>115.8</w:t>
            </w:r>
          </w:p>
        </w:tc>
      </w:tr>
      <w:tr w:rsidR="005E32BB" w:rsidRPr="00C3671E" w14:paraId="0F1D09B1" w14:textId="77777777" w:rsidTr="00AA6335">
        <w:tc>
          <w:tcPr>
            <w:tcW w:w="1272" w:type="dxa"/>
            <w:vMerge/>
            <w:shd w:val="clear" w:color="auto" w:fill="auto"/>
          </w:tcPr>
          <w:p w14:paraId="6B7B548D" w14:textId="77777777" w:rsidR="005E32BB" w:rsidRPr="00C3671E" w:rsidRDefault="005E32BB" w:rsidP="00AA6335">
            <w:pPr>
              <w:rPr>
                <w:sz w:val="20"/>
                <w:szCs w:val="20"/>
                <w:lang w:val="en-GB"/>
              </w:rPr>
            </w:pPr>
          </w:p>
        </w:tc>
        <w:tc>
          <w:tcPr>
            <w:tcW w:w="2502" w:type="dxa"/>
            <w:shd w:val="clear" w:color="auto" w:fill="auto"/>
          </w:tcPr>
          <w:p w14:paraId="75678521" w14:textId="77777777" w:rsidR="005E32BB" w:rsidRPr="00C3671E" w:rsidRDefault="005E32BB" w:rsidP="00AA6335">
            <w:pPr>
              <w:rPr>
                <w:sz w:val="20"/>
                <w:szCs w:val="20"/>
                <w:lang w:val="en-GB"/>
              </w:rPr>
            </w:pPr>
            <w:r w:rsidRPr="00C3671E">
              <w:rPr>
                <w:sz w:val="20"/>
                <w:szCs w:val="20"/>
                <w:lang w:val="en-GB"/>
              </w:rPr>
              <w:t>Gender – female</w:t>
            </w:r>
          </w:p>
        </w:tc>
        <w:tc>
          <w:tcPr>
            <w:tcW w:w="1367" w:type="dxa"/>
            <w:shd w:val="clear" w:color="auto" w:fill="auto"/>
          </w:tcPr>
          <w:p w14:paraId="1F6B3003" w14:textId="77777777" w:rsidR="005E32BB" w:rsidRPr="00C3671E" w:rsidRDefault="005E32BB" w:rsidP="00AA6335">
            <w:pPr>
              <w:rPr>
                <w:sz w:val="20"/>
                <w:szCs w:val="20"/>
                <w:lang w:val="en-GB"/>
              </w:rPr>
            </w:pPr>
            <w:r w:rsidRPr="00C3671E">
              <w:rPr>
                <w:sz w:val="20"/>
                <w:szCs w:val="20"/>
                <w:lang w:val="en-GB"/>
              </w:rPr>
              <w:t>55.4</w:t>
            </w:r>
          </w:p>
        </w:tc>
        <w:tc>
          <w:tcPr>
            <w:tcW w:w="1367" w:type="dxa"/>
          </w:tcPr>
          <w:p w14:paraId="6E1DA1A7" w14:textId="77777777" w:rsidR="005E32BB" w:rsidRPr="00C3671E" w:rsidRDefault="005E32BB" w:rsidP="00AA6335">
            <w:pPr>
              <w:rPr>
                <w:sz w:val="20"/>
                <w:szCs w:val="20"/>
                <w:lang w:val="en-GB"/>
              </w:rPr>
            </w:pPr>
            <w:r w:rsidRPr="00C3671E">
              <w:rPr>
                <w:sz w:val="20"/>
                <w:szCs w:val="20"/>
                <w:lang w:val="en-GB"/>
              </w:rPr>
              <w:t>59.9</w:t>
            </w:r>
          </w:p>
        </w:tc>
        <w:tc>
          <w:tcPr>
            <w:tcW w:w="1367" w:type="dxa"/>
            <w:shd w:val="clear" w:color="auto" w:fill="auto"/>
          </w:tcPr>
          <w:p w14:paraId="01CF7736" w14:textId="77777777" w:rsidR="005E32BB" w:rsidRPr="00C3671E" w:rsidRDefault="005E32BB" w:rsidP="00AA6335">
            <w:pPr>
              <w:rPr>
                <w:sz w:val="20"/>
                <w:szCs w:val="20"/>
                <w:lang w:val="en-GB"/>
              </w:rPr>
            </w:pPr>
            <w:r w:rsidRPr="00C3671E">
              <w:rPr>
                <w:sz w:val="20"/>
                <w:szCs w:val="20"/>
                <w:lang w:val="en-GB"/>
              </w:rPr>
              <w:t>51.5</w:t>
            </w:r>
          </w:p>
        </w:tc>
      </w:tr>
      <w:tr w:rsidR="005E32BB" w:rsidRPr="00C3671E" w14:paraId="0BDA6E4A" w14:textId="77777777" w:rsidTr="00AA6335">
        <w:tc>
          <w:tcPr>
            <w:tcW w:w="1272" w:type="dxa"/>
            <w:vMerge/>
            <w:shd w:val="clear" w:color="auto" w:fill="auto"/>
          </w:tcPr>
          <w:p w14:paraId="6809922F" w14:textId="77777777" w:rsidR="005E32BB" w:rsidRPr="00C3671E" w:rsidRDefault="005E32BB" w:rsidP="00AA6335">
            <w:pPr>
              <w:rPr>
                <w:sz w:val="20"/>
                <w:szCs w:val="20"/>
                <w:lang w:val="en-GB"/>
              </w:rPr>
            </w:pPr>
          </w:p>
        </w:tc>
        <w:tc>
          <w:tcPr>
            <w:tcW w:w="2502" w:type="dxa"/>
            <w:shd w:val="clear" w:color="auto" w:fill="auto"/>
          </w:tcPr>
          <w:p w14:paraId="5239FF79" w14:textId="77777777" w:rsidR="005E32BB" w:rsidRPr="00C3671E" w:rsidRDefault="005E32BB" w:rsidP="00AA6335">
            <w:pPr>
              <w:rPr>
                <w:sz w:val="20"/>
                <w:szCs w:val="20"/>
                <w:lang w:val="en-GB"/>
              </w:rPr>
            </w:pPr>
            <w:r w:rsidRPr="00C3671E">
              <w:rPr>
                <w:sz w:val="20"/>
                <w:szCs w:val="20"/>
                <w:lang w:val="en-GB"/>
              </w:rPr>
              <w:t>Living with partner</w:t>
            </w:r>
          </w:p>
        </w:tc>
        <w:tc>
          <w:tcPr>
            <w:tcW w:w="1367" w:type="dxa"/>
            <w:shd w:val="clear" w:color="auto" w:fill="auto"/>
          </w:tcPr>
          <w:p w14:paraId="160A9C1A" w14:textId="77777777" w:rsidR="005E32BB" w:rsidRPr="00C3671E" w:rsidRDefault="005E32BB" w:rsidP="00AA6335">
            <w:pPr>
              <w:rPr>
                <w:sz w:val="20"/>
                <w:szCs w:val="20"/>
                <w:lang w:val="en-GB"/>
              </w:rPr>
            </w:pPr>
            <w:r w:rsidRPr="00C3671E">
              <w:rPr>
                <w:sz w:val="20"/>
                <w:szCs w:val="20"/>
                <w:lang w:val="en-GB"/>
              </w:rPr>
              <w:t>77.7</w:t>
            </w:r>
          </w:p>
        </w:tc>
        <w:tc>
          <w:tcPr>
            <w:tcW w:w="1367" w:type="dxa"/>
          </w:tcPr>
          <w:p w14:paraId="30134E70" w14:textId="77777777" w:rsidR="005E32BB" w:rsidRPr="00C3671E" w:rsidRDefault="005E32BB" w:rsidP="00AA6335">
            <w:pPr>
              <w:rPr>
                <w:sz w:val="20"/>
                <w:szCs w:val="20"/>
                <w:lang w:val="en-GB"/>
              </w:rPr>
            </w:pPr>
            <w:r w:rsidRPr="00C3671E">
              <w:rPr>
                <w:sz w:val="20"/>
                <w:szCs w:val="20"/>
                <w:lang w:val="en-GB"/>
              </w:rPr>
              <w:t>80.0</w:t>
            </w:r>
          </w:p>
        </w:tc>
        <w:tc>
          <w:tcPr>
            <w:tcW w:w="1367" w:type="dxa"/>
            <w:shd w:val="clear" w:color="auto" w:fill="auto"/>
          </w:tcPr>
          <w:p w14:paraId="6FB4F2FB" w14:textId="77777777" w:rsidR="005E32BB" w:rsidRPr="00C3671E" w:rsidRDefault="005E32BB" w:rsidP="00AA6335">
            <w:pPr>
              <w:rPr>
                <w:sz w:val="20"/>
                <w:szCs w:val="20"/>
                <w:lang w:val="en-GB"/>
              </w:rPr>
            </w:pPr>
            <w:r w:rsidRPr="00C3671E">
              <w:rPr>
                <w:sz w:val="20"/>
                <w:szCs w:val="20"/>
                <w:lang w:val="en-GB"/>
              </w:rPr>
              <w:t>75.7</w:t>
            </w:r>
          </w:p>
        </w:tc>
      </w:tr>
      <w:tr w:rsidR="005E32BB" w:rsidRPr="00C3671E" w14:paraId="0C723D40" w14:textId="77777777" w:rsidTr="00AA6335">
        <w:tc>
          <w:tcPr>
            <w:tcW w:w="1272" w:type="dxa"/>
            <w:vMerge/>
            <w:shd w:val="clear" w:color="auto" w:fill="auto"/>
          </w:tcPr>
          <w:p w14:paraId="55C5BDF6" w14:textId="77777777" w:rsidR="005E32BB" w:rsidRPr="00C3671E" w:rsidRDefault="005E32BB" w:rsidP="00AA6335">
            <w:pPr>
              <w:rPr>
                <w:sz w:val="20"/>
                <w:szCs w:val="20"/>
                <w:lang w:val="en-GB"/>
              </w:rPr>
            </w:pPr>
          </w:p>
        </w:tc>
        <w:tc>
          <w:tcPr>
            <w:tcW w:w="2502" w:type="dxa"/>
            <w:shd w:val="clear" w:color="auto" w:fill="auto"/>
          </w:tcPr>
          <w:p w14:paraId="1E155F3C" w14:textId="77777777" w:rsidR="005E32BB" w:rsidRPr="00C3671E" w:rsidRDefault="005E32BB" w:rsidP="00AA6335">
            <w:pPr>
              <w:rPr>
                <w:sz w:val="20"/>
                <w:szCs w:val="20"/>
                <w:lang w:val="en-GB"/>
              </w:rPr>
            </w:pPr>
            <w:r w:rsidRPr="00C3671E">
              <w:rPr>
                <w:sz w:val="20"/>
                <w:szCs w:val="20"/>
                <w:lang w:val="en-GB"/>
              </w:rPr>
              <w:t>Health – poor or fair</w:t>
            </w:r>
          </w:p>
        </w:tc>
        <w:tc>
          <w:tcPr>
            <w:tcW w:w="1367" w:type="dxa"/>
            <w:shd w:val="clear" w:color="auto" w:fill="auto"/>
          </w:tcPr>
          <w:p w14:paraId="34F3449C" w14:textId="77777777" w:rsidR="005E32BB" w:rsidRPr="00C3671E" w:rsidRDefault="005E32BB" w:rsidP="00AA6335">
            <w:pPr>
              <w:rPr>
                <w:sz w:val="20"/>
                <w:szCs w:val="20"/>
                <w:lang w:val="en-GB"/>
              </w:rPr>
            </w:pPr>
            <w:r w:rsidRPr="00C3671E">
              <w:rPr>
                <w:sz w:val="20"/>
                <w:szCs w:val="20"/>
                <w:lang w:val="en-GB"/>
              </w:rPr>
              <w:t>20.2</w:t>
            </w:r>
          </w:p>
        </w:tc>
        <w:tc>
          <w:tcPr>
            <w:tcW w:w="1367" w:type="dxa"/>
          </w:tcPr>
          <w:p w14:paraId="739BD6E8" w14:textId="77777777" w:rsidR="005E32BB" w:rsidRPr="00C3671E" w:rsidRDefault="005E32BB" w:rsidP="00AA6335">
            <w:pPr>
              <w:rPr>
                <w:sz w:val="20"/>
                <w:szCs w:val="20"/>
                <w:lang w:val="en-GB"/>
              </w:rPr>
            </w:pPr>
            <w:r w:rsidRPr="00C3671E">
              <w:rPr>
                <w:sz w:val="20"/>
                <w:szCs w:val="20"/>
                <w:lang w:val="en-GB"/>
              </w:rPr>
              <w:t>22.9</w:t>
            </w:r>
          </w:p>
        </w:tc>
        <w:tc>
          <w:tcPr>
            <w:tcW w:w="1367" w:type="dxa"/>
            <w:shd w:val="clear" w:color="auto" w:fill="auto"/>
          </w:tcPr>
          <w:p w14:paraId="3C907200" w14:textId="77777777" w:rsidR="005E32BB" w:rsidRPr="00C3671E" w:rsidRDefault="005E32BB" w:rsidP="00AA6335">
            <w:pPr>
              <w:rPr>
                <w:sz w:val="20"/>
                <w:szCs w:val="20"/>
                <w:lang w:val="en-GB"/>
              </w:rPr>
            </w:pPr>
            <w:r w:rsidRPr="00C3671E">
              <w:rPr>
                <w:sz w:val="20"/>
                <w:szCs w:val="20"/>
                <w:lang w:val="en-GB"/>
              </w:rPr>
              <w:t>18.0</w:t>
            </w:r>
          </w:p>
        </w:tc>
      </w:tr>
      <w:tr w:rsidR="005E32BB" w:rsidRPr="00C3671E" w14:paraId="7DAB4AA5" w14:textId="77777777" w:rsidTr="00AA6335">
        <w:tc>
          <w:tcPr>
            <w:tcW w:w="1272" w:type="dxa"/>
            <w:vMerge/>
            <w:shd w:val="clear" w:color="auto" w:fill="auto"/>
          </w:tcPr>
          <w:p w14:paraId="15A46C29" w14:textId="77777777" w:rsidR="005E32BB" w:rsidRPr="00C3671E" w:rsidRDefault="005E32BB" w:rsidP="00AA6335">
            <w:pPr>
              <w:rPr>
                <w:sz w:val="20"/>
                <w:szCs w:val="20"/>
                <w:lang w:val="en-GB"/>
              </w:rPr>
            </w:pPr>
          </w:p>
        </w:tc>
        <w:tc>
          <w:tcPr>
            <w:tcW w:w="2502" w:type="dxa"/>
            <w:shd w:val="clear" w:color="auto" w:fill="auto"/>
          </w:tcPr>
          <w:p w14:paraId="5FD6254D" w14:textId="77777777" w:rsidR="005E32BB" w:rsidRPr="00C3671E" w:rsidRDefault="005E32BB" w:rsidP="00AA6335">
            <w:pPr>
              <w:rPr>
                <w:sz w:val="20"/>
                <w:szCs w:val="20"/>
                <w:lang w:val="en-GB"/>
              </w:rPr>
            </w:pPr>
            <w:r w:rsidRPr="00C3671E">
              <w:rPr>
                <w:sz w:val="20"/>
                <w:szCs w:val="20"/>
                <w:lang w:val="en-GB"/>
              </w:rPr>
              <w:t xml:space="preserve">     good</w:t>
            </w:r>
          </w:p>
        </w:tc>
        <w:tc>
          <w:tcPr>
            <w:tcW w:w="1367" w:type="dxa"/>
            <w:shd w:val="clear" w:color="auto" w:fill="auto"/>
          </w:tcPr>
          <w:p w14:paraId="3561F4F5" w14:textId="77777777" w:rsidR="005E32BB" w:rsidRPr="00C3671E" w:rsidRDefault="005E32BB" w:rsidP="00AA6335">
            <w:pPr>
              <w:rPr>
                <w:sz w:val="20"/>
                <w:szCs w:val="20"/>
                <w:lang w:val="en-GB"/>
              </w:rPr>
            </w:pPr>
            <w:r w:rsidRPr="00C3671E">
              <w:rPr>
                <w:sz w:val="20"/>
                <w:szCs w:val="20"/>
                <w:lang w:val="en-GB"/>
              </w:rPr>
              <w:t>44.4</w:t>
            </w:r>
          </w:p>
        </w:tc>
        <w:tc>
          <w:tcPr>
            <w:tcW w:w="1367" w:type="dxa"/>
          </w:tcPr>
          <w:p w14:paraId="09FF29C2" w14:textId="77777777" w:rsidR="005E32BB" w:rsidRPr="00C3671E" w:rsidRDefault="005E32BB" w:rsidP="00AA6335">
            <w:pPr>
              <w:rPr>
                <w:sz w:val="20"/>
                <w:szCs w:val="20"/>
                <w:lang w:val="en-GB"/>
              </w:rPr>
            </w:pPr>
            <w:r w:rsidRPr="00C3671E">
              <w:rPr>
                <w:sz w:val="20"/>
                <w:szCs w:val="20"/>
                <w:lang w:val="en-GB"/>
              </w:rPr>
              <w:t>44.4</w:t>
            </w:r>
          </w:p>
        </w:tc>
        <w:tc>
          <w:tcPr>
            <w:tcW w:w="1367" w:type="dxa"/>
            <w:shd w:val="clear" w:color="auto" w:fill="auto"/>
          </w:tcPr>
          <w:p w14:paraId="1CF1A749" w14:textId="77777777" w:rsidR="005E32BB" w:rsidRPr="00C3671E" w:rsidRDefault="005E32BB" w:rsidP="00AA6335">
            <w:pPr>
              <w:rPr>
                <w:sz w:val="20"/>
                <w:szCs w:val="20"/>
                <w:lang w:val="en-GB"/>
              </w:rPr>
            </w:pPr>
            <w:r w:rsidRPr="00C3671E">
              <w:rPr>
                <w:sz w:val="20"/>
                <w:szCs w:val="20"/>
                <w:lang w:val="en-GB"/>
              </w:rPr>
              <w:t>44.3</w:t>
            </w:r>
          </w:p>
        </w:tc>
      </w:tr>
      <w:tr w:rsidR="005E32BB" w:rsidRPr="00C3671E" w14:paraId="7D874622" w14:textId="77777777" w:rsidTr="00AA6335">
        <w:tc>
          <w:tcPr>
            <w:tcW w:w="1272" w:type="dxa"/>
            <w:vMerge/>
            <w:shd w:val="clear" w:color="auto" w:fill="auto"/>
          </w:tcPr>
          <w:p w14:paraId="2F5BA5D0" w14:textId="77777777" w:rsidR="005E32BB" w:rsidRPr="00C3671E" w:rsidRDefault="005E32BB" w:rsidP="00AA6335">
            <w:pPr>
              <w:rPr>
                <w:sz w:val="20"/>
                <w:szCs w:val="20"/>
                <w:lang w:val="en-GB"/>
              </w:rPr>
            </w:pPr>
          </w:p>
        </w:tc>
        <w:tc>
          <w:tcPr>
            <w:tcW w:w="2502" w:type="dxa"/>
            <w:shd w:val="clear" w:color="auto" w:fill="auto"/>
          </w:tcPr>
          <w:p w14:paraId="69F4D86E" w14:textId="77777777" w:rsidR="005E32BB" w:rsidRPr="00C3671E" w:rsidRDefault="005E32BB" w:rsidP="00AA6335">
            <w:pPr>
              <w:rPr>
                <w:sz w:val="20"/>
                <w:szCs w:val="20"/>
                <w:lang w:val="en-GB"/>
              </w:rPr>
            </w:pPr>
            <w:r w:rsidRPr="00C3671E">
              <w:rPr>
                <w:sz w:val="20"/>
                <w:szCs w:val="20"/>
                <w:lang w:val="en-GB"/>
              </w:rPr>
              <w:t xml:space="preserve">     very good</w:t>
            </w:r>
          </w:p>
        </w:tc>
        <w:tc>
          <w:tcPr>
            <w:tcW w:w="1367" w:type="dxa"/>
            <w:shd w:val="clear" w:color="auto" w:fill="auto"/>
          </w:tcPr>
          <w:p w14:paraId="711FD2D1" w14:textId="77777777" w:rsidR="005E32BB" w:rsidRPr="00C3671E" w:rsidRDefault="005E32BB" w:rsidP="00AA6335">
            <w:pPr>
              <w:rPr>
                <w:sz w:val="20"/>
                <w:szCs w:val="20"/>
                <w:lang w:val="en-GB"/>
              </w:rPr>
            </w:pPr>
            <w:r w:rsidRPr="00C3671E">
              <w:rPr>
                <w:sz w:val="20"/>
                <w:szCs w:val="20"/>
                <w:lang w:val="en-GB"/>
              </w:rPr>
              <w:t>26.5</w:t>
            </w:r>
          </w:p>
        </w:tc>
        <w:tc>
          <w:tcPr>
            <w:tcW w:w="1367" w:type="dxa"/>
          </w:tcPr>
          <w:p w14:paraId="6CE79A7A" w14:textId="77777777" w:rsidR="005E32BB" w:rsidRPr="00C3671E" w:rsidRDefault="005E32BB" w:rsidP="00AA6335">
            <w:pPr>
              <w:rPr>
                <w:sz w:val="20"/>
                <w:szCs w:val="20"/>
                <w:lang w:val="en-GB"/>
              </w:rPr>
            </w:pPr>
            <w:r w:rsidRPr="00C3671E">
              <w:rPr>
                <w:sz w:val="20"/>
                <w:szCs w:val="20"/>
                <w:lang w:val="en-GB"/>
              </w:rPr>
              <w:t>24.8</w:t>
            </w:r>
          </w:p>
        </w:tc>
        <w:tc>
          <w:tcPr>
            <w:tcW w:w="1367" w:type="dxa"/>
            <w:shd w:val="clear" w:color="auto" w:fill="auto"/>
          </w:tcPr>
          <w:p w14:paraId="0C1E3295" w14:textId="77777777" w:rsidR="005E32BB" w:rsidRPr="00C3671E" w:rsidRDefault="005E32BB" w:rsidP="00AA6335">
            <w:pPr>
              <w:rPr>
                <w:sz w:val="20"/>
                <w:szCs w:val="20"/>
                <w:lang w:val="en-GB"/>
              </w:rPr>
            </w:pPr>
            <w:r w:rsidRPr="00C3671E">
              <w:rPr>
                <w:sz w:val="20"/>
                <w:szCs w:val="20"/>
                <w:lang w:val="en-GB"/>
              </w:rPr>
              <w:t>28.0</w:t>
            </w:r>
          </w:p>
        </w:tc>
      </w:tr>
      <w:tr w:rsidR="005E32BB" w:rsidRPr="00C3671E" w14:paraId="4C117AB4" w14:textId="77777777" w:rsidTr="00AA6335">
        <w:tc>
          <w:tcPr>
            <w:tcW w:w="1272" w:type="dxa"/>
            <w:vMerge/>
            <w:shd w:val="clear" w:color="auto" w:fill="auto"/>
          </w:tcPr>
          <w:p w14:paraId="499A758B" w14:textId="77777777" w:rsidR="005E32BB" w:rsidRPr="00C3671E" w:rsidRDefault="005E32BB" w:rsidP="00AA6335">
            <w:pPr>
              <w:rPr>
                <w:sz w:val="20"/>
                <w:szCs w:val="20"/>
                <w:lang w:val="en-GB"/>
              </w:rPr>
            </w:pPr>
          </w:p>
        </w:tc>
        <w:tc>
          <w:tcPr>
            <w:tcW w:w="2502" w:type="dxa"/>
            <w:shd w:val="clear" w:color="auto" w:fill="auto"/>
          </w:tcPr>
          <w:p w14:paraId="459C449D" w14:textId="77777777" w:rsidR="005E32BB" w:rsidRPr="00C3671E" w:rsidRDefault="005E32BB" w:rsidP="00AA6335">
            <w:pPr>
              <w:rPr>
                <w:sz w:val="20"/>
                <w:szCs w:val="20"/>
                <w:lang w:val="en-GB"/>
              </w:rPr>
            </w:pPr>
            <w:r w:rsidRPr="00C3671E">
              <w:rPr>
                <w:sz w:val="20"/>
                <w:szCs w:val="20"/>
                <w:lang w:val="en-GB"/>
              </w:rPr>
              <w:t xml:space="preserve">     excellent</w:t>
            </w:r>
          </w:p>
        </w:tc>
        <w:tc>
          <w:tcPr>
            <w:tcW w:w="1367" w:type="dxa"/>
            <w:shd w:val="clear" w:color="auto" w:fill="auto"/>
          </w:tcPr>
          <w:p w14:paraId="17012330" w14:textId="77777777" w:rsidR="005E32BB" w:rsidRPr="00C3671E" w:rsidRDefault="005E32BB" w:rsidP="00AA6335">
            <w:pPr>
              <w:rPr>
                <w:sz w:val="20"/>
                <w:szCs w:val="20"/>
                <w:lang w:val="en-GB"/>
              </w:rPr>
            </w:pPr>
            <w:r w:rsidRPr="00C3671E">
              <w:rPr>
                <w:sz w:val="20"/>
                <w:szCs w:val="20"/>
                <w:lang w:val="en-GB"/>
              </w:rPr>
              <w:t>8.9</w:t>
            </w:r>
          </w:p>
        </w:tc>
        <w:tc>
          <w:tcPr>
            <w:tcW w:w="1367" w:type="dxa"/>
          </w:tcPr>
          <w:p w14:paraId="21AFAE59" w14:textId="77777777" w:rsidR="005E32BB" w:rsidRPr="00C3671E" w:rsidRDefault="005E32BB" w:rsidP="00AA6335">
            <w:pPr>
              <w:rPr>
                <w:sz w:val="20"/>
                <w:szCs w:val="20"/>
                <w:lang w:val="en-GB"/>
              </w:rPr>
            </w:pPr>
            <w:r w:rsidRPr="00C3671E">
              <w:rPr>
                <w:sz w:val="20"/>
                <w:szCs w:val="20"/>
                <w:lang w:val="en-GB"/>
              </w:rPr>
              <w:t>7.9</w:t>
            </w:r>
          </w:p>
        </w:tc>
        <w:tc>
          <w:tcPr>
            <w:tcW w:w="1367" w:type="dxa"/>
            <w:shd w:val="clear" w:color="auto" w:fill="auto"/>
          </w:tcPr>
          <w:p w14:paraId="6BC051DD" w14:textId="77777777" w:rsidR="005E32BB" w:rsidRPr="00C3671E" w:rsidRDefault="005E32BB" w:rsidP="00AA6335">
            <w:pPr>
              <w:rPr>
                <w:sz w:val="20"/>
                <w:szCs w:val="20"/>
                <w:lang w:val="en-GB"/>
              </w:rPr>
            </w:pPr>
            <w:r w:rsidRPr="00C3671E">
              <w:rPr>
                <w:sz w:val="20"/>
                <w:szCs w:val="20"/>
                <w:lang w:val="en-GB"/>
              </w:rPr>
              <w:t>9.7</w:t>
            </w:r>
          </w:p>
        </w:tc>
      </w:tr>
      <w:tr w:rsidR="005E32BB" w:rsidRPr="00C3671E" w14:paraId="050E57C4" w14:textId="77777777" w:rsidTr="00AA6335">
        <w:tc>
          <w:tcPr>
            <w:tcW w:w="1272" w:type="dxa"/>
            <w:vMerge/>
            <w:shd w:val="clear" w:color="auto" w:fill="auto"/>
          </w:tcPr>
          <w:p w14:paraId="559D2920" w14:textId="77777777" w:rsidR="005E32BB" w:rsidRPr="00C3671E" w:rsidRDefault="005E32BB" w:rsidP="00AA6335">
            <w:pPr>
              <w:rPr>
                <w:sz w:val="20"/>
                <w:szCs w:val="20"/>
                <w:lang w:val="en-GB"/>
              </w:rPr>
            </w:pPr>
          </w:p>
        </w:tc>
        <w:tc>
          <w:tcPr>
            <w:tcW w:w="2502" w:type="dxa"/>
            <w:shd w:val="clear" w:color="auto" w:fill="auto"/>
          </w:tcPr>
          <w:p w14:paraId="093F9362" w14:textId="77777777" w:rsidR="005E32BB" w:rsidRPr="00C3671E" w:rsidRDefault="005E32BB" w:rsidP="00AA6335">
            <w:pPr>
              <w:rPr>
                <w:sz w:val="20"/>
                <w:szCs w:val="20"/>
                <w:lang w:val="en-GB"/>
              </w:rPr>
            </w:pPr>
            <w:r w:rsidRPr="00C3671E">
              <w:rPr>
                <w:sz w:val="20"/>
                <w:szCs w:val="20"/>
                <w:lang w:val="en-GB"/>
              </w:rPr>
              <w:t>Austria</w:t>
            </w:r>
          </w:p>
        </w:tc>
        <w:tc>
          <w:tcPr>
            <w:tcW w:w="1367" w:type="dxa"/>
            <w:shd w:val="clear" w:color="auto" w:fill="auto"/>
          </w:tcPr>
          <w:p w14:paraId="6705D983" w14:textId="77777777" w:rsidR="005E32BB" w:rsidRPr="00C3671E" w:rsidRDefault="005E32BB" w:rsidP="00AA6335">
            <w:pPr>
              <w:rPr>
                <w:sz w:val="20"/>
                <w:szCs w:val="20"/>
                <w:lang w:val="en-GB"/>
              </w:rPr>
            </w:pPr>
            <w:r w:rsidRPr="00C3671E">
              <w:rPr>
                <w:sz w:val="20"/>
                <w:szCs w:val="20"/>
                <w:lang w:val="en-GB"/>
              </w:rPr>
              <w:t>13.3</w:t>
            </w:r>
          </w:p>
        </w:tc>
        <w:tc>
          <w:tcPr>
            <w:tcW w:w="1367" w:type="dxa"/>
          </w:tcPr>
          <w:p w14:paraId="6676584B" w14:textId="77777777" w:rsidR="005E32BB" w:rsidRPr="00C3671E" w:rsidRDefault="005E32BB" w:rsidP="00AA6335">
            <w:pPr>
              <w:rPr>
                <w:sz w:val="20"/>
                <w:szCs w:val="20"/>
                <w:lang w:val="en-GB"/>
              </w:rPr>
            </w:pPr>
            <w:r w:rsidRPr="00C3671E">
              <w:rPr>
                <w:sz w:val="20"/>
                <w:szCs w:val="20"/>
                <w:lang w:val="en-GB"/>
              </w:rPr>
              <w:t>18.3</w:t>
            </w:r>
          </w:p>
        </w:tc>
        <w:tc>
          <w:tcPr>
            <w:tcW w:w="1367" w:type="dxa"/>
            <w:shd w:val="clear" w:color="auto" w:fill="auto"/>
          </w:tcPr>
          <w:p w14:paraId="6526300D" w14:textId="77777777" w:rsidR="005E32BB" w:rsidRPr="00C3671E" w:rsidRDefault="005E32BB" w:rsidP="00AA6335">
            <w:pPr>
              <w:rPr>
                <w:sz w:val="20"/>
                <w:szCs w:val="20"/>
                <w:lang w:val="en-GB"/>
              </w:rPr>
            </w:pPr>
            <w:r w:rsidRPr="00C3671E">
              <w:rPr>
                <w:sz w:val="20"/>
                <w:szCs w:val="20"/>
                <w:lang w:val="en-GB"/>
              </w:rPr>
              <w:t>8.8</w:t>
            </w:r>
          </w:p>
        </w:tc>
      </w:tr>
      <w:tr w:rsidR="005E32BB" w:rsidRPr="00C3671E" w14:paraId="78A86A5F" w14:textId="77777777" w:rsidTr="00AA6335">
        <w:tc>
          <w:tcPr>
            <w:tcW w:w="1272" w:type="dxa"/>
            <w:vMerge/>
            <w:shd w:val="clear" w:color="auto" w:fill="auto"/>
          </w:tcPr>
          <w:p w14:paraId="1249A30B" w14:textId="77777777" w:rsidR="005E32BB" w:rsidRPr="00C3671E" w:rsidRDefault="005E32BB" w:rsidP="00AA6335">
            <w:pPr>
              <w:rPr>
                <w:sz w:val="20"/>
                <w:szCs w:val="20"/>
                <w:lang w:val="en-GB"/>
              </w:rPr>
            </w:pPr>
          </w:p>
        </w:tc>
        <w:tc>
          <w:tcPr>
            <w:tcW w:w="2502" w:type="dxa"/>
            <w:shd w:val="clear" w:color="auto" w:fill="auto"/>
          </w:tcPr>
          <w:p w14:paraId="2E009040" w14:textId="77777777" w:rsidR="005E32BB" w:rsidRPr="00C3671E" w:rsidRDefault="005E32BB" w:rsidP="00AA6335">
            <w:pPr>
              <w:rPr>
                <w:sz w:val="20"/>
                <w:szCs w:val="20"/>
                <w:lang w:val="en-GB"/>
              </w:rPr>
            </w:pPr>
            <w:r w:rsidRPr="00C3671E">
              <w:rPr>
                <w:sz w:val="20"/>
                <w:szCs w:val="20"/>
                <w:lang w:val="en-GB"/>
              </w:rPr>
              <w:t>Belgium</w:t>
            </w:r>
          </w:p>
        </w:tc>
        <w:tc>
          <w:tcPr>
            <w:tcW w:w="1367" w:type="dxa"/>
            <w:shd w:val="clear" w:color="auto" w:fill="auto"/>
          </w:tcPr>
          <w:p w14:paraId="66AAA404" w14:textId="77777777" w:rsidR="005E32BB" w:rsidRPr="00C3671E" w:rsidRDefault="005E32BB" w:rsidP="00AA6335">
            <w:pPr>
              <w:rPr>
                <w:sz w:val="20"/>
                <w:szCs w:val="20"/>
                <w:lang w:val="en-GB"/>
              </w:rPr>
            </w:pPr>
            <w:r w:rsidRPr="00C3671E">
              <w:rPr>
                <w:sz w:val="20"/>
                <w:szCs w:val="20"/>
                <w:lang w:val="en-GB"/>
              </w:rPr>
              <w:t>24.8</w:t>
            </w:r>
          </w:p>
        </w:tc>
        <w:tc>
          <w:tcPr>
            <w:tcW w:w="1367" w:type="dxa"/>
          </w:tcPr>
          <w:p w14:paraId="3B631335" w14:textId="77777777" w:rsidR="005E32BB" w:rsidRPr="00C3671E" w:rsidRDefault="005E32BB" w:rsidP="00AA6335">
            <w:pPr>
              <w:rPr>
                <w:sz w:val="20"/>
                <w:szCs w:val="20"/>
                <w:lang w:val="en-GB"/>
              </w:rPr>
            </w:pPr>
            <w:r w:rsidRPr="00C3671E">
              <w:rPr>
                <w:sz w:val="20"/>
                <w:szCs w:val="20"/>
                <w:lang w:val="en-GB"/>
              </w:rPr>
              <w:t>26.3</w:t>
            </w:r>
          </w:p>
        </w:tc>
        <w:tc>
          <w:tcPr>
            <w:tcW w:w="1367" w:type="dxa"/>
            <w:shd w:val="clear" w:color="auto" w:fill="auto"/>
          </w:tcPr>
          <w:p w14:paraId="62E4A55A" w14:textId="77777777" w:rsidR="005E32BB" w:rsidRPr="00C3671E" w:rsidRDefault="005E32BB" w:rsidP="00AA6335">
            <w:pPr>
              <w:rPr>
                <w:sz w:val="20"/>
                <w:szCs w:val="20"/>
                <w:lang w:val="en-GB"/>
              </w:rPr>
            </w:pPr>
            <w:r w:rsidRPr="00C3671E">
              <w:rPr>
                <w:sz w:val="20"/>
                <w:szCs w:val="20"/>
                <w:lang w:val="en-GB"/>
              </w:rPr>
              <w:t>23.6</w:t>
            </w:r>
          </w:p>
        </w:tc>
      </w:tr>
      <w:tr w:rsidR="005E32BB" w:rsidRPr="00C3671E" w14:paraId="1F2C8405" w14:textId="77777777" w:rsidTr="00AA6335">
        <w:tc>
          <w:tcPr>
            <w:tcW w:w="1272" w:type="dxa"/>
            <w:vMerge/>
            <w:shd w:val="clear" w:color="auto" w:fill="auto"/>
          </w:tcPr>
          <w:p w14:paraId="7005C84D" w14:textId="77777777" w:rsidR="005E32BB" w:rsidRPr="00C3671E" w:rsidRDefault="005E32BB" w:rsidP="00AA6335">
            <w:pPr>
              <w:rPr>
                <w:sz w:val="20"/>
                <w:szCs w:val="20"/>
                <w:lang w:val="en-GB"/>
              </w:rPr>
            </w:pPr>
          </w:p>
        </w:tc>
        <w:tc>
          <w:tcPr>
            <w:tcW w:w="2502" w:type="dxa"/>
            <w:shd w:val="clear" w:color="auto" w:fill="auto"/>
          </w:tcPr>
          <w:p w14:paraId="28E233AD" w14:textId="77777777" w:rsidR="005E32BB" w:rsidRPr="00C3671E" w:rsidRDefault="005E32BB" w:rsidP="00AA6335">
            <w:pPr>
              <w:rPr>
                <w:sz w:val="20"/>
                <w:szCs w:val="20"/>
                <w:lang w:val="en-GB"/>
              </w:rPr>
            </w:pPr>
            <w:r w:rsidRPr="00C3671E">
              <w:rPr>
                <w:sz w:val="20"/>
                <w:szCs w:val="20"/>
                <w:lang w:val="en-GB"/>
              </w:rPr>
              <w:t>France</w:t>
            </w:r>
          </w:p>
        </w:tc>
        <w:tc>
          <w:tcPr>
            <w:tcW w:w="1367" w:type="dxa"/>
            <w:shd w:val="clear" w:color="auto" w:fill="auto"/>
          </w:tcPr>
          <w:p w14:paraId="08E53783" w14:textId="77777777" w:rsidR="005E32BB" w:rsidRPr="00C3671E" w:rsidRDefault="005E32BB" w:rsidP="00AA6335">
            <w:pPr>
              <w:rPr>
                <w:sz w:val="20"/>
                <w:szCs w:val="20"/>
                <w:lang w:val="en-GB"/>
              </w:rPr>
            </w:pPr>
            <w:r w:rsidRPr="00C3671E">
              <w:rPr>
                <w:sz w:val="20"/>
                <w:szCs w:val="20"/>
                <w:lang w:val="en-GB"/>
              </w:rPr>
              <w:t>18.4</w:t>
            </w:r>
          </w:p>
        </w:tc>
        <w:tc>
          <w:tcPr>
            <w:tcW w:w="1367" w:type="dxa"/>
          </w:tcPr>
          <w:p w14:paraId="5C8F50E3" w14:textId="77777777" w:rsidR="005E32BB" w:rsidRPr="00C3671E" w:rsidRDefault="005E32BB" w:rsidP="00AA6335">
            <w:pPr>
              <w:rPr>
                <w:sz w:val="20"/>
                <w:szCs w:val="20"/>
                <w:lang w:val="en-GB"/>
              </w:rPr>
            </w:pPr>
            <w:r w:rsidRPr="00C3671E">
              <w:rPr>
                <w:sz w:val="20"/>
                <w:szCs w:val="20"/>
                <w:lang w:val="en-GB"/>
              </w:rPr>
              <w:t>21.7</w:t>
            </w:r>
          </w:p>
        </w:tc>
        <w:tc>
          <w:tcPr>
            <w:tcW w:w="1367" w:type="dxa"/>
            <w:shd w:val="clear" w:color="auto" w:fill="auto"/>
          </w:tcPr>
          <w:p w14:paraId="011F0C6E" w14:textId="77777777" w:rsidR="005E32BB" w:rsidRPr="00C3671E" w:rsidRDefault="005E32BB" w:rsidP="00AA6335">
            <w:pPr>
              <w:rPr>
                <w:sz w:val="20"/>
                <w:szCs w:val="20"/>
                <w:lang w:val="en-GB"/>
              </w:rPr>
            </w:pPr>
            <w:r w:rsidRPr="00C3671E">
              <w:rPr>
                <w:sz w:val="20"/>
                <w:szCs w:val="20"/>
                <w:lang w:val="en-GB"/>
              </w:rPr>
              <w:t>15.5</w:t>
            </w:r>
          </w:p>
        </w:tc>
      </w:tr>
      <w:tr w:rsidR="005E32BB" w:rsidRPr="00C3671E" w14:paraId="3135AEFB" w14:textId="77777777" w:rsidTr="00AA6335">
        <w:tc>
          <w:tcPr>
            <w:tcW w:w="1272" w:type="dxa"/>
            <w:vMerge/>
            <w:shd w:val="clear" w:color="auto" w:fill="auto"/>
          </w:tcPr>
          <w:p w14:paraId="09D1862B" w14:textId="77777777" w:rsidR="005E32BB" w:rsidRPr="00C3671E" w:rsidRDefault="005E32BB" w:rsidP="00AA6335">
            <w:pPr>
              <w:rPr>
                <w:sz w:val="20"/>
                <w:szCs w:val="20"/>
                <w:lang w:val="en-GB"/>
              </w:rPr>
            </w:pPr>
          </w:p>
        </w:tc>
        <w:tc>
          <w:tcPr>
            <w:tcW w:w="2502" w:type="dxa"/>
            <w:shd w:val="clear" w:color="auto" w:fill="auto"/>
          </w:tcPr>
          <w:p w14:paraId="4614D023" w14:textId="77777777" w:rsidR="005E32BB" w:rsidRPr="00C3671E" w:rsidRDefault="005E32BB" w:rsidP="00AA6335">
            <w:pPr>
              <w:rPr>
                <w:sz w:val="20"/>
                <w:szCs w:val="20"/>
                <w:lang w:val="en-GB"/>
              </w:rPr>
            </w:pPr>
            <w:r w:rsidRPr="00C3671E">
              <w:rPr>
                <w:sz w:val="20"/>
                <w:szCs w:val="20"/>
                <w:lang w:val="en-GB"/>
              </w:rPr>
              <w:t>Germany</w:t>
            </w:r>
          </w:p>
        </w:tc>
        <w:tc>
          <w:tcPr>
            <w:tcW w:w="1367" w:type="dxa"/>
            <w:shd w:val="clear" w:color="auto" w:fill="auto"/>
          </w:tcPr>
          <w:p w14:paraId="2781ACDD" w14:textId="77777777" w:rsidR="005E32BB" w:rsidRPr="00C3671E" w:rsidRDefault="005E32BB" w:rsidP="00AA6335">
            <w:pPr>
              <w:rPr>
                <w:sz w:val="20"/>
                <w:szCs w:val="20"/>
                <w:lang w:val="en-GB"/>
              </w:rPr>
            </w:pPr>
            <w:r w:rsidRPr="00C3671E">
              <w:rPr>
                <w:sz w:val="20"/>
                <w:szCs w:val="20"/>
                <w:lang w:val="en-GB"/>
              </w:rPr>
              <w:t>20.7</w:t>
            </w:r>
          </w:p>
        </w:tc>
        <w:tc>
          <w:tcPr>
            <w:tcW w:w="1367" w:type="dxa"/>
          </w:tcPr>
          <w:p w14:paraId="34D169DC" w14:textId="77777777" w:rsidR="005E32BB" w:rsidRPr="00C3671E" w:rsidRDefault="005E32BB" w:rsidP="00AA6335">
            <w:pPr>
              <w:rPr>
                <w:sz w:val="20"/>
                <w:szCs w:val="20"/>
                <w:lang w:val="en-GB"/>
              </w:rPr>
            </w:pPr>
            <w:r w:rsidRPr="00C3671E">
              <w:rPr>
                <w:sz w:val="20"/>
                <w:szCs w:val="20"/>
                <w:lang w:val="en-GB"/>
              </w:rPr>
              <w:t>13.8</w:t>
            </w:r>
          </w:p>
        </w:tc>
        <w:tc>
          <w:tcPr>
            <w:tcW w:w="1367" w:type="dxa"/>
            <w:shd w:val="clear" w:color="auto" w:fill="auto"/>
          </w:tcPr>
          <w:p w14:paraId="60D6F303" w14:textId="77777777" w:rsidR="005E32BB" w:rsidRPr="00C3671E" w:rsidRDefault="005E32BB" w:rsidP="00AA6335">
            <w:pPr>
              <w:rPr>
                <w:sz w:val="20"/>
                <w:szCs w:val="20"/>
                <w:lang w:val="en-GB"/>
              </w:rPr>
            </w:pPr>
            <w:r w:rsidRPr="00C3671E">
              <w:rPr>
                <w:sz w:val="20"/>
                <w:szCs w:val="20"/>
                <w:lang w:val="en-GB"/>
              </w:rPr>
              <w:t>26.8</w:t>
            </w:r>
          </w:p>
        </w:tc>
      </w:tr>
      <w:tr w:rsidR="005E32BB" w:rsidRPr="00C3671E" w14:paraId="1BC172BB" w14:textId="77777777" w:rsidTr="00AA6335">
        <w:tc>
          <w:tcPr>
            <w:tcW w:w="1272" w:type="dxa"/>
            <w:vMerge/>
            <w:shd w:val="clear" w:color="auto" w:fill="auto"/>
          </w:tcPr>
          <w:p w14:paraId="73869471" w14:textId="77777777" w:rsidR="005E32BB" w:rsidRPr="00C3671E" w:rsidRDefault="005E32BB" w:rsidP="00AA6335">
            <w:pPr>
              <w:rPr>
                <w:sz w:val="20"/>
                <w:szCs w:val="20"/>
                <w:lang w:val="en-GB"/>
              </w:rPr>
            </w:pPr>
          </w:p>
        </w:tc>
        <w:tc>
          <w:tcPr>
            <w:tcW w:w="2502" w:type="dxa"/>
            <w:shd w:val="clear" w:color="auto" w:fill="auto"/>
          </w:tcPr>
          <w:p w14:paraId="0CF9BB46" w14:textId="77777777" w:rsidR="005E32BB" w:rsidRPr="00C3671E" w:rsidRDefault="005E32BB" w:rsidP="00AA6335">
            <w:pPr>
              <w:rPr>
                <w:sz w:val="20"/>
                <w:szCs w:val="20"/>
                <w:lang w:val="en-GB"/>
              </w:rPr>
            </w:pPr>
            <w:r w:rsidRPr="00C3671E">
              <w:rPr>
                <w:sz w:val="20"/>
                <w:szCs w:val="20"/>
                <w:lang w:val="en-GB"/>
              </w:rPr>
              <w:t>Luxemburg</w:t>
            </w:r>
          </w:p>
        </w:tc>
        <w:tc>
          <w:tcPr>
            <w:tcW w:w="1367" w:type="dxa"/>
            <w:shd w:val="clear" w:color="auto" w:fill="auto"/>
          </w:tcPr>
          <w:p w14:paraId="63922898" w14:textId="77777777" w:rsidR="005E32BB" w:rsidRPr="00C3671E" w:rsidRDefault="005E32BB" w:rsidP="00AA6335">
            <w:pPr>
              <w:rPr>
                <w:sz w:val="20"/>
                <w:szCs w:val="20"/>
                <w:lang w:val="en-GB"/>
              </w:rPr>
            </w:pPr>
            <w:r w:rsidRPr="00C3671E">
              <w:rPr>
                <w:sz w:val="20"/>
                <w:szCs w:val="20"/>
                <w:lang w:val="en-GB"/>
              </w:rPr>
              <w:t>8.4</w:t>
            </w:r>
          </w:p>
        </w:tc>
        <w:tc>
          <w:tcPr>
            <w:tcW w:w="1367" w:type="dxa"/>
          </w:tcPr>
          <w:p w14:paraId="792C49F3" w14:textId="77777777" w:rsidR="005E32BB" w:rsidRPr="00C3671E" w:rsidRDefault="005E32BB" w:rsidP="00AA6335">
            <w:pPr>
              <w:rPr>
                <w:sz w:val="20"/>
                <w:szCs w:val="20"/>
                <w:lang w:val="en-GB"/>
              </w:rPr>
            </w:pPr>
            <w:r w:rsidRPr="00C3671E">
              <w:rPr>
                <w:sz w:val="20"/>
                <w:szCs w:val="20"/>
                <w:lang w:val="en-GB"/>
              </w:rPr>
              <w:t>12.2</w:t>
            </w:r>
          </w:p>
        </w:tc>
        <w:tc>
          <w:tcPr>
            <w:tcW w:w="1367" w:type="dxa"/>
            <w:shd w:val="clear" w:color="auto" w:fill="auto"/>
          </w:tcPr>
          <w:p w14:paraId="331DDD59" w14:textId="77777777" w:rsidR="005E32BB" w:rsidRPr="00C3671E" w:rsidRDefault="005E32BB" w:rsidP="00AA6335">
            <w:pPr>
              <w:rPr>
                <w:sz w:val="20"/>
                <w:szCs w:val="20"/>
                <w:lang w:val="en-GB"/>
              </w:rPr>
            </w:pPr>
            <w:r w:rsidRPr="00C3671E">
              <w:rPr>
                <w:sz w:val="20"/>
                <w:szCs w:val="20"/>
                <w:lang w:val="en-GB"/>
              </w:rPr>
              <w:t>5.0</w:t>
            </w:r>
          </w:p>
        </w:tc>
      </w:tr>
      <w:tr w:rsidR="005E32BB" w:rsidRPr="00C3671E" w14:paraId="3F0F1042" w14:textId="77777777" w:rsidTr="00AA6335">
        <w:tc>
          <w:tcPr>
            <w:tcW w:w="1272" w:type="dxa"/>
            <w:vMerge/>
            <w:shd w:val="clear" w:color="auto" w:fill="auto"/>
          </w:tcPr>
          <w:p w14:paraId="675B29C7" w14:textId="77777777" w:rsidR="005E32BB" w:rsidRPr="00C3671E" w:rsidRDefault="005E32BB" w:rsidP="00AA6335">
            <w:pPr>
              <w:rPr>
                <w:sz w:val="20"/>
                <w:szCs w:val="20"/>
                <w:lang w:val="en-GB"/>
              </w:rPr>
            </w:pPr>
          </w:p>
        </w:tc>
        <w:tc>
          <w:tcPr>
            <w:tcW w:w="2502" w:type="dxa"/>
            <w:shd w:val="clear" w:color="auto" w:fill="auto"/>
          </w:tcPr>
          <w:p w14:paraId="2F5E99D3" w14:textId="77777777" w:rsidR="005E32BB" w:rsidRPr="00C3671E" w:rsidRDefault="005E32BB" w:rsidP="00AA6335">
            <w:pPr>
              <w:rPr>
                <w:sz w:val="20"/>
                <w:szCs w:val="20"/>
                <w:lang w:val="en-GB"/>
              </w:rPr>
            </w:pPr>
            <w:r w:rsidRPr="00C3671E">
              <w:rPr>
                <w:sz w:val="20"/>
                <w:szCs w:val="20"/>
                <w:lang w:val="en-GB"/>
              </w:rPr>
              <w:t>Switzerland</w:t>
            </w:r>
          </w:p>
        </w:tc>
        <w:tc>
          <w:tcPr>
            <w:tcW w:w="1367" w:type="dxa"/>
            <w:shd w:val="clear" w:color="auto" w:fill="auto"/>
          </w:tcPr>
          <w:p w14:paraId="5B400805" w14:textId="77777777" w:rsidR="005E32BB" w:rsidRPr="00C3671E" w:rsidRDefault="005E32BB" w:rsidP="00AA6335">
            <w:pPr>
              <w:rPr>
                <w:sz w:val="20"/>
                <w:szCs w:val="20"/>
                <w:lang w:val="en-GB"/>
              </w:rPr>
            </w:pPr>
            <w:r w:rsidRPr="00C3671E">
              <w:rPr>
                <w:sz w:val="20"/>
                <w:szCs w:val="20"/>
                <w:lang w:val="en-GB"/>
              </w:rPr>
              <w:t>14.4</w:t>
            </w:r>
          </w:p>
        </w:tc>
        <w:tc>
          <w:tcPr>
            <w:tcW w:w="1367" w:type="dxa"/>
          </w:tcPr>
          <w:p w14:paraId="428095E3" w14:textId="77777777" w:rsidR="005E32BB" w:rsidRPr="00C3671E" w:rsidRDefault="005E32BB" w:rsidP="00AA6335">
            <w:pPr>
              <w:rPr>
                <w:sz w:val="20"/>
                <w:szCs w:val="20"/>
                <w:lang w:val="en-GB"/>
              </w:rPr>
            </w:pPr>
            <w:r w:rsidRPr="00C3671E">
              <w:rPr>
                <w:sz w:val="20"/>
                <w:szCs w:val="20"/>
                <w:lang w:val="en-GB"/>
              </w:rPr>
              <w:t>7.7</w:t>
            </w:r>
          </w:p>
        </w:tc>
        <w:tc>
          <w:tcPr>
            <w:tcW w:w="1367" w:type="dxa"/>
            <w:shd w:val="clear" w:color="auto" w:fill="auto"/>
          </w:tcPr>
          <w:p w14:paraId="5A02F8C9" w14:textId="77777777" w:rsidR="005E32BB" w:rsidRPr="00C3671E" w:rsidRDefault="005E32BB" w:rsidP="00AA6335">
            <w:pPr>
              <w:rPr>
                <w:sz w:val="20"/>
                <w:szCs w:val="20"/>
                <w:lang w:val="en-GB"/>
              </w:rPr>
            </w:pPr>
            <w:r w:rsidRPr="00C3671E">
              <w:rPr>
                <w:sz w:val="20"/>
                <w:szCs w:val="20"/>
                <w:lang w:val="en-GB"/>
              </w:rPr>
              <w:t>20.3</w:t>
            </w:r>
          </w:p>
        </w:tc>
      </w:tr>
      <w:tr w:rsidR="005E32BB" w:rsidRPr="00C3671E" w14:paraId="4BA74C5D" w14:textId="77777777" w:rsidTr="00AA6335">
        <w:tc>
          <w:tcPr>
            <w:tcW w:w="1272" w:type="dxa"/>
            <w:vMerge/>
            <w:shd w:val="clear" w:color="auto" w:fill="auto"/>
          </w:tcPr>
          <w:p w14:paraId="3FEF9AA1" w14:textId="77777777" w:rsidR="005E32BB" w:rsidRPr="00C3671E" w:rsidRDefault="005E32BB" w:rsidP="00AA6335">
            <w:pPr>
              <w:rPr>
                <w:sz w:val="20"/>
                <w:szCs w:val="20"/>
                <w:lang w:val="en-GB"/>
              </w:rPr>
            </w:pPr>
          </w:p>
        </w:tc>
        <w:tc>
          <w:tcPr>
            <w:tcW w:w="2502" w:type="dxa"/>
            <w:shd w:val="clear" w:color="auto" w:fill="auto"/>
          </w:tcPr>
          <w:p w14:paraId="660BE67B" w14:textId="77777777" w:rsidR="005E32BB" w:rsidRPr="00C3671E" w:rsidRDefault="005E32BB" w:rsidP="00AA6335">
            <w:pPr>
              <w:rPr>
                <w:sz w:val="20"/>
                <w:szCs w:val="20"/>
                <w:lang w:val="en-GB"/>
              </w:rPr>
            </w:pPr>
            <w:r w:rsidRPr="00C3671E">
              <w:rPr>
                <w:sz w:val="20"/>
                <w:szCs w:val="20"/>
                <w:lang w:val="en-GB"/>
              </w:rPr>
              <w:t>N</w:t>
            </w:r>
          </w:p>
        </w:tc>
        <w:tc>
          <w:tcPr>
            <w:tcW w:w="1367" w:type="dxa"/>
            <w:shd w:val="clear" w:color="auto" w:fill="auto"/>
          </w:tcPr>
          <w:p w14:paraId="7195EE46" w14:textId="77777777" w:rsidR="005E32BB" w:rsidRPr="00C3671E" w:rsidRDefault="005E32BB" w:rsidP="00AA6335">
            <w:pPr>
              <w:rPr>
                <w:sz w:val="20"/>
                <w:szCs w:val="20"/>
                <w:lang w:val="en-GB"/>
              </w:rPr>
            </w:pPr>
            <w:r w:rsidRPr="00C3671E">
              <w:rPr>
                <w:sz w:val="20"/>
                <w:szCs w:val="20"/>
                <w:lang w:val="en-GB"/>
              </w:rPr>
              <w:t>5667</w:t>
            </w:r>
          </w:p>
        </w:tc>
        <w:tc>
          <w:tcPr>
            <w:tcW w:w="1367" w:type="dxa"/>
          </w:tcPr>
          <w:p w14:paraId="1FE2DB5C" w14:textId="77777777" w:rsidR="005E32BB" w:rsidRPr="00C3671E" w:rsidRDefault="005E32BB" w:rsidP="00AA6335">
            <w:pPr>
              <w:rPr>
                <w:sz w:val="20"/>
                <w:szCs w:val="20"/>
                <w:lang w:val="en-GB"/>
              </w:rPr>
            </w:pPr>
            <w:r w:rsidRPr="00C3671E">
              <w:rPr>
                <w:sz w:val="20"/>
                <w:szCs w:val="20"/>
                <w:lang w:val="en-GB"/>
              </w:rPr>
              <w:t>2662</w:t>
            </w:r>
          </w:p>
        </w:tc>
        <w:tc>
          <w:tcPr>
            <w:tcW w:w="1367" w:type="dxa"/>
            <w:shd w:val="clear" w:color="auto" w:fill="auto"/>
          </w:tcPr>
          <w:p w14:paraId="5D060980" w14:textId="77777777" w:rsidR="005E32BB" w:rsidRPr="00C3671E" w:rsidRDefault="005E32BB" w:rsidP="00AA6335">
            <w:pPr>
              <w:rPr>
                <w:sz w:val="20"/>
                <w:szCs w:val="20"/>
                <w:lang w:val="en-GB"/>
              </w:rPr>
            </w:pPr>
            <w:r w:rsidRPr="00C3671E">
              <w:rPr>
                <w:sz w:val="20"/>
                <w:szCs w:val="20"/>
                <w:lang w:val="en-GB"/>
              </w:rPr>
              <w:t>3005</w:t>
            </w:r>
          </w:p>
        </w:tc>
      </w:tr>
      <w:tr w:rsidR="005E32BB" w:rsidRPr="00C3671E" w14:paraId="402583BC" w14:textId="77777777" w:rsidTr="00AA6335">
        <w:tc>
          <w:tcPr>
            <w:tcW w:w="1272" w:type="dxa"/>
            <w:vMerge w:val="restart"/>
            <w:shd w:val="clear" w:color="auto" w:fill="auto"/>
          </w:tcPr>
          <w:p w14:paraId="6C2975F5" w14:textId="77777777" w:rsidR="005E32BB" w:rsidRPr="00C3671E" w:rsidRDefault="005E32BB" w:rsidP="00AA6335">
            <w:pPr>
              <w:rPr>
                <w:sz w:val="20"/>
                <w:szCs w:val="20"/>
                <w:lang w:val="en-GB"/>
              </w:rPr>
            </w:pPr>
            <w:r w:rsidRPr="00C3671E">
              <w:rPr>
                <w:sz w:val="20"/>
                <w:szCs w:val="20"/>
                <w:lang w:val="en-GB"/>
              </w:rPr>
              <w:t>Southern Europe</w:t>
            </w:r>
          </w:p>
        </w:tc>
        <w:tc>
          <w:tcPr>
            <w:tcW w:w="2502" w:type="dxa"/>
            <w:shd w:val="clear" w:color="auto" w:fill="auto"/>
          </w:tcPr>
          <w:p w14:paraId="0D9F209B" w14:textId="77777777" w:rsidR="005E32BB" w:rsidRPr="00C3671E" w:rsidRDefault="005E32BB" w:rsidP="00AA6335">
            <w:pPr>
              <w:rPr>
                <w:sz w:val="20"/>
                <w:szCs w:val="20"/>
                <w:lang w:val="en-GB"/>
              </w:rPr>
            </w:pPr>
            <w:r w:rsidRPr="00C3671E">
              <w:rPr>
                <w:sz w:val="20"/>
                <w:szCs w:val="20"/>
                <w:lang w:val="en-GB"/>
              </w:rPr>
              <w:t>Age</w:t>
            </w:r>
          </w:p>
        </w:tc>
        <w:tc>
          <w:tcPr>
            <w:tcW w:w="1367" w:type="dxa"/>
            <w:shd w:val="clear" w:color="auto" w:fill="auto"/>
          </w:tcPr>
          <w:p w14:paraId="2CB2A3AA" w14:textId="77777777" w:rsidR="005E32BB" w:rsidRPr="00C3671E" w:rsidRDefault="005E32BB" w:rsidP="00AA6335">
            <w:pPr>
              <w:rPr>
                <w:sz w:val="20"/>
                <w:szCs w:val="20"/>
                <w:lang w:val="en-GB"/>
              </w:rPr>
            </w:pPr>
            <w:r w:rsidRPr="00C3671E">
              <w:rPr>
                <w:sz w:val="20"/>
                <w:szCs w:val="20"/>
                <w:lang w:val="en-GB"/>
              </w:rPr>
              <w:t>61.2</w:t>
            </w:r>
          </w:p>
        </w:tc>
        <w:tc>
          <w:tcPr>
            <w:tcW w:w="1367" w:type="dxa"/>
          </w:tcPr>
          <w:p w14:paraId="5C3D83ED" w14:textId="77777777" w:rsidR="005E32BB" w:rsidRPr="00C3671E" w:rsidRDefault="005E32BB" w:rsidP="00AA6335">
            <w:pPr>
              <w:rPr>
                <w:sz w:val="20"/>
                <w:szCs w:val="20"/>
                <w:lang w:val="en-GB"/>
              </w:rPr>
            </w:pPr>
            <w:r w:rsidRPr="00C3671E">
              <w:rPr>
                <w:sz w:val="20"/>
                <w:szCs w:val="20"/>
                <w:lang w:val="en-GB"/>
              </w:rPr>
              <w:t>61.9</w:t>
            </w:r>
          </w:p>
        </w:tc>
        <w:tc>
          <w:tcPr>
            <w:tcW w:w="1367" w:type="dxa"/>
            <w:shd w:val="clear" w:color="auto" w:fill="auto"/>
          </w:tcPr>
          <w:p w14:paraId="3EFB0CC4" w14:textId="77777777" w:rsidR="005E32BB" w:rsidRPr="00C3671E" w:rsidRDefault="005E32BB" w:rsidP="00AA6335">
            <w:pPr>
              <w:rPr>
                <w:sz w:val="20"/>
                <w:szCs w:val="20"/>
                <w:lang w:val="en-GB"/>
              </w:rPr>
            </w:pPr>
            <w:r w:rsidRPr="00C3671E">
              <w:rPr>
                <w:sz w:val="20"/>
                <w:szCs w:val="20"/>
                <w:lang w:val="en-GB"/>
              </w:rPr>
              <w:t>60.3</w:t>
            </w:r>
          </w:p>
        </w:tc>
      </w:tr>
      <w:tr w:rsidR="005E32BB" w:rsidRPr="00C3671E" w14:paraId="222DC30C" w14:textId="77777777" w:rsidTr="00AA6335">
        <w:tc>
          <w:tcPr>
            <w:tcW w:w="1272" w:type="dxa"/>
            <w:vMerge/>
            <w:shd w:val="clear" w:color="auto" w:fill="auto"/>
          </w:tcPr>
          <w:p w14:paraId="7A3B968A" w14:textId="77777777" w:rsidR="005E32BB" w:rsidRPr="00C3671E" w:rsidRDefault="005E32BB" w:rsidP="00AA6335">
            <w:pPr>
              <w:rPr>
                <w:sz w:val="20"/>
                <w:szCs w:val="20"/>
                <w:lang w:val="en-GB"/>
              </w:rPr>
            </w:pPr>
          </w:p>
        </w:tc>
        <w:tc>
          <w:tcPr>
            <w:tcW w:w="2502" w:type="dxa"/>
            <w:shd w:val="clear" w:color="auto" w:fill="auto"/>
          </w:tcPr>
          <w:p w14:paraId="5B0B24C4" w14:textId="77777777" w:rsidR="005E32BB" w:rsidRPr="00C3671E" w:rsidRDefault="005E32BB" w:rsidP="00AA6335">
            <w:pPr>
              <w:rPr>
                <w:sz w:val="20"/>
                <w:szCs w:val="20"/>
                <w:lang w:val="en-GB"/>
              </w:rPr>
            </w:pPr>
            <w:r w:rsidRPr="00C3671E">
              <w:rPr>
                <w:sz w:val="20"/>
                <w:szCs w:val="20"/>
                <w:lang w:val="en-GB"/>
              </w:rPr>
              <w:t>Years of education</w:t>
            </w:r>
          </w:p>
        </w:tc>
        <w:tc>
          <w:tcPr>
            <w:tcW w:w="1367" w:type="dxa"/>
            <w:shd w:val="clear" w:color="auto" w:fill="auto"/>
          </w:tcPr>
          <w:p w14:paraId="558E5E20" w14:textId="77777777" w:rsidR="005E32BB" w:rsidRPr="00C3671E" w:rsidRDefault="005E32BB" w:rsidP="00AA6335">
            <w:pPr>
              <w:rPr>
                <w:sz w:val="20"/>
                <w:szCs w:val="20"/>
                <w:lang w:val="en-GB"/>
              </w:rPr>
            </w:pPr>
            <w:r w:rsidRPr="00C3671E">
              <w:rPr>
                <w:sz w:val="20"/>
                <w:szCs w:val="20"/>
                <w:lang w:val="en-GB"/>
              </w:rPr>
              <w:t>10.3</w:t>
            </w:r>
          </w:p>
        </w:tc>
        <w:tc>
          <w:tcPr>
            <w:tcW w:w="1367" w:type="dxa"/>
          </w:tcPr>
          <w:p w14:paraId="51BDD32E" w14:textId="77777777" w:rsidR="005E32BB" w:rsidRPr="00C3671E" w:rsidRDefault="005E32BB" w:rsidP="00AA6335">
            <w:pPr>
              <w:rPr>
                <w:sz w:val="20"/>
                <w:szCs w:val="20"/>
                <w:lang w:val="en-GB"/>
              </w:rPr>
            </w:pPr>
            <w:r w:rsidRPr="00C3671E">
              <w:rPr>
                <w:sz w:val="20"/>
                <w:szCs w:val="20"/>
                <w:lang w:val="en-GB"/>
              </w:rPr>
              <w:t>9.6</w:t>
            </w:r>
          </w:p>
        </w:tc>
        <w:tc>
          <w:tcPr>
            <w:tcW w:w="1367" w:type="dxa"/>
            <w:shd w:val="clear" w:color="auto" w:fill="auto"/>
          </w:tcPr>
          <w:p w14:paraId="7A5B7894" w14:textId="77777777" w:rsidR="005E32BB" w:rsidRPr="00C3671E" w:rsidRDefault="005E32BB" w:rsidP="00AA6335">
            <w:pPr>
              <w:rPr>
                <w:sz w:val="20"/>
                <w:szCs w:val="20"/>
                <w:lang w:val="en-GB"/>
              </w:rPr>
            </w:pPr>
            <w:r w:rsidRPr="00C3671E">
              <w:rPr>
                <w:sz w:val="20"/>
                <w:szCs w:val="20"/>
                <w:lang w:val="en-GB"/>
              </w:rPr>
              <w:t>11.0</w:t>
            </w:r>
          </w:p>
        </w:tc>
      </w:tr>
      <w:tr w:rsidR="005E32BB" w:rsidRPr="00C3671E" w14:paraId="6CD39783" w14:textId="77777777" w:rsidTr="00AA6335">
        <w:tc>
          <w:tcPr>
            <w:tcW w:w="1272" w:type="dxa"/>
            <w:vMerge/>
            <w:shd w:val="clear" w:color="auto" w:fill="auto"/>
          </w:tcPr>
          <w:p w14:paraId="50A071CF" w14:textId="77777777" w:rsidR="005E32BB" w:rsidRPr="00C3671E" w:rsidRDefault="005E32BB" w:rsidP="00AA6335">
            <w:pPr>
              <w:rPr>
                <w:sz w:val="20"/>
                <w:szCs w:val="20"/>
                <w:lang w:val="en-GB"/>
              </w:rPr>
            </w:pPr>
          </w:p>
        </w:tc>
        <w:tc>
          <w:tcPr>
            <w:tcW w:w="2502" w:type="dxa"/>
            <w:shd w:val="clear" w:color="auto" w:fill="auto"/>
          </w:tcPr>
          <w:p w14:paraId="363AF2DC" w14:textId="77777777" w:rsidR="005E32BB" w:rsidRPr="00C3671E" w:rsidRDefault="005E32BB" w:rsidP="00AA6335">
            <w:pPr>
              <w:rPr>
                <w:sz w:val="20"/>
                <w:szCs w:val="20"/>
                <w:lang w:val="en-GB"/>
              </w:rPr>
            </w:pPr>
            <w:r w:rsidRPr="00C3671E">
              <w:rPr>
                <w:sz w:val="20"/>
                <w:szCs w:val="20"/>
                <w:lang w:val="en-GB"/>
              </w:rPr>
              <w:t>Financial assets (thsds)</w:t>
            </w:r>
          </w:p>
        </w:tc>
        <w:tc>
          <w:tcPr>
            <w:tcW w:w="1367" w:type="dxa"/>
            <w:shd w:val="clear" w:color="auto" w:fill="auto"/>
          </w:tcPr>
          <w:p w14:paraId="0E83A18A" w14:textId="77777777" w:rsidR="005E32BB" w:rsidRPr="00C3671E" w:rsidRDefault="005E32BB" w:rsidP="00AA6335">
            <w:pPr>
              <w:rPr>
                <w:sz w:val="20"/>
                <w:szCs w:val="20"/>
                <w:lang w:val="en-GB"/>
              </w:rPr>
            </w:pPr>
            <w:r w:rsidRPr="00C3671E">
              <w:rPr>
                <w:sz w:val="20"/>
                <w:szCs w:val="20"/>
                <w:lang w:val="en-GB"/>
              </w:rPr>
              <w:t>15.2</w:t>
            </w:r>
          </w:p>
        </w:tc>
        <w:tc>
          <w:tcPr>
            <w:tcW w:w="1367" w:type="dxa"/>
          </w:tcPr>
          <w:p w14:paraId="6AD8E6C6" w14:textId="77777777" w:rsidR="005E32BB" w:rsidRPr="00C3671E" w:rsidRDefault="005E32BB" w:rsidP="00AA6335">
            <w:pPr>
              <w:rPr>
                <w:sz w:val="20"/>
                <w:szCs w:val="20"/>
                <w:lang w:val="en-GB"/>
              </w:rPr>
            </w:pPr>
            <w:r w:rsidRPr="00C3671E">
              <w:rPr>
                <w:sz w:val="20"/>
                <w:szCs w:val="20"/>
                <w:lang w:val="en-GB"/>
              </w:rPr>
              <w:t>11.6</w:t>
            </w:r>
          </w:p>
        </w:tc>
        <w:tc>
          <w:tcPr>
            <w:tcW w:w="1367" w:type="dxa"/>
            <w:shd w:val="clear" w:color="auto" w:fill="auto"/>
          </w:tcPr>
          <w:p w14:paraId="1E1A2A40" w14:textId="77777777" w:rsidR="005E32BB" w:rsidRPr="00C3671E" w:rsidRDefault="005E32BB" w:rsidP="00AA6335">
            <w:pPr>
              <w:rPr>
                <w:sz w:val="20"/>
                <w:szCs w:val="20"/>
                <w:lang w:val="en-GB"/>
              </w:rPr>
            </w:pPr>
            <w:r w:rsidRPr="00C3671E">
              <w:rPr>
                <w:sz w:val="20"/>
                <w:szCs w:val="20"/>
                <w:lang w:val="en-GB"/>
              </w:rPr>
              <w:t>19.0</w:t>
            </w:r>
          </w:p>
        </w:tc>
      </w:tr>
      <w:tr w:rsidR="005E32BB" w:rsidRPr="00C3671E" w14:paraId="4C62AB64" w14:textId="77777777" w:rsidTr="00AA6335">
        <w:tc>
          <w:tcPr>
            <w:tcW w:w="1272" w:type="dxa"/>
            <w:vMerge/>
            <w:shd w:val="clear" w:color="auto" w:fill="auto"/>
          </w:tcPr>
          <w:p w14:paraId="0C687A9F" w14:textId="77777777" w:rsidR="005E32BB" w:rsidRPr="00C3671E" w:rsidRDefault="005E32BB" w:rsidP="00AA6335">
            <w:pPr>
              <w:rPr>
                <w:sz w:val="20"/>
                <w:szCs w:val="20"/>
                <w:lang w:val="en-GB"/>
              </w:rPr>
            </w:pPr>
          </w:p>
        </w:tc>
        <w:tc>
          <w:tcPr>
            <w:tcW w:w="2502" w:type="dxa"/>
            <w:shd w:val="clear" w:color="auto" w:fill="auto"/>
          </w:tcPr>
          <w:p w14:paraId="1F34ED52" w14:textId="77777777" w:rsidR="005E32BB" w:rsidRPr="00C3671E" w:rsidRDefault="005E32BB" w:rsidP="00AA6335">
            <w:pPr>
              <w:rPr>
                <w:sz w:val="20"/>
                <w:szCs w:val="20"/>
                <w:lang w:val="en-GB"/>
              </w:rPr>
            </w:pPr>
            <w:r w:rsidRPr="00C3671E">
              <w:rPr>
                <w:sz w:val="20"/>
                <w:szCs w:val="20"/>
                <w:lang w:val="en-GB"/>
              </w:rPr>
              <w:t>Gender – female</w:t>
            </w:r>
          </w:p>
        </w:tc>
        <w:tc>
          <w:tcPr>
            <w:tcW w:w="1367" w:type="dxa"/>
            <w:shd w:val="clear" w:color="auto" w:fill="auto"/>
          </w:tcPr>
          <w:p w14:paraId="4C81282C" w14:textId="77777777" w:rsidR="005E32BB" w:rsidRPr="00C3671E" w:rsidRDefault="005E32BB" w:rsidP="00AA6335">
            <w:pPr>
              <w:rPr>
                <w:sz w:val="20"/>
                <w:szCs w:val="20"/>
                <w:lang w:val="en-GB"/>
              </w:rPr>
            </w:pPr>
            <w:r w:rsidRPr="00C3671E">
              <w:rPr>
                <w:sz w:val="20"/>
                <w:szCs w:val="20"/>
                <w:lang w:val="en-GB"/>
              </w:rPr>
              <w:t>56.2</w:t>
            </w:r>
          </w:p>
        </w:tc>
        <w:tc>
          <w:tcPr>
            <w:tcW w:w="1367" w:type="dxa"/>
          </w:tcPr>
          <w:p w14:paraId="11EF0178" w14:textId="77777777" w:rsidR="005E32BB" w:rsidRPr="00C3671E" w:rsidRDefault="005E32BB" w:rsidP="00AA6335">
            <w:pPr>
              <w:rPr>
                <w:sz w:val="20"/>
                <w:szCs w:val="20"/>
                <w:lang w:val="en-GB"/>
              </w:rPr>
            </w:pPr>
            <w:r w:rsidRPr="00C3671E">
              <w:rPr>
                <w:sz w:val="20"/>
                <w:szCs w:val="20"/>
                <w:lang w:val="en-GB"/>
              </w:rPr>
              <w:t>68.5</w:t>
            </w:r>
          </w:p>
        </w:tc>
        <w:tc>
          <w:tcPr>
            <w:tcW w:w="1367" w:type="dxa"/>
            <w:shd w:val="clear" w:color="auto" w:fill="auto"/>
          </w:tcPr>
          <w:p w14:paraId="19181823" w14:textId="77777777" w:rsidR="005E32BB" w:rsidRPr="00C3671E" w:rsidRDefault="005E32BB" w:rsidP="00AA6335">
            <w:pPr>
              <w:rPr>
                <w:sz w:val="20"/>
                <w:szCs w:val="20"/>
                <w:lang w:val="en-GB"/>
              </w:rPr>
            </w:pPr>
            <w:r w:rsidRPr="00C3671E">
              <w:rPr>
                <w:sz w:val="20"/>
                <w:szCs w:val="20"/>
                <w:lang w:val="en-GB"/>
              </w:rPr>
              <w:t>43.6</w:t>
            </w:r>
          </w:p>
        </w:tc>
      </w:tr>
      <w:tr w:rsidR="005E32BB" w:rsidRPr="00C3671E" w14:paraId="294DE483" w14:textId="77777777" w:rsidTr="00AA6335">
        <w:tc>
          <w:tcPr>
            <w:tcW w:w="1272" w:type="dxa"/>
            <w:vMerge/>
            <w:shd w:val="clear" w:color="auto" w:fill="auto"/>
          </w:tcPr>
          <w:p w14:paraId="0055E968" w14:textId="77777777" w:rsidR="005E32BB" w:rsidRPr="00C3671E" w:rsidRDefault="005E32BB" w:rsidP="00AA6335">
            <w:pPr>
              <w:rPr>
                <w:sz w:val="20"/>
                <w:szCs w:val="20"/>
                <w:lang w:val="en-GB"/>
              </w:rPr>
            </w:pPr>
          </w:p>
        </w:tc>
        <w:tc>
          <w:tcPr>
            <w:tcW w:w="2502" w:type="dxa"/>
            <w:shd w:val="clear" w:color="auto" w:fill="auto"/>
          </w:tcPr>
          <w:p w14:paraId="7AE7F898" w14:textId="77777777" w:rsidR="005E32BB" w:rsidRPr="00C3671E" w:rsidRDefault="005E32BB" w:rsidP="00AA6335">
            <w:pPr>
              <w:rPr>
                <w:sz w:val="20"/>
                <w:szCs w:val="20"/>
                <w:lang w:val="en-GB"/>
              </w:rPr>
            </w:pPr>
            <w:r w:rsidRPr="00C3671E">
              <w:rPr>
                <w:sz w:val="20"/>
                <w:szCs w:val="20"/>
                <w:lang w:val="en-GB"/>
              </w:rPr>
              <w:t>Living with partner</w:t>
            </w:r>
          </w:p>
        </w:tc>
        <w:tc>
          <w:tcPr>
            <w:tcW w:w="1367" w:type="dxa"/>
            <w:shd w:val="clear" w:color="auto" w:fill="auto"/>
          </w:tcPr>
          <w:p w14:paraId="3038D9CE" w14:textId="77777777" w:rsidR="005E32BB" w:rsidRPr="00C3671E" w:rsidRDefault="005E32BB" w:rsidP="00AA6335">
            <w:pPr>
              <w:rPr>
                <w:sz w:val="20"/>
                <w:szCs w:val="20"/>
                <w:lang w:val="en-GB"/>
              </w:rPr>
            </w:pPr>
            <w:r w:rsidRPr="00C3671E">
              <w:rPr>
                <w:sz w:val="20"/>
                <w:szCs w:val="20"/>
                <w:lang w:val="en-GB"/>
              </w:rPr>
              <w:t>83.9</w:t>
            </w:r>
          </w:p>
        </w:tc>
        <w:tc>
          <w:tcPr>
            <w:tcW w:w="1367" w:type="dxa"/>
          </w:tcPr>
          <w:p w14:paraId="10087BFF" w14:textId="77777777" w:rsidR="005E32BB" w:rsidRPr="00C3671E" w:rsidRDefault="005E32BB" w:rsidP="00AA6335">
            <w:pPr>
              <w:rPr>
                <w:sz w:val="20"/>
                <w:szCs w:val="20"/>
                <w:lang w:val="en-GB"/>
              </w:rPr>
            </w:pPr>
            <w:r w:rsidRPr="00C3671E">
              <w:rPr>
                <w:sz w:val="20"/>
                <w:szCs w:val="20"/>
                <w:lang w:val="en-GB"/>
              </w:rPr>
              <w:t>85.4</w:t>
            </w:r>
          </w:p>
        </w:tc>
        <w:tc>
          <w:tcPr>
            <w:tcW w:w="1367" w:type="dxa"/>
            <w:shd w:val="clear" w:color="auto" w:fill="auto"/>
          </w:tcPr>
          <w:p w14:paraId="3089960B" w14:textId="77777777" w:rsidR="005E32BB" w:rsidRPr="00C3671E" w:rsidRDefault="005E32BB" w:rsidP="00AA6335">
            <w:pPr>
              <w:rPr>
                <w:sz w:val="20"/>
                <w:szCs w:val="20"/>
                <w:lang w:val="en-GB"/>
              </w:rPr>
            </w:pPr>
            <w:r w:rsidRPr="00C3671E">
              <w:rPr>
                <w:sz w:val="20"/>
                <w:szCs w:val="20"/>
                <w:lang w:val="en-GB"/>
              </w:rPr>
              <w:t>82.4</w:t>
            </w:r>
          </w:p>
        </w:tc>
      </w:tr>
      <w:tr w:rsidR="005E32BB" w:rsidRPr="00C3671E" w14:paraId="7979DDCE" w14:textId="77777777" w:rsidTr="00AA6335">
        <w:tc>
          <w:tcPr>
            <w:tcW w:w="1272" w:type="dxa"/>
            <w:vMerge/>
            <w:shd w:val="clear" w:color="auto" w:fill="auto"/>
          </w:tcPr>
          <w:p w14:paraId="2C443821" w14:textId="77777777" w:rsidR="005E32BB" w:rsidRPr="00C3671E" w:rsidRDefault="005E32BB" w:rsidP="00AA6335">
            <w:pPr>
              <w:rPr>
                <w:sz w:val="20"/>
                <w:szCs w:val="20"/>
                <w:lang w:val="en-GB"/>
              </w:rPr>
            </w:pPr>
          </w:p>
        </w:tc>
        <w:tc>
          <w:tcPr>
            <w:tcW w:w="2502" w:type="dxa"/>
            <w:shd w:val="clear" w:color="auto" w:fill="auto"/>
          </w:tcPr>
          <w:p w14:paraId="502A08DA" w14:textId="77777777" w:rsidR="005E32BB" w:rsidRPr="00C3671E" w:rsidRDefault="005E32BB" w:rsidP="00AA6335">
            <w:pPr>
              <w:rPr>
                <w:sz w:val="20"/>
                <w:szCs w:val="20"/>
                <w:lang w:val="en-GB"/>
              </w:rPr>
            </w:pPr>
            <w:r w:rsidRPr="00C3671E">
              <w:rPr>
                <w:sz w:val="20"/>
                <w:szCs w:val="20"/>
                <w:lang w:val="en-GB"/>
              </w:rPr>
              <w:t>Health – poor or fair</w:t>
            </w:r>
          </w:p>
        </w:tc>
        <w:tc>
          <w:tcPr>
            <w:tcW w:w="1367" w:type="dxa"/>
            <w:shd w:val="clear" w:color="auto" w:fill="auto"/>
          </w:tcPr>
          <w:p w14:paraId="77A27C3E" w14:textId="77777777" w:rsidR="005E32BB" w:rsidRPr="00C3671E" w:rsidRDefault="005E32BB" w:rsidP="00AA6335">
            <w:pPr>
              <w:rPr>
                <w:sz w:val="20"/>
                <w:szCs w:val="20"/>
                <w:lang w:val="en-GB"/>
              </w:rPr>
            </w:pPr>
            <w:r w:rsidRPr="00C3671E">
              <w:rPr>
                <w:sz w:val="20"/>
                <w:szCs w:val="20"/>
                <w:lang w:val="en-GB"/>
              </w:rPr>
              <w:t>25.5</w:t>
            </w:r>
          </w:p>
        </w:tc>
        <w:tc>
          <w:tcPr>
            <w:tcW w:w="1367" w:type="dxa"/>
          </w:tcPr>
          <w:p w14:paraId="2F8549B1" w14:textId="77777777" w:rsidR="005E32BB" w:rsidRPr="00C3671E" w:rsidRDefault="005E32BB" w:rsidP="00AA6335">
            <w:pPr>
              <w:rPr>
                <w:sz w:val="20"/>
                <w:szCs w:val="20"/>
                <w:lang w:val="en-GB"/>
              </w:rPr>
            </w:pPr>
            <w:r w:rsidRPr="00C3671E">
              <w:rPr>
                <w:sz w:val="20"/>
                <w:szCs w:val="20"/>
                <w:lang w:val="en-GB"/>
              </w:rPr>
              <w:t>28.4</w:t>
            </w:r>
          </w:p>
        </w:tc>
        <w:tc>
          <w:tcPr>
            <w:tcW w:w="1367" w:type="dxa"/>
            <w:shd w:val="clear" w:color="auto" w:fill="auto"/>
          </w:tcPr>
          <w:p w14:paraId="2768C5D2" w14:textId="77777777" w:rsidR="005E32BB" w:rsidRPr="00C3671E" w:rsidRDefault="005E32BB" w:rsidP="00AA6335">
            <w:pPr>
              <w:rPr>
                <w:sz w:val="20"/>
                <w:szCs w:val="20"/>
                <w:lang w:val="en-GB"/>
              </w:rPr>
            </w:pPr>
            <w:r w:rsidRPr="00C3671E">
              <w:rPr>
                <w:sz w:val="20"/>
                <w:szCs w:val="20"/>
                <w:lang w:val="en-GB"/>
              </w:rPr>
              <w:t>22.5</w:t>
            </w:r>
          </w:p>
        </w:tc>
      </w:tr>
      <w:tr w:rsidR="005E32BB" w:rsidRPr="00C3671E" w14:paraId="414992DF" w14:textId="77777777" w:rsidTr="00AA6335">
        <w:tc>
          <w:tcPr>
            <w:tcW w:w="1272" w:type="dxa"/>
            <w:vMerge/>
            <w:shd w:val="clear" w:color="auto" w:fill="auto"/>
          </w:tcPr>
          <w:p w14:paraId="533F23D7" w14:textId="77777777" w:rsidR="005E32BB" w:rsidRPr="00C3671E" w:rsidRDefault="005E32BB" w:rsidP="00AA6335">
            <w:pPr>
              <w:rPr>
                <w:sz w:val="20"/>
                <w:szCs w:val="20"/>
                <w:lang w:val="en-GB"/>
              </w:rPr>
            </w:pPr>
          </w:p>
        </w:tc>
        <w:tc>
          <w:tcPr>
            <w:tcW w:w="2502" w:type="dxa"/>
            <w:shd w:val="clear" w:color="auto" w:fill="auto"/>
          </w:tcPr>
          <w:p w14:paraId="384EE09F" w14:textId="77777777" w:rsidR="005E32BB" w:rsidRPr="00C3671E" w:rsidRDefault="005E32BB" w:rsidP="00AA6335">
            <w:pPr>
              <w:rPr>
                <w:sz w:val="20"/>
                <w:szCs w:val="20"/>
                <w:lang w:val="en-GB"/>
              </w:rPr>
            </w:pPr>
            <w:r w:rsidRPr="00C3671E">
              <w:rPr>
                <w:sz w:val="20"/>
                <w:szCs w:val="20"/>
                <w:lang w:val="en-GB"/>
              </w:rPr>
              <w:t xml:space="preserve">     good</w:t>
            </w:r>
          </w:p>
        </w:tc>
        <w:tc>
          <w:tcPr>
            <w:tcW w:w="1367" w:type="dxa"/>
            <w:shd w:val="clear" w:color="auto" w:fill="auto"/>
          </w:tcPr>
          <w:p w14:paraId="450C14B8" w14:textId="77777777" w:rsidR="005E32BB" w:rsidRPr="00C3671E" w:rsidRDefault="005E32BB" w:rsidP="00AA6335">
            <w:pPr>
              <w:rPr>
                <w:sz w:val="20"/>
                <w:szCs w:val="20"/>
                <w:lang w:val="en-GB"/>
              </w:rPr>
            </w:pPr>
            <w:r w:rsidRPr="00C3671E">
              <w:rPr>
                <w:sz w:val="20"/>
                <w:szCs w:val="20"/>
                <w:lang w:val="en-GB"/>
              </w:rPr>
              <w:t>42.0</w:t>
            </w:r>
          </w:p>
        </w:tc>
        <w:tc>
          <w:tcPr>
            <w:tcW w:w="1367" w:type="dxa"/>
          </w:tcPr>
          <w:p w14:paraId="7B83B254" w14:textId="77777777" w:rsidR="005E32BB" w:rsidRPr="00C3671E" w:rsidRDefault="005E32BB" w:rsidP="00AA6335">
            <w:pPr>
              <w:rPr>
                <w:sz w:val="20"/>
                <w:szCs w:val="20"/>
                <w:lang w:val="en-GB"/>
              </w:rPr>
            </w:pPr>
            <w:r w:rsidRPr="00C3671E">
              <w:rPr>
                <w:sz w:val="20"/>
                <w:szCs w:val="20"/>
                <w:lang w:val="en-GB"/>
              </w:rPr>
              <w:t>41.1</w:t>
            </w:r>
          </w:p>
        </w:tc>
        <w:tc>
          <w:tcPr>
            <w:tcW w:w="1367" w:type="dxa"/>
            <w:shd w:val="clear" w:color="auto" w:fill="auto"/>
          </w:tcPr>
          <w:p w14:paraId="065D3868" w14:textId="77777777" w:rsidR="005E32BB" w:rsidRPr="00C3671E" w:rsidRDefault="005E32BB" w:rsidP="00AA6335">
            <w:pPr>
              <w:rPr>
                <w:sz w:val="20"/>
                <w:szCs w:val="20"/>
                <w:lang w:val="en-GB"/>
              </w:rPr>
            </w:pPr>
            <w:r w:rsidRPr="00C3671E">
              <w:rPr>
                <w:sz w:val="20"/>
                <w:szCs w:val="20"/>
                <w:lang w:val="en-GB"/>
              </w:rPr>
              <w:t>42.9</w:t>
            </w:r>
          </w:p>
        </w:tc>
      </w:tr>
      <w:tr w:rsidR="005E32BB" w:rsidRPr="00C3671E" w14:paraId="6EC34A08" w14:textId="77777777" w:rsidTr="00AA6335">
        <w:tc>
          <w:tcPr>
            <w:tcW w:w="1272" w:type="dxa"/>
            <w:vMerge/>
            <w:shd w:val="clear" w:color="auto" w:fill="auto"/>
          </w:tcPr>
          <w:p w14:paraId="3E944B7B" w14:textId="77777777" w:rsidR="005E32BB" w:rsidRPr="00C3671E" w:rsidRDefault="005E32BB" w:rsidP="00AA6335">
            <w:pPr>
              <w:rPr>
                <w:sz w:val="20"/>
                <w:szCs w:val="20"/>
                <w:lang w:val="en-GB"/>
              </w:rPr>
            </w:pPr>
          </w:p>
        </w:tc>
        <w:tc>
          <w:tcPr>
            <w:tcW w:w="2502" w:type="dxa"/>
            <w:shd w:val="clear" w:color="auto" w:fill="auto"/>
          </w:tcPr>
          <w:p w14:paraId="5A2078AF" w14:textId="77777777" w:rsidR="005E32BB" w:rsidRPr="00C3671E" w:rsidRDefault="005E32BB" w:rsidP="00AA6335">
            <w:pPr>
              <w:rPr>
                <w:sz w:val="20"/>
                <w:szCs w:val="20"/>
                <w:lang w:val="en-GB"/>
              </w:rPr>
            </w:pPr>
            <w:r w:rsidRPr="00C3671E">
              <w:rPr>
                <w:sz w:val="20"/>
                <w:szCs w:val="20"/>
                <w:lang w:val="en-GB"/>
              </w:rPr>
              <w:t xml:space="preserve">     very good</w:t>
            </w:r>
          </w:p>
        </w:tc>
        <w:tc>
          <w:tcPr>
            <w:tcW w:w="1367" w:type="dxa"/>
            <w:shd w:val="clear" w:color="auto" w:fill="auto"/>
          </w:tcPr>
          <w:p w14:paraId="2AC2CAF6" w14:textId="77777777" w:rsidR="005E32BB" w:rsidRPr="00C3671E" w:rsidRDefault="005E32BB" w:rsidP="00AA6335">
            <w:pPr>
              <w:rPr>
                <w:sz w:val="20"/>
                <w:szCs w:val="20"/>
                <w:lang w:val="en-GB"/>
              </w:rPr>
            </w:pPr>
            <w:r w:rsidRPr="00C3671E">
              <w:rPr>
                <w:sz w:val="20"/>
                <w:szCs w:val="20"/>
                <w:lang w:val="en-GB"/>
              </w:rPr>
              <w:t>24.7</w:t>
            </w:r>
          </w:p>
        </w:tc>
        <w:tc>
          <w:tcPr>
            <w:tcW w:w="1367" w:type="dxa"/>
          </w:tcPr>
          <w:p w14:paraId="0DF0FCBD" w14:textId="77777777" w:rsidR="005E32BB" w:rsidRPr="00C3671E" w:rsidRDefault="005E32BB" w:rsidP="00AA6335">
            <w:pPr>
              <w:rPr>
                <w:sz w:val="20"/>
                <w:szCs w:val="20"/>
                <w:lang w:val="en-GB"/>
              </w:rPr>
            </w:pPr>
            <w:r w:rsidRPr="00C3671E">
              <w:rPr>
                <w:sz w:val="20"/>
                <w:szCs w:val="20"/>
                <w:lang w:val="en-GB"/>
              </w:rPr>
              <w:t>23.3</w:t>
            </w:r>
          </w:p>
        </w:tc>
        <w:tc>
          <w:tcPr>
            <w:tcW w:w="1367" w:type="dxa"/>
            <w:shd w:val="clear" w:color="auto" w:fill="auto"/>
          </w:tcPr>
          <w:p w14:paraId="711C8911" w14:textId="77777777" w:rsidR="005E32BB" w:rsidRPr="00C3671E" w:rsidRDefault="005E32BB" w:rsidP="00AA6335">
            <w:pPr>
              <w:rPr>
                <w:sz w:val="20"/>
                <w:szCs w:val="20"/>
                <w:lang w:val="en-GB"/>
              </w:rPr>
            </w:pPr>
            <w:r w:rsidRPr="00C3671E">
              <w:rPr>
                <w:sz w:val="20"/>
                <w:szCs w:val="20"/>
                <w:lang w:val="en-GB"/>
              </w:rPr>
              <w:t>26.0</w:t>
            </w:r>
          </w:p>
        </w:tc>
      </w:tr>
      <w:tr w:rsidR="005E32BB" w:rsidRPr="00C3671E" w14:paraId="737F55DB" w14:textId="77777777" w:rsidTr="00AA6335">
        <w:tc>
          <w:tcPr>
            <w:tcW w:w="1272" w:type="dxa"/>
            <w:vMerge/>
            <w:shd w:val="clear" w:color="auto" w:fill="auto"/>
          </w:tcPr>
          <w:p w14:paraId="54FC14A8" w14:textId="77777777" w:rsidR="005E32BB" w:rsidRPr="00C3671E" w:rsidRDefault="005E32BB" w:rsidP="00AA6335">
            <w:pPr>
              <w:rPr>
                <w:sz w:val="20"/>
                <w:szCs w:val="20"/>
                <w:lang w:val="en-GB"/>
              </w:rPr>
            </w:pPr>
          </w:p>
        </w:tc>
        <w:tc>
          <w:tcPr>
            <w:tcW w:w="2502" w:type="dxa"/>
            <w:shd w:val="clear" w:color="auto" w:fill="auto"/>
          </w:tcPr>
          <w:p w14:paraId="65B165B1" w14:textId="77777777" w:rsidR="005E32BB" w:rsidRPr="00C3671E" w:rsidRDefault="005E32BB" w:rsidP="00AA6335">
            <w:pPr>
              <w:rPr>
                <w:sz w:val="20"/>
                <w:szCs w:val="20"/>
                <w:lang w:val="en-GB"/>
              </w:rPr>
            </w:pPr>
            <w:r w:rsidRPr="00C3671E">
              <w:rPr>
                <w:sz w:val="20"/>
                <w:szCs w:val="20"/>
                <w:lang w:val="en-GB"/>
              </w:rPr>
              <w:t xml:space="preserve">     excellent</w:t>
            </w:r>
          </w:p>
        </w:tc>
        <w:tc>
          <w:tcPr>
            <w:tcW w:w="1367" w:type="dxa"/>
            <w:shd w:val="clear" w:color="auto" w:fill="auto"/>
          </w:tcPr>
          <w:p w14:paraId="61973062" w14:textId="77777777" w:rsidR="005E32BB" w:rsidRPr="00C3671E" w:rsidRDefault="005E32BB" w:rsidP="00AA6335">
            <w:pPr>
              <w:rPr>
                <w:sz w:val="20"/>
                <w:szCs w:val="20"/>
                <w:lang w:val="en-GB"/>
              </w:rPr>
            </w:pPr>
            <w:r w:rsidRPr="00C3671E">
              <w:rPr>
                <w:sz w:val="20"/>
                <w:szCs w:val="20"/>
                <w:lang w:val="en-GB"/>
              </w:rPr>
              <w:t>7.8</w:t>
            </w:r>
          </w:p>
        </w:tc>
        <w:tc>
          <w:tcPr>
            <w:tcW w:w="1367" w:type="dxa"/>
          </w:tcPr>
          <w:p w14:paraId="00280DD3" w14:textId="77777777" w:rsidR="005E32BB" w:rsidRPr="00C3671E" w:rsidRDefault="005E32BB" w:rsidP="00AA6335">
            <w:pPr>
              <w:rPr>
                <w:sz w:val="20"/>
                <w:szCs w:val="20"/>
                <w:lang w:val="en-GB"/>
              </w:rPr>
            </w:pPr>
            <w:r w:rsidRPr="00C3671E">
              <w:rPr>
                <w:sz w:val="20"/>
                <w:szCs w:val="20"/>
                <w:lang w:val="en-GB"/>
              </w:rPr>
              <w:t>7.2</w:t>
            </w:r>
          </w:p>
        </w:tc>
        <w:tc>
          <w:tcPr>
            <w:tcW w:w="1367" w:type="dxa"/>
            <w:shd w:val="clear" w:color="auto" w:fill="auto"/>
          </w:tcPr>
          <w:p w14:paraId="1BA7128C" w14:textId="77777777" w:rsidR="005E32BB" w:rsidRPr="00C3671E" w:rsidRDefault="005E32BB" w:rsidP="00AA6335">
            <w:pPr>
              <w:rPr>
                <w:sz w:val="20"/>
                <w:szCs w:val="20"/>
                <w:lang w:val="en-GB"/>
              </w:rPr>
            </w:pPr>
            <w:r w:rsidRPr="00C3671E">
              <w:rPr>
                <w:sz w:val="20"/>
                <w:szCs w:val="20"/>
                <w:lang w:val="en-GB"/>
              </w:rPr>
              <w:t>8.5</w:t>
            </w:r>
          </w:p>
        </w:tc>
      </w:tr>
      <w:tr w:rsidR="005E32BB" w:rsidRPr="00C3671E" w14:paraId="5BA1A3BD" w14:textId="77777777" w:rsidTr="00AA6335">
        <w:tc>
          <w:tcPr>
            <w:tcW w:w="1272" w:type="dxa"/>
            <w:vMerge/>
            <w:shd w:val="clear" w:color="auto" w:fill="auto"/>
          </w:tcPr>
          <w:p w14:paraId="770DA858" w14:textId="77777777" w:rsidR="005E32BB" w:rsidRPr="00C3671E" w:rsidRDefault="005E32BB" w:rsidP="00AA6335">
            <w:pPr>
              <w:rPr>
                <w:sz w:val="20"/>
                <w:szCs w:val="20"/>
                <w:lang w:val="en-GB"/>
              </w:rPr>
            </w:pPr>
          </w:p>
        </w:tc>
        <w:tc>
          <w:tcPr>
            <w:tcW w:w="2502" w:type="dxa"/>
            <w:shd w:val="clear" w:color="auto" w:fill="auto"/>
          </w:tcPr>
          <w:p w14:paraId="6200267C" w14:textId="77777777" w:rsidR="005E32BB" w:rsidRPr="00C3671E" w:rsidRDefault="005E32BB" w:rsidP="00AA6335">
            <w:pPr>
              <w:rPr>
                <w:sz w:val="20"/>
                <w:szCs w:val="20"/>
                <w:lang w:val="en-GB"/>
              </w:rPr>
            </w:pPr>
            <w:r w:rsidRPr="00C3671E">
              <w:rPr>
                <w:sz w:val="20"/>
                <w:szCs w:val="20"/>
                <w:lang w:val="en-GB"/>
              </w:rPr>
              <w:t>Greece</w:t>
            </w:r>
          </w:p>
        </w:tc>
        <w:tc>
          <w:tcPr>
            <w:tcW w:w="1367" w:type="dxa"/>
            <w:shd w:val="clear" w:color="auto" w:fill="auto"/>
          </w:tcPr>
          <w:p w14:paraId="3AD16041" w14:textId="77777777" w:rsidR="005E32BB" w:rsidRPr="00C3671E" w:rsidRDefault="005E32BB" w:rsidP="00AA6335">
            <w:pPr>
              <w:rPr>
                <w:sz w:val="20"/>
                <w:szCs w:val="20"/>
                <w:lang w:val="en-GB"/>
              </w:rPr>
            </w:pPr>
            <w:r w:rsidRPr="00C3671E">
              <w:rPr>
                <w:sz w:val="20"/>
                <w:szCs w:val="20"/>
                <w:lang w:val="en-GB"/>
              </w:rPr>
              <w:t>31.6</w:t>
            </w:r>
          </w:p>
        </w:tc>
        <w:tc>
          <w:tcPr>
            <w:tcW w:w="1367" w:type="dxa"/>
          </w:tcPr>
          <w:p w14:paraId="0D666519" w14:textId="77777777" w:rsidR="005E32BB" w:rsidRPr="00C3671E" w:rsidRDefault="005E32BB" w:rsidP="00AA6335">
            <w:pPr>
              <w:rPr>
                <w:sz w:val="20"/>
                <w:szCs w:val="20"/>
                <w:lang w:val="en-GB"/>
              </w:rPr>
            </w:pPr>
            <w:r w:rsidRPr="00C3671E">
              <w:rPr>
                <w:sz w:val="20"/>
                <w:szCs w:val="20"/>
                <w:lang w:val="en-GB"/>
              </w:rPr>
              <w:t>36.6</w:t>
            </w:r>
          </w:p>
        </w:tc>
        <w:tc>
          <w:tcPr>
            <w:tcW w:w="1367" w:type="dxa"/>
            <w:shd w:val="clear" w:color="auto" w:fill="auto"/>
          </w:tcPr>
          <w:p w14:paraId="2C412E80" w14:textId="77777777" w:rsidR="005E32BB" w:rsidRPr="00C3671E" w:rsidRDefault="005E32BB" w:rsidP="00AA6335">
            <w:pPr>
              <w:rPr>
                <w:sz w:val="20"/>
                <w:szCs w:val="20"/>
                <w:lang w:val="en-GB"/>
              </w:rPr>
            </w:pPr>
            <w:r w:rsidRPr="00C3671E">
              <w:rPr>
                <w:sz w:val="20"/>
                <w:szCs w:val="20"/>
                <w:lang w:val="en-GB"/>
              </w:rPr>
              <w:t>26.5</w:t>
            </w:r>
          </w:p>
        </w:tc>
      </w:tr>
      <w:tr w:rsidR="005E32BB" w:rsidRPr="00C3671E" w14:paraId="00F841CE" w14:textId="77777777" w:rsidTr="00AA6335">
        <w:tc>
          <w:tcPr>
            <w:tcW w:w="1272" w:type="dxa"/>
            <w:vMerge/>
            <w:shd w:val="clear" w:color="auto" w:fill="auto"/>
          </w:tcPr>
          <w:p w14:paraId="63136F30" w14:textId="77777777" w:rsidR="005E32BB" w:rsidRPr="00C3671E" w:rsidRDefault="005E32BB" w:rsidP="00AA6335">
            <w:pPr>
              <w:rPr>
                <w:sz w:val="20"/>
                <w:szCs w:val="20"/>
                <w:lang w:val="en-GB"/>
              </w:rPr>
            </w:pPr>
          </w:p>
        </w:tc>
        <w:tc>
          <w:tcPr>
            <w:tcW w:w="2502" w:type="dxa"/>
            <w:shd w:val="clear" w:color="auto" w:fill="auto"/>
          </w:tcPr>
          <w:p w14:paraId="7B9D62FE" w14:textId="77777777" w:rsidR="005E32BB" w:rsidRPr="00C3671E" w:rsidRDefault="005E32BB" w:rsidP="00AA6335">
            <w:pPr>
              <w:rPr>
                <w:sz w:val="20"/>
                <w:szCs w:val="20"/>
                <w:lang w:val="en-GB"/>
              </w:rPr>
            </w:pPr>
            <w:r w:rsidRPr="00C3671E">
              <w:rPr>
                <w:sz w:val="20"/>
                <w:szCs w:val="20"/>
                <w:lang w:val="en-GB"/>
              </w:rPr>
              <w:t>Italy</w:t>
            </w:r>
          </w:p>
        </w:tc>
        <w:tc>
          <w:tcPr>
            <w:tcW w:w="1367" w:type="dxa"/>
            <w:shd w:val="clear" w:color="auto" w:fill="auto"/>
          </w:tcPr>
          <w:p w14:paraId="5FEBB351" w14:textId="77777777" w:rsidR="005E32BB" w:rsidRPr="00C3671E" w:rsidRDefault="005E32BB" w:rsidP="00AA6335">
            <w:pPr>
              <w:rPr>
                <w:sz w:val="20"/>
                <w:szCs w:val="20"/>
                <w:lang w:val="en-GB"/>
              </w:rPr>
            </w:pPr>
            <w:r w:rsidRPr="00C3671E">
              <w:rPr>
                <w:sz w:val="20"/>
                <w:szCs w:val="20"/>
                <w:lang w:val="en-GB"/>
              </w:rPr>
              <w:t>30.0</w:t>
            </w:r>
          </w:p>
        </w:tc>
        <w:tc>
          <w:tcPr>
            <w:tcW w:w="1367" w:type="dxa"/>
          </w:tcPr>
          <w:p w14:paraId="704B0CCE" w14:textId="77777777" w:rsidR="005E32BB" w:rsidRPr="00C3671E" w:rsidRDefault="005E32BB" w:rsidP="00AA6335">
            <w:pPr>
              <w:rPr>
                <w:sz w:val="20"/>
                <w:szCs w:val="20"/>
                <w:lang w:val="en-GB"/>
              </w:rPr>
            </w:pPr>
            <w:r w:rsidRPr="00C3671E">
              <w:rPr>
                <w:sz w:val="20"/>
                <w:szCs w:val="20"/>
                <w:lang w:val="en-GB"/>
              </w:rPr>
              <w:t>30.7</w:t>
            </w:r>
          </w:p>
        </w:tc>
        <w:tc>
          <w:tcPr>
            <w:tcW w:w="1367" w:type="dxa"/>
            <w:shd w:val="clear" w:color="auto" w:fill="auto"/>
          </w:tcPr>
          <w:p w14:paraId="0A3727A3" w14:textId="77777777" w:rsidR="005E32BB" w:rsidRPr="00C3671E" w:rsidRDefault="005E32BB" w:rsidP="00AA6335">
            <w:pPr>
              <w:rPr>
                <w:sz w:val="20"/>
                <w:szCs w:val="20"/>
                <w:lang w:val="en-GB"/>
              </w:rPr>
            </w:pPr>
            <w:r w:rsidRPr="00C3671E">
              <w:rPr>
                <w:sz w:val="20"/>
                <w:szCs w:val="20"/>
                <w:lang w:val="en-GB"/>
              </w:rPr>
              <w:t>29.3</w:t>
            </w:r>
          </w:p>
        </w:tc>
      </w:tr>
      <w:tr w:rsidR="005E32BB" w:rsidRPr="00C3671E" w14:paraId="50B6810E" w14:textId="77777777" w:rsidTr="00AA6335">
        <w:tc>
          <w:tcPr>
            <w:tcW w:w="1272" w:type="dxa"/>
            <w:vMerge/>
            <w:shd w:val="clear" w:color="auto" w:fill="auto"/>
          </w:tcPr>
          <w:p w14:paraId="4F01280B" w14:textId="77777777" w:rsidR="005E32BB" w:rsidRPr="00C3671E" w:rsidRDefault="005E32BB" w:rsidP="00AA6335">
            <w:pPr>
              <w:rPr>
                <w:sz w:val="20"/>
                <w:szCs w:val="20"/>
                <w:lang w:val="en-GB"/>
              </w:rPr>
            </w:pPr>
          </w:p>
        </w:tc>
        <w:tc>
          <w:tcPr>
            <w:tcW w:w="2502" w:type="dxa"/>
            <w:shd w:val="clear" w:color="auto" w:fill="auto"/>
          </w:tcPr>
          <w:p w14:paraId="7A6A0E47" w14:textId="77777777" w:rsidR="005E32BB" w:rsidRPr="00C3671E" w:rsidRDefault="005E32BB" w:rsidP="00AA6335">
            <w:pPr>
              <w:rPr>
                <w:sz w:val="20"/>
                <w:szCs w:val="20"/>
                <w:lang w:val="en-GB"/>
              </w:rPr>
            </w:pPr>
            <w:r w:rsidRPr="00C3671E">
              <w:rPr>
                <w:sz w:val="20"/>
                <w:szCs w:val="20"/>
                <w:lang w:val="en-GB"/>
              </w:rPr>
              <w:t>Portugal</w:t>
            </w:r>
          </w:p>
        </w:tc>
        <w:tc>
          <w:tcPr>
            <w:tcW w:w="1367" w:type="dxa"/>
            <w:shd w:val="clear" w:color="auto" w:fill="auto"/>
          </w:tcPr>
          <w:p w14:paraId="51B2AEC1" w14:textId="77777777" w:rsidR="005E32BB" w:rsidRPr="00C3671E" w:rsidRDefault="005E32BB" w:rsidP="00AA6335">
            <w:pPr>
              <w:rPr>
                <w:sz w:val="20"/>
                <w:szCs w:val="20"/>
                <w:lang w:val="en-GB"/>
              </w:rPr>
            </w:pPr>
            <w:r w:rsidRPr="00C3671E">
              <w:rPr>
                <w:sz w:val="20"/>
                <w:szCs w:val="20"/>
                <w:lang w:val="en-GB"/>
              </w:rPr>
              <w:t>9.1</w:t>
            </w:r>
          </w:p>
        </w:tc>
        <w:tc>
          <w:tcPr>
            <w:tcW w:w="1367" w:type="dxa"/>
          </w:tcPr>
          <w:p w14:paraId="4EE710C8" w14:textId="77777777" w:rsidR="005E32BB" w:rsidRPr="00C3671E" w:rsidRDefault="005E32BB" w:rsidP="00AA6335">
            <w:pPr>
              <w:rPr>
                <w:sz w:val="20"/>
                <w:szCs w:val="20"/>
                <w:lang w:val="en-GB"/>
              </w:rPr>
            </w:pPr>
            <w:r w:rsidRPr="00C3671E">
              <w:rPr>
                <w:sz w:val="20"/>
                <w:szCs w:val="20"/>
                <w:lang w:val="en-GB"/>
              </w:rPr>
              <w:t>8.5</w:t>
            </w:r>
          </w:p>
        </w:tc>
        <w:tc>
          <w:tcPr>
            <w:tcW w:w="1367" w:type="dxa"/>
            <w:shd w:val="clear" w:color="auto" w:fill="auto"/>
          </w:tcPr>
          <w:p w14:paraId="117BAD5D" w14:textId="77777777" w:rsidR="005E32BB" w:rsidRPr="00C3671E" w:rsidRDefault="005E32BB" w:rsidP="00AA6335">
            <w:pPr>
              <w:rPr>
                <w:sz w:val="20"/>
                <w:szCs w:val="20"/>
                <w:lang w:val="en-GB"/>
              </w:rPr>
            </w:pPr>
            <w:r w:rsidRPr="00C3671E">
              <w:rPr>
                <w:sz w:val="20"/>
                <w:szCs w:val="20"/>
                <w:lang w:val="en-GB"/>
              </w:rPr>
              <w:t>9.7</w:t>
            </w:r>
          </w:p>
        </w:tc>
      </w:tr>
      <w:tr w:rsidR="005E32BB" w:rsidRPr="00C3671E" w14:paraId="0A9AA4AD" w14:textId="77777777" w:rsidTr="00AA6335">
        <w:tc>
          <w:tcPr>
            <w:tcW w:w="1272" w:type="dxa"/>
            <w:vMerge/>
            <w:shd w:val="clear" w:color="auto" w:fill="auto"/>
          </w:tcPr>
          <w:p w14:paraId="0481DFBD" w14:textId="77777777" w:rsidR="005E32BB" w:rsidRPr="00C3671E" w:rsidRDefault="005E32BB" w:rsidP="00AA6335">
            <w:pPr>
              <w:rPr>
                <w:sz w:val="20"/>
                <w:szCs w:val="20"/>
                <w:lang w:val="en-GB"/>
              </w:rPr>
            </w:pPr>
          </w:p>
        </w:tc>
        <w:tc>
          <w:tcPr>
            <w:tcW w:w="2502" w:type="dxa"/>
            <w:shd w:val="clear" w:color="auto" w:fill="auto"/>
          </w:tcPr>
          <w:p w14:paraId="05710D7C" w14:textId="77777777" w:rsidR="005E32BB" w:rsidRPr="00C3671E" w:rsidRDefault="005E32BB" w:rsidP="00AA6335">
            <w:pPr>
              <w:rPr>
                <w:sz w:val="20"/>
                <w:szCs w:val="20"/>
                <w:lang w:val="en-GB"/>
              </w:rPr>
            </w:pPr>
            <w:r w:rsidRPr="00C3671E">
              <w:rPr>
                <w:sz w:val="20"/>
                <w:szCs w:val="20"/>
                <w:lang w:val="en-GB"/>
              </w:rPr>
              <w:t>Spain</w:t>
            </w:r>
          </w:p>
        </w:tc>
        <w:tc>
          <w:tcPr>
            <w:tcW w:w="1367" w:type="dxa"/>
            <w:shd w:val="clear" w:color="auto" w:fill="auto"/>
          </w:tcPr>
          <w:p w14:paraId="5D1F0DE2" w14:textId="77777777" w:rsidR="005E32BB" w:rsidRPr="00C3671E" w:rsidRDefault="005E32BB" w:rsidP="00AA6335">
            <w:pPr>
              <w:rPr>
                <w:sz w:val="20"/>
                <w:szCs w:val="20"/>
                <w:lang w:val="en-GB"/>
              </w:rPr>
            </w:pPr>
            <w:r w:rsidRPr="00C3671E">
              <w:rPr>
                <w:sz w:val="20"/>
                <w:szCs w:val="20"/>
                <w:lang w:val="en-GB"/>
              </w:rPr>
              <w:t>29.3</w:t>
            </w:r>
          </w:p>
        </w:tc>
        <w:tc>
          <w:tcPr>
            <w:tcW w:w="1367" w:type="dxa"/>
          </w:tcPr>
          <w:p w14:paraId="0B648E04" w14:textId="77777777" w:rsidR="005E32BB" w:rsidRPr="00C3671E" w:rsidRDefault="005E32BB" w:rsidP="00AA6335">
            <w:pPr>
              <w:rPr>
                <w:sz w:val="20"/>
                <w:szCs w:val="20"/>
                <w:lang w:val="en-GB"/>
              </w:rPr>
            </w:pPr>
            <w:r w:rsidRPr="00C3671E">
              <w:rPr>
                <w:sz w:val="20"/>
                <w:szCs w:val="20"/>
                <w:lang w:val="en-GB"/>
              </w:rPr>
              <w:t>24.2</w:t>
            </w:r>
          </w:p>
        </w:tc>
        <w:tc>
          <w:tcPr>
            <w:tcW w:w="1367" w:type="dxa"/>
            <w:shd w:val="clear" w:color="auto" w:fill="auto"/>
          </w:tcPr>
          <w:p w14:paraId="2BA8ED0C" w14:textId="77777777" w:rsidR="005E32BB" w:rsidRPr="00C3671E" w:rsidRDefault="005E32BB" w:rsidP="00AA6335">
            <w:pPr>
              <w:rPr>
                <w:sz w:val="20"/>
                <w:szCs w:val="20"/>
                <w:lang w:val="en-GB"/>
              </w:rPr>
            </w:pPr>
            <w:r w:rsidRPr="00C3671E">
              <w:rPr>
                <w:sz w:val="20"/>
                <w:szCs w:val="20"/>
                <w:lang w:val="en-GB"/>
              </w:rPr>
              <w:t>34.5</w:t>
            </w:r>
          </w:p>
        </w:tc>
      </w:tr>
      <w:tr w:rsidR="005E32BB" w:rsidRPr="00C3671E" w14:paraId="37166D8D" w14:textId="77777777" w:rsidTr="00AA6335">
        <w:tc>
          <w:tcPr>
            <w:tcW w:w="1272" w:type="dxa"/>
            <w:vMerge/>
            <w:shd w:val="clear" w:color="auto" w:fill="auto"/>
          </w:tcPr>
          <w:p w14:paraId="69AC46FA" w14:textId="77777777" w:rsidR="005E32BB" w:rsidRPr="00C3671E" w:rsidRDefault="005E32BB" w:rsidP="00AA6335">
            <w:pPr>
              <w:rPr>
                <w:sz w:val="20"/>
                <w:szCs w:val="20"/>
                <w:lang w:val="en-GB"/>
              </w:rPr>
            </w:pPr>
          </w:p>
        </w:tc>
        <w:tc>
          <w:tcPr>
            <w:tcW w:w="2502" w:type="dxa"/>
            <w:shd w:val="clear" w:color="auto" w:fill="auto"/>
          </w:tcPr>
          <w:p w14:paraId="112BE5A0" w14:textId="77777777" w:rsidR="005E32BB" w:rsidRPr="00C3671E" w:rsidRDefault="005E32BB" w:rsidP="00AA6335">
            <w:pPr>
              <w:rPr>
                <w:sz w:val="20"/>
                <w:szCs w:val="20"/>
                <w:lang w:val="en-GB"/>
              </w:rPr>
            </w:pPr>
            <w:r w:rsidRPr="00C3671E">
              <w:rPr>
                <w:sz w:val="20"/>
                <w:szCs w:val="20"/>
                <w:lang w:val="en-GB"/>
              </w:rPr>
              <w:t>N</w:t>
            </w:r>
          </w:p>
        </w:tc>
        <w:tc>
          <w:tcPr>
            <w:tcW w:w="1367" w:type="dxa"/>
            <w:shd w:val="clear" w:color="auto" w:fill="auto"/>
          </w:tcPr>
          <w:p w14:paraId="5C14E7D1" w14:textId="77777777" w:rsidR="005E32BB" w:rsidRPr="00C3671E" w:rsidRDefault="005E32BB" w:rsidP="00AA6335">
            <w:pPr>
              <w:rPr>
                <w:sz w:val="20"/>
                <w:szCs w:val="20"/>
                <w:lang w:val="en-GB"/>
              </w:rPr>
            </w:pPr>
            <w:r w:rsidRPr="00C3671E">
              <w:rPr>
                <w:sz w:val="20"/>
                <w:szCs w:val="20"/>
                <w:lang w:val="en-GB"/>
              </w:rPr>
              <w:t>4511</w:t>
            </w:r>
          </w:p>
        </w:tc>
        <w:tc>
          <w:tcPr>
            <w:tcW w:w="1367" w:type="dxa"/>
          </w:tcPr>
          <w:p w14:paraId="290E1BB6" w14:textId="77777777" w:rsidR="005E32BB" w:rsidRPr="00C3671E" w:rsidRDefault="005E32BB" w:rsidP="00AA6335">
            <w:pPr>
              <w:rPr>
                <w:sz w:val="20"/>
                <w:szCs w:val="20"/>
                <w:lang w:val="en-GB"/>
              </w:rPr>
            </w:pPr>
            <w:r w:rsidRPr="00C3671E">
              <w:rPr>
                <w:sz w:val="20"/>
                <w:szCs w:val="20"/>
                <w:lang w:val="en-GB"/>
              </w:rPr>
              <w:t>2287</w:t>
            </w:r>
          </w:p>
        </w:tc>
        <w:tc>
          <w:tcPr>
            <w:tcW w:w="1367" w:type="dxa"/>
            <w:shd w:val="clear" w:color="auto" w:fill="auto"/>
          </w:tcPr>
          <w:p w14:paraId="1D49E658" w14:textId="77777777" w:rsidR="005E32BB" w:rsidRPr="00C3671E" w:rsidRDefault="005E32BB" w:rsidP="00AA6335">
            <w:pPr>
              <w:rPr>
                <w:sz w:val="20"/>
                <w:szCs w:val="20"/>
                <w:lang w:val="en-GB"/>
              </w:rPr>
            </w:pPr>
            <w:r w:rsidRPr="00C3671E">
              <w:rPr>
                <w:sz w:val="20"/>
                <w:szCs w:val="20"/>
                <w:lang w:val="en-GB"/>
              </w:rPr>
              <w:t>2224</w:t>
            </w:r>
          </w:p>
        </w:tc>
      </w:tr>
      <w:tr w:rsidR="005E32BB" w:rsidRPr="00C3671E" w14:paraId="1480048D" w14:textId="77777777" w:rsidTr="00AA6335">
        <w:tc>
          <w:tcPr>
            <w:tcW w:w="1272" w:type="dxa"/>
            <w:vMerge w:val="restart"/>
            <w:shd w:val="clear" w:color="auto" w:fill="auto"/>
          </w:tcPr>
          <w:p w14:paraId="72757ACF" w14:textId="77777777" w:rsidR="005E32BB" w:rsidRPr="00C3671E" w:rsidRDefault="005E32BB" w:rsidP="00AA6335">
            <w:pPr>
              <w:rPr>
                <w:sz w:val="20"/>
                <w:szCs w:val="20"/>
                <w:lang w:val="en-GB"/>
              </w:rPr>
            </w:pPr>
            <w:r w:rsidRPr="00C3671E">
              <w:rPr>
                <w:sz w:val="20"/>
                <w:szCs w:val="20"/>
                <w:lang w:val="en-GB"/>
              </w:rPr>
              <w:t>Post-com. countries</w:t>
            </w:r>
          </w:p>
        </w:tc>
        <w:tc>
          <w:tcPr>
            <w:tcW w:w="2502" w:type="dxa"/>
            <w:shd w:val="clear" w:color="auto" w:fill="auto"/>
          </w:tcPr>
          <w:p w14:paraId="1FF54712" w14:textId="77777777" w:rsidR="005E32BB" w:rsidRPr="00C3671E" w:rsidRDefault="005E32BB" w:rsidP="00AA6335">
            <w:pPr>
              <w:rPr>
                <w:sz w:val="20"/>
                <w:szCs w:val="20"/>
                <w:lang w:val="en-GB"/>
              </w:rPr>
            </w:pPr>
            <w:r w:rsidRPr="00C3671E">
              <w:rPr>
                <w:sz w:val="20"/>
                <w:szCs w:val="20"/>
                <w:lang w:val="en-GB"/>
              </w:rPr>
              <w:t>Age</w:t>
            </w:r>
          </w:p>
        </w:tc>
        <w:tc>
          <w:tcPr>
            <w:tcW w:w="1367" w:type="dxa"/>
            <w:shd w:val="clear" w:color="auto" w:fill="auto"/>
          </w:tcPr>
          <w:p w14:paraId="1FB4385C" w14:textId="77777777" w:rsidR="005E32BB" w:rsidRPr="00C3671E" w:rsidRDefault="005E32BB" w:rsidP="00AA6335">
            <w:pPr>
              <w:rPr>
                <w:sz w:val="20"/>
                <w:szCs w:val="20"/>
                <w:lang w:val="en-GB"/>
              </w:rPr>
            </w:pPr>
            <w:r w:rsidRPr="00C3671E">
              <w:rPr>
                <w:sz w:val="20"/>
                <w:szCs w:val="20"/>
                <w:lang w:val="en-GB"/>
              </w:rPr>
              <w:t>61.2</w:t>
            </w:r>
          </w:p>
        </w:tc>
        <w:tc>
          <w:tcPr>
            <w:tcW w:w="1367" w:type="dxa"/>
          </w:tcPr>
          <w:p w14:paraId="5FE2EB73" w14:textId="77777777" w:rsidR="005E32BB" w:rsidRPr="00C3671E" w:rsidRDefault="005E32BB" w:rsidP="00AA6335">
            <w:pPr>
              <w:rPr>
                <w:sz w:val="20"/>
                <w:szCs w:val="20"/>
                <w:lang w:val="en-GB"/>
              </w:rPr>
            </w:pPr>
            <w:r w:rsidRPr="00C3671E">
              <w:rPr>
                <w:sz w:val="20"/>
                <w:szCs w:val="20"/>
                <w:lang w:val="en-GB"/>
              </w:rPr>
              <w:t>62.4</w:t>
            </w:r>
          </w:p>
        </w:tc>
        <w:tc>
          <w:tcPr>
            <w:tcW w:w="1367" w:type="dxa"/>
            <w:shd w:val="clear" w:color="auto" w:fill="auto"/>
          </w:tcPr>
          <w:p w14:paraId="1F6F864D" w14:textId="77777777" w:rsidR="005E32BB" w:rsidRPr="00C3671E" w:rsidRDefault="005E32BB" w:rsidP="00AA6335">
            <w:pPr>
              <w:rPr>
                <w:sz w:val="20"/>
                <w:szCs w:val="20"/>
                <w:lang w:val="en-GB"/>
              </w:rPr>
            </w:pPr>
            <w:r w:rsidRPr="00C3671E">
              <w:rPr>
                <w:sz w:val="20"/>
                <w:szCs w:val="20"/>
                <w:lang w:val="en-GB"/>
              </w:rPr>
              <w:t>59.8</w:t>
            </w:r>
          </w:p>
        </w:tc>
      </w:tr>
      <w:tr w:rsidR="005E32BB" w:rsidRPr="00C3671E" w14:paraId="228AAA0A" w14:textId="77777777" w:rsidTr="00AA6335">
        <w:tc>
          <w:tcPr>
            <w:tcW w:w="1272" w:type="dxa"/>
            <w:vMerge/>
            <w:shd w:val="clear" w:color="auto" w:fill="auto"/>
          </w:tcPr>
          <w:p w14:paraId="0E3B6121" w14:textId="77777777" w:rsidR="005E32BB" w:rsidRPr="00C3671E" w:rsidRDefault="005E32BB" w:rsidP="00AA6335">
            <w:pPr>
              <w:rPr>
                <w:sz w:val="20"/>
                <w:szCs w:val="20"/>
                <w:lang w:val="en-GB"/>
              </w:rPr>
            </w:pPr>
          </w:p>
        </w:tc>
        <w:tc>
          <w:tcPr>
            <w:tcW w:w="2502" w:type="dxa"/>
            <w:shd w:val="clear" w:color="auto" w:fill="auto"/>
          </w:tcPr>
          <w:p w14:paraId="1709E28B" w14:textId="77777777" w:rsidR="005E32BB" w:rsidRPr="00C3671E" w:rsidRDefault="005E32BB" w:rsidP="00AA6335">
            <w:pPr>
              <w:rPr>
                <w:sz w:val="20"/>
                <w:szCs w:val="20"/>
                <w:lang w:val="en-GB"/>
              </w:rPr>
            </w:pPr>
            <w:r w:rsidRPr="00C3671E">
              <w:rPr>
                <w:sz w:val="20"/>
                <w:szCs w:val="20"/>
                <w:lang w:val="en-GB"/>
              </w:rPr>
              <w:t>Years of education</w:t>
            </w:r>
          </w:p>
        </w:tc>
        <w:tc>
          <w:tcPr>
            <w:tcW w:w="1367" w:type="dxa"/>
            <w:shd w:val="clear" w:color="auto" w:fill="auto"/>
          </w:tcPr>
          <w:p w14:paraId="7144A0C5" w14:textId="77777777" w:rsidR="005E32BB" w:rsidRPr="00C3671E" w:rsidRDefault="005E32BB" w:rsidP="00AA6335">
            <w:pPr>
              <w:rPr>
                <w:sz w:val="20"/>
                <w:szCs w:val="20"/>
                <w:lang w:val="en-GB"/>
              </w:rPr>
            </w:pPr>
            <w:r w:rsidRPr="00C3671E">
              <w:rPr>
                <w:sz w:val="20"/>
                <w:szCs w:val="20"/>
                <w:lang w:val="en-GB"/>
              </w:rPr>
              <w:t>11.9</w:t>
            </w:r>
          </w:p>
        </w:tc>
        <w:tc>
          <w:tcPr>
            <w:tcW w:w="1367" w:type="dxa"/>
          </w:tcPr>
          <w:p w14:paraId="70D8A132" w14:textId="77777777" w:rsidR="005E32BB" w:rsidRPr="00C3671E" w:rsidRDefault="005E32BB" w:rsidP="00AA6335">
            <w:pPr>
              <w:rPr>
                <w:sz w:val="20"/>
                <w:szCs w:val="20"/>
                <w:lang w:val="en-GB"/>
              </w:rPr>
            </w:pPr>
            <w:r w:rsidRPr="00C3671E">
              <w:rPr>
                <w:sz w:val="20"/>
                <w:szCs w:val="20"/>
                <w:lang w:val="en-GB"/>
              </w:rPr>
              <w:t>11.2</w:t>
            </w:r>
          </w:p>
        </w:tc>
        <w:tc>
          <w:tcPr>
            <w:tcW w:w="1367" w:type="dxa"/>
            <w:shd w:val="clear" w:color="auto" w:fill="auto"/>
          </w:tcPr>
          <w:p w14:paraId="41ACF047" w14:textId="77777777" w:rsidR="005E32BB" w:rsidRPr="00C3671E" w:rsidRDefault="005E32BB" w:rsidP="00AA6335">
            <w:pPr>
              <w:rPr>
                <w:sz w:val="20"/>
                <w:szCs w:val="20"/>
                <w:lang w:val="en-GB"/>
              </w:rPr>
            </w:pPr>
            <w:r w:rsidRPr="00C3671E">
              <w:rPr>
                <w:sz w:val="20"/>
                <w:szCs w:val="20"/>
                <w:lang w:val="en-GB"/>
              </w:rPr>
              <w:t>12.8</w:t>
            </w:r>
          </w:p>
        </w:tc>
      </w:tr>
      <w:tr w:rsidR="005E32BB" w:rsidRPr="00C3671E" w14:paraId="71BA7585" w14:textId="77777777" w:rsidTr="00AA6335">
        <w:tc>
          <w:tcPr>
            <w:tcW w:w="1272" w:type="dxa"/>
            <w:vMerge/>
            <w:shd w:val="clear" w:color="auto" w:fill="auto"/>
          </w:tcPr>
          <w:p w14:paraId="3CA9F7BB" w14:textId="77777777" w:rsidR="005E32BB" w:rsidRPr="00C3671E" w:rsidRDefault="005E32BB" w:rsidP="00AA6335">
            <w:pPr>
              <w:rPr>
                <w:sz w:val="20"/>
                <w:szCs w:val="20"/>
                <w:lang w:val="en-GB"/>
              </w:rPr>
            </w:pPr>
          </w:p>
        </w:tc>
        <w:tc>
          <w:tcPr>
            <w:tcW w:w="2502" w:type="dxa"/>
            <w:shd w:val="clear" w:color="auto" w:fill="auto"/>
          </w:tcPr>
          <w:p w14:paraId="5F91A051" w14:textId="77777777" w:rsidR="005E32BB" w:rsidRPr="00C3671E" w:rsidRDefault="005E32BB" w:rsidP="00AA6335">
            <w:pPr>
              <w:rPr>
                <w:sz w:val="20"/>
                <w:szCs w:val="20"/>
                <w:lang w:val="en-GB"/>
              </w:rPr>
            </w:pPr>
            <w:r w:rsidRPr="00C3671E">
              <w:rPr>
                <w:sz w:val="20"/>
                <w:szCs w:val="20"/>
                <w:lang w:val="en-GB"/>
              </w:rPr>
              <w:t>Financial assets (thsds)</w:t>
            </w:r>
          </w:p>
        </w:tc>
        <w:tc>
          <w:tcPr>
            <w:tcW w:w="1367" w:type="dxa"/>
            <w:shd w:val="clear" w:color="auto" w:fill="auto"/>
          </w:tcPr>
          <w:p w14:paraId="70C02607" w14:textId="77777777" w:rsidR="005E32BB" w:rsidRPr="00C3671E" w:rsidRDefault="005E32BB" w:rsidP="00AA6335">
            <w:pPr>
              <w:rPr>
                <w:sz w:val="20"/>
                <w:szCs w:val="20"/>
                <w:lang w:val="en-GB"/>
              </w:rPr>
            </w:pPr>
            <w:r w:rsidRPr="00C3671E">
              <w:rPr>
                <w:sz w:val="20"/>
                <w:szCs w:val="20"/>
                <w:lang w:val="en-GB"/>
              </w:rPr>
              <w:t>5.9</w:t>
            </w:r>
          </w:p>
        </w:tc>
        <w:tc>
          <w:tcPr>
            <w:tcW w:w="1367" w:type="dxa"/>
          </w:tcPr>
          <w:p w14:paraId="167FDC3F" w14:textId="77777777" w:rsidR="005E32BB" w:rsidRPr="00C3671E" w:rsidRDefault="005E32BB" w:rsidP="00AA6335">
            <w:pPr>
              <w:rPr>
                <w:sz w:val="20"/>
                <w:szCs w:val="20"/>
                <w:lang w:val="en-GB"/>
              </w:rPr>
            </w:pPr>
            <w:r w:rsidRPr="00C3671E">
              <w:rPr>
                <w:sz w:val="20"/>
                <w:szCs w:val="20"/>
                <w:lang w:val="en-GB"/>
              </w:rPr>
              <w:t>5.3</w:t>
            </w:r>
          </w:p>
        </w:tc>
        <w:tc>
          <w:tcPr>
            <w:tcW w:w="1367" w:type="dxa"/>
            <w:shd w:val="clear" w:color="auto" w:fill="auto"/>
          </w:tcPr>
          <w:p w14:paraId="4231208C" w14:textId="77777777" w:rsidR="005E32BB" w:rsidRPr="00C3671E" w:rsidRDefault="005E32BB" w:rsidP="00AA6335">
            <w:pPr>
              <w:rPr>
                <w:sz w:val="20"/>
                <w:szCs w:val="20"/>
                <w:lang w:val="en-GB"/>
              </w:rPr>
            </w:pPr>
            <w:r w:rsidRPr="00C3671E">
              <w:rPr>
                <w:sz w:val="20"/>
                <w:szCs w:val="20"/>
                <w:lang w:val="en-GB"/>
              </w:rPr>
              <w:t>6.8</w:t>
            </w:r>
          </w:p>
        </w:tc>
      </w:tr>
      <w:tr w:rsidR="005E32BB" w:rsidRPr="00C3671E" w14:paraId="5B60D6BD" w14:textId="77777777" w:rsidTr="00AA6335">
        <w:tc>
          <w:tcPr>
            <w:tcW w:w="1272" w:type="dxa"/>
            <w:vMerge/>
            <w:shd w:val="clear" w:color="auto" w:fill="auto"/>
          </w:tcPr>
          <w:p w14:paraId="193B6748" w14:textId="77777777" w:rsidR="005E32BB" w:rsidRPr="00C3671E" w:rsidRDefault="005E32BB" w:rsidP="00AA6335">
            <w:pPr>
              <w:rPr>
                <w:sz w:val="20"/>
                <w:szCs w:val="20"/>
                <w:lang w:val="en-GB"/>
              </w:rPr>
            </w:pPr>
          </w:p>
        </w:tc>
        <w:tc>
          <w:tcPr>
            <w:tcW w:w="2502" w:type="dxa"/>
            <w:shd w:val="clear" w:color="auto" w:fill="auto"/>
          </w:tcPr>
          <w:p w14:paraId="16F5E14B" w14:textId="77777777" w:rsidR="005E32BB" w:rsidRPr="00C3671E" w:rsidRDefault="005E32BB" w:rsidP="00AA6335">
            <w:pPr>
              <w:rPr>
                <w:sz w:val="20"/>
                <w:szCs w:val="20"/>
                <w:lang w:val="en-GB"/>
              </w:rPr>
            </w:pPr>
            <w:r w:rsidRPr="00C3671E">
              <w:rPr>
                <w:sz w:val="20"/>
                <w:szCs w:val="20"/>
                <w:lang w:val="en-GB"/>
              </w:rPr>
              <w:t>Gender – female</w:t>
            </w:r>
          </w:p>
        </w:tc>
        <w:tc>
          <w:tcPr>
            <w:tcW w:w="1367" w:type="dxa"/>
            <w:shd w:val="clear" w:color="auto" w:fill="auto"/>
          </w:tcPr>
          <w:p w14:paraId="71D0AD32" w14:textId="77777777" w:rsidR="005E32BB" w:rsidRPr="00C3671E" w:rsidRDefault="005E32BB" w:rsidP="00AA6335">
            <w:pPr>
              <w:rPr>
                <w:sz w:val="20"/>
                <w:szCs w:val="20"/>
                <w:lang w:val="en-GB"/>
              </w:rPr>
            </w:pPr>
            <w:r w:rsidRPr="00C3671E">
              <w:rPr>
                <w:sz w:val="20"/>
                <w:szCs w:val="20"/>
                <w:lang w:val="en-GB"/>
              </w:rPr>
              <w:t>58.6</w:t>
            </w:r>
          </w:p>
        </w:tc>
        <w:tc>
          <w:tcPr>
            <w:tcW w:w="1367" w:type="dxa"/>
          </w:tcPr>
          <w:p w14:paraId="6D9144C8" w14:textId="77777777" w:rsidR="005E32BB" w:rsidRPr="00C3671E" w:rsidRDefault="005E32BB" w:rsidP="00AA6335">
            <w:pPr>
              <w:rPr>
                <w:sz w:val="20"/>
                <w:szCs w:val="20"/>
                <w:lang w:val="en-GB"/>
              </w:rPr>
            </w:pPr>
            <w:r w:rsidRPr="00C3671E">
              <w:rPr>
                <w:sz w:val="20"/>
                <w:szCs w:val="20"/>
                <w:lang w:val="en-GB"/>
              </w:rPr>
              <w:t>65.9</w:t>
            </w:r>
          </w:p>
        </w:tc>
        <w:tc>
          <w:tcPr>
            <w:tcW w:w="1367" w:type="dxa"/>
            <w:shd w:val="clear" w:color="auto" w:fill="auto"/>
          </w:tcPr>
          <w:p w14:paraId="7908A2F7" w14:textId="77777777" w:rsidR="005E32BB" w:rsidRPr="00C3671E" w:rsidRDefault="005E32BB" w:rsidP="00AA6335">
            <w:pPr>
              <w:rPr>
                <w:sz w:val="20"/>
                <w:szCs w:val="20"/>
                <w:lang w:val="en-GB"/>
              </w:rPr>
            </w:pPr>
            <w:r w:rsidRPr="00C3671E">
              <w:rPr>
                <w:sz w:val="20"/>
                <w:szCs w:val="20"/>
                <w:lang w:val="en-GB"/>
              </w:rPr>
              <w:t>49.8</w:t>
            </w:r>
          </w:p>
        </w:tc>
      </w:tr>
      <w:tr w:rsidR="005E32BB" w:rsidRPr="00C3671E" w14:paraId="1CAA828F" w14:textId="77777777" w:rsidTr="00AA6335">
        <w:tc>
          <w:tcPr>
            <w:tcW w:w="1272" w:type="dxa"/>
            <w:vMerge/>
            <w:shd w:val="clear" w:color="auto" w:fill="auto"/>
          </w:tcPr>
          <w:p w14:paraId="2D1AF7FD" w14:textId="77777777" w:rsidR="005E32BB" w:rsidRPr="00C3671E" w:rsidRDefault="005E32BB" w:rsidP="00AA6335">
            <w:pPr>
              <w:rPr>
                <w:sz w:val="20"/>
                <w:szCs w:val="20"/>
                <w:lang w:val="en-GB"/>
              </w:rPr>
            </w:pPr>
          </w:p>
        </w:tc>
        <w:tc>
          <w:tcPr>
            <w:tcW w:w="2502" w:type="dxa"/>
            <w:shd w:val="clear" w:color="auto" w:fill="auto"/>
          </w:tcPr>
          <w:p w14:paraId="7EA86AE4" w14:textId="77777777" w:rsidR="005E32BB" w:rsidRPr="00C3671E" w:rsidRDefault="005E32BB" w:rsidP="00AA6335">
            <w:pPr>
              <w:rPr>
                <w:sz w:val="20"/>
                <w:szCs w:val="20"/>
                <w:lang w:val="en-GB"/>
              </w:rPr>
            </w:pPr>
            <w:r w:rsidRPr="00C3671E">
              <w:rPr>
                <w:sz w:val="20"/>
                <w:szCs w:val="20"/>
                <w:lang w:val="en-GB"/>
              </w:rPr>
              <w:t>Living with partner</w:t>
            </w:r>
          </w:p>
        </w:tc>
        <w:tc>
          <w:tcPr>
            <w:tcW w:w="1367" w:type="dxa"/>
            <w:shd w:val="clear" w:color="auto" w:fill="auto"/>
          </w:tcPr>
          <w:p w14:paraId="1E199FB2" w14:textId="77777777" w:rsidR="005E32BB" w:rsidRPr="00C3671E" w:rsidRDefault="005E32BB" w:rsidP="00AA6335">
            <w:pPr>
              <w:rPr>
                <w:sz w:val="20"/>
                <w:szCs w:val="20"/>
                <w:lang w:val="en-GB"/>
              </w:rPr>
            </w:pPr>
            <w:r w:rsidRPr="00C3671E">
              <w:rPr>
                <w:sz w:val="20"/>
                <w:szCs w:val="20"/>
                <w:lang w:val="en-GB"/>
              </w:rPr>
              <w:t>78.9</w:t>
            </w:r>
          </w:p>
        </w:tc>
        <w:tc>
          <w:tcPr>
            <w:tcW w:w="1367" w:type="dxa"/>
          </w:tcPr>
          <w:p w14:paraId="581034AC" w14:textId="77777777" w:rsidR="005E32BB" w:rsidRPr="00C3671E" w:rsidRDefault="005E32BB" w:rsidP="00AA6335">
            <w:pPr>
              <w:rPr>
                <w:sz w:val="20"/>
                <w:szCs w:val="20"/>
                <w:lang w:val="en-GB"/>
              </w:rPr>
            </w:pPr>
            <w:r w:rsidRPr="00C3671E">
              <w:rPr>
                <w:sz w:val="20"/>
                <w:szCs w:val="20"/>
                <w:lang w:val="en-GB"/>
              </w:rPr>
              <w:t>79.3</w:t>
            </w:r>
          </w:p>
        </w:tc>
        <w:tc>
          <w:tcPr>
            <w:tcW w:w="1367" w:type="dxa"/>
            <w:shd w:val="clear" w:color="auto" w:fill="auto"/>
          </w:tcPr>
          <w:p w14:paraId="00C18F7E" w14:textId="77777777" w:rsidR="005E32BB" w:rsidRPr="00C3671E" w:rsidRDefault="005E32BB" w:rsidP="00AA6335">
            <w:pPr>
              <w:rPr>
                <w:sz w:val="20"/>
                <w:szCs w:val="20"/>
                <w:lang w:val="en-GB"/>
              </w:rPr>
            </w:pPr>
            <w:r w:rsidRPr="00C3671E">
              <w:rPr>
                <w:sz w:val="20"/>
                <w:szCs w:val="20"/>
                <w:lang w:val="en-GB"/>
              </w:rPr>
              <w:t>78.4</w:t>
            </w:r>
          </w:p>
        </w:tc>
      </w:tr>
      <w:tr w:rsidR="005E32BB" w:rsidRPr="00C3671E" w14:paraId="015F75F3" w14:textId="77777777" w:rsidTr="00AA6335">
        <w:tc>
          <w:tcPr>
            <w:tcW w:w="1272" w:type="dxa"/>
            <w:vMerge/>
            <w:shd w:val="clear" w:color="auto" w:fill="auto"/>
          </w:tcPr>
          <w:p w14:paraId="545F5AC0" w14:textId="77777777" w:rsidR="005E32BB" w:rsidRPr="00C3671E" w:rsidRDefault="005E32BB" w:rsidP="00AA6335">
            <w:pPr>
              <w:rPr>
                <w:sz w:val="20"/>
                <w:szCs w:val="20"/>
                <w:lang w:val="en-GB"/>
              </w:rPr>
            </w:pPr>
          </w:p>
        </w:tc>
        <w:tc>
          <w:tcPr>
            <w:tcW w:w="2502" w:type="dxa"/>
            <w:shd w:val="clear" w:color="auto" w:fill="auto"/>
          </w:tcPr>
          <w:p w14:paraId="692962EF" w14:textId="77777777" w:rsidR="005E32BB" w:rsidRPr="00C3671E" w:rsidRDefault="005E32BB" w:rsidP="00AA6335">
            <w:pPr>
              <w:rPr>
                <w:sz w:val="20"/>
                <w:szCs w:val="20"/>
                <w:lang w:val="en-GB"/>
              </w:rPr>
            </w:pPr>
            <w:r w:rsidRPr="00C3671E">
              <w:rPr>
                <w:sz w:val="20"/>
                <w:szCs w:val="20"/>
                <w:lang w:val="en-GB"/>
              </w:rPr>
              <w:t>Health – poor or fair</w:t>
            </w:r>
          </w:p>
        </w:tc>
        <w:tc>
          <w:tcPr>
            <w:tcW w:w="1367" w:type="dxa"/>
            <w:shd w:val="clear" w:color="auto" w:fill="auto"/>
          </w:tcPr>
          <w:p w14:paraId="73C5519F" w14:textId="77777777" w:rsidR="005E32BB" w:rsidRPr="00C3671E" w:rsidRDefault="005E32BB" w:rsidP="00AA6335">
            <w:pPr>
              <w:rPr>
                <w:sz w:val="20"/>
                <w:szCs w:val="20"/>
                <w:lang w:val="en-GB"/>
              </w:rPr>
            </w:pPr>
            <w:r w:rsidRPr="00C3671E">
              <w:rPr>
                <w:sz w:val="20"/>
                <w:szCs w:val="20"/>
                <w:lang w:val="en-GB"/>
              </w:rPr>
              <w:t>38.5</w:t>
            </w:r>
          </w:p>
        </w:tc>
        <w:tc>
          <w:tcPr>
            <w:tcW w:w="1367" w:type="dxa"/>
          </w:tcPr>
          <w:p w14:paraId="73D9490E" w14:textId="77777777" w:rsidR="005E32BB" w:rsidRPr="00C3671E" w:rsidRDefault="005E32BB" w:rsidP="00AA6335">
            <w:pPr>
              <w:rPr>
                <w:sz w:val="20"/>
                <w:szCs w:val="20"/>
                <w:lang w:val="en-GB"/>
              </w:rPr>
            </w:pPr>
            <w:r w:rsidRPr="00C3671E">
              <w:rPr>
                <w:sz w:val="20"/>
                <w:szCs w:val="20"/>
                <w:lang w:val="en-GB"/>
              </w:rPr>
              <w:t>39.0</w:t>
            </w:r>
          </w:p>
        </w:tc>
        <w:tc>
          <w:tcPr>
            <w:tcW w:w="1367" w:type="dxa"/>
            <w:shd w:val="clear" w:color="auto" w:fill="auto"/>
          </w:tcPr>
          <w:p w14:paraId="71D48782" w14:textId="77777777" w:rsidR="005E32BB" w:rsidRPr="00C3671E" w:rsidRDefault="005E32BB" w:rsidP="00AA6335">
            <w:pPr>
              <w:rPr>
                <w:sz w:val="20"/>
                <w:szCs w:val="20"/>
                <w:lang w:val="en-GB"/>
              </w:rPr>
            </w:pPr>
            <w:r w:rsidRPr="00C3671E">
              <w:rPr>
                <w:sz w:val="20"/>
                <w:szCs w:val="20"/>
                <w:lang w:val="en-GB"/>
              </w:rPr>
              <w:t>36.8</w:t>
            </w:r>
          </w:p>
        </w:tc>
      </w:tr>
      <w:tr w:rsidR="005E32BB" w:rsidRPr="00C3671E" w14:paraId="65B398EF" w14:textId="77777777" w:rsidTr="00AA6335">
        <w:tc>
          <w:tcPr>
            <w:tcW w:w="1272" w:type="dxa"/>
            <w:vMerge/>
            <w:shd w:val="clear" w:color="auto" w:fill="auto"/>
          </w:tcPr>
          <w:p w14:paraId="463C9829" w14:textId="77777777" w:rsidR="005E32BB" w:rsidRPr="00C3671E" w:rsidRDefault="005E32BB" w:rsidP="00AA6335">
            <w:pPr>
              <w:rPr>
                <w:sz w:val="20"/>
                <w:szCs w:val="20"/>
                <w:lang w:val="en-GB"/>
              </w:rPr>
            </w:pPr>
          </w:p>
        </w:tc>
        <w:tc>
          <w:tcPr>
            <w:tcW w:w="2502" w:type="dxa"/>
            <w:shd w:val="clear" w:color="auto" w:fill="auto"/>
          </w:tcPr>
          <w:p w14:paraId="1DA62F2B" w14:textId="77777777" w:rsidR="005E32BB" w:rsidRPr="00C3671E" w:rsidRDefault="005E32BB" w:rsidP="00AA6335">
            <w:pPr>
              <w:rPr>
                <w:sz w:val="20"/>
                <w:szCs w:val="20"/>
                <w:lang w:val="en-GB"/>
              </w:rPr>
            </w:pPr>
            <w:r w:rsidRPr="00C3671E">
              <w:rPr>
                <w:sz w:val="20"/>
                <w:szCs w:val="20"/>
                <w:lang w:val="en-GB"/>
              </w:rPr>
              <w:t xml:space="preserve">     good</w:t>
            </w:r>
          </w:p>
        </w:tc>
        <w:tc>
          <w:tcPr>
            <w:tcW w:w="1367" w:type="dxa"/>
            <w:shd w:val="clear" w:color="auto" w:fill="auto"/>
          </w:tcPr>
          <w:p w14:paraId="0B6C5480" w14:textId="77777777" w:rsidR="005E32BB" w:rsidRPr="00C3671E" w:rsidRDefault="005E32BB" w:rsidP="00AA6335">
            <w:pPr>
              <w:rPr>
                <w:sz w:val="20"/>
                <w:szCs w:val="20"/>
                <w:lang w:val="en-GB"/>
              </w:rPr>
            </w:pPr>
            <w:r w:rsidRPr="00C3671E">
              <w:rPr>
                <w:sz w:val="20"/>
                <w:szCs w:val="20"/>
                <w:lang w:val="en-GB"/>
              </w:rPr>
              <w:t>40.9</w:t>
            </w:r>
          </w:p>
        </w:tc>
        <w:tc>
          <w:tcPr>
            <w:tcW w:w="1367" w:type="dxa"/>
          </w:tcPr>
          <w:p w14:paraId="55F257BD" w14:textId="77777777" w:rsidR="005E32BB" w:rsidRPr="00C3671E" w:rsidRDefault="005E32BB" w:rsidP="00AA6335">
            <w:pPr>
              <w:rPr>
                <w:sz w:val="20"/>
                <w:szCs w:val="20"/>
                <w:lang w:val="en-GB"/>
              </w:rPr>
            </w:pPr>
            <w:r w:rsidRPr="00C3671E">
              <w:rPr>
                <w:sz w:val="20"/>
                <w:szCs w:val="20"/>
                <w:lang w:val="en-GB"/>
              </w:rPr>
              <w:t>41.8</w:t>
            </w:r>
          </w:p>
        </w:tc>
        <w:tc>
          <w:tcPr>
            <w:tcW w:w="1367" w:type="dxa"/>
            <w:shd w:val="clear" w:color="auto" w:fill="auto"/>
          </w:tcPr>
          <w:p w14:paraId="4D1CD210" w14:textId="77777777" w:rsidR="005E32BB" w:rsidRPr="00C3671E" w:rsidRDefault="005E32BB" w:rsidP="00AA6335">
            <w:pPr>
              <w:rPr>
                <w:sz w:val="20"/>
                <w:szCs w:val="20"/>
                <w:lang w:val="en-GB"/>
              </w:rPr>
            </w:pPr>
            <w:r w:rsidRPr="00C3671E">
              <w:rPr>
                <w:sz w:val="20"/>
                <w:szCs w:val="20"/>
                <w:lang w:val="en-GB"/>
              </w:rPr>
              <w:t>39.9</w:t>
            </w:r>
          </w:p>
        </w:tc>
      </w:tr>
      <w:tr w:rsidR="005E32BB" w:rsidRPr="00C3671E" w14:paraId="268228F0" w14:textId="77777777" w:rsidTr="00AA6335">
        <w:tc>
          <w:tcPr>
            <w:tcW w:w="1272" w:type="dxa"/>
            <w:vMerge/>
            <w:shd w:val="clear" w:color="auto" w:fill="auto"/>
          </w:tcPr>
          <w:p w14:paraId="35FF02F5" w14:textId="77777777" w:rsidR="005E32BB" w:rsidRPr="00C3671E" w:rsidRDefault="005E32BB" w:rsidP="00AA6335">
            <w:pPr>
              <w:rPr>
                <w:sz w:val="20"/>
                <w:szCs w:val="20"/>
                <w:lang w:val="en-GB"/>
              </w:rPr>
            </w:pPr>
          </w:p>
        </w:tc>
        <w:tc>
          <w:tcPr>
            <w:tcW w:w="2502" w:type="dxa"/>
            <w:shd w:val="clear" w:color="auto" w:fill="auto"/>
          </w:tcPr>
          <w:p w14:paraId="13214DB1" w14:textId="77777777" w:rsidR="005E32BB" w:rsidRPr="00C3671E" w:rsidRDefault="005E32BB" w:rsidP="00AA6335">
            <w:pPr>
              <w:rPr>
                <w:sz w:val="20"/>
                <w:szCs w:val="20"/>
                <w:lang w:val="en-GB"/>
              </w:rPr>
            </w:pPr>
            <w:r w:rsidRPr="00C3671E">
              <w:rPr>
                <w:sz w:val="20"/>
                <w:szCs w:val="20"/>
                <w:lang w:val="en-GB"/>
              </w:rPr>
              <w:t xml:space="preserve">     very good</w:t>
            </w:r>
          </w:p>
        </w:tc>
        <w:tc>
          <w:tcPr>
            <w:tcW w:w="1367" w:type="dxa"/>
            <w:shd w:val="clear" w:color="auto" w:fill="auto"/>
          </w:tcPr>
          <w:p w14:paraId="7FAE4D39" w14:textId="77777777" w:rsidR="005E32BB" w:rsidRPr="00C3671E" w:rsidRDefault="005E32BB" w:rsidP="00AA6335">
            <w:pPr>
              <w:rPr>
                <w:sz w:val="20"/>
                <w:szCs w:val="20"/>
                <w:lang w:val="en-GB"/>
              </w:rPr>
            </w:pPr>
            <w:r w:rsidRPr="00C3671E">
              <w:rPr>
                <w:sz w:val="20"/>
                <w:szCs w:val="20"/>
                <w:lang w:val="en-GB"/>
              </w:rPr>
              <w:t>14.9</w:t>
            </w:r>
          </w:p>
        </w:tc>
        <w:tc>
          <w:tcPr>
            <w:tcW w:w="1367" w:type="dxa"/>
          </w:tcPr>
          <w:p w14:paraId="5CD58050" w14:textId="77777777" w:rsidR="005E32BB" w:rsidRPr="00C3671E" w:rsidRDefault="005E32BB" w:rsidP="00AA6335">
            <w:pPr>
              <w:rPr>
                <w:sz w:val="20"/>
                <w:szCs w:val="20"/>
                <w:lang w:val="en-GB"/>
              </w:rPr>
            </w:pPr>
            <w:r w:rsidRPr="00C3671E">
              <w:rPr>
                <w:sz w:val="20"/>
                <w:szCs w:val="20"/>
                <w:lang w:val="en-GB"/>
              </w:rPr>
              <w:t>13.0</w:t>
            </w:r>
          </w:p>
        </w:tc>
        <w:tc>
          <w:tcPr>
            <w:tcW w:w="1367" w:type="dxa"/>
            <w:shd w:val="clear" w:color="auto" w:fill="auto"/>
          </w:tcPr>
          <w:p w14:paraId="05A8599A" w14:textId="77777777" w:rsidR="005E32BB" w:rsidRPr="00C3671E" w:rsidRDefault="005E32BB" w:rsidP="00AA6335">
            <w:pPr>
              <w:rPr>
                <w:sz w:val="20"/>
                <w:szCs w:val="20"/>
                <w:lang w:val="en-GB"/>
              </w:rPr>
            </w:pPr>
            <w:r w:rsidRPr="00C3671E">
              <w:rPr>
                <w:sz w:val="20"/>
                <w:szCs w:val="20"/>
                <w:lang w:val="en-GB"/>
              </w:rPr>
              <w:t>17.1</w:t>
            </w:r>
          </w:p>
        </w:tc>
      </w:tr>
      <w:tr w:rsidR="005E32BB" w:rsidRPr="00C3671E" w14:paraId="4444E896" w14:textId="77777777" w:rsidTr="00AA6335">
        <w:tc>
          <w:tcPr>
            <w:tcW w:w="1272" w:type="dxa"/>
            <w:vMerge/>
            <w:shd w:val="clear" w:color="auto" w:fill="auto"/>
          </w:tcPr>
          <w:p w14:paraId="6A69374E" w14:textId="77777777" w:rsidR="005E32BB" w:rsidRPr="00C3671E" w:rsidRDefault="005E32BB" w:rsidP="00AA6335">
            <w:pPr>
              <w:rPr>
                <w:sz w:val="20"/>
                <w:szCs w:val="20"/>
                <w:lang w:val="en-GB"/>
              </w:rPr>
            </w:pPr>
          </w:p>
        </w:tc>
        <w:tc>
          <w:tcPr>
            <w:tcW w:w="2502" w:type="dxa"/>
            <w:shd w:val="clear" w:color="auto" w:fill="auto"/>
          </w:tcPr>
          <w:p w14:paraId="617BAD69" w14:textId="77777777" w:rsidR="005E32BB" w:rsidRPr="00C3671E" w:rsidRDefault="005E32BB" w:rsidP="00AA6335">
            <w:pPr>
              <w:rPr>
                <w:sz w:val="20"/>
                <w:szCs w:val="20"/>
                <w:lang w:val="en-GB"/>
              </w:rPr>
            </w:pPr>
            <w:r w:rsidRPr="00C3671E">
              <w:rPr>
                <w:sz w:val="20"/>
                <w:szCs w:val="20"/>
                <w:lang w:val="en-GB"/>
              </w:rPr>
              <w:t xml:space="preserve">     excellent</w:t>
            </w:r>
          </w:p>
        </w:tc>
        <w:tc>
          <w:tcPr>
            <w:tcW w:w="1367" w:type="dxa"/>
            <w:shd w:val="clear" w:color="auto" w:fill="auto"/>
          </w:tcPr>
          <w:p w14:paraId="60B87B92" w14:textId="77777777" w:rsidR="005E32BB" w:rsidRPr="00C3671E" w:rsidRDefault="005E32BB" w:rsidP="00AA6335">
            <w:pPr>
              <w:rPr>
                <w:sz w:val="20"/>
                <w:szCs w:val="20"/>
                <w:lang w:val="en-GB"/>
              </w:rPr>
            </w:pPr>
            <w:r w:rsidRPr="00C3671E">
              <w:rPr>
                <w:sz w:val="20"/>
                <w:szCs w:val="20"/>
                <w:lang w:val="en-GB"/>
              </w:rPr>
              <w:t>5.7</w:t>
            </w:r>
          </w:p>
        </w:tc>
        <w:tc>
          <w:tcPr>
            <w:tcW w:w="1367" w:type="dxa"/>
          </w:tcPr>
          <w:p w14:paraId="2069757F" w14:textId="77777777" w:rsidR="005E32BB" w:rsidRPr="00C3671E" w:rsidRDefault="005E32BB" w:rsidP="00AA6335">
            <w:pPr>
              <w:rPr>
                <w:sz w:val="20"/>
                <w:szCs w:val="20"/>
                <w:lang w:val="en-GB"/>
              </w:rPr>
            </w:pPr>
            <w:r w:rsidRPr="00C3671E">
              <w:rPr>
                <w:sz w:val="20"/>
                <w:szCs w:val="20"/>
                <w:lang w:val="en-GB"/>
              </w:rPr>
              <w:t>5.2</w:t>
            </w:r>
          </w:p>
        </w:tc>
        <w:tc>
          <w:tcPr>
            <w:tcW w:w="1367" w:type="dxa"/>
            <w:shd w:val="clear" w:color="auto" w:fill="auto"/>
          </w:tcPr>
          <w:p w14:paraId="08CD3A5E" w14:textId="77777777" w:rsidR="005E32BB" w:rsidRPr="00C3671E" w:rsidRDefault="005E32BB" w:rsidP="00AA6335">
            <w:pPr>
              <w:rPr>
                <w:sz w:val="20"/>
                <w:szCs w:val="20"/>
                <w:lang w:val="en-GB"/>
              </w:rPr>
            </w:pPr>
            <w:r w:rsidRPr="00C3671E">
              <w:rPr>
                <w:sz w:val="20"/>
                <w:szCs w:val="20"/>
                <w:lang w:val="en-GB"/>
              </w:rPr>
              <w:t>6.2</w:t>
            </w:r>
          </w:p>
        </w:tc>
      </w:tr>
      <w:tr w:rsidR="005E32BB" w:rsidRPr="00C3671E" w14:paraId="10245598" w14:textId="77777777" w:rsidTr="00AA6335">
        <w:tc>
          <w:tcPr>
            <w:tcW w:w="1272" w:type="dxa"/>
            <w:vMerge/>
            <w:shd w:val="clear" w:color="auto" w:fill="auto"/>
          </w:tcPr>
          <w:p w14:paraId="229BA46D" w14:textId="77777777" w:rsidR="005E32BB" w:rsidRPr="00C3671E" w:rsidRDefault="005E32BB" w:rsidP="00AA6335">
            <w:pPr>
              <w:rPr>
                <w:sz w:val="20"/>
                <w:szCs w:val="20"/>
                <w:lang w:val="en-GB"/>
              </w:rPr>
            </w:pPr>
          </w:p>
        </w:tc>
        <w:tc>
          <w:tcPr>
            <w:tcW w:w="2502" w:type="dxa"/>
            <w:shd w:val="clear" w:color="auto" w:fill="auto"/>
          </w:tcPr>
          <w:p w14:paraId="47FFAC95" w14:textId="77777777" w:rsidR="005E32BB" w:rsidRPr="00C3671E" w:rsidRDefault="005E32BB" w:rsidP="00AA6335">
            <w:pPr>
              <w:rPr>
                <w:sz w:val="20"/>
                <w:szCs w:val="20"/>
                <w:lang w:val="en-GB"/>
              </w:rPr>
            </w:pPr>
            <w:r w:rsidRPr="00C3671E">
              <w:rPr>
                <w:sz w:val="20"/>
                <w:szCs w:val="20"/>
                <w:lang w:val="en-GB"/>
              </w:rPr>
              <w:t>Croatia</w:t>
            </w:r>
          </w:p>
        </w:tc>
        <w:tc>
          <w:tcPr>
            <w:tcW w:w="1367" w:type="dxa"/>
            <w:shd w:val="clear" w:color="auto" w:fill="auto"/>
          </w:tcPr>
          <w:p w14:paraId="368CB8CE" w14:textId="77777777" w:rsidR="005E32BB" w:rsidRPr="00C3671E" w:rsidRDefault="005E32BB" w:rsidP="00AA6335">
            <w:pPr>
              <w:rPr>
                <w:sz w:val="20"/>
                <w:szCs w:val="20"/>
                <w:lang w:val="en-GB"/>
              </w:rPr>
            </w:pPr>
            <w:r w:rsidRPr="00C3671E">
              <w:rPr>
                <w:sz w:val="20"/>
                <w:szCs w:val="20"/>
                <w:lang w:val="en-GB"/>
              </w:rPr>
              <w:t>15.3</w:t>
            </w:r>
          </w:p>
        </w:tc>
        <w:tc>
          <w:tcPr>
            <w:tcW w:w="1367" w:type="dxa"/>
          </w:tcPr>
          <w:p w14:paraId="4F9A8729" w14:textId="77777777" w:rsidR="005E32BB" w:rsidRPr="00C3671E" w:rsidRDefault="005E32BB" w:rsidP="00AA6335">
            <w:pPr>
              <w:rPr>
                <w:sz w:val="20"/>
                <w:szCs w:val="20"/>
                <w:lang w:val="en-GB"/>
              </w:rPr>
            </w:pPr>
            <w:r w:rsidRPr="00C3671E">
              <w:rPr>
                <w:sz w:val="20"/>
                <w:szCs w:val="20"/>
                <w:lang w:val="en-GB"/>
              </w:rPr>
              <w:t>15.8</w:t>
            </w:r>
          </w:p>
        </w:tc>
        <w:tc>
          <w:tcPr>
            <w:tcW w:w="1367" w:type="dxa"/>
            <w:shd w:val="clear" w:color="auto" w:fill="auto"/>
          </w:tcPr>
          <w:p w14:paraId="763FFEF1" w14:textId="77777777" w:rsidR="005E32BB" w:rsidRPr="00C3671E" w:rsidRDefault="005E32BB" w:rsidP="00AA6335">
            <w:pPr>
              <w:rPr>
                <w:sz w:val="20"/>
                <w:szCs w:val="20"/>
                <w:lang w:val="en-GB"/>
              </w:rPr>
            </w:pPr>
            <w:r w:rsidRPr="00C3671E">
              <w:rPr>
                <w:sz w:val="20"/>
                <w:szCs w:val="20"/>
                <w:lang w:val="en-GB"/>
              </w:rPr>
              <w:t>14.6</w:t>
            </w:r>
          </w:p>
        </w:tc>
      </w:tr>
      <w:tr w:rsidR="005E32BB" w:rsidRPr="00C3671E" w14:paraId="222D3EB7" w14:textId="77777777" w:rsidTr="00AA6335">
        <w:tc>
          <w:tcPr>
            <w:tcW w:w="1272" w:type="dxa"/>
            <w:vMerge/>
            <w:shd w:val="clear" w:color="auto" w:fill="auto"/>
          </w:tcPr>
          <w:p w14:paraId="5CF46D60" w14:textId="77777777" w:rsidR="005E32BB" w:rsidRPr="00C3671E" w:rsidRDefault="005E32BB" w:rsidP="00AA6335">
            <w:pPr>
              <w:rPr>
                <w:sz w:val="20"/>
                <w:szCs w:val="20"/>
                <w:lang w:val="en-GB"/>
              </w:rPr>
            </w:pPr>
          </w:p>
        </w:tc>
        <w:tc>
          <w:tcPr>
            <w:tcW w:w="2502" w:type="dxa"/>
            <w:shd w:val="clear" w:color="auto" w:fill="auto"/>
          </w:tcPr>
          <w:p w14:paraId="2814EED1" w14:textId="77777777" w:rsidR="005E32BB" w:rsidRPr="00C3671E" w:rsidRDefault="005E32BB" w:rsidP="00AA6335">
            <w:pPr>
              <w:rPr>
                <w:sz w:val="20"/>
                <w:szCs w:val="20"/>
                <w:lang w:val="en-GB"/>
              </w:rPr>
            </w:pPr>
            <w:r w:rsidRPr="00C3671E">
              <w:rPr>
                <w:sz w:val="20"/>
                <w:szCs w:val="20"/>
                <w:lang w:val="en-GB"/>
              </w:rPr>
              <w:t>Czechia</w:t>
            </w:r>
          </w:p>
        </w:tc>
        <w:tc>
          <w:tcPr>
            <w:tcW w:w="1367" w:type="dxa"/>
            <w:shd w:val="clear" w:color="auto" w:fill="auto"/>
          </w:tcPr>
          <w:p w14:paraId="461A93D4" w14:textId="77777777" w:rsidR="005E32BB" w:rsidRPr="00C3671E" w:rsidRDefault="005E32BB" w:rsidP="00AA6335">
            <w:pPr>
              <w:rPr>
                <w:sz w:val="20"/>
                <w:szCs w:val="20"/>
                <w:lang w:val="en-GB"/>
              </w:rPr>
            </w:pPr>
            <w:r w:rsidRPr="00C3671E">
              <w:rPr>
                <w:sz w:val="20"/>
                <w:szCs w:val="20"/>
                <w:lang w:val="en-GB"/>
              </w:rPr>
              <w:t>25.5</w:t>
            </w:r>
          </w:p>
        </w:tc>
        <w:tc>
          <w:tcPr>
            <w:tcW w:w="1367" w:type="dxa"/>
          </w:tcPr>
          <w:p w14:paraId="04A605EF" w14:textId="77777777" w:rsidR="005E32BB" w:rsidRPr="00C3671E" w:rsidRDefault="005E32BB" w:rsidP="00AA6335">
            <w:pPr>
              <w:rPr>
                <w:sz w:val="20"/>
                <w:szCs w:val="20"/>
                <w:lang w:val="en-GB"/>
              </w:rPr>
            </w:pPr>
            <w:r w:rsidRPr="00C3671E">
              <w:rPr>
                <w:sz w:val="20"/>
                <w:szCs w:val="20"/>
                <w:lang w:val="en-GB"/>
              </w:rPr>
              <w:t>26.2</w:t>
            </w:r>
          </w:p>
        </w:tc>
        <w:tc>
          <w:tcPr>
            <w:tcW w:w="1367" w:type="dxa"/>
            <w:shd w:val="clear" w:color="auto" w:fill="auto"/>
          </w:tcPr>
          <w:p w14:paraId="703E5419" w14:textId="77777777" w:rsidR="005E32BB" w:rsidRPr="00C3671E" w:rsidRDefault="005E32BB" w:rsidP="00AA6335">
            <w:pPr>
              <w:rPr>
                <w:sz w:val="20"/>
                <w:szCs w:val="20"/>
                <w:lang w:val="en-GB"/>
              </w:rPr>
            </w:pPr>
            <w:r w:rsidRPr="00C3671E">
              <w:rPr>
                <w:sz w:val="20"/>
                <w:szCs w:val="20"/>
                <w:lang w:val="en-GB"/>
              </w:rPr>
              <w:t>24.7</w:t>
            </w:r>
          </w:p>
        </w:tc>
      </w:tr>
      <w:tr w:rsidR="005E32BB" w:rsidRPr="00C3671E" w14:paraId="14F810A9" w14:textId="77777777" w:rsidTr="00AA6335">
        <w:tc>
          <w:tcPr>
            <w:tcW w:w="1272" w:type="dxa"/>
            <w:vMerge/>
            <w:shd w:val="clear" w:color="auto" w:fill="auto"/>
          </w:tcPr>
          <w:p w14:paraId="3CCBC13B" w14:textId="77777777" w:rsidR="005E32BB" w:rsidRPr="00C3671E" w:rsidRDefault="005E32BB" w:rsidP="00AA6335">
            <w:pPr>
              <w:rPr>
                <w:sz w:val="20"/>
                <w:szCs w:val="20"/>
                <w:lang w:val="en-GB"/>
              </w:rPr>
            </w:pPr>
          </w:p>
        </w:tc>
        <w:tc>
          <w:tcPr>
            <w:tcW w:w="2502" w:type="dxa"/>
            <w:shd w:val="clear" w:color="auto" w:fill="auto"/>
          </w:tcPr>
          <w:p w14:paraId="6FC0CA99" w14:textId="77777777" w:rsidR="005E32BB" w:rsidRPr="00C3671E" w:rsidRDefault="005E32BB" w:rsidP="00AA6335">
            <w:pPr>
              <w:rPr>
                <w:sz w:val="20"/>
                <w:szCs w:val="20"/>
                <w:lang w:val="en-GB"/>
              </w:rPr>
            </w:pPr>
            <w:r w:rsidRPr="00C3671E">
              <w:rPr>
                <w:sz w:val="20"/>
                <w:szCs w:val="20"/>
                <w:lang w:val="en-GB"/>
              </w:rPr>
              <w:t>Estonia</w:t>
            </w:r>
          </w:p>
        </w:tc>
        <w:tc>
          <w:tcPr>
            <w:tcW w:w="1367" w:type="dxa"/>
            <w:shd w:val="clear" w:color="auto" w:fill="auto"/>
          </w:tcPr>
          <w:p w14:paraId="52294B70" w14:textId="77777777" w:rsidR="005E32BB" w:rsidRPr="00C3671E" w:rsidRDefault="005E32BB" w:rsidP="00AA6335">
            <w:pPr>
              <w:rPr>
                <w:sz w:val="20"/>
                <w:szCs w:val="20"/>
                <w:lang w:val="en-GB"/>
              </w:rPr>
            </w:pPr>
            <w:r w:rsidRPr="00C3671E">
              <w:rPr>
                <w:sz w:val="20"/>
                <w:szCs w:val="20"/>
                <w:lang w:val="en-GB"/>
              </w:rPr>
              <w:t>24.0</w:t>
            </w:r>
          </w:p>
        </w:tc>
        <w:tc>
          <w:tcPr>
            <w:tcW w:w="1367" w:type="dxa"/>
          </w:tcPr>
          <w:p w14:paraId="153FEB45" w14:textId="77777777" w:rsidR="005E32BB" w:rsidRPr="00C3671E" w:rsidRDefault="005E32BB" w:rsidP="00AA6335">
            <w:pPr>
              <w:rPr>
                <w:sz w:val="20"/>
                <w:szCs w:val="20"/>
                <w:lang w:val="en-GB"/>
              </w:rPr>
            </w:pPr>
            <w:r w:rsidRPr="00C3671E">
              <w:rPr>
                <w:sz w:val="20"/>
                <w:szCs w:val="20"/>
                <w:lang w:val="en-GB"/>
              </w:rPr>
              <w:t>14.5</w:t>
            </w:r>
          </w:p>
        </w:tc>
        <w:tc>
          <w:tcPr>
            <w:tcW w:w="1367" w:type="dxa"/>
            <w:shd w:val="clear" w:color="auto" w:fill="auto"/>
          </w:tcPr>
          <w:p w14:paraId="503178E7" w14:textId="77777777" w:rsidR="005E32BB" w:rsidRPr="00C3671E" w:rsidRDefault="005E32BB" w:rsidP="00AA6335">
            <w:pPr>
              <w:rPr>
                <w:sz w:val="20"/>
                <w:szCs w:val="20"/>
                <w:lang w:val="en-GB"/>
              </w:rPr>
            </w:pPr>
            <w:r w:rsidRPr="00C3671E">
              <w:rPr>
                <w:sz w:val="20"/>
                <w:szCs w:val="20"/>
                <w:lang w:val="en-GB"/>
              </w:rPr>
              <w:t>35.4</w:t>
            </w:r>
          </w:p>
        </w:tc>
      </w:tr>
      <w:tr w:rsidR="005E32BB" w:rsidRPr="00C3671E" w14:paraId="519D340B" w14:textId="77777777" w:rsidTr="00AA6335">
        <w:tc>
          <w:tcPr>
            <w:tcW w:w="1272" w:type="dxa"/>
            <w:vMerge/>
            <w:shd w:val="clear" w:color="auto" w:fill="auto"/>
          </w:tcPr>
          <w:p w14:paraId="0BA3D59A" w14:textId="77777777" w:rsidR="005E32BB" w:rsidRPr="00C3671E" w:rsidRDefault="005E32BB" w:rsidP="00AA6335">
            <w:pPr>
              <w:rPr>
                <w:sz w:val="20"/>
                <w:szCs w:val="20"/>
                <w:lang w:val="en-GB"/>
              </w:rPr>
            </w:pPr>
          </w:p>
        </w:tc>
        <w:tc>
          <w:tcPr>
            <w:tcW w:w="2502" w:type="dxa"/>
            <w:shd w:val="clear" w:color="auto" w:fill="auto"/>
          </w:tcPr>
          <w:p w14:paraId="27461CE2" w14:textId="77777777" w:rsidR="005E32BB" w:rsidRPr="00C3671E" w:rsidRDefault="005E32BB" w:rsidP="00AA6335">
            <w:pPr>
              <w:rPr>
                <w:sz w:val="20"/>
                <w:szCs w:val="20"/>
                <w:lang w:val="en-GB"/>
              </w:rPr>
            </w:pPr>
            <w:r w:rsidRPr="00C3671E">
              <w:rPr>
                <w:sz w:val="20"/>
                <w:szCs w:val="20"/>
                <w:lang w:val="en-GB"/>
              </w:rPr>
              <w:t>Poland</w:t>
            </w:r>
          </w:p>
        </w:tc>
        <w:tc>
          <w:tcPr>
            <w:tcW w:w="1367" w:type="dxa"/>
            <w:shd w:val="clear" w:color="auto" w:fill="auto"/>
          </w:tcPr>
          <w:p w14:paraId="47CEDCD2" w14:textId="77777777" w:rsidR="005E32BB" w:rsidRPr="00C3671E" w:rsidRDefault="005E32BB" w:rsidP="00AA6335">
            <w:pPr>
              <w:rPr>
                <w:sz w:val="20"/>
                <w:szCs w:val="20"/>
                <w:lang w:val="en-GB"/>
              </w:rPr>
            </w:pPr>
            <w:r w:rsidRPr="00C3671E">
              <w:rPr>
                <w:sz w:val="20"/>
                <w:szCs w:val="20"/>
                <w:lang w:val="en-GB"/>
              </w:rPr>
              <w:t>10.1</w:t>
            </w:r>
          </w:p>
        </w:tc>
        <w:tc>
          <w:tcPr>
            <w:tcW w:w="1367" w:type="dxa"/>
          </w:tcPr>
          <w:p w14:paraId="65FA5282" w14:textId="77777777" w:rsidR="005E32BB" w:rsidRPr="00C3671E" w:rsidRDefault="005E32BB" w:rsidP="00AA6335">
            <w:pPr>
              <w:rPr>
                <w:sz w:val="20"/>
                <w:szCs w:val="20"/>
                <w:lang w:val="en-GB"/>
              </w:rPr>
            </w:pPr>
            <w:r w:rsidRPr="00C3671E">
              <w:rPr>
                <w:sz w:val="20"/>
                <w:szCs w:val="20"/>
                <w:lang w:val="en-GB"/>
              </w:rPr>
              <w:t>10.1</w:t>
            </w:r>
          </w:p>
        </w:tc>
        <w:tc>
          <w:tcPr>
            <w:tcW w:w="1367" w:type="dxa"/>
            <w:shd w:val="clear" w:color="auto" w:fill="auto"/>
          </w:tcPr>
          <w:p w14:paraId="4F3C267C" w14:textId="77777777" w:rsidR="005E32BB" w:rsidRPr="00C3671E" w:rsidRDefault="005E32BB" w:rsidP="00AA6335">
            <w:pPr>
              <w:rPr>
                <w:sz w:val="20"/>
                <w:szCs w:val="20"/>
                <w:lang w:val="en-GB"/>
              </w:rPr>
            </w:pPr>
            <w:r w:rsidRPr="00C3671E">
              <w:rPr>
                <w:sz w:val="20"/>
                <w:szCs w:val="20"/>
                <w:lang w:val="en-GB"/>
              </w:rPr>
              <w:t>10.2</w:t>
            </w:r>
          </w:p>
        </w:tc>
      </w:tr>
      <w:tr w:rsidR="005E32BB" w:rsidRPr="00C3671E" w14:paraId="3004D830" w14:textId="77777777" w:rsidTr="00AA6335">
        <w:tc>
          <w:tcPr>
            <w:tcW w:w="1272" w:type="dxa"/>
            <w:vMerge/>
            <w:shd w:val="clear" w:color="auto" w:fill="auto"/>
          </w:tcPr>
          <w:p w14:paraId="16E27166" w14:textId="77777777" w:rsidR="005E32BB" w:rsidRPr="00C3671E" w:rsidRDefault="005E32BB" w:rsidP="00AA6335">
            <w:pPr>
              <w:rPr>
                <w:sz w:val="20"/>
                <w:szCs w:val="20"/>
                <w:lang w:val="en-GB"/>
              </w:rPr>
            </w:pPr>
          </w:p>
        </w:tc>
        <w:tc>
          <w:tcPr>
            <w:tcW w:w="2502" w:type="dxa"/>
            <w:shd w:val="clear" w:color="auto" w:fill="auto"/>
          </w:tcPr>
          <w:p w14:paraId="08252303" w14:textId="77777777" w:rsidR="005E32BB" w:rsidRPr="00C3671E" w:rsidRDefault="005E32BB" w:rsidP="00AA6335">
            <w:pPr>
              <w:rPr>
                <w:sz w:val="20"/>
                <w:szCs w:val="20"/>
                <w:lang w:val="en-GB"/>
              </w:rPr>
            </w:pPr>
            <w:r w:rsidRPr="00C3671E">
              <w:rPr>
                <w:sz w:val="20"/>
                <w:szCs w:val="20"/>
                <w:lang w:val="en-GB"/>
              </w:rPr>
              <w:t>Slovenia</w:t>
            </w:r>
          </w:p>
        </w:tc>
        <w:tc>
          <w:tcPr>
            <w:tcW w:w="1367" w:type="dxa"/>
            <w:shd w:val="clear" w:color="auto" w:fill="auto"/>
          </w:tcPr>
          <w:p w14:paraId="13BCCC1C" w14:textId="77777777" w:rsidR="005E32BB" w:rsidRPr="00C3671E" w:rsidRDefault="005E32BB" w:rsidP="00AA6335">
            <w:pPr>
              <w:rPr>
                <w:sz w:val="20"/>
                <w:szCs w:val="20"/>
                <w:lang w:val="en-GB"/>
              </w:rPr>
            </w:pPr>
            <w:r w:rsidRPr="00C3671E">
              <w:rPr>
                <w:sz w:val="20"/>
                <w:szCs w:val="20"/>
                <w:lang w:val="en-GB"/>
              </w:rPr>
              <w:t>25.1</w:t>
            </w:r>
          </w:p>
        </w:tc>
        <w:tc>
          <w:tcPr>
            <w:tcW w:w="1367" w:type="dxa"/>
          </w:tcPr>
          <w:p w14:paraId="4CEF137B" w14:textId="77777777" w:rsidR="005E32BB" w:rsidRPr="00C3671E" w:rsidRDefault="005E32BB" w:rsidP="00AA6335">
            <w:pPr>
              <w:rPr>
                <w:sz w:val="20"/>
                <w:szCs w:val="20"/>
                <w:lang w:val="en-GB"/>
              </w:rPr>
            </w:pPr>
            <w:r w:rsidRPr="00C3671E">
              <w:rPr>
                <w:sz w:val="20"/>
                <w:szCs w:val="20"/>
                <w:lang w:val="en-GB"/>
              </w:rPr>
              <w:t>33.4</w:t>
            </w:r>
          </w:p>
        </w:tc>
        <w:tc>
          <w:tcPr>
            <w:tcW w:w="1367" w:type="dxa"/>
            <w:shd w:val="clear" w:color="auto" w:fill="auto"/>
          </w:tcPr>
          <w:p w14:paraId="0ACB3033" w14:textId="77777777" w:rsidR="005E32BB" w:rsidRPr="00C3671E" w:rsidRDefault="005E32BB" w:rsidP="00AA6335">
            <w:pPr>
              <w:rPr>
                <w:sz w:val="20"/>
                <w:szCs w:val="20"/>
                <w:lang w:val="en-GB"/>
              </w:rPr>
            </w:pPr>
            <w:r w:rsidRPr="00C3671E">
              <w:rPr>
                <w:sz w:val="20"/>
                <w:szCs w:val="20"/>
                <w:lang w:val="en-GB"/>
              </w:rPr>
              <w:t>15.1</w:t>
            </w:r>
          </w:p>
        </w:tc>
      </w:tr>
      <w:tr w:rsidR="005E32BB" w:rsidRPr="00C3671E" w14:paraId="4CD281DB" w14:textId="77777777" w:rsidTr="00AA6335">
        <w:tc>
          <w:tcPr>
            <w:tcW w:w="1272" w:type="dxa"/>
            <w:vMerge/>
            <w:shd w:val="clear" w:color="auto" w:fill="auto"/>
          </w:tcPr>
          <w:p w14:paraId="44E6841A" w14:textId="77777777" w:rsidR="005E32BB" w:rsidRPr="00C3671E" w:rsidRDefault="005E32BB" w:rsidP="00AA6335">
            <w:pPr>
              <w:rPr>
                <w:sz w:val="20"/>
                <w:szCs w:val="20"/>
                <w:lang w:val="en-GB"/>
              </w:rPr>
            </w:pPr>
          </w:p>
        </w:tc>
        <w:tc>
          <w:tcPr>
            <w:tcW w:w="2502" w:type="dxa"/>
            <w:shd w:val="clear" w:color="auto" w:fill="auto"/>
          </w:tcPr>
          <w:p w14:paraId="5A66AB0A" w14:textId="77777777" w:rsidR="005E32BB" w:rsidRPr="00C3671E" w:rsidRDefault="005E32BB" w:rsidP="00AA6335">
            <w:pPr>
              <w:rPr>
                <w:sz w:val="20"/>
                <w:szCs w:val="20"/>
                <w:lang w:val="en-GB"/>
              </w:rPr>
            </w:pPr>
            <w:r w:rsidRPr="00C3671E">
              <w:rPr>
                <w:sz w:val="20"/>
                <w:szCs w:val="20"/>
                <w:lang w:val="en-GB"/>
              </w:rPr>
              <w:t>N</w:t>
            </w:r>
          </w:p>
        </w:tc>
        <w:tc>
          <w:tcPr>
            <w:tcW w:w="1367" w:type="dxa"/>
            <w:shd w:val="clear" w:color="auto" w:fill="auto"/>
          </w:tcPr>
          <w:p w14:paraId="2FBC976B" w14:textId="77777777" w:rsidR="005E32BB" w:rsidRPr="00C3671E" w:rsidRDefault="005E32BB" w:rsidP="00AA6335">
            <w:pPr>
              <w:rPr>
                <w:sz w:val="20"/>
                <w:szCs w:val="20"/>
                <w:lang w:val="en-GB"/>
              </w:rPr>
            </w:pPr>
            <w:r w:rsidRPr="00C3671E">
              <w:rPr>
                <w:sz w:val="20"/>
                <w:szCs w:val="20"/>
                <w:lang w:val="en-GB"/>
              </w:rPr>
              <w:t>4882</w:t>
            </w:r>
          </w:p>
        </w:tc>
        <w:tc>
          <w:tcPr>
            <w:tcW w:w="1367" w:type="dxa"/>
          </w:tcPr>
          <w:p w14:paraId="7109B637" w14:textId="77777777" w:rsidR="005E32BB" w:rsidRPr="00C3671E" w:rsidRDefault="005E32BB" w:rsidP="00AA6335">
            <w:pPr>
              <w:rPr>
                <w:sz w:val="20"/>
                <w:szCs w:val="20"/>
                <w:lang w:val="en-GB"/>
              </w:rPr>
            </w:pPr>
            <w:r w:rsidRPr="00C3671E">
              <w:rPr>
                <w:sz w:val="20"/>
                <w:szCs w:val="20"/>
                <w:lang w:val="en-GB"/>
              </w:rPr>
              <w:t>2663</w:t>
            </w:r>
          </w:p>
        </w:tc>
        <w:tc>
          <w:tcPr>
            <w:tcW w:w="1367" w:type="dxa"/>
            <w:shd w:val="clear" w:color="auto" w:fill="auto"/>
          </w:tcPr>
          <w:p w14:paraId="1CA04DB9" w14:textId="77777777" w:rsidR="005E32BB" w:rsidRPr="00C3671E" w:rsidRDefault="005E32BB" w:rsidP="00AA6335">
            <w:pPr>
              <w:rPr>
                <w:sz w:val="20"/>
                <w:szCs w:val="20"/>
                <w:lang w:val="en-GB"/>
              </w:rPr>
            </w:pPr>
            <w:r w:rsidRPr="00C3671E">
              <w:rPr>
                <w:sz w:val="20"/>
                <w:szCs w:val="20"/>
                <w:lang w:val="en-GB"/>
              </w:rPr>
              <w:t>2219</w:t>
            </w:r>
          </w:p>
        </w:tc>
      </w:tr>
    </w:tbl>
    <w:p w14:paraId="44479295" w14:textId="3C151D2B" w:rsidR="001A7940" w:rsidRPr="00C3671E" w:rsidRDefault="005E32BB" w:rsidP="005E32BB">
      <w:pPr>
        <w:rPr>
          <w:sz w:val="20"/>
          <w:lang w:val="en-GB"/>
        </w:rPr>
      </w:pPr>
      <w:r w:rsidRPr="00C3671E">
        <w:rPr>
          <w:i/>
          <w:sz w:val="20"/>
          <w:lang w:val="en-GB"/>
        </w:rPr>
        <w:t xml:space="preserve">Source: </w:t>
      </w:r>
      <w:r w:rsidRPr="00C3671E">
        <w:rPr>
          <w:sz w:val="20"/>
          <w:lang w:val="en-GB"/>
        </w:rPr>
        <w:t>These calculations use data from SHARE, wave 6.</w:t>
      </w:r>
    </w:p>
    <w:p w14:paraId="08CF2A2F" w14:textId="77777777" w:rsidR="001A7940" w:rsidRPr="00C3671E" w:rsidRDefault="001A7940" w:rsidP="001A7940">
      <w:pPr>
        <w:suppressAutoHyphens/>
        <w:spacing w:line="480" w:lineRule="auto"/>
        <w:jc w:val="center"/>
        <w:rPr>
          <w:lang w:val="en-GB"/>
        </w:rPr>
      </w:pPr>
    </w:p>
    <w:p w14:paraId="14457AB7" w14:textId="5B64723F" w:rsidR="001A7940" w:rsidRPr="00C3671E" w:rsidRDefault="001A7940" w:rsidP="00F4146A">
      <w:pPr>
        <w:suppressAutoHyphens/>
        <w:spacing w:line="480" w:lineRule="auto"/>
        <w:jc w:val="both"/>
        <w:rPr>
          <w:lang w:val="en-GB"/>
        </w:rPr>
      </w:pPr>
      <w:r w:rsidRPr="00C3671E">
        <w:rPr>
          <w:lang w:val="en-GB"/>
        </w:rPr>
        <w:t xml:space="preserve">The main message of Table 1 is the presence of a different distribution of possible confounders between retired and working respondents. This creates bias in comparing the QoL between two group, which is reduced by propensity score matching. Radius and Kernel matching were conducted for each region separately and were successfully balanced on the level p=0.001. Table 2 presents values of mean standardized bias and its reduction by two methods of matching in four European regions. The mean bias is reduced by around 80 per cent, which means the effective balancing of retirees and workers in the key characteristics. This statement is supported by the decrease of Pseudo R2 from values 0.17-0.34 to almost zero in all matching models. The decrease indicates that covariates lost their explanatory power during the matching process. The bias reduction is similar for Radius matching and Kernel matching, although it was much lower for Radius matching before usage of </w:t>
      </w:r>
      <w:r w:rsidRPr="00C3671E">
        <w:rPr>
          <w:lang w:val="en-GB"/>
        </w:rPr>
        <w:fldChar w:fldCharType="begin" w:fldLock="1"/>
      </w:r>
      <w:r w:rsidR="00AA6335" w:rsidRPr="00C3671E">
        <w:rPr>
          <w:lang w:val="en-GB"/>
        </w:rPr>
        <w:instrText>ADDIN CSL_CITATION { "citationItems" : [ { "id" : "ITEM-1", "itemData" : { "DOI" : "10.1080/00031305.1985.10479383", "ISBN" : "00031305", "ISSN" : "15372731", "PMID" : "5025595", "abstract" : "Matched sampling is a method for selecting units from a large reservoir of potential controls to produce a control group of modest size that is similar to a treated group with respect to the distribution of observed covariates. We illustrate the use of multivariate matching methods in an observational study of the effects of prenatal exposure to barbiturates on subsequent psychological development. A key ideas is the use of the propensity score as a distinct matching variable.", "author" : [ { "dropping-particle" : "", "family" : "Rosenbaum", "given" : "Paul R.", "non-dropping-particle" : "", "parse-names" : false, "suffix" : "" }, { "dropping-particle" : "", "family" : "Rubin", "given" : "Donald B.", "non-dropping-particle" : "", "parse-names" : false, "suffix" : "" } ], "container-title" : "The American Statistician", "id" : "ITEM-1", "issue" : "1", "issued" : { "date-parts" : [ [ "1985" ] ] }, "page" : "33-38", "title" : "Constructing a control group using multivariate matched sampling methods that incorporate the propensity score", "type" : "article", "volume" : "39" }, "uris" : [ "http://www.mendeley.com/documents/?uuid=61372b08-190b-4210-9937-13cc01a6dd05" ] } ], "mendeley" : { "formattedCitation" : "(Rosenbaum and Rubin 1985)", "manualFormatting" : "Rosenbaum and Rubin's (1985)", "plainTextFormattedCitation" : "(Rosenbaum and Rubin 1985)", "previouslyFormattedCitation" : "(Rosenbaum and Rubin 1985)" }, "properties" : { "noteIndex" : 0 }, "schema" : "https://github.com/citation-style-language/schema/raw/master/csl-citation.json" }</w:instrText>
      </w:r>
      <w:r w:rsidRPr="00C3671E">
        <w:rPr>
          <w:lang w:val="en-GB"/>
        </w:rPr>
        <w:fldChar w:fldCharType="separate"/>
      </w:r>
      <w:r w:rsidRPr="00C3671E">
        <w:rPr>
          <w:noProof/>
          <w:lang w:val="en-GB"/>
        </w:rPr>
        <w:t>Rosenbaum and Rubin's (1985)</w:t>
      </w:r>
      <w:r w:rsidRPr="00C3671E">
        <w:rPr>
          <w:lang w:val="en-GB"/>
        </w:rPr>
        <w:fldChar w:fldCharType="end"/>
      </w:r>
      <w:r w:rsidRPr="00C3671E">
        <w:rPr>
          <w:lang w:val="en-GB"/>
        </w:rPr>
        <w:t xml:space="preserve"> specification of caliper width.</w:t>
      </w:r>
    </w:p>
    <w:p w14:paraId="43447C21" w14:textId="70F4629F" w:rsidR="005E32BB" w:rsidRPr="00C3671E" w:rsidRDefault="005E32BB" w:rsidP="005E32BB">
      <w:pPr>
        <w:spacing w:before="100" w:beforeAutospacing="1"/>
        <w:jc w:val="both"/>
        <w:rPr>
          <w:b/>
          <w:lang w:val="en-GB"/>
        </w:rPr>
      </w:pPr>
      <w:bookmarkStart w:id="39" w:name="_Toc512687477"/>
      <w:r w:rsidRPr="00C3671E">
        <w:rPr>
          <w:b/>
          <w:lang w:val="en-GB"/>
        </w:rPr>
        <w:t xml:space="preserve">Table </w:t>
      </w:r>
      <w:r w:rsidRPr="00C3671E">
        <w:rPr>
          <w:b/>
          <w:lang w:val="en-GB"/>
        </w:rPr>
        <w:fldChar w:fldCharType="begin"/>
      </w:r>
      <w:r w:rsidRPr="00C3671E">
        <w:rPr>
          <w:b/>
          <w:lang w:val="en-GB"/>
        </w:rPr>
        <w:instrText xml:space="preserve"> SEQ Table \* ARABIC </w:instrText>
      </w:r>
      <w:r w:rsidRPr="00C3671E">
        <w:rPr>
          <w:b/>
          <w:lang w:val="en-GB"/>
        </w:rPr>
        <w:fldChar w:fldCharType="separate"/>
      </w:r>
      <w:r w:rsidR="00F96318" w:rsidRPr="00C3671E">
        <w:rPr>
          <w:b/>
          <w:noProof/>
          <w:lang w:val="en-GB"/>
        </w:rPr>
        <w:t>2</w:t>
      </w:r>
      <w:r w:rsidRPr="00C3671E">
        <w:rPr>
          <w:b/>
          <w:lang w:val="en-GB"/>
        </w:rPr>
        <w:fldChar w:fldCharType="end"/>
      </w:r>
      <w:r w:rsidRPr="00C3671E">
        <w:rPr>
          <w:b/>
          <w:lang w:val="en-GB"/>
        </w:rPr>
        <w:t>: Results of covariate balancing test – difference between matched and unmatched sample across matching methods and regions</w:t>
      </w:r>
      <w:bookmarkEnd w:id="39"/>
    </w:p>
    <w:tbl>
      <w:tblPr>
        <w:tblW w:w="9947"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984"/>
        <w:gridCol w:w="1311"/>
        <w:gridCol w:w="1311"/>
        <w:gridCol w:w="1311"/>
        <w:gridCol w:w="1312"/>
        <w:gridCol w:w="1441"/>
      </w:tblGrid>
      <w:tr w:rsidR="005E32BB" w:rsidRPr="00C3671E" w14:paraId="0A008075" w14:textId="77777777" w:rsidTr="00AA6335">
        <w:tc>
          <w:tcPr>
            <w:tcW w:w="1277" w:type="dxa"/>
            <w:shd w:val="clear" w:color="auto" w:fill="auto"/>
          </w:tcPr>
          <w:p w14:paraId="355AE936" w14:textId="77777777" w:rsidR="005E32BB" w:rsidRPr="00C3671E" w:rsidRDefault="005E32BB" w:rsidP="00AA6335">
            <w:pPr>
              <w:rPr>
                <w:sz w:val="20"/>
                <w:szCs w:val="20"/>
                <w:lang w:val="en-GB"/>
              </w:rPr>
            </w:pPr>
          </w:p>
        </w:tc>
        <w:tc>
          <w:tcPr>
            <w:tcW w:w="1984" w:type="dxa"/>
            <w:shd w:val="clear" w:color="auto" w:fill="auto"/>
          </w:tcPr>
          <w:p w14:paraId="7BB193AE" w14:textId="77777777" w:rsidR="005E32BB" w:rsidRPr="00C3671E" w:rsidRDefault="005E32BB" w:rsidP="00AA6335">
            <w:pPr>
              <w:rPr>
                <w:sz w:val="20"/>
                <w:szCs w:val="20"/>
                <w:lang w:val="en-GB"/>
              </w:rPr>
            </w:pPr>
          </w:p>
        </w:tc>
        <w:tc>
          <w:tcPr>
            <w:tcW w:w="2622" w:type="dxa"/>
            <w:gridSpan w:val="2"/>
            <w:shd w:val="clear" w:color="auto" w:fill="auto"/>
          </w:tcPr>
          <w:p w14:paraId="667B7CF5" w14:textId="77777777" w:rsidR="005E32BB" w:rsidRPr="00C3671E" w:rsidRDefault="005E32BB" w:rsidP="00AA6335">
            <w:pPr>
              <w:rPr>
                <w:sz w:val="20"/>
                <w:szCs w:val="20"/>
                <w:lang w:val="en-GB"/>
              </w:rPr>
            </w:pPr>
            <w:r w:rsidRPr="00C3671E">
              <w:rPr>
                <w:sz w:val="20"/>
                <w:szCs w:val="20"/>
                <w:lang w:val="en-GB"/>
              </w:rPr>
              <w:t>Before matching</w:t>
            </w:r>
          </w:p>
        </w:tc>
        <w:tc>
          <w:tcPr>
            <w:tcW w:w="2623" w:type="dxa"/>
            <w:gridSpan w:val="2"/>
            <w:shd w:val="clear" w:color="auto" w:fill="auto"/>
          </w:tcPr>
          <w:p w14:paraId="2A75C1DC" w14:textId="77777777" w:rsidR="005E32BB" w:rsidRPr="00C3671E" w:rsidRDefault="005E32BB" w:rsidP="00AA6335">
            <w:pPr>
              <w:rPr>
                <w:sz w:val="20"/>
                <w:szCs w:val="20"/>
                <w:lang w:val="en-GB"/>
              </w:rPr>
            </w:pPr>
            <w:r w:rsidRPr="00C3671E">
              <w:rPr>
                <w:sz w:val="20"/>
                <w:szCs w:val="20"/>
                <w:lang w:val="en-GB"/>
              </w:rPr>
              <w:t>After matching</w:t>
            </w:r>
          </w:p>
        </w:tc>
        <w:tc>
          <w:tcPr>
            <w:tcW w:w="1441" w:type="dxa"/>
          </w:tcPr>
          <w:p w14:paraId="029ADC42" w14:textId="77777777" w:rsidR="005E32BB" w:rsidRPr="00C3671E" w:rsidRDefault="005E32BB" w:rsidP="00AA6335">
            <w:pPr>
              <w:rPr>
                <w:sz w:val="20"/>
                <w:szCs w:val="20"/>
                <w:lang w:val="en-GB"/>
              </w:rPr>
            </w:pPr>
          </w:p>
        </w:tc>
      </w:tr>
      <w:tr w:rsidR="005E32BB" w:rsidRPr="00C3671E" w14:paraId="6770E6C5" w14:textId="77777777" w:rsidTr="00AA6335">
        <w:tc>
          <w:tcPr>
            <w:tcW w:w="1277" w:type="dxa"/>
            <w:shd w:val="clear" w:color="auto" w:fill="auto"/>
          </w:tcPr>
          <w:p w14:paraId="504CCFFD" w14:textId="77777777" w:rsidR="005E32BB" w:rsidRPr="00C3671E" w:rsidRDefault="005E32BB" w:rsidP="00AA6335">
            <w:pPr>
              <w:rPr>
                <w:sz w:val="20"/>
                <w:szCs w:val="20"/>
                <w:lang w:val="en-GB"/>
              </w:rPr>
            </w:pPr>
          </w:p>
        </w:tc>
        <w:tc>
          <w:tcPr>
            <w:tcW w:w="1984" w:type="dxa"/>
            <w:shd w:val="clear" w:color="auto" w:fill="auto"/>
          </w:tcPr>
          <w:p w14:paraId="2DD3F252" w14:textId="77777777" w:rsidR="005E32BB" w:rsidRPr="00C3671E" w:rsidRDefault="005E32BB" w:rsidP="00AA6335">
            <w:pPr>
              <w:rPr>
                <w:sz w:val="20"/>
                <w:szCs w:val="20"/>
                <w:lang w:val="en-GB"/>
              </w:rPr>
            </w:pPr>
          </w:p>
        </w:tc>
        <w:tc>
          <w:tcPr>
            <w:tcW w:w="1311" w:type="dxa"/>
            <w:shd w:val="clear" w:color="auto" w:fill="auto"/>
          </w:tcPr>
          <w:p w14:paraId="3704010A" w14:textId="77777777" w:rsidR="005E32BB" w:rsidRPr="00C3671E" w:rsidRDefault="005E32BB" w:rsidP="00AA6335">
            <w:pPr>
              <w:rPr>
                <w:sz w:val="20"/>
                <w:szCs w:val="20"/>
                <w:lang w:val="en-GB"/>
              </w:rPr>
            </w:pPr>
            <w:r w:rsidRPr="00C3671E">
              <w:rPr>
                <w:sz w:val="20"/>
                <w:szCs w:val="20"/>
                <w:lang w:val="en-GB"/>
              </w:rPr>
              <w:t>Pseudo R2</w:t>
            </w:r>
          </w:p>
        </w:tc>
        <w:tc>
          <w:tcPr>
            <w:tcW w:w="1311" w:type="dxa"/>
            <w:shd w:val="clear" w:color="auto" w:fill="auto"/>
          </w:tcPr>
          <w:p w14:paraId="2FA8C0E3" w14:textId="77777777" w:rsidR="005E32BB" w:rsidRPr="00C3671E" w:rsidRDefault="005E32BB" w:rsidP="00AA6335">
            <w:pPr>
              <w:rPr>
                <w:sz w:val="20"/>
                <w:szCs w:val="20"/>
                <w:lang w:val="en-GB"/>
              </w:rPr>
            </w:pPr>
            <w:r w:rsidRPr="00C3671E">
              <w:rPr>
                <w:sz w:val="20"/>
                <w:szCs w:val="20"/>
                <w:lang w:val="en-GB"/>
              </w:rPr>
              <w:t>Mean bias</w:t>
            </w:r>
          </w:p>
        </w:tc>
        <w:tc>
          <w:tcPr>
            <w:tcW w:w="1311" w:type="dxa"/>
            <w:shd w:val="clear" w:color="auto" w:fill="auto"/>
          </w:tcPr>
          <w:p w14:paraId="77FC9FA6" w14:textId="77777777" w:rsidR="005E32BB" w:rsidRPr="00C3671E" w:rsidRDefault="005E32BB" w:rsidP="00AA6335">
            <w:pPr>
              <w:rPr>
                <w:sz w:val="20"/>
                <w:szCs w:val="20"/>
                <w:lang w:val="en-GB"/>
              </w:rPr>
            </w:pPr>
            <w:r w:rsidRPr="00C3671E">
              <w:rPr>
                <w:sz w:val="20"/>
                <w:szCs w:val="20"/>
                <w:lang w:val="en-GB"/>
              </w:rPr>
              <w:t>Pseudo R2</w:t>
            </w:r>
          </w:p>
        </w:tc>
        <w:tc>
          <w:tcPr>
            <w:tcW w:w="1312" w:type="dxa"/>
            <w:shd w:val="clear" w:color="auto" w:fill="auto"/>
          </w:tcPr>
          <w:p w14:paraId="3185A5AE" w14:textId="77777777" w:rsidR="005E32BB" w:rsidRPr="00C3671E" w:rsidRDefault="005E32BB" w:rsidP="00AA6335">
            <w:pPr>
              <w:rPr>
                <w:sz w:val="20"/>
                <w:szCs w:val="20"/>
                <w:lang w:val="en-GB"/>
              </w:rPr>
            </w:pPr>
            <w:r w:rsidRPr="00C3671E">
              <w:rPr>
                <w:sz w:val="20"/>
                <w:szCs w:val="20"/>
                <w:lang w:val="en-GB"/>
              </w:rPr>
              <w:t>Mean bias</w:t>
            </w:r>
          </w:p>
        </w:tc>
        <w:tc>
          <w:tcPr>
            <w:tcW w:w="1441" w:type="dxa"/>
          </w:tcPr>
          <w:p w14:paraId="6F31E025" w14:textId="77777777" w:rsidR="005E32BB" w:rsidRPr="00C3671E" w:rsidRDefault="005E32BB" w:rsidP="00AA6335">
            <w:pPr>
              <w:rPr>
                <w:sz w:val="20"/>
                <w:szCs w:val="20"/>
                <w:lang w:val="en-GB"/>
              </w:rPr>
            </w:pPr>
            <w:r w:rsidRPr="00C3671E">
              <w:rPr>
                <w:sz w:val="20"/>
                <w:szCs w:val="20"/>
                <w:lang w:val="en-GB"/>
              </w:rPr>
              <w:t>per cent of bias reduction</w:t>
            </w:r>
          </w:p>
        </w:tc>
      </w:tr>
      <w:tr w:rsidR="005E32BB" w:rsidRPr="00C3671E" w14:paraId="28358D5D" w14:textId="77777777" w:rsidTr="00AA6335">
        <w:tc>
          <w:tcPr>
            <w:tcW w:w="1277" w:type="dxa"/>
            <w:vMerge w:val="restart"/>
            <w:shd w:val="clear" w:color="auto" w:fill="auto"/>
          </w:tcPr>
          <w:p w14:paraId="7152132B" w14:textId="77777777" w:rsidR="005E32BB" w:rsidRPr="00C3671E" w:rsidRDefault="005E32BB" w:rsidP="00AA6335">
            <w:pPr>
              <w:rPr>
                <w:sz w:val="20"/>
                <w:szCs w:val="20"/>
                <w:lang w:val="en-GB"/>
              </w:rPr>
            </w:pPr>
            <w:r w:rsidRPr="00C3671E">
              <w:rPr>
                <w:sz w:val="20"/>
                <w:szCs w:val="20"/>
                <w:lang w:val="en-GB"/>
              </w:rPr>
              <w:t>Nordic countries</w:t>
            </w:r>
          </w:p>
        </w:tc>
        <w:tc>
          <w:tcPr>
            <w:tcW w:w="1984" w:type="dxa"/>
            <w:shd w:val="clear" w:color="auto" w:fill="auto"/>
          </w:tcPr>
          <w:p w14:paraId="74B63F45" w14:textId="77777777" w:rsidR="005E32BB" w:rsidRPr="00C3671E" w:rsidRDefault="005E32BB" w:rsidP="00AA6335">
            <w:pPr>
              <w:rPr>
                <w:sz w:val="20"/>
                <w:szCs w:val="20"/>
                <w:lang w:val="en-GB"/>
              </w:rPr>
            </w:pPr>
            <w:r w:rsidRPr="00C3671E">
              <w:rPr>
                <w:sz w:val="20"/>
                <w:szCs w:val="20"/>
                <w:lang w:val="en-GB"/>
              </w:rPr>
              <w:t>Radius matching</w:t>
            </w:r>
          </w:p>
        </w:tc>
        <w:tc>
          <w:tcPr>
            <w:tcW w:w="1311" w:type="dxa"/>
            <w:shd w:val="clear" w:color="auto" w:fill="auto"/>
          </w:tcPr>
          <w:p w14:paraId="0EA63494" w14:textId="77777777" w:rsidR="005E32BB" w:rsidRPr="00C3671E" w:rsidRDefault="005E32BB" w:rsidP="00AA6335">
            <w:pPr>
              <w:rPr>
                <w:sz w:val="20"/>
                <w:szCs w:val="20"/>
                <w:lang w:val="en-GB"/>
              </w:rPr>
            </w:pPr>
            <w:r w:rsidRPr="00C3671E">
              <w:rPr>
                <w:sz w:val="20"/>
                <w:szCs w:val="20"/>
                <w:lang w:val="en-GB"/>
              </w:rPr>
              <w:t>0.32</w:t>
            </w:r>
          </w:p>
        </w:tc>
        <w:tc>
          <w:tcPr>
            <w:tcW w:w="1311" w:type="dxa"/>
            <w:shd w:val="clear" w:color="auto" w:fill="auto"/>
          </w:tcPr>
          <w:p w14:paraId="193BC4A5" w14:textId="77777777" w:rsidR="005E32BB" w:rsidRPr="00C3671E" w:rsidRDefault="005E32BB" w:rsidP="00AA6335">
            <w:pPr>
              <w:rPr>
                <w:sz w:val="20"/>
                <w:szCs w:val="20"/>
                <w:lang w:val="en-GB"/>
              </w:rPr>
            </w:pPr>
            <w:r w:rsidRPr="00C3671E">
              <w:rPr>
                <w:sz w:val="20"/>
                <w:szCs w:val="20"/>
                <w:lang w:val="en-GB"/>
              </w:rPr>
              <w:t>25.7</w:t>
            </w:r>
          </w:p>
        </w:tc>
        <w:tc>
          <w:tcPr>
            <w:tcW w:w="1311" w:type="dxa"/>
            <w:shd w:val="clear" w:color="auto" w:fill="auto"/>
          </w:tcPr>
          <w:p w14:paraId="24F3AE3B" w14:textId="77777777" w:rsidR="005E32BB" w:rsidRPr="00C3671E" w:rsidRDefault="005E32BB" w:rsidP="00AA6335">
            <w:pPr>
              <w:rPr>
                <w:sz w:val="20"/>
                <w:szCs w:val="20"/>
                <w:lang w:val="en-GB"/>
              </w:rPr>
            </w:pPr>
            <w:r w:rsidRPr="00C3671E">
              <w:rPr>
                <w:sz w:val="20"/>
                <w:szCs w:val="20"/>
                <w:lang w:val="en-GB"/>
              </w:rPr>
              <w:t>0.01</w:t>
            </w:r>
          </w:p>
        </w:tc>
        <w:tc>
          <w:tcPr>
            <w:tcW w:w="1312" w:type="dxa"/>
            <w:shd w:val="clear" w:color="auto" w:fill="auto"/>
          </w:tcPr>
          <w:p w14:paraId="336FE16E" w14:textId="77777777" w:rsidR="005E32BB" w:rsidRPr="00C3671E" w:rsidRDefault="005E32BB" w:rsidP="00AA6335">
            <w:pPr>
              <w:rPr>
                <w:sz w:val="20"/>
                <w:szCs w:val="20"/>
                <w:lang w:val="en-GB"/>
              </w:rPr>
            </w:pPr>
            <w:r w:rsidRPr="00C3671E">
              <w:rPr>
                <w:sz w:val="20"/>
                <w:szCs w:val="20"/>
                <w:lang w:val="en-GB"/>
              </w:rPr>
              <w:t>7.0</w:t>
            </w:r>
          </w:p>
        </w:tc>
        <w:tc>
          <w:tcPr>
            <w:tcW w:w="1441" w:type="dxa"/>
          </w:tcPr>
          <w:p w14:paraId="66280430" w14:textId="77777777" w:rsidR="005E32BB" w:rsidRPr="00C3671E" w:rsidRDefault="005E32BB" w:rsidP="00AA6335">
            <w:pPr>
              <w:rPr>
                <w:sz w:val="20"/>
                <w:szCs w:val="20"/>
                <w:lang w:val="en-GB"/>
              </w:rPr>
            </w:pPr>
            <w:r w:rsidRPr="00C3671E">
              <w:rPr>
                <w:sz w:val="20"/>
                <w:szCs w:val="20"/>
                <w:lang w:val="en-GB"/>
              </w:rPr>
              <w:t>72.8</w:t>
            </w:r>
          </w:p>
        </w:tc>
      </w:tr>
      <w:tr w:rsidR="005E32BB" w:rsidRPr="00C3671E" w14:paraId="17FB7A12" w14:textId="77777777" w:rsidTr="00AA6335">
        <w:tc>
          <w:tcPr>
            <w:tcW w:w="1277" w:type="dxa"/>
            <w:vMerge/>
            <w:shd w:val="clear" w:color="auto" w:fill="auto"/>
          </w:tcPr>
          <w:p w14:paraId="297D0027" w14:textId="77777777" w:rsidR="005E32BB" w:rsidRPr="00C3671E" w:rsidRDefault="005E32BB" w:rsidP="00AA6335">
            <w:pPr>
              <w:rPr>
                <w:sz w:val="20"/>
                <w:szCs w:val="20"/>
                <w:lang w:val="en-GB"/>
              </w:rPr>
            </w:pPr>
          </w:p>
        </w:tc>
        <w:tc>
          <w:tcPr>
            <w:tcW w:w="1984" w:type="dxa"/>
            <w:shd w:val="clear" w:color="auto" w:fill="auto"/>
          </w:tcPr>
          <w:p w14:paraId="3B7BAA11" w14:textId="77777777" w:rsidR="005E32BB" w:rsidRPr="00C3671E" w:rsidRDefault="005E32BB" w:rsidP="00AA6335">
            <w:pPr>
              <w:rPr>
                <w:sz w:val="20"/>
                <w:szCs w:val="20"/>
                <w:lang w:val="en-GB"/>
              </w:rPr>
            </w:pPr>
            <w:r w:rsidRPr="00C3671E">
              <w:rPr>
                <w:sz w:val="20"/>
                <w:szCs w:val="20"/>
                <w:lang w:val="en-GB"/>
              </w:rPr>
              <w:t>Kernel matching</w:t>
            </w:r>
          </w:p>
        </w:tc>
        <w:tc>
          <w:tcPr>
            <w:tcW w:w="1311" w:type="dxa"/>
            <w:shd w:val="clear" w:color="auto" w:fill="auto"/>
          </w:tcPr>
          <w:p w14:paraId="1238161C" w14:textId="77777777" w:rsidR="005E32BB" w:rsidRPr="00C3671E" w:rsidRDefault="005E32BB" w:rsidP="00AA6335">
            <w:pPr>
              <w:rPr>
                <w:sz w:val="20"/>
                <w:szCs w:val="20"/>
                <w:lang w:val="en-GB"/>
              </w:rPr>
            </w:pPr>
            <w:r w:rsidRPr="00C3671E">
              <w:rPr>
                <w:sz w:val="20"/>
                <w:szCs w:val="20"/>
                <w:lang w:val="en-GB"/>
              </w:rPr>
              <w:t>0.32</w:t>
            </w:r>
          </w:p>
        </w:tc>
        <w:tc>
          <w:tcPr>
            <w:tcW w:w="1311" w:type="dxa"/>
            <w:shd w:val="clear" w:color="auto" w:fill="auto"/>
          </w:tcPr>
          <w:p w14:paraId="0CB4F20A" w14:textId="77777777" w:rsidR="005E32BB" w:rsidRPr="00C3671E" w:rsidRDefault="005E32BB" w:rsidP="00AA6335">
            <w:pPr>
              <w:rPr>
                <w:sz w:val="20"/>
                <w:szCs w:val="20"/>
                <w:lang w:val="en-GB"/>
              </w:rPr>
            </w:pPr>
            <w:r w:rsidRPr="00C3671E">
              <w:rPr>
                <w:sz w:val="20"/>
                <w:szCs w:val="20"/>
                <w:lang w:val="en-GB"/>
              </w:rPr>
              <w:t>25.7</w:t>
            </w:r>
          </w:p>
        </w:tc>
        <w:tc>
          <w:tcPr>
            <w:tcW w:w="1311" w:type="dxa"/>
            <w:shd w:val="clear" w:color="auto" w:fill="auto"/>
          </w:tcPr>
          <w:p w14:paraId="14B61026" w14:textId="77777777" w:rsidR="005E32BB" w:rsidRPr="00C3671E" w:rsidRDefault="005E32BB" w:rsidP="00AA6335">
            <w:pPr>
              <w:rPr>
                <w:sz w:val="20"/>
                <w:szCs w:val="20"/>
                <w:lang w:val="en-GB"/>
              </w:rPr>
            </w:pPr>
            <w:r w:rsidRPr="00C3671E">
              <w:rPr>
                <w:sz w:val="20"/>
                <w:szCs w:val="20"/>
                <w:lang w:val="en-GB"/>
              </w:rPr>
              <w:t>0.01</w:t>
            </w:r>
          </w:p>
        </w:tc>
        <w:tc>
          <w:tcPr>
            <w:tcW w:w="1312" w:type="dxa"/>
            <w:shd w:val="clear" w:color="auto" w:fill="auto"/>
          </w:tcPr>
          <w:p w14:paraId="27964338" w14:textId="77777777" w:rsidR="005E32BB" w:rsidRPr="00C3671E" w:rsidRDefault="005E32BB" w:rsidP="00AA6335">
            <w:pPr>
              <w:rPr>
                <w:sz w:val="20"/>
                <w:szCs w:val="20"/>
                <w:lang w:val="en-GB"/>
              </w:rPr>
            </w:pPr>
            <w:r w:rsidRPr="00C3671E">
              <w:rPr>
                <w:sz w:val="20"/>
                <w:szCs w:val="20"/>
                <w:lang w:val="en-GB"/>
              </w:rPr>
              <w:t>5.4</w:t>
            </w:r>
          </w:p>
        </w:tc>
        <w:tc>
          <w:tcPr>
            <w:tcW w:w="1441" w:type="dxa"/>
          </w:tcPr>
          <w:p w14:paraId="4A9D84C6" w14:textId="77777777" w:rsidR="005E32BB" w:rsidRPr="00C3671E" w:rsidRDefault="005E32BB" w:rsidP="00AA6335">
            <w:pPr>
              <w:rPr>
                <w:sz w:val="20"/>
                <w:szCs w:val="20"/>
                <w:lang w:val="en-GB"/>
              </w:rPr>
            </w:pPr>
            <w:r w:rsidRPr="00C3671E">
              <w:rPr>
                <w:sz w:val="20"/>
                <w:szCs w:val="20"/>
                <w:lang w:val="en-GB"/>
              </w:rPr>
              <w:t>79.0</w:t>
            </w:r>
          </w:p>
        </w:tc>
      </w:tr>
      <w:tr w:rsidR="005E32BB" w:rsidRPr="00C3671E" w14:paraId="472D78B7" w14:textId="77777777" w:rsidTr="00AA6335">
        <w:tc>
          <w:tcPr>
            <w:tcW w:w="1277" w:type="dxa"/>
            <w:vMerge w:val="restart"/>
            <w:shd w:val="clear" w:color="auto" w:fill="auto"/>
          </w:tcPr>
          <w:p w14:paraId="2586CBB9" w14:textId="77777777" w:rsidR="005E32BB" w:rsidRPr="00C3671E" w:rsidRDefault="005E32BB" w:rsidP="00AA6335">
            <w:pPr>
              <w:rPr>
                <w:sz w:val="20"/>
                <w:szCs w:val="20"/>
                <w:lang w:val="en-GB"/>
              </w:rPr>
            </w:pPr>
            <w:r w:rsidRPr="00C3671E">
              <w:rPr>
                <w:sz w:val="20"/>
                <w:szCs w:val="20"/>
                <w:lang w:val="en-GB"/>
              </w:rPr>
              <w:t>Western Europe</w:t>
            </w:r>
          </w:p>
        </w:tc>
        <w:tc>
          <w:tcPr>
            <w:tcW w:w="1984" w:type="dxa"/>
            <w:shd w:val="clear" w:color="auto" w:fill="auto"/>
          </w:tcPr>
          <w:p w14:paraId="3F42411D" w14:textId="77777777" w:rsidR="005E32BB" w:rsidRPr="00C3671E" w:rsidRDefault="005E32BB" w:rsidP="00AA6335">
            <w:pPr>
              <w:rPr>
                <w:sz w:val="20"/>
                <w:szCs w:val="20"/>
                <w:lang w:val="en-GB"/>
              </w:rPr>
            </w:pPr>
            <w:r w:rsidRPr="00C3671E">
              <w:rPr>
                <w:sz w:val="20"/>
                <w:szCs w:val="20"/>
                <w:lang w:val="en-GB"/>
              </w:rPr>
              <w:t>Radius matching</w:t>
            </w:r>
          </w:p>
        </w:tc>
        <w:tc>
          <w:tcPr>
            <w:tcW w:w="1311" w:type="dxa"/>
            <w:shd w:val="clear" w:color="auto" w:fill="auto"/>
          </w:tcPr>
          <w:p w14:paraId="6BC8C542" w14:textId="77777777" w:rsidR="005E32BB" w:rsidRPr="00C3671E" w:rsidRDefault="005E32BB" w:rsidP="00AA6335">
            <w:pPr>
              <w:rPr>
                <w:sz w:val="20"/>
                <w:szCs w:val="20"/>
                <w:lang w:val="en-GB"/>
              </w:rPr>
            </w:pPr>
            <w:r w:rsidRPr="00C3671E">
              <w:rPr>
                <w:sz w:val="20"/>
                <w:szCs w:val="20"/>
                <w:lang w:val="en-GB"/>
              </w:rPr>
              <w:t>0.30</w:t>
            </w:r>
          </w:p>
        </w:tc>
        <w:tc>
          <w:tcPr>
            <w:tcW w:w="1311" w:type="dxa"/>
            <w:shd w:val="clear" w:color="auto" w:fill="auto"/>
          </w:tcPr>
          <w:p w14:paraId="10445902" w14:textId="77777777" w:rsidR="005E32BB" w:rsidRPr="00C3671E" w:rsidRDefault="005E32BB" w:rsidP="00AA6335">
            <w:pPr>
              <w:rPr>
                <w:sz w:val="20"/>
                <w:szCs w:val="20"/>
                <w:lang w:val="en-GB"/>
              </w:rPr>
            </w:pPr>
            <w:r w:rsidRPr="00C3671E">
              <w:rPr>
                <w:sz w:val="20"/>
                <w:szCs w:val="20"/>
                <w:lang w:val="en-GB"/>
              </w:rPr>
              <w:t>22.0</w:t>
            </w:r>
          </w:p>
        </w:tc>
        <w:tc>
          <w:tcPr>
            <w:tcW w:w="1311" w:type="dxa"/>
            <w:shd w:val="clear" w:color="auto" w:fill="auto"/>
          </w:tcPr>
          <w:p w14:paraId="29176816" w14:textId="77777777" w:rsidR="005E32BB" w:rsidRPr="00C3671E" w:rsidRDefault="005E32BB" w:rsidP="00AA6335">
            <w:pPr>
              <w:rPr>
                <w:sz w:val="20"/>
                <w:szCs w:val="20"/>
                <w:lang w:val="en-GB"/>
              </w:rPr>
            </w:pPr>
            <w:r w:rsidRPr="00C3671E">
              <w:rPr>
                <w:sz w:val="20"/>
                <w:szCs w:val="20"/>
                <w:lang w:val="en-GB"/>
              </w:rPr>
              <w:t>0.01</w:t>
            </w:r>
          </w:p>
        </w:tc>
        <w:tc>
          <w:tcPr>
            <w:tcW w:w="1312" w:type="dxa"/>
            <w:shd w:val="clear" w:color="auto" w:fill="auto"/>
          </w:tcPr>
          <w:p w14:paraId="0200DCFA" w14:textId="77777777" w:rsidR="005E32BB" w:rsidRPr="00C3671E" w:rsidRDefault="005E32BB" w:rsidP="00AA6335">
            <w:pPr>
              <w:rPr>
                <w:sz w:val="20"/>
                <w:szCs w:val="20"/>
                <w:lang w:val="en-GB"/>
              </w:rPr>
            </w:pPr>
            <w:r w:rsidRPr="00C3671E">
              <w:rPr>
                <w:sz w:val="20"/>
                <w:szCs w:val="20"/>
                <w:lang w:val="en-GB"/>
              </w:rPr>
              <w:t>4.2</w:t>
            </w:r>
          </w:p>
        </w:tc>
        <w:tc>
          <w:tcPr>
            <w:tcW w:w="1441" w:type="dxa"/>
          </w:tcPr>
          <w:p w14:paraId="762A1325" w14:textId="77777777" w:rsidR="005E32BB" w:rsidRPr="00C3671E" w:rsidRDefault="005E32BB" w:rsidP="00AA6335">
            <w:pPr>
              <w:rPr>
                <w:sz w:val="20"/>
                <w:szCs w:val="20"/>
                <w:lang w:val="en-GB"/>
              </w:rPr>
            </w:pPr>
            <w:r w:rsidRPr="00C3671E">
              <w:rPr>
                <w:sz w:val="20"/>
                <w:szCs w:val="20"/>
                <w:lang w:val="en-GB"/>
              </w:rPr>
              <w:t>80.9</w:t>
            </w:r>
          </w:p>
        </w:tc>
      </w:tr>
      <w:tr w:rsidR="005E32BB" w:rsidRPr="00C3671E" w14:paraId="6B99AF80" w14:textId="77777777" w:rsidTr="00AA6335">
        <w:tc>
          <w:tcPr>
            <w:tcW w:w="1277" w:type="dxa"/>
            <w:vMerge/>
            <w:shd w:val="clear" w:color="auto" w:fill="auto"/>
          </w:tcPr>
          <w:p w14:paraId="367CE237" w14:textId="77777777" w:rsidR="005E32BB" w:rsidRPr="00C3671E" w:rsidRDefault="005E32BB" w:rsidP="00AA6335">
            <w:pPr>
              <w:rPr>
                <w:sz w:val="20"/>
                <w:szCs w:val="20"/>
                <w:lang w:val="en-GB"/>
              </w:rPr>
            </w:pPr>
          </w:p>
        </w:tc>
        <w:tc>
          <w:tcPr>
            <w:tcW w:w="1984" w:type="dxa"/>
            <w:shd w:val="clear" w:color="auto" w:fill="auto"/>
          </w:tcPr>
          <w:p w14:paraId="6FFF3ABC" w14:textId="77777777" w:rsidR="005E32BB" w:rsidRPr="00C3671E" w:rsidRDefault="005E32BB" w:rsidP="00AA6335">
            <w:pPr>
              <w:rPr>
                <w:sz w:val="20"/>
                <w:szCs w:val="20"/>
                <w:lang w:val="en-GB"/>
              </w:rPr>
            </w:pPr>
            <w:r w:rsidRPr="00C3671E">
              <w:rPr>
                <w:sz w:val="20"/>
                <w:szCs w:val="20"/>
                <w:lang w:val="en-GB"/>
              </w:rPr>
              <w:t>Kernel matching</w:t>
            </w:r>
          </w:p>
        </w:tc>
        <w:tc>
          <w:tcPr>
            <w:tcW w:w="1311" w:type="dxa"/>
            <w:shd w:val="clear" w:color="auto" w:fill="auto"/>
          </w:tcPr>
          <w:p w14:paraId="2D7D2793" w14:textId="77777777" w:rsidR="005E32BB" w:rsidRPr="00C3671E" w:rsidRDefault="005E32BB" w:rsidP="00AA6335">
            <w:pPr>
              <w:rPr>
                <w:sz w:val="20"/>
                <w:szCs w:val="20"/>
                <w:lang w:val="en-GB"/>
              </w:rPr>
            </w:pPr>
            <w:r w:rsidRPr="00C3671E">
              <w:rPr>
                <w:sz w:val="20"/>
                <w:szCs w:val="20"/>
                <w:lang w:val="en-GB"/>
              </w:rPr>
              <w:t>0.30</w:t>
            </w:r>
          </w:p>
        </w:tc>
        <w:tc>
          <w:tcPr>
            <w:tcW w:w="1311" w:type="dxa"/>
            <w:shd w:val="clear" w:color="auto" w:fill="auto"/>
          </w:tcPr>
          <w:p w14:paraId="3563EDD2" w14:textId="77777777" w:rsidR="005E32BB" w:rsidRPr="00C3671E" w:rsidRDefault="005E32BB" w:rsidP="00AA6335">
            <w:pPr>
              <w:rPr>
                <w:sz w:val="20"/>
                <w:szCs w:val="20"/>
                <w:lang w:val="en-GB"/>
              </w:rPr>
            </w:pPr>
            <w:r w:rsidRPr="00C3671E">
              <w:rPr>
                <w:sz w:val="20"/>
                <w:szCs w:val="20"/>
                <w:lang w:val="en-GB"/>
              </w:rPr>
              <w:t>22.0</w:t>
            </w:r>
          </w:p>
        </w:tc>
        <w:tc>
          <w:tcPr>
            <w:tcW w:w="1311" w:type="dxa"/>
            <w:shd w:val="clear" w:color="auto" w:fill="auto"/>
          </w:tcPr>
          <w:p w14:paraId="55A76CB3" w14:textId="77777777" w:rsidR="005E32BB" w:rsidRPr="00C3671E" w:rsidRDefault="005E32BB" w:rsidP="00AA6335">
            <w:pPr>
              <w:rPr>
                <w:sz w:val="20"/>
                <w:szCs w:val="20"/>
                <w:lang w:val="en-GB"/>
              </w:rPr>
            </w:pPr>
            <w:r w:rsidRPr="00C3671E">
              <w:rPr>
                <w:sz w:val="20"/>
                <w:szCs w:val="20"/>
                <w:lang w:val="en-GB"/>
              </w:rPr>
              <w:t>0.01</w:t>
            </w:r>
          </w:p>
        </w:tc>
        <w:tc>
          <w:tcPr>
            <w:tcW w:w="1312" w:type="dxa"/>
            <w:shd w:val="clear" w:color="auto" w:fill="auto"/>
          </w:tcPr>
          <w:p w14:paraId="1301FFF3" w14:textId="77777777" w:rsidR="005E32BB" w:rsidRPr="00C3671E" w:rsidRDefault="005E32BB" w:rsidP="00AA6335">
            <w:pPr>
              <w:rPr>
                <w:sz w:val="20"/>
                <w:szCs w:val="20"/>
                <w:lang w:val="en-GB"/>
              </w:rPr>
            </w:pPr>
            <w:r w:rsidRPr="00C3671E">
              <w:rPr>
                <w:sz w:val="20"/>
                <w:szCs w:val="20"/>
                <w:lang w:val="en-GB"/>
              </w:rPr>
              <w:t>3.9</w:t>
            </w:r>
          </w:p>
        </w:tc>
        <w:tc>
          <w:tcPr>
            <w:tcW w:w="1441" w:type="dxa"/>
          </w:tcPr>
          <w:p w14:paraId="4EC4B67D" w14:textId="77777777" w:rsidR="005E32BB" w:rsidRPr="00C3671E" w:rsidRDefault="005E32BB" w:rsidP="00AA6335">
            <w:pPr>
              <w:rPr>
                <w:sz w:val="20"/>
                <w:szCs w:val="20"/>
                <w:lang w:val="en-GB"/>
              </w:rPr>
            </w:pPr>
            <w:r w:rsidRPr="00C3671E">
              <w:rPr>
                <w:sz w:val="20"/>
                <w:szCs w:val="20"/>
                <w:lang w:val="en-GB"/>
              </w:rPr>
              <w:t>82.3</w:t>
            </w:r>
          </w:p>
        </w:tc>
      </w:tr>
      <w:tr w:rsidR="005E32BB" w:rsidRPr="00C3671E" w14:paraId="0AEFE411" w14:textId="77777777" w:rsidTr="00AA6335">
        <w:tc>
          <w:tcPr>
            <w:tcW w:w="1277" w:type="dxa"/>
            <w:vMerge w:val="restart"/>
            <w:shd w:val="clear" w:color="auto" w:fill="auto"/>
          </w:tcPr>
          <w:p w14:paraId="01EEB664" w14:textId="77777777" w:rsidR="005E32BB" w:rsidRPr="00C3671E" w:rsidRDefault="005E32BB" w:rsidP="00AA6335">
            <w:pPr>
              <w:rPr>
                <w:sz w:val="20"/>
                <w:szCs w:val="20"/>
                <w:lang w:val="en-GB"/>
              </w:rPr>
            </w:pPr>
            <w:r w:rsidRPr="00C3671E">
              <w:rPr>
                <w:sz w:val="20"/>
                <w:szCs w:val="20"/>
                <w:lang w:val="en-GB"/>
              </w:rPr>
              <w:t>Southern Europe</w:t>
            </w:r>
          </w:p>
        </w:tc>
        <w:tc>
          <w:tcPr>
            <w:tcW w:w="1984" w:type="dxa"/>
            <w:shd w:val="clear" w:color="auto" w:fill="auto"/>
          </w:tcPr>
          <w:p w14:paraId="3DD7DB97" w14:textId="77777777" w:rsidR="005E32BB" w:rsidRPr="00C3671E" w:rsidRDefault="005E32BB" w:rsidP="00AA6335">
            <w:pPr>
              <w:rPr>
                <w:sz w:val="20"/>
                <w:szCs w:val="20"/>
                <w:lang w:val="en-GB"/>
              </w:rPr>
            </w:pPr>
            <w:r w:rsidRPr="00C3671E">
              <w:rPr>
                <w:sz w:val="20"/>
                <w:szCs w:val="20"/>
                <w:lang w:val="en-GB"/>
              </w:rPr>
              <w:t>Radius matching</w:t>
            </w:r>
          </w:p>
        </w:tc>
        <w:tc>
          <w:tcPr>
            <w:tcW w:w="1311" w:type="dxa"/>
            <w:shd w:val="clear" w:color="auto" w:fill="auto"/>
          </w:tcPr>
          <w:p w14:paraId="1D1011B7" w14:textId="77777777" w:rsidR="005E32BB" w:rsidRPr="00C3671E" w:rsidRDefault="005E32BB" w:rsidP="00AA6335">
            <w:pPr>
              <w:rPr>
                <w:sz w:val="20"/>
                <w:szCs w:val="20"/>
                <w:lang w:val="en-GB"/>
              </w:rPr>
            </w:pPr>
            <w:r w:rsidRPr="00C3671E">
              <w:rPr>
                <w:sz w:val="20"/>
                <w:szCs w:val="20"/>
                <w:lang w:val="en-GB"/>
              </w:rPr>
              <w:t>0.17</w:t>
            </w:r>
          </w:p>
        </w:tc>
        <w:tc>
          <w:tcPr>
            <w:tcW w:w="1311" w:type="dxa"/>
            <w:shd w:val="clear" w:color="auto" w:fill="auto"/>
          </w:tcPr>
          <w:p w14:paraId="0C846C81" w14:textId="77777777" w:rsidR="005E32BB" w:rsidRPr="00C3671E" w:rsidRDefault="005E32BB" w:rsidP="00AA6335">
            <w:pPr>
              <w:rPr>
                <w:sz w:val="20"/>
                <w:szCs w:val="20"/>
                <w:lang w:val="en-GB"/>
              </w:rPr>
            </w:pPr>
            <w:r w:rsidRPr="00C3671E">
              <w:rPr>
                <w:sz w:val="20"/>
                <w:szCs w:val="20"/>
                <w:lang w:val="en-GB"/>
              </w:rPr>
              <w:t>20.6</w:t>
            </w:r>
          </w:p>
        </w:tc>
        <w:tc>
          <w:tcPr>
            <w:tcW w:w="1311" w:type="dxa"/>
            <w:shd w:val="clear" w:color="auto" w:fill="auto"/>
          </w:tcPr>
          <w:p w14:paraId="4F434E3B" w14:textId="77777777" w:rsidR="005E32BB" w:rsidRPr="00C3671E" w:rsidRDefault="005E32BB" w:rsidP="00AA6335">
            <w:pPr>
              <w:rPr>
                <w:sz w:val="20"/>
                <w:szCs w:val="20"/>
                <w:lang w:val="en-GB"/>
              </w:rPr>
            </w:pPr>
            <w:r w:rsidRPr="00C3671E">
              <w:rPr>
                <w:sz w:val="20"/>
                <w:szCs w:val="20"/>
                <w:lang w:val="en-GB"/>
              </w:rPr>
              <w:t>0.00</w:t>
            </w:r>
          </w:p>
        </w:tc>
        <w:tc>
          <w:tcPr>
            <w:tcW w:w="1312" w:type="dxa"/>
            <w:shd w:val="clear" w:color="auto" w:fill="auto"/>
          </w:tcPr>
          <w:p w14:paraId="641CFE34" w14:textId="77777777" w:rsidR="005E32BB" w:rsidRPr="00C3671E" w:rsidRDefault="005E32BB" w:rsidP="00AA6335">
            <w:pPr>
              <w:rPr>
                <w:sz w:val="20"/>
                <w:szCs w:val="20"/>
                <w:lang w:val="en-GB"/>
              </w:rPr>
            </w:pPr>
            <w:r w:rsidRPr="00C3671E">
              <w:rPr>
                <w:sz w:val="20"/>
                <w:szCs w:val="20"/>
                <w:lang w:val="en-GB"/>
              </w:rPr>
              <w:t>3.7</w:t>
            </w:r>
          </w:p>
        </w:tc>
        <w:tc>
          <w:tcPr>
            <w:tcW w:w="1441" w:type="dxa"/>
          </w:tcPr>
          <w:p w14:paraId="475109C0" w14:textId="77777777" w:rsidR="005E32BB" w:rsidRPr="00C3671E" w:rsidRDefault="005E32BB" w:rsidP="00AA6335">
            <w:pPr>
              <w:rPr>
                <w:sz w:val="20"/>
                <w:szCs w:val="20"/>
                <w:lang w:val="en-GB"/>
              </w:rPr>
            </w:pPr>
            <w:r w:rsidRPr="00C3671E">
              <w:rPr>
                <w:sz w:val="20"/>
                <w:szCs w:val="20"/>
                <w:lang w:val="en-GB"/>
              </w:rPr>
              <w:t>82.0</w:t>
            </w:r>
          </w:p>
        </w:tc>
      </w:tr>
      <w:tr w:rsidR="005E32BB" w:rsidRPr="00C3671E" w14:paraId="3D0410B2" w14:textId="77777777" w:rsidTr="00AA6335">
        <w:tc>
          <w:tcPr>
            <w:tcW w:w="1277" w:type="dxa"/>
            <w:vMerge/>
            <w:shd w:val="clear" w:color="auto" w:fill="auto"/>
          </w:tcPr>
          <w:p w14:paraId="300D276F" w14:textId="77777777" w:rsidR="005E32BB" w:rsidRPr="00C3671E" w:rsidRDefault="005E32BB" w:rsidP="00AA6335">
            <w:pPr>
              <w:rPr>
                <w:sz w:val="20"/>
                <w:szCs w:val="20"/>
                <w:lang w:val="en-GB"/>
              </w:rPr>
            </w:pPr>
          </w:p>
        </w:tc>
        <w:tc>
          <w:tcPr>
            <w:tcW w:w="1984" w:type="dxa"/>
            <w:shd w:val="clear" w:color="auto" w:fill="auto"/>
          </w:tcPr>
          <w:p w14:paraId="03AE9D34" w14:textId="77777777" w:rsidR="005E32BB" w:rsidRPr="00C3671E" w:rsidRDefault="005E32BB" w:rsidP="00AA6335">
            <w:pPr>
              <w:rPr>
                <w:sz w:val="20"/>
                <w:szCs w:val="20"/>
                <w:lang w:val="en-GB"/>
              </w:rPr>
            </w:pPr>
            <w:r w:rsidRPr="00C3671E">
              <w:rPr>
                <w:sz w:val="20"/>
                <w:szCs w:val="20"/>
                <w:lang w:val="en-GB"/>
              </w:rPr>
              <w:t>Kernel matching</w:t>
            </w:r>
          </w:p>
        </w:tc>
        <w:tc>
          <w:tcPr>
            <w:tcW w:w="1311" w:type="dxa"/>
            <w:shd w:val="clear" w:color="auto" w:fill="auto"/>
          </w:tcPr>
          <w:p w14:paraId="5CD17921" w14:textId="77777777" w:rsidR="005E32BB" w:rsidRPr="00C3671E" w:rsidRDefault="005E32BB" w:rsidP="00AA6335">
            <w:pPr>
              <w:rPr>
                <w:sz w:val="20"/>
                <w:szCs w:val="20"/>
                <w:lang w:val="en-GB"/>
              </w:rPr>
            </w:pPr>
            <w:r w:rsidRPr="00C3671E">
              <w:rPr>
                <w:sz w:val="20"/>
                <w:szCs w:val="20"/>
                <w:lang w:val="en-GB"/>
              </w:rPr>
              <w:t>0.17</w:t>
            </w:r>
          </w:p>
        </w:tc>
        <w:tc>
          <w:tcPr>
            <w:tcW w:w="1311" w:type="dxa"/>
            <w:shd w:val="clear" w:color="auto" w:fill="auto"/>
          </w:tcPr>
          <w:p w14:paraId="6B20CB64" w14:textId="77777777" w:rsidR="005E32BB" w:rsidRPr="00C3671E" w:rsidRDefault="005E32BB" w:rsidP="00AA6335">
            <w:pPr>
              <w:rPr>
                <w:sz w:val="20"/>
                <w:szCs w:val="20"/>
                <w:lang w:val="en-GB"/>
              </w:rPr>
            </w:pPr>
            <w:r w:rsidRPr="00C3671E">
              <w:rPr>
                <w:sz w:val="20"/>
                <w:szCs w:val="20"/>
                <w:lang w:val="en-GB"/>
              </w:rPr>
              <w:t>20.6</w:t>
            </w:r>
          </w:p>
        </w:tc>
        <w:tc>
          <w:tcPr>
            <w:tcW w:w="1311" w:type="dxa"/>
            <w:shd w:val="clear" w:color="auto" w:fill="auto"/>
          </w:tcPr>
          <w:p w14:paraId="6427A473" w14:textId="77777777" w:rsidR="005E32BB" w:rsidRPr="00C3671E" w:rsidRDefault="005E32BB" w:rsidP="00AA6335">
            <w:pPr>
              <w:rPr>
                <w:sz w:val="20"/>
                <w:szCs w:val="20"/>
                <w:lang w:val="en-GB"/>
              </w:rPr>
            </w:pPr>
            <w:r w:rsidRPr="00C3671E">
              <w:rPr>
                <w:sz w:val="20"/>
                <w:szCs w:val="20"/>
                <w:lang w:val="en-GB"/>
              </w:rPr>
              <w:t>0.00</w:t>
            </w:r>
          </w:p>
        </w:tc>
        <w:tc>
          <w:tcPr>
            <w:tcW w:w="1312" w:type="dxa"/>
            <w:shd w:val="clear" w:color="auto" w:fill="auto"/>
          </w:tcPr>
          <w:p w14:paraId="5FDCC9FC" w14:textId="77777777" w:rsidR="005E32BB" w:rsidRPr="00C3671E" w:rsidRDefault="005E32BB" w:rsidP="00AA6335">
            <w:pPr>
              <w:rPr>
                <w:sz w:val="20"/>
                <w:szCs w:val="20"/>
                <w:lang w:val="en-GB"/>
              </w:rPr>
            </w:pPr>
            <w:r w:rsidRPr="00C3671E">
              <w:rPr>
                <w:sz w:val="20"/>
                <w:szCs w:val="20"/>
                <w:lang w:val="en-GB"/>
              </w:rPr>
              <w:t>3.8</w:t>
            </w:r>
          </w:p>
        </w:tc>
        <w:tc>
          <w:tcPr>
            <w:tcW w:w="1441" w:type="dxa"/>
          </w:tcPr>
          <w:p w14:paraId="343DAC34" w14:textId="77777777" w:rsidR="005E32BB" w:rsidRPr="00C3671E" w:rsidRDefault="005E32BB" w:rsidP="00AA6335">
            <w:pPr>
              <w:rPr>
                <w:sz w:val="20"/>
                <w:szCs w:val="20"/>
                <w:lang w:val="en-GB"/>
              </w:rPr>
            </w:pPr>
            <w:r w:rsidRPr="00C3671E">
              <w:rPr>
                <w:sz w:val="20"/>
                <w:szCs w:val="20"/>
                <w:lang w:val="en-GB"/>
              </w:rPr>
              <w:t>81.6</w:t>
            </w:r>
          </w:p>
        </w:tc>
      </w:tr>
      <w:tr w:rsidR="005E32BB" w:rsidRPr="00C3671E" w14:paraId="719C094B" w14:textId="77777777" w:rsidTr="00AA6335">
        <w:tc>
          <w:tcPr>
            <w:tcW w:w="1277" w:type="dxa"/>
            <w:vMerge w:val="restart"/>
            <w:shd w:val="clear" w:color="auto" w:fill="auto"/>
          </w:tcPr>
          <w:p w14:paraId="60015348" w14:textId="77777777" w:rsidR="005E32BB" w:rsidRPr="00C3671E" w:rsidRDefault="005E32BB" w:rsidP="00AA6335">
            <w:pPr>
              <w:rPr>
                <w:sz w:val="20"/>
                <w:szCs w:val="20"/>
                <w:lang w:val="en-GB"/>
              </w:rPr>
            </w:pPr>
            <w:r w:rsidRPr="00C3671E">
              <w:rPr>
                <w:sz w:val="20"/>
                <w:szCs w:val="20"/>
                <w:lang w:val="en-GB"/>
              </w:rPr>
              <w:t>Post-com. countries</w:t>
            </w:r>
          </w:p>
        </w:tc>
        <w:tc>
          <w:tcPr>
            <w:tcW w:w="1984" w:type="dxa"/>
            <w:shd w:val="clear" w:color="auto" w:fill="auto"/>
          </w:tcPr>
          <w:p w14:paraId="2DE4CA19" w14:textId="77777777" w:rsidR="005E32BB" w:rsidRPr="00C3671E" w:rsidRDefault="005E32BB" w:rsidP="00AA6335">
            <w:pPr>
              <w:rPr>
                <w:sz w:val="20"/>
                <w:szCs w:val="20"/>
                <w:lang w:val="en-GB"/>
              </w:rPr>
            </w:pPr>
            <w:r w:rsidRPr="00C3671E">
              <w:rPr>
                <w:sz w:val="20"/>
                <w:szCs w:val="20"/>
                <w:lang w:val="en-GB"/>
              </w:rPr>
              <w:t>Radius matching</w:t>
            </w:r>
          </w:p>
        </w:tc>
        <w:tc>
          <w:tcPr>
            <w:tcW w:w="1311" w:type="dxa"/>
            <w:shd w:val="clear" w:color="auto" w:fill="auto"/>
          </w:tcPr>
          <w:p w14:paraId="3D29EBDC" w14:textId="77777777" w:rsidR="005E32BB" w:rsidRPr="00C3671E" w:rsidRDefault="005E32BB" w:rsidP="00AA6335">
            <w:pPr>
              <w:rPr>
                <w:sz w:val="20"/>
                <w:szCs w:val="20"/>
                <w:lang w:val="en-GB"/>
              </w:rPr>
            </w:pPr>
            <w:r w:rsidRPr="00C3671E">
              <w:rPr>
                <w:sz w:val="20"/>
                <w:szCs w:val="20"/>
                <w:lang w:val="en-GB"/>
              </w:rPr>
              <w:t>0.35</w:t>
            </w:r>
          </w:p>
        </w:tc>
        <w:tc>
          <w:tcPr>
            <w:tcW w:w="1311" w:type="dxa"/>
            <w:shd w:val="clear" w:color="auto" w:fill="auto"/>
          </w:tcPr>
          <w:p w14:paraId="0C4A3B67" w14:textId="77777777" w:rsidR="005E32BB" w:rsidRPr="00C3671E" w:rsidRDefault="005E32BB" w:rsidP="00AA6335">
            <w:pPr>
              <w:rPr>
                <w:sz w:val="20"/>
                <w:szCs w:val="20"/>
                <w:lang w:val="en-GB"/>
              </w:rPr>
            </w:pPr>
            <w:r w:rsidRPr="00C3671E">
              <w:rPr>
                <w:sz w:val="20"/>
                <w:szCs w:val="20"/>
                <w:lang w:val="en-GB"/>
              </w:rPr>
              <w:t>34.2</w:t>
            </w:r>
          </w:p>
        </w:tc>
        <w:tc>
          <w:tcPr>
            <w:tcW w:w="1311" w:type="dxa"/>
            <w:shd w:val="clear" w:color="auto" w:fill="auto"/>
          </w:tcPr>
          <w:p w14:paraId="16D5A826" w14:textId="77777777" w:rsidR="005E32BB" w:rsidRPr="00C3671E" w:rsidRDefault="005E32BB" w:rsidP="00AA6335">
            <w:pPr>
              <w:rPr>
                <w:sz w:val="20"/>
                <w:szCs w:val="20"/>
                <w:lang w:val="en-GB"/>
              </w:rPr>
            </w:pPr>
            <w:r w:rsidRPr="00C3671E">
              <w:rPr>
                <w:sz w:val="20"/>
                <w:szCs w:val="20"/>
                <w:lang w:val="en-GB"/>
              </w:rPr>
              <w:t>0.02</w:t>
            </w:r>
          </w:p>
        </w:tc>
        <w:tc>
          <w:tcPr>
            <w:tcW w:w="1312" w:type="dxa"/>
            <w:shd w:val="clear" w:color="auto" w:fill="auto"/>
          </w:tcPr>
          <w:p w14:paraId="1DA08975" w14:textId="77777777" w:rsidR="005E32BB" w:rsidRPr="00C3671E" w:rsidRDefault="005E32BB" w:rsidP="00AA6335">
            <w:pPr>
              <w:rPr>
                <w:sz w:val="20"/>
                <w:szCs w:val="20"/>
                <w:lang w:val="en-GB"/>
              </w:rPr>
            </w:pPr>
            <w:r w:rsidRPr="00C3671E">
              <w:rPr>
                <w:sz w:val="20"/>
                <w:szCs w:val="20"/>
                <w:lang w:val="en-GB"/>
              </w:rPr>
              <w:t>6.2</w:t>
            </w:r>
          </w:p>
        </w:tc>
        <w:tc>
          <w:tcPr>
            <w:tcW w:w="1441" w:type="dxa"/>
          </w:tcPr>
          <w:p w14:paraId="32C60434" w14:textId="77777777" w:rsidR="005E32BB" w:rsidRPr="00C3671E" w:rsidRDefault="005E32BB" w:rsidP="00AA6335">
            <w:pPr>
              <w:rPr>
                <w:sz w:val="20"/>
                <w:szCs w:val="20"/>
                <w:lang w:val="en-GB"/>
              </w:rPr>
            </w:pPr>
            <w:r w:rsidRPr="00C3671E">
              <w:rPr>
                <w:sz w:val="20"/>
                <w:szCs w:val="20"/>
                <w:lang w:val="en-GB"/>
              </w:rPr>
              <w:t>81.9</w:t>
            </w:r>
          </w:p>
        </w:tc>
      </w:tr>
      <w:tr w:rsidR="005E32BB" w:rsidRPr="00C3671E" w14:paraId="6E259AAF" w14:textId="77777777" w:rsidTr="00AA6335">
        <w:tc>
          <w:tcPr>
            <w:tcW w:w="1277" w:type="dxa"/>
            <w:vMerge/>
            <w:shd w:val="clear" w:color="auto" w:fill="auto"/>
          </w:tcPr>
          <w:p w14:paraId="0A1D6A40" w14:textId="77777777" w:rsidR="005E32BB" w:rsidRPr="00C3671E" w:rsidRDefault="005E32BB" w:rsidP="00AA6335">
            <w:pPr>
              <w:rPr>
                <w:sz w:val="20"/>
                <w:szCs w:val="20"/>
                <w:lang w:val="en-GB"/>
              </w:rPr>
            </w:pPr>
          </w:p>
        </w:tc>
        <w:tc>
          <w:tcPr>
            <w:tcW w:w="1984" w:type="dxa"/>
            <w:shd w:val="clear" w:color="auto" w:fill="auto"/>
          </w:tcPr>
          <w:p w14:paraId="2581D139" w14:textId="77777777" w:rsidR="005E32BB" w:rsidRPr="00C3671E" w:rsidRDefault="005E32BB" w:rsidP="00AA6335">
            <w:pPr>
              <w:rPr>
                <w:sz w:val="20"/>
                <w:szCs w:val="20"/>
                <w:lang w:val="en-GB"/>
              </w:rPr>
            </w:pPr>
            <w:r w:rsidRPr="00C3671E">
              <w:rPr>
                <w:sz w:val="20"/>
                <w:szCs w:val="20"/>
                <w:lang w:val="en-GB"/>
              </w:rPr>
              <w:t>Kernel matching</w:t>
            </w:r>
          </w:p>
        </w:tc>
        <w:tc>
          <w:tcPr>
            <w:tcW w:w="1311" w:type="dxa"/>
            <w:shd w:val="clear" w:color="auto" w:fill="auto"/>
          </w:tcPr>
          <w:p w14:paraId="0044457D" w14:textId="77777777" w:rsidR="005E32BB" w:rsidRPr="00C3671E" w:rsidRDefault="005E32BB" w:rsidP="00AA6335">
            <w:pPr>
              <w:rPr>
                <w:sz w:val="20"/>
                <w:szCs w:val="20"/>
                <w:lang w:val="en-GB"/>
              </w:rPr>
            </w:pPr>
            <w:r w:rsidRPr="00C3671E">
              <w:rPr>
                <w:sz w:val="20"/>
                <w:szCs w:val="20"/>
                <w:lang w:val="en-GB"/>
              </w:rPr>
              <w:t>0.35</w:t>
            </w:r>
          </w:p>
        </w:tc>
        <w:tc>
          <w:tcPr>
            <w:tcW w:w="1311" w:type="dxa"/>
            <w:shd w:val="clear" w:color="auto" w:fill="auto"/>
          </w:tcPr>
          <w:p w14:paraId="562A6E5A" w14:textId="77777777" w:rsidR="005E32BB" w:rsidRPr="00C3671E" w:rsidRDefault="005E32BB" w:rsidP="00AA6335">
            <w:pPr>
              <w:rPr>
                <w:sz w:val="20"/>
                <w:szCs w:val="20"/>
                <w:lang w:val="en-GB"/>
              </w:rPr>
            </w:pPr>
            <w:r w:rsidRPr="00C3671E">
              <w:rPr>
                <w:sz w:val="20"/>
                <w:szCs w:val="20"/>
                <w:lang w:val="en-GB"/>
              </w:rPr>
              <w:t>34.2</w:t>
            </w:r>
          </w:p>
        </w:tc>
        <w:tc>
          <w:tcPr>
            <w:tcW w:w="1311" w:type="dxa"/>
            <w:shd w:val="clear" w:color="auto" w:fill="auto"/>
          </w:tcPr>
          <w:p w14:paraId="34D85767" w14:textId="77777777" w:rsidR="005E32BB" w:rsidRPr="00C3671E" w:rsidRDefault="005E32BB" w:rsidP="00AA6335">
            <w:pPr>
              <w:rPr>
                <w:sz w:val="20"/>
                <w:szCs w:val="20"/>
                <w:lang w:val="en-GB"/>
              </w:rPr>
            </w:pPr>
            <w:r w:rsidRPr="00C3671E">
              <w:rPr>
                <w:sz w:val="20"/>
                <w:szCs w:val="20"/>
                <w:lang w:val="en-GB"/>
              </w:rPr>
              <w:t>0.01</w:t>
            </w:r>
          </w:p>
        </w:tc>
        <w:tc>
          <w:tcPr>
            <w:tcW w:w="1312" w:type="dxa"/>
            <w:shd w:val="clear" w:color="auto" w:fill="auto"/>
          </w:tcPr>
          <w:p w14:paraId="6A9DD113" w14:textId="77777777" w:rsidR="005E32BB" w:rsidRPr="00C3671E" w:rsidRDefault="005E32BB" w:rsidP="00AA6335">
            <w:pPr>
              <w:rPr>
                <w:sz w:val="20"/>
                <w:szCs w:val="20"/>
                <w:lang w:val="en-GB"/>
              </w:rPr>
            </w:pPr>
            <w:r w:rsidRPr="00C3671E">
              <w:rPr>
                <w:sz w:val="20"/>
                <w:szCs w:val="20"/>
                <w:lang w:val="en-GB"/>
              </w:rPr>
              <w:t>6.0</w:t>
            </w:r>
          </w:p>
        </w:tc>
        <w:tc>
          <w:tcPr>
            <w:tcW w:w="1441" w:type="dxa"/>
          </w:tcPr>
          <w:p w14:paraId="436AAAC2" w14:textId="77777777" w:rsidR="005E32BB" w:rsidRPr="00C3671E" w:rsidRDefault="005E32BB" w:rsidP="00AA6335">
            <w:pPr>
              <w:rPr>
                <w:sz w:val="20"/>
                <w:szCs w:val="20"/>
                <w:lang w:val="en-GB"/>
              </w:rPr>
            </w:pPr>
            <w:r w:rsidRPr="00C3671E">
              <w:rPr>
                <w:sz w:val="20"/>
                <w:szCs w:val="20"/>
                <w:lang w:val="en-GB"/>
              </w:rPr>
              <w:t>82.5</w:t>
            </w:r>
          </w:p>
        </w:tc>
      </w:tr>
    </w:tbl>
    <w:p w14:paraId="286AFC46" w14:textId="2FFB35B0" w:rsidR="001A7940" w:rsidRPr="00C3671E" w:rsidRDefault="005E32BB" w:rsidP="005E32BB">
      <w:pPr>
        <w:rPr>
          <w:sz w:val="20"/>
          <w:lang w:val="en-GB"/>
        </w:rPr>
      </w:pPr>
      <w:r w:rsidRPr="00C3671E">
        <w:rPr>
          <w:i/>
          <w:sz w:val="20"/>
          <w:lang w:val="en-GB"/>
        </w:rPr>
        <w:t xml:space="preserve">Source: </w:t>
      </w:r>
      <w:r w:rsidRPr="00C3671E">
        <w:rPr>
          <w:sz w:val="20"/>
          <w:lang w:val="en-GB"/>
        </w:rPr>
        <w:t>These calculations use data from SHARE, wave 6.</w:t>
      </w:r>
    </w:p>
    <w:p w14:paraId="53477F45" w14:textId="77777777" w:rsidR="005E32BB" w:rsidRPr="00C3671E" w:rsidRDefault="005E32BB" w:rsidP="005E32BB">
      <w:pPr>
        <w:rPr>
          <w:sz w:val="20"/>
          <w:lang w:val="en-GB"/>
        </w:rPr>
      </w:pPr>
    </w:p>
    <w:p w14:paraId="2B5CCED1" w14:textId="783DCB26" w:rsidR="001A7940" w:rsidRPr="00C3671E" w:rsidRDefault="001A7940" w:rsidP="007E6D8E">
      <w:pPr>
        <w:pStyle w:val="Nadpis3"/>
        <w:spacing w:line="480" w:lineRule="auto"/>
        <w:rPr>
          <w:rFonts w:ascii="Times New Roman" w:hAnsi="Times New Roman" w:cs="Times New Roman"/>
          <w:b w:val="0"/>
          <w:i/>
          <w:lang w:val="en-GB" w:eastAsia="zh-CN"/>
        </w:rPr>
      </w:pPr>
      <w:bookmarkStart w:id="40" w:name="_Toc512687748"/>
      <w:r w:rsidRPr="00C3671E">
        <w:rPr>
          <w:rFonts w:ascii="Times New Roman" w:hAnsi="Times New Roman" w:cs="Times New Roman"/>
          <w:b w:val="0"/>
          <w:i/>
          <w:lang w:val="en-GB" w:eastAsia="zh-CN"/>
        </w:rPr>
        <w:t>The results of average treatment effect (ATT)</w:t>
      </w:r>
      <w:bookmarkEnd w:id="40"/>
    </w:p>
    <w:p w14:paraId="2276E30C" w14:textId="2EA9B6A1" w:rsidR="001A7940" w:rsidRPr="00C3671E" w:rsidRDefault="001A7940" w:rsidP="00F4146A">
      <w:pPr>
        <w:suppressAutoHyphens/>
        <w:spacing w:line="480" w:lineRule="auto"/>
        <w:jc w:val="both"/>
        <w:rPr>
          <w:lang w:val="en-GB"/>
        </w:rPr>
      </w:pPr>
      <w:r w:rsidRPr="00C3671E">
        <w:rPr>
          <w:lang w:val="en-GB"/>
        </w:rPr>
        <w:t xml:space="preserve">Table 3 shows ATTs of labour force participation for four European regions. Radius matching uses caliper equal to 0.25 of the standard deviation of the propensity score </w:t>
      </w:r>
      <w:r w:rsidRPr="00C3671E">
        <w:rPr>
          <w:lang w:val="en-GB"/>
        </w:rPr>
        <w:fldChar w:fldCharType="begin" w:fldLock="1"/>
      </w:r>
      <w:r w:rsidR="00AA6335" w:rsidRPr="00C3671E">
        <w:rPr>
          <w:lang w:val="en-GB"/>
        </w:rPr>
        <w:instrText>ADDIN CSL_CITATION { "citationItems" : [ { "id" : "ITEM-1", "itemData" : { "DOI" : "10.1080/00031305.1985.10479383", "ISBN" : "00031305", "ISSN" : "15372731", "PMID" : "5025595", "abstract" : "Matched sampling is a method for selecting units from a large reservoir of potential controls to produce a control group of modest size that is similar to a treated group with respect to the distribution of observed covariates. We illustrate the use of multivariate matching methods in an observational study of the effects of prenatal exposure to barbiturates on subsequent psychological development. A key ideas is the use of the propensity score as a distinct matching variable.", "author" : [ { "dropping-particle" : "", "family" : "Rosenbaum", "given" : "Paul R.", "non-dropping-particle" : "", "parse-names" : false, "suffix" : "" }, { "dropping-particle" : "", "family" : "Rubin", "given" : "Donald B.", "non-dropping-particle" : "", "parse-names" : false, "suffix" : "" } ], "container-title" : "The American Statistician", "id" : "ITEM-1", "issue" : "1", "issued" : { "date-parts" : [ [ "1985" ] ] }, "page" : "33-38", "title" : "Constructing a control group using multivariate matched sampling methods that incorporate the propensity score", "type" : "article", "volume" : "39" }, "uris" : [ "http://www.mendeley.com/documents/?uuid=61372b08-190b-4210-9937-13cc01a6dd05" ] } ], "mendeley" : { "formattedCitation" : "(Rosenbaum and Rubin 1985)", "plainTextFormattedCitation" : "(Rosenbaum and Rubin 1985)", "previouslyFormattedCitation" : "(Rosenbaum and Rubin 1985)" }, "properties" : { "noteIndex" : 0 }, "schema" : "https://github.com/citation-style-language/schema/raw/master/csl-citation.json" }</w:instrText>
      </w:r>
      <w:r w:rsidRPr="00C3671E">
        <w:rPr>
          <w:lang w:val="en-GB"/>
        </w:rPr>
        <w:fldChar w:fldCharType="separate"/>
      </w:r>
      <w:r w:rsidRPr="00C3671E">
        <w:rPr>
          <w:noProof/>
          <w:lang w:val="en-GB"/>
        </w:rPr>
        <w:t>(Rosenbaum and Rubin 1985)</w:t>
      </w:r>
      <w:r w:rsidRPr="00C3671E">
        <w:rPr>
          <w:lang w:val="en-GB"/>
        </w:rPr>
        <w:fldChar w:fldCharType="end"/>
      </w:r>
      <w:r w:rsidRPr="00C3671E">
        <w:rPr>
          <w:lang w:val="en-GB"/>
        </w:rPr>
        <w:t xml:space="preserve">, which takes values from 0.057 to 0.080 depending on a specific region. Kernel matching is similarly effective in the bias reduction as Radius matching (Table 2), but due to a different procedure produces slightly different results. Still, the direction of the effects is always the same, and thus the results are commented for both methods together. The employment of two methods using the </w:t>
      </w:r>
      <w:r w:rsidRPr="00F4146A">
        <w:rPr>
          <w:rFonts w:eastAsia="Calibri"/>
          <w:lang w:val="en-GB" w:eastAsia="en-US"/>
        </w:rPr>
        <w:t>different</w:t>
      </w:r>
      <w:r w:rsidRPr="00C3671E">
        <w:rPr>
          <w:lang w:val="en-GB"/>
        </w:rPr>
        <w:t xml:space="preserve"> logic of matching aims for more robust results, since none of them is seen as a preferable option </w:t>
      </w:r>
      <w:r w:rsidRPr="00C3671E">
        <w:rPr>
          <w:lang w:val="en-GB"/>
        </w:rPr>
        <w:fldChar w:fldCharType="begin" w:fldLock="1"/>
      </w:r>
      <w:r w:rsidR="00AA6335" w:rsidRPr="00C3671E">
        <w:rPr>
          <w:lang w:val="en-GB"/>
        </w:rPr>
        <w:instrText>ADDIN CSL_CITATION { "citationItems" : [ { "id" : "ITEM-1", "itemData" : { "DOI" : "10.1111/j.1467-6419.2007.00527.x", "ISBN" : "09500804", "ISSN" : "09500804", "PMID" : "28680618", "abstract" : "Abstract Propensity score matching (PSM) has become a popular approach to estimate causal treatment effects. It is widely applied when evaluating labour market policies, but empirical examples can be found in very diverse fields of study. Once the researcher has decided to use PSM, he is confronted with a lot of questions regarding its implementation. To begin with, a first decision has to be made concerning the estimation of the propensity score. Following that one has to decide which matching algorithm to choose and determine the region of common support. Subsequently, the matching quality has to be assessed and treatment effects and their standard errors have to be estimated. Furthermore, questions like \u2018what to do if there is choice-based sampling?\u2019 or \u2018when to measure effects?\u2019 can be important in empirical studies. Finally, one might also want to test the sensitivity of estimated treatment effects with respect to unobserved heterogeneity or failure of the common support condition. Each implementation step involves a lot of decisions and different approaches can be thought of. The aim of this paper is to discuss these implementation issues and give some guidance to researchers who want to use PSM for evaluation purposes.", "author" : [ { "dropping-particle" : "", "family" : "Caliendo", "given" : "Marco", "non-dropping-particle" : "", "parse-names" : false, "suffix" : "" }, { "dropping-particle" : "", "family" : "Kopeinig", "given" : "Sabine", "non-dropping-particle" : "", "parse-names" : false, "suffix" : "" } ], "container-title" : "Journal of Economic Surveys", "id" : "ITEM-1", "issue" : "1", "issued" : { "date-parts" : [ [ "2008" ] ] }, "page" : "31-72", "title" : "Some practical guidance for the implementation of propensity score matching", "type" : "article-journal", "volume" : "22" }, "uris" : [ "http://www.mendeley.com/documents/?uuid=34db4157-b56a-45d5-92ab-46fb3654b0fe" ] } ], "mendeley" : { "formattedCitation" : "(Caliendo and Kopeinig 2008)", "plainTextFormattedCitation" : "(Caliendo and Kopeinig 2008)", "previouslyFormattedCitation" : "(Caliendo and Kopeinig 2008)" }, "properties" : { "noteIndex" : 0 }, "schema" : "https://github.com/citation-style-language/schema/raw/master/csl-citation.json" }</w:instrText>
      </w:r>
      <w:r w:rsidRPr="00C3671E">
        <w:rPr>
          <w:lang w:val="en-GB"/>
        </w:rPr>
        <w:fldChar w:fldCharType="separate"/>
      </w:r>
      <w:r w:rsidRPr="00C3671E">
        <w:rPr>
          <w:noProof/>
          <w:lang w:val="en-GB"/>
        </w:rPr>
        <w:t>(Caliendo and Kopeinig 2008)</w:t>
      </w:r>
      <w:r w:rsidRPr="00C3671E">
        <w:rPr>
          <w:lang w:val="en-GB"/>
        </w:rPr>
        <w:fldChar w:fldCharType="end"/>
      </w:r>
      <w:r w:rsidRPr="00C3671E">
        <w:rPr>
          <w:lang w:val="en-GB"/>
        </w:rPr>
        <w:t>.</w:t>
      </w:r>
    </w:p>
    <w:p w14:paraId="5F5CF3C3" w14:textId="700DC42D" w:rsidR="005E32BB" w:rsidRPr="00C3671E" w:rsidRDefault="001A7940" w:rsidP="00F4146A">
      <w:pPr>
        <w:pStyle w:val="Newparagraph"/>
        <w:jc w:val="both"/>
      </w:pPr>
      <w:r w:rsidRPr="00C3671E">
        <w:t xml:space="preserve">The ATT of employment on QoL in later life substantially differs across regions. On the one hand, the ATT is negative for Nordic countries and Western Europe, which is true mainly for the domain of autonomy and for the CASP-12 scale as a whole. On the other hand, data from Southern Europe and Post-communist countries shows the positive ATT of working on CASP-12 scale. This positive effect is more profound for dimensions control over life in both regions and pleasure together with self-realization in Post-communist countries. The results generally show moderate to weak ATT without strong substantive meaning and most of them is not highly statistically significant. Nevertheless, the pattern in the results seems clear and indicates the consistent effect of labour force participation on subjective QoL, which clearly differs on the north-west versus south-east European axis. Apart from this overall pattern, some </w:t>
      </w:r>
      <w:r w:rsidRPr="00C3671E">
        <w:lastRenderedPageBreak/>
        <w:t>effects are stronger than other and consistent across regions and methods, and they thus can be interpreted in the discussion.</w:t>
      </w:r>
    </w:p>
    <w:p w14:paraId="0C005E8D" w14:textId="7F281414" w:rsidR="005E32BB" w:rsidRPr="00C3671E" w:rsidRDefault="005E32BB" w:rsidP="005E32BB">
      <w:pPr>
        <w:spacing w:before="100" w:beforeAutospacing="1"/>
        <w:jc w:val="both"/>
        <w:rPr>
          <w:b/>
          <w:lang w:val="en-GB"/>
        </w:rPr>
      </w:pPr>
      <w:bookmarkStart w:id="41" w:name="_Toc512687478"/>
      <w:r w:rsidRPr="00C3671E">
        <w:rPr>
          <w:b/>
          <w:lang w:val="en-GB"/>
        </w:rPr>
        <w:t xml:space="preserve">Table </w:t>
      </w:r>
      <w:r w:rsidRPr="00C3671E">
        <w:rPr>
          <w:b/>
          <w:lang w:val="en-GB"/>
        </w:rPr>
        <w:fldChar w:fldCharType="begin"/>
      </w:r>
      <w:r w:rsidRPr="00C3671E">
        <w:rPr>
          <w:b/>
          <w:lang w:val="en-GB"/>
        </w:rPr>
        <w:instrText xml:space="preserve"> SEQ Table \* ARABIC </w:instrText>
      </w:r>
      <w:r w:rsidRPr="00C3671E">
        <w:rPr>
          <w:b/>
          <w:lang w:val="en-GB"/>
        </w:rPr>
        <w:fldChar w:fldCharType="separate"/>
      </w:r>
      <w:r w:rsidR="00F96318" w:rsidRPr="00C3671E">
        <w:rPr>
          <w:b/>
          <w:noProof/>
          <w:lang w:val="en-GB"/>
        </w:rPr>
        <w:t>3</w:t>
      </w:r>
      <w:r w:rsidRPr="00C3671E">
        <w:rPr>
          <w:b/>
          <w:lang w:val="en-GB"/>
        </w:rPr>
        <w:fldChar w:fldCharType="end"/>
      </w:r>
      <w:r w:rsidRPr="00C3671E">
        <w:rPr>
          <w:b/>
          <w:lang w:val="en-GB"/>
        </w:rPr>
        <w:t>: The effect of working in older ages on QoL – average treatment effects of Radius and Kernel matching in four European regions</w:t>
      </w:r>
      <w:bookmarkEnd w:id="41"/>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775"/>
        <w:gridCol w:w="1577"/>
        <w:gridCol w:w="1567"/>
        <w:gridCol w:w="1577"/>
        <w:gridCol w:w="1567"/>
      </w:tblGrid>
      <w:tr w:rsidR="005E32BB" w:rsidRPr="00C3671E" w14:paraId="3FC5C002" w14:textId="77777777" w:rsidTr="00AA6335">
        <w:tc>
          <w:tcPr>
            <w:tcW w:w="1184" w:type="dxa"/>
            <w:shd w:val="clear" w:color="auto" w:fill="auto"/>
          </w:tcPr>
          <w:p w14:paraId="0538117B" w14:textId="77777777" w:rsidR="005E32BB" w:rsidRPr="00C3671E" w:rsidRDefault="005E32BB" w:rsidP="00AA6335">
            <w:pPr>
              <w:rPr>
                <w:sz w:val="20"/>
                <w:szCs w:val="20"/>
                <w:lang w:val="en-GB"/>
              </w:rPr>
            </w:pPr>
          </w:p>
        </w:tc>
        <w:tc>
          <w:tcPr>
            <w:tcW w:w="1800" w:type="dxa"/>
            <w:shd w:val="clear" w:color="auto" w:fill="auto"/>
          </w:tcPr>
          <w:p w14:paraId="53034F62" w14:textId="77777777" w:rsidR="005E32BB" w:rsidRPr="00C3671E" w:rsidRDefault="005E32BB" w:rsidP="00AA6335">
            <w:pPr>
              <w:rPr>
                <w:sz w:val="20"/>
                <w:szCs w:val="20"/>
                <w:lang w:val="en-GB"/>
              </w:rPr>
            </w:pPr>
          </w:p>
        </w:tc>
        <w:tc>
          <w:tcPr>
            <w:tcW w:w="3202" w:type="dxa"/>
            <w:gridSpan w:val="2"/>
            <w:shd w:val="clear" w:color="auto" w:fill="auto"/>
          </w:tcPr>
          <w:p w14:paraId="4109492E" w14:textId="77777777" w:rsidR="005E32BB" w:rsidRPr="00C3671E" w:rsidRDefault="005E32BB" w:rsidP="00AA6335">
            <w:pPr>
              <w:rPr>
                <w:sz w:val="20"/>
                <w:szCs w:val="20"/>
                <w:lang w:val="en-GB"/>
              </w:rPr>
            </w:pPr>
            <w:r w:rsidRPr="00C3671E">
              <w:rPr>
                <w:sz w:val="20"/>
                <w:szCs w:val="20"/>
                <w:lang w:val="en-GB"/>
              </w:rPr>
              <w:t>Radius matching</w:t>
            </w:r>
          </w:p>
        </w:tc>
        <w:tc>
          <w:tcPr>
            <w:tcW w:w="3202" w:type="dxa"/>
            <w:gridSpan w:val="2"/>
            <w:shd w:val="clear" w:color="auto" w:fill="auto"/>
          </w:tcPr>
          <w:p w14:paraId="1C4936BD" w14:textId="77777777" w:rsidR="005E32BB" w:rsidRPr="00C3671E" w:rsidRDefault="005E32BB" w:rsidP="00AA6335">
            <w:pPr>
              <w:rPr>
                <w:sz w:val="20"/>
                <w:szCs w:val="20"/>
                <w:lang w:val="en-GB"/>
              </w:rPr>
            </w:pPr>
            <w:r w:rsidRPr="00C3671E">
              <w:rPr>
                <w:sz w:val="20"/>
                <w:szCs w:val="20"/>
                <w:lang w:val="en-GB"/>
              </w:rPr>
              <w:t>Kernel matching</w:t>
            </w:r>
          </w:p>
        </w:tc>
      </w:tr>
      <w:tr w:rsidR="005E32BB" w:rsidRPr="00C3671E" w14:paraId="5214B8AC" w14:textId="77777777" w:rsidTr="00AA6335">
        <w:tc>
          <w:tcPr>
            <w:tcW w:w="1184" w:type="dxa"/>
            <w:shd w:val="clear" w:color="auto" w:fill="auto"/>
          </w:tcPr>
          <w:p w14:paraId="2063F448" w14:textId="77777777" w:rsidR="005E32BB" w:rsidRPr="00C3671E" w:rsidRDefault="005E32BB" w:rsidP="00AA6335">
            <w:pPr>
              <w:rPr>
                <w:sz w:val="20"/>
                <w:szCs w:val="20"/>
                <w:lang w:val="en-GB"/>
              </w:rPr>
            </w:pPr>
          </w:p>
        </w:tc>
        <w:tc>
          <w:tcPr>
            <w:tcW w:w="1800" w:type="dxa"/>
            <w:shd w:val="clear" w:color="auto" w:fill="auto"/>
          </w:tcPr>
          <w:p w14:paraId="359F22AF" w14:textId="77777777" w:rsidR="005E32BB" w:rsidRPr="00C3671E" w:rsidRDefault="005E32BB" w:rsidP="00AA6335">
            <w:pPr>
              <w:rPr>
                <w:sz w:val="20"/>
                <w:szCs w:val="20"/>
                <w:lang w:val="en-GB"/>
              </w:rPr>
            </w:pPr>
          </w:p>
        </w:tc>
        <w:tc>
          <w:tcPr>
            <w:tcW w:w="1601" w:type="dxa"/>
            <w:shd w:val="clear" w:color="auto" w:fill="auto"/>
          </w:tcPr>
          <w:p w14:paraId="350253B7" w14:textId="77777777" w:rsidR="005E32BB" w:rsidRPr="00C3671E" w:rsidRDefault="005E32BB" w:rsidP="00AA6335">
            <w:pPr>
              <w:rPr>
                <w:sz w:val="20"/>
                <w:szCs w:val="20"/>
                <w:lang w:val="en-GB"/>
              </w:rPr>
            </w:pPr>
            <w:r w:rsidRPr="00C3671E">
              <w:rPr>
                <w:sz w:val="20"/>
                <w:szCs w:val="20"/>
                <w:lang w:val="en-GB"/>
              </w:rPr>
              <w:t>ATT</w:t>
            </w:r>
          </w:p>
        </w:tc>
        <w:tc>
          <w:tcPr>
            <w:tcW w:w="1601" w:type="dxa"/>
            <w:shd w:val="clear" w:color="auto" w:fill="auto"/>
          </w:tcPr>
          <w:p w14:paraId="3552598A" w14:textId="77777777" w:rsidR="005E32BB" w:rsidRPr="00C3671E" w:rsidRDefault="005E32BB" w:rsidP="00AA6335">
            <w:pPr>
              <w:rPr>
                <w:sz w:val="20"/>
                <w:szCs w:val="20"/>
                <w:lang w:val="en-GB"/>
              </w:rPr>
            </w:pPr>
            <w:r w:rsidRPr="00C3671E">
              <w:rPr>
                <w:sz w:val="20"/>
                <w:szCs w:val="20"/>
                <w:lang w:val="en-GB"/>
              </w:rPr>
              <w:t>S.E.</w:t>
            </w:r>
          </w:p>
        </w:tc>
        <w:tc>
          <w:tcPr>
            <w:tcW w:w="1601" w:type="dxa"/>
            <w:shd w:val="clear" w:color="auto" w:fill="auto"/>
          </w:tcPr>
          <w:p w14:paraId="3341D69B" w14:textId="77777777" w:rsidR="005E32BB" w:rsidRPr="00C3671E" w:rsidRDefault="005E32BB" w:rsidP="00AA6335">
            <w:pPr>
              <w:rPr>
                <w:sz w:val="20"/>
                <w:szCs w:val="20"/>
                <w:lang w:val="en-GB"/>
              </w:rPr>
            </w:pPr>
            <w:r w:rsidRPr="00C3671E">
              <w:rPr>
                <w:sz w:val="20"/>
                <w:szCs w:val="20"/>
                <w:lang w:val="en-GB"/>
              </w:rPr>
              <w:t>ATT</w:t>
            </w:r>
          </w:p>
        </w:tc>
        <w:tc>
          <w:tcPr>
            <w:tcW w:w="1601" w:type="dxa"/>
            <w:shd w:val="clear" w:color="auto" w:fill="auto"/>
          </w:tcPr>
          <w:p w14:paraId="7FD2B91E" w14:textId="77777777" w:rsidR="005E32BB" w:rsidRPr="00C3671E" w:rsidRDefault="005E32BB" w:rsidP="00AA6335">
            <w:pPr>
              <w:rPr>
                <w:sz w:val="20"/>
                <w:szCs w:val="20"/>
                <w:lang w:val="en-GB"/>
              </w:rPr>
            </w:pPr>
            <w:r w:rsidRPr="00C3671E">
              <w:rPr>
                <w:sz w:val="20"/>
                <w:szCs w:val="20"/>
                <w:lang w:val="en-GB"/>
              </w:rPr>
              <w:t>S.E.</w:t>
            </w:r>
          </w:p>
        </w:tc>
      </w:tr>
      <w:tr w:rsidR="005E32BB" w:rsidRPr="00C3671E" w14:paraId="2034DC97" w14:textId="77777777" w:rsidTr="00AA6335">
        <w:tc>
          <w:tcPr>
            <w:tcW w:w="1184" w:type="dxa"/>
            <w:vMerge w:val="restart"/>
            <w:shd w:val="clear" w:color="auto" w:fill="auto"/>
          </w:tcPr>
          <w:p w14:paraId="7FFD733A" w14:textId="77777777" w:rsidR="005E32BB" w:rsidRPr="00C3671E" w:rsidRDefault="005E32BB" w:rsidP="00AA6335">
            <w:pPr>
              <w:rPr>
                <w:sz w:val="20"/>
                <w:szCs w:val="20"/>
                <w:lang w:val="en-GB"/>
              </w:rPr>
            </w:pPr>
            <w:r w:rsidRPr="00C3671E">
              <w:rPr>
                <w:sz w:val="20"/>
                <w:szCs w:val="20"/>
                <w:lang w:val="en-GB"/>
              </w:rPr>
              <w:t>Nordic countries</w:t>
            </w:r>
          </w:p>
        </w:tc>
        <w:tc>
          <w:tcPr>
            <w:tcW w:w="1800" w:type="dxa"/>
            <w:shd w:val="clear" w:color="auto" w:fill="auto"/>
          </w:tcPr>
          <w:p w14:paraId="393A629E" w14:textId="77777777" w:rsidR="005E32BB" w:rsidRPr="00C3671E" w:rsidRDefault="005E32BB" w:rsidP="00AA6335">
            <w:pPr>
              <w:rPr>
                <w:sz w:val="20"/>
                <w:szCs w:val="20"/>
                <w:lang w:val="en-GB"/>
              </w:rPr>
            </w:pPr>
            <w:r w:rsidRPr="00C3671E">
              <w:rPr>
                <w:sz w:val="20"/>
                <w:szCs w:val="20"/>
                <w:lang w:val="en-GB"/>
              </w:rPr>
              <w:t>CASP</w:t>
            </w:r>
          </w:p>
        </w:tc>
        <w:tc>
          <w:tcPr>
            <w:tcW w:w="1601" w:type="dxa"/>
            <w:shd w:val="clear" w:color="auto" w:fill="auto"/>
          </w:tcPr>
          <w:p w14:paraId="0FE62CA1" w14:textId="77777777" w:rsidR="005E32BB" w:rsidRPr="00C3671E" w:rsidRDefault="005E32BB" w:rsidP="00AA6335">
            <w:pPr>
              <w:rPr>
                <w:sz w:val="20"/>
                <w:szCs w:val="20"/>
                <w:lang w:val="en-GB"/>
              </w:rPr>
            </w:pPr>
            <w:r w:rsidRPr="00C3671E">
              <w:rPr>
                <w:sz w:val="20"/>
                <w:szCs w:val="20"/>
                <w:lang w:val="en-GB"/>
              </w:rPr>
              <w:t>-0.32</w:t>
            </w:r>
          </w:p>
        </w:tc>
        <w:tc>
          <w:tcPr>
            <w:tcW w:w="1601" w:type="dxa"/>
            <w:shd w:val="clear" w:color="auto" w:fill="auto"/>
          </w:tcPr>
          <w:p w14:paraId="0C4ADF2E" w14:textId="77777777" w:rsidR="005E32BB" w:rsidRPr="00C3671E" w:rsidRDefault="005E32BB" w:rsidP="00AA6335">
            <w:pPr>
              <w:rPr>
                <w:sz w:val="20"/>
                <w:szCs w:val="20"/>
                <w:lang w:val="en-GB"/>
              </w:rPr>
            </w:pPr>
            <w:r w:rsidRPr="00C3671E">
              <w:rPr>
                <w:sz w:val="20"/>
                <w:szCs w:val="20"/>
                <w:lang w:val="en-GB"/>
              </w:rPr>
              <w:t>0.22</w:t>
            </w:r>
          </w:p>
        </w:tc>
        <w:tc>
          <w:tcPr>
            <w:tcW w:w="1601" w:type="dxa"/>
            <w:shd w:val="clear" w:color="auto" w:fill="auto"/>
          </w:tcPr>
          <w:p w14:paraId="2F608E27" w14:textId="77777777" w:rsidR="005E32BB" w:rsidRPr="00C3671E" w:rsidRDefault="005E32BB" w:rsidP="00AA6335">
            <w:pPr>
              <w:rPr>
                <w:sz w:val="20"/>
                <w:szCs w:val="20"/>
                <w:lang w:val="en-GB"/>
              </w:rPr>
            </w:pPr>
            <w:r w:rsidRPr="00C3671E">
              <w:rPr>
                <w:sz w:val="20"/>
                <w:szCs w:val="20"/>
                <w:lang w:val="en-GB"/>
              </w:rPr>
              <w:t>-0.63*</w:t>
            </w:r>
          </w:p>
        </w:tc>
        <w:tc>
          <w:tcPr>
            <w:tcW w:w="1601" w:type="dxa"/>
            <w:shd w:val="clear" w:color="auto" w:fill="auto"/>
          </w:tcPr>
          <w:p w14:paraId="263A289D" w14:textId="77777777" w:rsidR="005E32BB" w:rsidRPr="00C3671E" w:rsidRDefault="005E32BB" w:rsidP="00AA6335">
            <w:pPr>
              <w:rPr>
                <w:sz w:val="20"/>
                <w:szCs w:val="20"/>
                <w:lang w:val="en-GB"/>
              </w:rPr>
            </w:pPr>
            <w:r w:rsidRPr="00C3671E">
              <w:rPr>
                <w:sz w:val="20"/>
                <w:szCs w:val="20"/>
                <w:lang w:val="en-GB"/>
              </w:rPr>
              <w:t>0.29</w:t>
            </w:r>
          </w:p>
        </w:tc>
      </w:tr>
      <w:tr w:rsidR="005E32BB" w:rsidRPr="00C3671E" w14:paraId="0C19B766" w14:textId="77777777" w:rsidTr="00AA6335">
        <w:tc>
          <w:tcPr>
            <w:tcW w:w="1184" w:type="dxa"/>
            <w:vMerge/>
            <w:shd w:val="clear" w:color="auto" w:fill="auto"/>
          </w:tcPr>
          <w:p w14:paraId="26FF4042" w14:textId="77777777" w:rsidR="005E32BB" w:rsidRPr="00C3671E" w:rsidRDefault="005E32BB" w:rsidP="00AA6335">
            <w:pPr>
              <w:rPr>
                <w:sz w:val="20"/>
                <w:szCs w:val="20"/>
                <w:lang w:val="en-GB"/>
              </w:rPr>
            </w:pPr>
          </w:p>
        </w:tc>
        <w:tc>
          <w:tcPr>
            <w:tcW w:w="1800" w:type="dxa"/>
            <w:shd w:val="clear" w:color="auto" w:fill="auto"/>
          </w:tcPr>
          <w:p w14:paraId="2950EEAF" w14:textId="77777777" w:rsidR="005E32BB" w:rsidRPr="00C3671E" w:rsidRDefault="005E32BB" w:rsidP="00AA6335">
            <w:pPr>
              <w:rPr>
                <w:sz w:val="20"/>
                <w:szCs w:val="20"/>
                <w:lang w:val="en-GB"/>
              </w:rPr>
            </w:pPr>
            <w:r w:rsidRPr="00C3671E">
              <w:rPr>
                <w:sz w:val="20"/>
                <w:szCs w:val="20"/>
                <w:lang w:val="en-GB"/>
              </w:rPr>
              <w:t>Control</w:t>
            </w:r>
          </w:p>
        </w:tc>
        <w:tc>
          <w:tcPr>
            <w:tcW w:w="1601" w:type="dxa"/>
            <w:shd w:val="clear" w:color="auto" w:fill="auto"/>
          </w:tcPr>
          <w:p w14:paraId="20E166B9" w14:textId="77777777" w:rsidR="005E32BB" w:rsidRPr="00C3671E" w:rsidRDefault="005E32BB" w:rsidP="00AA6335">
            <w:pPr>
              <w:rPr>
                <w:sz w:val="20"/>
                <w:szCs w:val="20"/>
                <w:lang w:val="en-GB"/>
              </w:rPr>
            </w:pPr>
            <w:r w:rsidRPr="00C3671E">
              <w:rPr>
                <w:sz w:val="20"/>
                <w:szCs w:val="20"/>
                <w:lang w:val="en-GB"/>
              </w:rPr>
              <w:t>-0.10</w:t>
            </w:r>
          </w:p>
        </w:tc>
        <w:tc>
          <w:tcPr>
            <w:tcW w:w="1601" w:type="dxa"/>
            <w:shd w:val="clear" w:color="auto" w:fill="auto"/>
          </w:tcPr>
          <w:p w14:paraId="022E9510" w14:textId="77777777" w:rsidR="005E32BB" w:rsidRPr="00C3671E" w:rsidRDefault="005E32BB" w:rsidP="00AA6335">
            <w:pPr>
              <w:rPr>
                <w:sz w:val="20"/>
                <w:szCs w:val="20"/>
                <w:lang w:val="en-GB"/>
              </w:rPr>
            </w:pPr>
            <w:r w:rsidRPr="00C3671E">
              <w:rPr>
                <w:sz w:val="20"/>
                <w:szCs w:val="20"/>
                <w:lang w:val="en-GB"/>
              </w:rPr>
              <w:t>0.09</w:t>
            </w:r>
          </w:p>
        </w:tc>
        <w:tc>
          <w:tcPr>
            <w:tcW w:w="1601" w:type="dxa"/>
            <w:shd w:val="clear" w:color="auto" w:fill="auto"/>
          </w:tcPr>
          <w:p w14:paraId="50192FB9" w14:textId="77777777" w:rsidR="005E32BB" w:rsidRPr="00C3671E" w:rsidRDefault="005E32BB" w:rsidP="00AA6335">
            <w:pPr>
              <w:rPr>
                <w:sz w:val="20"/>
                <w:szCs w:val="20"/>
                <w:lang w:val="en-GB"/>
              </w:rPr>
            </w:pPr>
            <w:r w:rsidRPr="00C3671E">
              <w:rPr>
                <w:sz w:val="20"/>
                <w:szCs w:val="20"/>
                <w:lang w:val="en-GB"/>
              </w:rPr>
              <w:t>-0.20+</w:t>
            </w:r>
          </w:p>
        </w:tc>
        <w:tc>
          <w:tcPr>
            <w:tcW w:w="1601" w:type="dxa"/>
            <w:shd w:val="clear" w:color="auto" w:fill="auto"/>
          </w:tcPr>
          <w:p w14:paraId="7148ACCA" w14:textId="77777777" w:rsidR="005E32BB" w:rsidRPr="00C3671E" w:rsidRDefault="005E32BB" w:rsidP="00AA6335">
            <w:pPr>
              <w:rPr>
                <w:sz w:val="20"/>
                <w:szCs w:val="20"/>
                <w:lang w:val="en-GB"/>
              </w:rPr>
            </w:pPr>
            <w:r w:rsidRPr="00C3671E">
              <w:rPr>
                <w:sz w:val="20"/>
                <w:szCs w:val="20"/>
                <w:lang w:val="en-GB"/>
              </w:rPr>
              <w:t>0.11</w:t>
            </w:r>
          </w:p>
        </w:tc>
      </w:tr>
      <w:tr w:rsidR="005E32BB" w:rsidRPr="00C3671E" w14:paraId="368B3B53" w14:textId="77777777" w:rsidTr="00AA6335">
        <w:tc>
          <w:tcPr>
            <w:tcW w:w="1184" w:type="dxa"/>
            <w:vMerge/>
            <w:shd w:val="clear" w:color="auto" w:fill="auto"/>
          </w:tcPr>
          <w:p w14:paraId="519D7AD4" w14:textId="77777777" w:rsidR="005E32BB" w:rsidRPr="00C3671E" w:rsidRDefault="005E32BB" w:rsidP="00AA6335">
            <w:pPr>
              <w:rPr>
                <w:sz w:val="20"/>
                <w:szCs w:val="20"/>
                <w:lang w:val="en-GB"/>
              </w:rPr>
            </w:pPr>
          </w:p>
        </w:tc>
        <w:tc>
          <w:tcPr>
            <w:tcW w:w="1800" w:type="dxa"/>
            <w:shd w:val="clear" w:color="auto" w:fill="auto"/>
          </w:tcPr>
          <w:p w14:paraId="217DE864" w14:textId="77777777" w:rsidR="005E32BB" w:rsidRPr="00C3671E" w:rsidRDefault="005E32BB" w:rsidP="00AA6335">
            <w:pPr>
              <w:rPr>
                <w:sz w:val="20"/>
                <w:szCs w:val="20"/>
                <w:lang w:val="en-GB"/>
              </w:rPr>
            </w:pPr>
            <w:r w:rsidRPr="00C3671E">
              <w:rPr>
                <w:sz w:val="20"/>
                <w:szCs w:val="20"/>
                <w:lang w:val="en-GB"/>
              </w:rPr>
              <w:t>Autonomy</w:t>
            </w:r>
          </w:p>
        </w:tc>
        <w:tc>
          <w:tcPr>
            <w:tcW w:w="1601" w:type="dxa"/>
            <w:shd w:val="clear" w:color="auto" w:fill="auto"/>
          </w:tcPr>
          <w:p w14:paraId="764901D7" w14:textId="77777777" w:rsidR="005E32BB" w:rsidRPr="00C3671E" w:rsidRDefault="005E32BB" w:rsidP="00AA6335">
            <w:pPr>
              <w:rPr>
                <w:sz w:val="20"/>
                <w:szCs w:val="20"/>
                <w:lang w:val="en-GB"/>
              </w:rPr>
            </w:pPr>
            <w:r w:rsidRPr="00C3671E">
              <w:rPr>
                <w:sz w:val="20"/>
                <w:szCs w:val="20"/>
                <w:lang w:val="en-GB"/>
              </w:rPr>
              <w:t>-0.15+</w:t>
            </w:r>
          </w:p>
        </w:tc>
        <w:tc>
          <w:tcPr>
            <w:tcW w:w="1601" w:type="dxa"/>
            <w:shd w:val="clear" w:color="auto" w:fill="auto"/>
          </w:tcPr>
          <w:p w14:paraId="69D89A2D" w14:textId="77777777" w:rsidR="005E32BB" w:rsidRPr="00C3671E" w:rsidRDefault="005E32BB" w:rsidP="00AA6335">
            <w:pPr>
              <w:rPr>
                <w:sz w:val="20"/>
                <w:szCs w:val="20"/>
                <w:lang w:val="en-GB"/>
              </w:rPr>
            </w:pPr>
            <w:r w:rsidRPr="00C3671E">
              <w:rPr>
                <w:sz w:val="20"/>
                <w:szCs w:val="20"/>
                <w:lang w:val="en-GB"/>
              </w:rPr>
              <w:t>0.08</w:t>
            </w:r>
          </w:p>
        </w:tc>
        <w:tc>
          <w:tcPr>
            <w:tcW w:w="1601" w:type="dxa"/>
            <w:shd w:val="clear" w:color="auto" w:fill="auto"/>
          </w:tcPr>
          <w:p w14:paraId="359FA0F7" w14:textId="77777777" w:rsidR="005E32BB" w:rsidRPr="00C3671E" w:rsidRDefault="005E32BB" w:rsidP="00AA6335">
            <w:pPr>
              <w:rPr>
                <w:sz w:val="20"/>
                <w:szCs w:val="20"/>
                <w:lang w:val="en-GB"/>
              </w:rPr>
            </w:pPr>
            <w:r w:rsidRPr="00C3671E">
              <w:rPr>
                <w:sz w:val="20"/>
                <w:szCs w:val="20"/>
                <w:lang w:val="en-GB"/>
              </w:rPr>
              <w:t>-0.18+</w:t>
            </w:r>
          </w:p>
        </w:tc>
        <w:tc>
          <w:tcPr>
            <w:tcW w:w="1601" w:type="dxa"/>
            <w:shd w:val="clear" w:color="auto" w:fill="auto"/>
          </w:tcPr>
          <w:p w14:paraId="47EEFDCB" w14:textId="77777777" w:rsidR="005E32BB" w:rsidRPr="00C3671E" w:rsidRDefault="005E32BB" w:rsidP="00AA6335">
            <w:pPr>
              <w:rPr>
                <w:sz w:val="20"/>
                <w:szCs w:val="20"/>
                <w:lang w:val="en-GB"/>
              </w:rPr>
            </w:pPr>
            <w:r w:rsidRPr="00C3671E">
              <w:rPr>
                <w:sz w:val="20"/>
                <w:szCs w:val="20"/>
                <w:lang w:val="en-GB"/>
              </w:rPr>
              <w:t>0.10</w:t>
            </w:r>
          </w:p>
        </w:tc>
      </w:tr>
      <w:tr w:rsidR="005E32BB" w:rsidRPr="00C3671E" w14:paraId="70241EA3" w14:textId="77777777" w:rsidTr="00AA6335">
        <w:tc>
          <w:tcPr>
            <w:tcW w:w="1184" w:type="dxa"/>
            <w:vMerge/>
            <w:shd w:val="clear" w:color="auto" w:fill="auto"/>
          </w:tcPr>
          <w:p w14:paraId="166FAC2E" w14:textId="77777777" w:rsidR="005E32BB" w:rsidRPr="00C3671E" w:rsidRDefault="005E32BB" w:rsidP="00AA6335">
            <w:pPr>
              <w:rPr>
                <w:sz w:val="20"/>
                <w:szCs w:val="20"/>
                <w:lang w:val="en-GB"/>
              </w:rPr>
            </w:pPr>
          </w:p>
        </w:tc>
        <w:tc>
          <w:tcPr>
            <w:tcW w:w="1800" w:type="dxa"/>
            <w:shd w:val="clear" w:color="auto" w:fill="auto"/>
          </w:tcPr>
          <w:p w14:paraId="552D300F" w14:textId="77777777" w:rsidR="005E32BB" w:rsidRPr="00C3671E" w:rsidRDefault="005E32BB" w:rsidP="00AA6335">
            <w:pPr>
              <w:rPr>
                <w:sz w:val="20"/>
                <w:szCs w:val="20"/>
                <w:lang w:val="en-GB"/>
              </w:rPr>
            </w:pPr>
            <w:r w:rsidRPr="00C3671E">
              <w:rPr>
                <w:sz w:val="20"/>
                <w:szCs w:val="20"/>
                <w:lang w:val="en-GB"/>
              </w:rPr>
              <w:t>Self-realization</w:t>
            </w:r>
          </w:p>
        </w:tc>
        <w:tc>
          <w:tcPr>
            <w:tcW w:w="1601" w:type="dxa"/>
            <w:shd w:val="clear" w:color="auto" w:fill="auto"/>
          </w:tcPr>
          <w:p w14:paraId="41999700" w14:textId="77777777" w:rsidR="005E32BB" w:rsidRPr="00C3671E" w:rsidRDefault="005E32BB" w:rsidP="00AA6335">
            <w:pPr>
              <w:rPr>
                <w:sz w:val="20"/>
                <w:szCs w:val="20"/>
                <w:lang w:val="en-GB"/>
              </w:rPr>
            </w:pPr>
            <w:r w:rsidRPr="00C3671E">
              <w:rPr>
                <w:sz w:val="20"/>
                <w:szCs w:val="20"/>
                <w:lang w:val="en-GB"/>
              </w:rPr>
              <w:t>-0.05</w:t>
            </w:r>
          </w:p>
        </w:tc>
        <w:tc>
          <w:tcPr>
            <w:tcW w:w="1601" w:type="dxa"/>
            <w:shd w:val="clear" w:color="auto" w:fill="auto"/>
          </w:tcPr>
          <w:p w14:paraId="3C42B5E3" w14:textId="77777777" w:rsidR="005E32BB" w:rsidRPr="00C3671E" w:rsidRDefault="005E32BB" w:rsidP="00AA6335">
            <w:pPr>
              <w:rPr>
                <w:sz w:val="20"/>
                <w:szCs w:val="20"/>
                <w:lang w:val="en-GB"/>
              </w:rPr>
            </w:pPr>
            <w:r w:rsidRPr="00C3671E">
              <w:rPr>
                <w:sz w:val="20"/>
                <w:szCs w:val="20"/>
                <w:lang w:val="en-GB"/>
              </w:rPr>
              <w:t>0.06</w:t>
            </w:r>
          </w:p>
        </w:tc>
        <w:tc>
          <w:tcPr>
            <w:tcW w:w="1601" w:type="dxa"/>
            <w:shd w:val="clear" w:color="auto" w:fill="auto"/>
          </w:tcPr>
          <w:p w14:paraId="6648ABF7" w14:textId="77777777" w:rsidR="005E32BB" w:rsidRPr="00C3671E" w:rsidRDefault="005E32BB" w:rsidP="00AA6335">
            <w:pPr>
              <w:rPr>
                <w:sz w:val="20"/>
                <w:szCs w:val="20"/>
                <w:lang w:val="en-GB"/>
              </w:rPr>
            </w:pPr>
            <w:r w:rsidRPr="00C3671E">
              <w:rPr>
                <w:sz w:val="20"/>
                <w:szCs w:val="20"/>
                <w:lang w:val="en-GB"/>
              </w:rPr>
              <w:t>-0.13</w:t>
            </w:r>
          </w:p>
        </w:tc>
        <w:tc>
          <w:tcPr>
            <w:tcW w:w="1601" w:type="dxa"/>
            <w:shd w:val="clear" w:color="auto" w:fill="auto"/>
          </w:tcPr>
          <w:p w14:paraId="0CFA0F28" w14:textId="77777777" w:rsidR="005E32BB" w:rsidRPr="00C3671E" w:rsidRDefault="005E32BB" w:rsidP="00AA6335">
            <w:pPr>
              <w:rPr>
                <w:sz w:val="20"/>
                <w:szCs w:val="20"/>
                <w:lang w:val="en-GB"/>
              </w:rPr>
            </w:pPr>
            <w:r w:rsidRPr="00C3671E">
              <w:rPr>
                <w:sz w:val="20"/>
                <w:szCs w:val="20"/>
                <w:lang w:val="en-GB"/>
              </w:rPr>
              <w:t>0.08</w:t>
            </w:r>
          </w:p>
        </w:tc>
      </w:tr>
      <w:tr w:rsidR="005E32BB" w:rsidRPr="00C3671E" w14:paraId="6384AD03" w14:textId="77777777" w:rsidTr="00AA6335">
        <w:tc>
          <w:tcPr>
            <w:tcW w:w="1184" w:type="dxa"/>
            <w:vMerge/>
            <w:shd w:val="clear" w:color="auto" w:fill="auto"/>
          </w:tcPr>
          <w:p w14:paraId="34B83A64" w14:textId="77777777" w:rsidR="005E32BB" w:rsidRPr="00C3671E" w:rsidRDefault="005E32BB" w:rsidP="00AA6335">
            <w:pPr>
              <w:rPr>
                <w:sz w:val="20"/>
                <w:szCs w:val="20"/>
                <w:lang w:val="en-GB"/>
              </w:rPr>
            </w:pPr>
          </w:p>
        </w:tc>
        <w:tc>
          <w:tcPr>
            <w:tcW w:w="1800" w:type="dxa"/>
            <w:shd w:val="clear" w:color="auto" w:fill="auto"/>
          </w:tcPr>
          <w:p w14:paraId="1AA4ECD1" w14:textId="77777777" w:rsidR="005E32BB" w:rsidRPr="00C3671E" w:rsidRDefault="005E32BB" w:rsidP="00AA6335">
            <w:pPr>
              <w:rPr>
                <w:sz w:val="20"/>
                <w:szCs w:val="20"/>
                <w:lang w:val="en-GB"/>
              </w:rPr>
            </w:pPr>
            <w:r w:rsidRPr="00C3671E">
              <w:rPr>
                <w:sz w:val="20"/>
                <w:szCs w:val="20"/>
                <w:lang w:val="en-GB"/>
              </w:rPr>
              <w:t>Pleasure</w:t>
            </w:r>
          </w:p>
        </w:tc>
        <w:tc>
          <w:tcPr>
            <w:tcW w:w="1601" w:type="dxa"/>
            <w:shd w:val="clear" w:color="auto" w:fill="auto"/>
          </w:tcPr>
          <w:p w14:paraId="441DC346" w14:textId="77777777" w:rsidR="005E32BB" w:rsidRPr="00C3671E" w:rsidRDefault="005E32BB" w:rsidP="00AA6335">
            <w:pPr>
              <w:rPr>
                <w:sz w:val="20"/>
                <w:szCs w:val="20"/>
                <w:lang w:val="en-GB"/>
              </w:rPr>
            </w:pPr>
            <w:r w:rsidRPr="00C3671E">
              <w:rPr>
                <w:sz w:val="20"/>
                <w:szCs w:val="20"/>
                <w:lang w:val="en-GB"/>
              </w:rPr>
              <w:t>-0.03</w:t>
            </w:r>
          </w:p>
        </w:tc>
        <w:tc>
          <w:tcPr>
            <w:tcW w:w="1601" w:type="dxa"/>
            <w:shd w:val="clear" w:color="auto" w:fill="auto"/>
          </w:tcPr>
          <w:p w14:paraId="44D93ADB" w14:textId="77777777" w:rsidR="005E32BB" w:rsidRPr="00C3671E" w:rsidRDefault="005E32BB" w:rsidP="00AA6335">
            <w:pPr>
              <w:rPr>
                <w:sz w:val="20"/>
                <w:szCs w:val="20"/>
                <w:lang w:val="en-GB"/>
              </w:rPr>
            </w:pPr>
            <w:r w:rsidRPr="00C3671E">
              <w:rPr>
                <w:sz w:val="20"/>
                <w:szCs w:val="20"/>
                <w:lang w:val="en-GB"/>
              </w:rPr>
              <w:t>0.08</w:t>
            </w:r>
          </w:p>
        </w:tc>
        <w:tc>
          <w:tcPr>
            <w:tcW w:w="1601" w:type="dxa"/>
            <w:shd w:val="clear" w:color="auto" w:fill="auto"/>
          </w:tcPr>
          <w:p w14:paraId="5CB3C903" w14:textId="77777777" w:rsidR="005E32BB" w:rsidRPr="00C3671E" w:rsidRDefault="005E32BB" w:rsidP="00AA6335">
            <w:pPr>
              <w:rPr>
                <w:sz w:val="20"/>
                <w:szCs w:val="20"/>
                <w:lang w:val="en-GB"/>
              </w:rPr>
            </w:pPr>
            <w:r w:rsidRPr="00C3671E">
              <w:rPr>
                <w:sz w:val="20"/>
                <w:szCs w:val="20"/>
                <w:lang w:val="en-GB"/>
              </w:rPr>
              <w:t>-0.12</w:t>
            </w:r>
          </w:p>
        </w:tc>
        <w:tc>
          <w:tcPr>
            <w:tcW w:w="1601" w:type="dxa"/>
            <w:shd w:val="clear" w:color="auto" w:fill="auto"/>
          </w:tcPr>
          <w:p w14:paraId="78334FAE" w14:textId="77777777" w:rsidR="005E32BB" w:rsidRPr="00C3671E" w:rsidRDefault="005E32BB" w:rsidP="00AA6335">
            <w:pPr>
              <w:rPr>
                <w:sz w:val="20"/>
                <w:szCs w:val="20"/>
                <w:lang w:val="en-GB"/>
              </w:rPr>
            </w:pPr>
            <w:r w:rsidRPr="00C3671E">
              <w:rPr>
                <w:sz w:val="20"/>
                <w:szCs w:val="20"/>
                <w:lang w:val="en-GB"/>
              </w:rPr>
              <w:t>0.11</w:t>
            </w:r>
          </w:p>
        </w:tc>
      </w:tr>
      <w:tr w:rsidR="005E32BB" w:rsidRPr="00C3671E" w14:paraId="5391BBC7" w14:textId="77777777" w:rsidTr="00AA6335">
        <w:tc>
          <w:tcPr>
            <w:tcW w:w="1184" w:type="dxa"/>
            <w:vMerge w:val="restart"/>
            <w:shd w:val="clear" w:color="auto" w:fill="auto"/>
          </w:tcPr>
          <w:p w14:paraId="73EE2E05" w14:textId="77777777" w:rsidR="005E32BB" w:rsidRPr="00C3671E" w:rsidRDefault="005E32BB" w:rsidP="00AA6335">
            <w:pPr>
              <w:rPr>
                <w:sz w:val="20"/>
                <w:szCs w:val="20"/>
                <w:lang w:val="en-GB"/>
              </w:rPr>
            </w:pPr>
            <w:r w:rsidRPr="00C3671E">
              <w:rPr>
                <w:sz w:val="20"/>
                <w:szCs w:val="20"/>
                <w:lang w:val="en-GB"/>
              </w:rPr>
              <w:t>Western Europe</w:t>
            </w:r>
          </w:p>
        </w:tc>
        <w:tc>
          <w:tcPr>
            <w:tcW w:w="1800" w:type="dxa"/>
            <w:shd w:val="clear" w:color="auto" w:fill="auto"/>
          </w:tcPr>
          <w:p w14:paraId="13685F2B" w14:textId="77777777" w:rsidR="005E32BB" w:rsidRPr="00C3671E" w:rsidRDefault="005E32BB" w:rsidP="00AA6335">
            <w:pPr>
              <w:rPr>
                <w:sz w:val="20"/>
                <w:szCs w:val="20"/>
                <w:lang w:val="en-GB"/>
              </w:rPr>
            </w:pPr>
            <w:r w:rsidRPr="00C3671E">
              <w:rPr>
                <w:sz w:val="20"/>
                <w:szCs w:val="20"/>
                <w:lang w:val="en-GB"/>
              </w:rPr>
              <w:t>CASP</w:t>
            </w:r>
          </w:p>
        </w:tc>
        <w:tc>
          <w:tcPr>
            <w:tcW w:w="1601" w:type="dxa"/>
            <w:shd w:val="clear" w:color="auto" w:fill="auto"/>
          </w:tcPr>
          <w:p w14:paraId="2617B716" w14:textId="77777777" w:rsidR="005E32BB" w:rsidRPr="00C3671E" w:rsidRDefault="005E32BB" w:rsidP="00AA6335">
            <w:pPr>
              <w:rPr>
                <w:sz w:val="20"/>
                <w:szCs w:val="20"/>
                <w:lang w:val="en-GB"/>
              </w:rPr>
            </w:pPr>
            <w:r w:rsidRPr="00C3671E">
              <w:rPr>
                <w:sz w:val="20"/>
                <w:szCs w:val="20"/>
                <w:lang w:val="en-GB"/>
              </w:rPr>
              <w:t>-0.32+</w:t>
            </w:r>
          </w:p>
        </w:tc>
        <w:tc>
          <w:tcPr>
            <w:tcW w:w="1601" w:type="dxa"/>
            <w:shd w:val="clear" w:color="auto" w:fill="auto"/>
          </w:tcPr>
          <w:p w14:paraId="76D77EE3" w14:textId="77777777" w:rsidR="005E32BB" w:rsidRPr="00C3671E" w:rsidRDefault="005E32BB" w:rsidP="00AA6335">
            <w:pPr>
              <w:rPr>
                <w:sz w:val="20"/>
                <w:szCs w:val="20"/>
                <w:lang w:val="en-GB"/>
              </w:rPr>
            </w:pPr>
            <w:r w:rsidRPr="00C3671E">
              <w:rPr>
                <w:sz w:val="20"/>
                <w:szCs w:val="20"/>
                <w:lang w:val="en-GB"/>
              </w:rPr>
              <w:t>0.16</w:t>
            </w:r>
          </w:p>
        </w:tc>
        <w:tc>
          <w:tcPr>
            <w:tcW w:w="1601" w:type="dxa"/>
            <w:shd w:val="clear" w:color="auto" w:fill="auto"/>
          </w:tcPr>
          <w:p w14:paraId="442BB7A3" w14:textId="77777777" w:rsidR="005E32BB" w:rsidRPr="00C3671E" w:rsidRDefault="005E32BB" w:rsidP="00AA6335">
            <w:pPr>
              <w:rPr>
                <w:sz w:val="20"/>
                <w:szCs w:val="20"/>
                <w:lang w:val="en-GB"/>
              </w:rPr>
            </w:pPr>
            <w:r w:rsidRPr="00C3671E">
              <w:rPr>
                <w:sz w:val="20"/>
                <w:szCs w:val="20"/>
                <w:lang w:val="en-GB"/>
              </w:rPr>
              <w:t>-0.34</w:t>
            </w:r>
          </w:p>
        </w:tc>
        <w:tc>
          <w:tcPr>
            <w:tcW w:w="1601" w:type="dxa"/>
            <w:shd w:val="clear" w:color="auto" w:fill="auto"/>
          </w:tcPr>
          <w:p w14:paraId="5C30B4B7" w14:textId="77777777" w:rsidR="005E32BB" w:rsidRPr="00C3671E" w:rsidRDefault="005E32BB" w:rsidP="00AA6335">
            <w:pPr>
              <w:rPr>
                <w:sz w:val="20"/>
                <w:szCs w:val="20"/>
                <w:lang w:val="en-GB"/>
              </w:rPr>
            </w:pPr>
            <w:r w:rsidRPr="00C3671E">
              <w:rPr>
                <w:sz w:val="20"/>
                <w:szCs w:val="20"/>
                <w:lang w:val="en-GB"/>
              </w:rPr>
              <w:t>0.24</w:t>
            </w:r>
          </w:p>
        </w:tc>
      </w:tr>
      <w:tr w:rsidR="005E32BB" w:rsidRPr="00C3671E" w14:paraId="44B6D737" w14:textId="77777777" w:rsidTr="00AA6335">
        <w:tc>
          <w:tcPr>
            <w:tcW w:w="1184" w:type="dxa"/>
            <w:vMerge/>
            <w:shd w:val="clear" w:color="auto" w:fill="auto"/>
          </w:tcPr>
          <w:p w14:paraId="18DD9F55" w14:textId="77777777" w:rsidR="005E32BB" w:rsidRPr="00C3671E" w:rsidRDefault="005E32BB" w:rsidP="00AA6335">
            <w:pPr>
              <w:rPr>
                <w:sz w:val="20"/>
                <w:szCs w:val="20"/>
                <w:lang w:val="en-GB"/>
              </w:rPr>
            </w:pPr>
          </w:p>
        </w:tc>
        <w:tc>
          <w:tcPr>
            <w:tcW w:w="1800" w:type="dxa"/>
            <w:shd w:val="clear" w:color="auto" w:fill="auto"/>
          </w:tcPr>
          <w:p w14:paraId="093631C9" w14:textId="77777777" w:rsidR="005E32BB" w:rsidRPr="00C3671E" w:rsidRDefault="005E32BB" w:rsidP="00AA6335">
            <w:pPr>
              <w:rPr>
                <w:sz w:val="20"/>
                <w:szCs w:val="20"/>
                <w:lang w:val="en-GB"/>
              </w:rPr>
            </w:pPr>
            <w:r w:rsidRPr="00C3671E">
              <w:rPr>
                <w:sz w:val="20"/>
                <w:szCs w:val="20"/>
                <w:lang w:val="en-GB"/>
              </w:rPr>
              <w:t>Control</w:t>
            </w:r>
          </w:p>
        </w:tc>
        <w:tc>
          <w:tcPr>
            <w:tcW w:w="1601" w:type="dxa"/>
            <w:shd w:val="clear" w:color="auto" w:fill="auto"/>
          </w:tcPr>
          <w:p w14:paraId="7F209E71" w14:textId="77777777" w:rsidR="005E32BB" w:rsidRPr="00C3671E" w:rsidRDefault="005E32BB" w:rsidP="00AA6335">
            <w:pPr>
              <w:rPr>
                <w:sz w:val="20"/>
                <w:szCs w:val="20"/>
                <w:lang w:val="en-GB"/>
              </w:rPr>
            </w:pPr>
            <w:r w:rsidRPr="00C3671E">
              <w:rPr>
                <w:sz w:val="20"/>
                <w:szCs w:val="20"/>
                <w:lang w:val="en-GB"/>
              </w:rPr>
              <w:t>-0.07</w:t>
            </w:r>
          </w:p>
        </w:tc>
        <w:tc>
          <w:tcPr>
            <w:tcW w:w="1601" w:type="dxa"/>
            <w:shd w:val="clear" w:color="auto" w:fill="auto"/>
          </w:tcPr>
          <w:p w14:paraId="216B5E9F" w14:textId="77777777" w:rsidR="005E32BB" w:rsidRPr="00C3671E" w:rsidRDefault="005E32BB" w:rsidP="00AA6335">
            <w:pPr>
              <w:rPr>
                <w:sz w:val="20"/>
                <w:szCs w:val="20"/>
                <w:lang w:val="en-GB"/>
              </w:rPr>
            </w:pPr>
            <w:r w:rsidRPr="00C3671E">
              <w:rPr>
                <w:sz w:val="20"/>
                <w:szCs w:val="20"/>
                <w:lang w:val="en-GB"/>
              </w:rPr>
              <w:t>0.06</w:t>
            </w:r>
          </w:p>
        </w:tc>
        <w:tc>
          <w:tcPr>
            <w:tcW w:w="1601" w:type="dxa"/>
            <w:shd w:val="clear" w:color="auto" w:fill="auto"/>
          </w:tcPr>
          <w:p w14:paraId="2F19C01F" w14:textId="77777777" w:rsidR="005E32BB" w:rsidRPr="00C3671E" w:rsidRDefault="005E32BB" w:rsidP="00AA6335">
            <w:pPr>
              <w:rPr>
                <w:sz w:val="20"/>
                <w:szCs w:val="20"/>
                <w:lang w:val="en-GB"/>
              </w:rPr>
            </w:pPr>
            <w:r w:rsidRPr="00C3671E">
              <w:rPr>
                <w:sz w:val="20"/>
                <w:szCs w:val="20"/>
                <w:lang w:val="en-GB"/>
              </w:rPr>
              <w:t>-0.07</w:t>
            </w:r>
          </w:p>
        </w:tc>
        <w:tc>
          <w:tcPr>
            <w:tcW w:w="1601" w:type="dxa"/>
            <w:shd w:val="clear" w:color="auto" w:fill="auto"/>
          </w:tcPr>
          <w:p w14:paraId="09EC2E3F" w14:textId="77777777" w:rsidR="005E32BB" w:rsidRPr="00C3671E" w:rsidRDefault="005E32BB" w:rsidP="00AA6335">
            <w:pPr>
              <w:rPr>
                <w:sz w:val="20"/>
                <w:szCs w:val="20"/>
                <w:lang w:val="en-GB"/>
              </w:rPr>
            </w:pPr>
            <w:r w:rsidRPr="00C3671E">
              <w:rPr>
                <w:sz w:val="20"/>
                <w:szCs w:val="20"/>
                <w:lang w:val="en-GB"/>
              </w:rPr>
              <w:t>0.09</w:t>
            </w:r>
          </w:p>
        </w:tc>
      </w:tr>
      <w:tr w:rsidR="005E32BB" w:rsidRPr="00C3671E" w14:paraId="33D90BAC" w14:textId="77777777" w:rsidTr="00AA6335">
        <w:tc>
          <w:tcPr>
            <w:tcW w:w="1184" w:type="dxa"/>
            <w:vMerge/>
            <w:shd w:val="clear" w:color="auto" w:fill="auto"/>
          </w:tcPr>
          <w:p w14:paraId="356B38E4" w14:textId="77777777" w:rsidR="005E32BB" w:rsidRPr="00C3671E" w:rsidRDefault="005E32BB" w:rsidP="00AA6335">
            <w:pPr>
              <w:rPr>
                <w:sz w:val="20"/>
                <w:szCs w:val="20"/>
                <w:lang w:val="en-GB"/>
              </w:rPr>
            </w:pPr>
          </w:p>
        </w:tc>
        <w:tc>
          <w:tcPr>
            <w:tcW w:w="1800" w:type="dxa"/>
            <w:shd w:val="clear" w:color="auto" w:fill="auto"/>
          </w:tcPr>
          <w:p w14:paraId="6D72497C" w14:textId="77777777" w:rsidR="005E32BB" w:rsidRPr="00C3671E" w:rsidRDefault="005E32BB" w:rsidP="00AA6335">
            <w:pPr>
              <w:rPr>
                <w:sz w:val="20"/>
                <w:szCs w:val="20"/>
                <w:lang w:val="en-GB"/>
              </w:rPr>
            </w:pPr>
            <w:r w:rsidRPr="00C3671E">
              <w:rPr>
                <w:sz w:val="20"/>
                <w:szCs w:val="20"/>
                <w:lang w:val="en-GB"/>
              </w:rPr>
              <w:t>Autonomy</w:t>
            </w:r>
          </w:p>
        </w:tc>
        <w:tc>
          <w:tcPr>
            <w:tcW w:w="1601" w:type="dxa"/>
            <w:shd w:val="clear" w:color="auto" w:fill="auto"/>
          </w:tcPr>
          <w:p w14:paraId="5479FEE6" w14:textId="77777777" w:rsidR="005E32BB" w:rsidRPr="00C3671E" w:rsidRDefault="005E32BB" w:rsidP="00AA6335">
            <w:pPr>
              <w:rPr>
                <w:sz w:val="20"/>
                <w:szCs w:val="20"/>
                <w:lang w:val="en-GB"/>
              </w:rPr>
            </w:pPr>
            <w:r w:rsidRPr="00C3671E">
              <w:rPr>
                <w:sz w:val="20"/>
                <w:szCs w:val="20"/>
                <w:lang w:val="en-GB"/>
              </w:rPr>
              <w:t>-0.15**</w:t>
            </w:r>
          </w:p>
        </w:tc>
        <w:tc>
          <w:tcPr>
            <w:tcW w:w="1601" w:type="dxa"/>
            <w:shd w:val="clear" w:color="auto" w:fill="auto"/>
          </w:tcPr>
          <w:p w14:paraId="6734AA46" w14:textId="77777777" w:rsidR="005E32BB" w:rsidRPr="00C3671E" w:rsidRDefault="005E32BB" w:rsidP="00AA6335">
            <w:pPr>
              <w:rPr>
                <w:sz w:val="20"/>
                <w:szCs w:val="20"/>
                <w:lang w:val="en-GB"/>
              </w:rPr>
            </w:pPr>
            <w:r w:rsidRPr="00C3671E">
              <w:rPr>
                <w:sz w:val="20"/>
                <w:szCs w:val="20"/>
                <w:lang w:val="en-GB"/>
              </w:rPr>
              <w:t>0.05</w:t>
            </w:r>
          </w:p>
        </w:tc>
        <w:tc>
          <w:tcPr>
            <w:tcW w:w="1601" w:type="dxa"/>
            <w:shd w:val="clear" w:color="auto" w:fill="auto"/>
          </w:tcPr>
          <w:p w14:paraId="6A752EC5" w14:textId="77777777" w:rsidR="005E32BB" w:rsidRPr="00C3671E" w:rsidRDefault="005E32BB" w:rsidP="00AA6335">
            <w:pPr>
              <w:rPr>
                <w:sz w:val="20"/>
                <w:szCs w:val="20"/>
                <w:lang w:val="en-GB"/>
              </w:rPr>
            </w:pPr>
            <w:r w:rsidRPr="00C3671E">
              <w:rPr>
                <w:sz w:val="20"/>
                <w:szCs w:val="20"/>
                <w:lang w:val="en-GB"/>
              </w:rPr>
              <w:t>-0.10</w:t>
            </w:r>
          </w:p>
        </w:tc>
        <w:tc>
          <w:tcPr>
            <w:tcW w:w="1601" w:type="dxa"/>
            <w:shd w:val="clear" w:color="auto" w:fill="auto"/>
          </w:tcPr>
          <w:p w14:paraId="2C9038A0" w14:textId="77777777" w:rsidR="005E32BB" w:rsidRPr="00C3671E" w:rsidRDefault="005E32BB" w:rsidP="00AA6335">
            <w:pPr>
              <w:rPr>
                <w:sz w:val="20"/>
                <w:szCs w:val="20"/>
                <w:lang w:val="en-GB"/>
              </w:rPr>
            </w:pPr>
            <w:r w:rsidRPr="00C3671E">
              <w:rPr>
                <w:sz w:val="20"/>
                <w:szCs w:val="20"/>
                <w:lang w:val="en-GB"/>
              </w:rPr>
              <w:t>0.08</w:t>
            </w:r>
          </w:p>
        </w:tc>
      </w:tr>
      <w:tr w:rsidR="005E32BB" w:rsidRPr="00C3671E" w14:paraId="4A6DDFCF" w14:textId="77777777" w:rsidTr="00AA6335">
        <w:tc>
          <w:tcPr>
            <w:tcW w:w="1184" w:type="dxa"/>
            <w:vMerge/>
            <w:shd w:val="clear" w:color="auto" w:fill="auto"/>
          </w:tcPr>
          <w:p w14:paraId="28A18C25" w14:textId="77777777" w:rsidR="005E32BB" w:rsidRPr="00C3671E" w:rsidRDefault="005E32BB" w:rsidP="00AA6335">
            <w:pPr>
              <w:rPr>
                <w:sz w:val="20"/>
                <w:szCs w:val="20"/>
                <w:lang w:val="en-GB"/>
              </w:rPr>
            </w:pPr>
          </w:p>
        </w:tc>
        <w:tc>
          <w:tcPr>
            <w:tcW w:w="1800" w:type="dxa"/>
            <w:shd w:val="clear" w:color="auto" w:fill="auto"/>
          </w:tcPr>
          <w:p w14:paraId="588A25EE" w14:textId="77777777" w:rsidR="005E32BB" w:rsidRPr="00C3671E" w:rsidRDefault="005E32BB" w:rsidP="00AA6335">
            <w:pPr>
              <w:rPr>
                <w:sz w:val="20"/>
                <w:szCs w:val="20"/>
                <w:lang w:val="en-GB"/>
              </w:rPr>
            </w:pPr>
            <w:r w:rsidRPr="00C3671E">
              <w:rPr>
                <w:sz w:val="20"/>
                <w:szCs w:val="20"/>
                <w:lang w:val="en-GB"/>
              </w:rPr>
              <w:t>Self-realization</w:t>
            </w:r>
          </w:p>
        </w:tc>
        <w:tc>
          <w:tcPr>
            <w:tcW w:w="1601" w:type="dxa"/>
            <w:shd w:val="clear" w:color="auto" w:fill="auto"/>
          </w:tcPr>
          <w:p w14:paraId="46DE0808" w14:textId="77777777" w:rsidR="005E32BB" w:rsidRPr="00C3671E" w:rsidRDefault="005E32BB" w:rsidP="00AA6335">
            <w:pPr>
              <w:rPr>
                <w:sz w:val="20"/>
                <w:szCs w:val="20"/>
                <w:lang w:val="en-GB"/>
              </w:rPr>
            </w:pPr>
            <w:r w:rsidRPr="00C3671E">
              <w:rPr>
                <w:sz w:val="20"/>
                <w:szCs w:val="20"/>
                <w:lang w:val="en-GB"/>
              </w:rPr>
              <w:t>-0.06</w:t>
            </w:r>
          </w:p>
        </w:tc>
        <w:tc>
          <w:tcPr>
            <w:tcW w:w="1601" w:type="dxa"/>
            <w:shd w:val="clear" w:color="auto" w:fill="auto"/>
          </w:tcPr>
          <w:p w14:paraId="4EE6FC50" w14:textId="77777777" w:rsidR="005E32BB" w:rsidRPr="00C3671E" w:rsidRDefault="005E32BB" w:rsidP="00AA6335">
            <w:pPr>
              <w:rPr>
                <w:sz w:val="20"/>
                <w:szCs w:val="20"/>
                <w:lang w:val="en-GB"/>
              </w:rPr>
            </w:pPr>
            <w:r w:rsidRPr="00C3671E">
              <w:rPr>
                <w:sz w:val="20"/>
                <w:szCs w:val="20"/>
                <w:lang w:val="en-GB"/>
              </w:rPr>
              <w:t>0.05</w:t>
            </w:r>
          </w:p>
        </w:tc>
        <w:tc>
          <w:tcPr>
            <w:tcW w:w="1601" w:type="dxa"/>
            <w:shd w:val="clear" w:color="auto" w:fill="auto"/>
          </w:tcPr>
          <w:p w14:paraId="0E6A6800" w14:textId="77777777" w:rsidR="005E32BB" w:rsidRPr="00C3671E" w:rsidRDefault="005E32BB" w:rsidP="00AA6335">
            <w:pPr>
              <w:rPr>
                <w:sz w:val="20"/>
                <w:szCs w:val="20"/>
                <w:lang w:val="en-GB"/>
              </w:rPr>
            </w:pPr>
            <w:r w:rsidRPr="00C3671E">
              <w:rPr>
                <w:sz w:val="20"/>
                <w:szCs w:val="20"/>
                <w:lang w:val="en-GB"/>
              </w:rPr>
              <w:t>-0.10</w:t>
            </w:r>
          </w:p>
        </w:tc>
        <w:tc>
          <w:tcPr>
            <w:tcW w:w="1601" w:type="dxa"/>
            <w:shd w:val="clear" w:color="auto" w:fill="auto"/>
          </w:tcPr>
          <w:p w14:paraId="232480CC" w14:textId="77777777" w:rsidR="005E32BB" w:rsidRPr="00C3671E" w:rsidRDefault="005E32BB" w:rsidP="00AA6335">
            <w:pPr>
              <w:rPr>
                <w:sz w:val="20"/>
                <w:szCs w:val="20"/>
                <w:lang w:val="en-GB"/>
              </w:rPr>
            </w:pPr>
            <w:r w:rsidRPr="00C3671E">
              <w:rPr>
                <w:sz w:val="20"/>
                <w:szCs w:val="20"/>
                <w:lang w:val="en-GB"/>
              </w:rPr>
              <w:t>0.06</w:t>
            </w:r>
          </w:p>
        </w:tc>
      </w:tr>
      <w:tr w:rsidR="005E32BB" w:rsidRPr="00C3671E" w14:paraId="3D8CA942" w14:textId="77777777" w:rsidTr="00AA6335">
        <w:tc>
          <w:tcPr>
            <w:tcW w:w="1184" w:type="dxa"/>
            <w:vMerge/>
            <w:shd w:val="clear" w:color="auto" w:fill="auto"/>
          </w:tcPr>
          <w:p w14:paraId="742FEFE6" w14:textId="77777777" w:rsidR="005E32BB" w:rsidRPr="00C3671E" w:rsidRDefault="005E32BB" w:rsidP="00AA6335">
            <w:pPr>
              <w:rPr>
                <w:sz w:val="20"/>
                <w:szCs w:val="20"/>
                <w:lang w:val="en-GB"/>
              </w:rPr>
            </w:pPr>
          </w:p>
        </w:tc>
        <w:tc>
          <w:tcPr>
            <w:tcW w:w="1800" w:type="dxa"/>
            <w:shd w:val="clear" w:color="auto" w:fill="auto"/>
          </w:tcPr>
          <w:p w14:paraId="6E133360" w14:textId="77777777" w:rsidR="005E32BB" w:rsidRPr="00C3671E" w:rsidRDefault="005E32BB" w:rsidP="00AA6335">
            <w:pPr>
              <w:rPr>
                <w:sz w:val="20"/>
                <w:szCs w:val="20"/>
                <w:lang w:val="en-GB"/>
              </w:rPr>
            </w:pPr>
            <w:r w:rsidRPr="00C3671E">
              <w:rPr>
                <w:sz w:val="20"/>
                <w:szCs w:val="20"/>
                <w:lang w:val="en-GB"/>
              </w:rPr>
              <w:t>Pleasure</w:t>
            </w:r>
          </w:p>
        </w:tc>
        <w:tc>
          <w:tcPr>
            <w:tcW w:w="1601" w:type="dxa"/>
            <w:shd w:val="clear" w:color="auto" w:fill="auto"/>
          </w:tcPr>
          <w:p w14:paraId="71A6EE92" w14:textId="77777777" w:rsidR="005E32BB" w:rsidRPr="00C3671E" w:rsidRDefault="005E32BB" w:rsidP="00AA6335">
            <w:pPr>
              <w:rPr>
                <w:sz w:val="20"/>
                <w:szCs w:val="20"/>
                <w:lang w:val="en-GB"/>
              </w:rPr>
            </w:pPr>
            <w:r w:rsidRPr="00C3671E">
              <w:rPr>
                <w:sz w:val="20"/>
                <w:szCs w:val="20"/>
                <w:lang w:val="en-GB"/>
              </w:rPr>
              <w:t>-0.04</w:t>
            </w:r>
          </w:p>
        </w:tc>
        <w:tc>
          <w:tcPr>
            <w:tcW w:w="1601" w:type="dxa"/>
            <w:shd w:val="clear" w:color="auto" w:fill="auto"/>
          </w:tcPr>
          <w:p w14:paraId="2C1B4B41" w14:textId="77777777" w:rsidR="005E32BB" w:rsidRPr="00C3671E" w:rsidRDefault="005E32BB" w:rsidP="00AA6335">
            <w:pPr>
              <w:rPr>
                <w:sz w:val="20"/>
                <w:szCs w:val="20"/>
                <w:lang w:val="en-GB"/>
              </w:rPr>
            </w:pPr>
            <w:r w:rsidRPr="00C3671E">
              <w:rPr>
                <w:sz w:val="20"/>
                <w:szCs w:val="20"/>
                <w:lang w:val="en-GB"/>
              </w:rPr>
              <w:t>0.05</w:t>
            </w:r>
          </w:p>
        </w:tc>
        <w:tc>
          <w:tcPr>
            <w:tcW w:w="1601" w:type="dxa"/>
            <w:shd w:val="clear" w:color="auto" w:fill="auto"/>
          </w:tcPr>
          <w:p w14:paraId="2E22CBF7" w14:textId="77777777" w:rsidR="005E32BB" w:rsidRPr="00C3671E" w:rsidRDefault="005E32BB" w:rsidP="00AA6335">
            <w:pPr>
              <w:rPr>
                <w:sz w:val="20"/>
                <w:szCs w:val="20"/>
                <w:lang w:val="en-GB"/>
              </w:rPr>
            </w:pPr>
            <w:r w:rsidRPr="00C3671E">
              <w:rPr>
                <w:sz w:val="20"/>
                <w:szCs w:val="20"/>
                <w:lang w:val="en-GB"/>
              </w:rPr>
              <w:t>-0.07</w:t>
            </w:r>
          </w:p>
        </w:tc>
        <w:tc>
          <w:tcPr>
            <w:tcW w:w="1601" w:type="dxa"/>
            <w:shd w:val="clear" w:color="auto" w:fill="auto"/>
          </w:tcPr>
          <w:p w14:paraId="07F783EC" w14:textId="77777777" w:rsidR="005E32BB" w:rsidRPr="00C3671E" w:rsidRDefault="005E32BB" w:rsidP="00AA6335">
            <w:pPr>
              <w:rPr>
                <w:sz w:val="20"/>
                <w:szCs w:val="20"/>
                <w:lang w:val="en-GB"/>
              </w:rPr>
            </w:pPr>
            <w:r w:rsidRPr="00C3671E">
              <w:rPr>
                <w:sz w:val="20"/>
                <w:szCs w:val="20"/>
                <w:lang w:val="en-GB"/>
              </w:rPr>
              <w:t>0.05</w:t>
            </w:r>
          </w:p>
        </w:tc>
      </w:tr>
      <w:tr w:rsidR="005E32BB" w:rsidRPr="00C3671E" w14:paraId="2A3E18C3" w14:textId="77777777" w:rsidTr="00AA6335">
        <w:tc>
          <w:tcPr>
            <w:tcW w:w="1184" w:type="dxa"/>
            <w:vMerge w:val="restart"/>
            <w:shd w:val="clear" w:color="auto" w:fill="auto"/>
          </w:tcPr>
          <w:p w14:paraId="58462F7A" w14:textId="77777777" w:rsidR="005E32BB" w:rsidRPr="00C3671E" w:rsidRDefault="005E32BB" w:rsidP="00AA6335">
            <w:pPr>
              <w:rPr>
                <w:sz w:val="20"/>
                <w:szCs w:val="20"/>
                <w:lang w:val="en-GB"/>
              </w:rPr>
            </w:pPr>
            <w:r w:rsidRPr="00C3671E">
              <w:rPr>
                <w:sz w:val="20"/>
                <w:szCs w:val="20"/>
                <w:lang w:val="en-GB"/>
              </w:rPr>
              <w:t>Southern Europe</w:t>
            </w:r>
          </w:p>
        </w:tc>
        <w:tc>
          <w:tcPr>
            <w:tcW w:w="1800" w:type="dxa"/>
            <w:shd w:val="clear" w:color="auto" w:fill="auto"/>
          </w:tcPr>
          <w:p w14:paraId="179847BF" w14:textId="77777777" w:rsidR="005E32BB" w:rsidRPr="00C3671E" w:rsidRDefault="005E32BB" w:rsidP="00AA6335">
            <w:pPr>
              <w:rPr>
                <w:sz w:val="20"/>
                <w:szCs w:val="20"/>
                <w:lang w:val="en-GB"/>
              </w:rPr>
            </w:pPr>
            <w:r w:rsidRPr="00C3671E">
              <w:rPr>
                <w:sz w:val="20"/>
                <w:szCs w:val="20"/>
                <w:lang w:val="en-GB"/>
              </w:rPr>
              <w:t>CASP</w:t>
            </w:r>
          </w:p>
        </w:tc>
        <w:tc>
          <w:tcPr>
            <w:tcW w:w="1601" w:type="dxa"/>
            <w:shd w:val="clear" w:color="auto" w:fill="auto"/>
          </w:tcPr>
          <w:p w14:paraId="4805177E" w14:textId="77777777" w:rsidR="005E32BB" w:rsidRPr="00C3671E" w:rsidRDefault="005E32BB" w:rsidP="00AA6335">
            <w:pPr>
              <w:rPr>
                <w:sz w:val="20"/>
                <w:szCs w:val="20"/>
                <w:lang w:val="en-GB"/>
              </w:rPr>
            </w:pPr>
            <w:r w:rsidRPr="00C3671E">
              <w:rPr>
                <w:sz w:val="20"/>
                <w:szCs w:val="20"/>
                <w:lang w:val="en-GB"/>
              </w:rPr>
              <w:t>0.51**</w:t>
            </w:r>
          </w:p>
        </w:tc>
        <w:tc>
          <w:tcPr>
            <w:tcW w:w="1601" w:type="dxa"/>
            <w:shd w:val="clear" w:color="auto" w:fill="auto"/>
          </w:tcPr>
          <w:p w14:paraId="066323F4" w14:textId="77777777" w:rsidR="005E32BB" w:rsidRPr="00C3671E" w:rsidRDefault="005E32BB" w:rsidP="00AA6335">
            <w:pPr>
              <w:rPr>
                <w:sz w:val="20"/>
                <w:szCs w:val="20"/>
                <w:lang w:val="en-GB"/>
              </w:rPr>
            </w:pPr>
            <w:r w:rsidRPr="00C3671E">
              <w:rPr>
                <w:sz w:val="20"/>
                <w:szCs w:val="20"/>
                <w:lang w:val="en-GB"/>
              </w:rPr>
              <w:t>0.17</w:t>
            </w:r>
          </w:p>
        </w:tc>
        <w:tc>
          <w:tcPr>
            <w:tcW w:w="1601" w:type="dxa"/>
            <w:shd w:val="clear" w:color="auto" w:fill="auto"/>
          </w:tcPr>
          <w:p w14:paraId="2466FFB0" w14:textId="77777777" w:rsidR="005E32BB" w:rsidRPr="00C3671E" w:rsidRDefault="005E32BB" w:rsidP="00AA6335">
            <w:pPr>
              <w:rPr>
                <w:sz w:val="20"/>
                <w:szCs w:val="20"/>
                <w:lang w:val="en-GB"/>
              </w:rPr>
            </w:pPr>
            <w:r w:rsidRPr="00C3671E">
              <w:rPr>
                <w:sz w:val="20"/>
                <w:szCs w:val="20"/>
                <w:lang w:val="en-GB"/>
              </w:rPr>
              <w:t>0.12</w:t>
            </w:r>
          </w:p>
        </w:tc>
        <w:tc>
          <w:tcPr>
            <w:tcW w:w="1601" w:type="dxa"/>
            <w:shd w:val="clear" w:color="auto" w:fill="auto"/>
          </w:tcPr>
          <w:p w14:paraId="1E6BD7AF" w14:textId="77777777" w:rsidR="005E32BB" w:rsidRPr="00C3671E" w:rsidRDefault="005E32BB" w:rsidP="00AA6335">
            <w:pPr>
              <w:rPr>
                <w:sz w:val="20"/>
                <w:szCs w:val="20"/>
                <w:lang w:val="en-GB"/>
              </w:rPr>
            </w:pPr>
            <w:r w:rsidRPr="00C3671E">
              <w:rPr>
                <w:sz w:val="20"/>
                <w:szCs w:val="20"/>
                <w:lang w:val="en-GB"/>
              </w:rPr>
              <w:t>0.21</w:t>
            </w:r>
          </w:p>
        </w:tc>
      </w:tr>
      <w:tr w:rsidR="005E32BB" w:rsidRPr="00C3671E" w14:paraId="73AA7B52" w14:textId="77777777" w:rsidTr="00AA6335">
        <w:tc>
          <w:tcPr>
            <w:tcW w:w="1184" w:type="dxa"/>
            <w:vMerge/>
            <w:shd w:val="clear" w:color="auto" w:fill="auto"/>
          </w:tcPr>
          <w:p w14:paraId="2B48AF8E" w14:textId="77777777" w:rsidR="005E32BB" w:rsidRPr="00C3671E" w:rsidRDefault="005E32BB" w:rsidP="00AA6335">
            <w:pPr>
              <w:rPr>
                <w:sz w:val="20"/>
                <w:szCs w:val="20"/>
                <w:lang w:val="en-GB"/>
              </w:rPr>
            </w:pPr>
          </w:p>
        </w:tc>
        <w:tc>
          <w:tcPr>
            <w:tcW w:w="1800" w:type="dxa"/>
            <w:shd w:val="clear" w:color="auto" w:fill="auto"/>
          </w:tcPr>
          <w:p w14:paraId="1E83B5B3" w14:textId="77777777" w:rsidR="005E32BB" w:rsidRPr="00C3671E" w:rsidRDefault="005E32BB" w:rsidP="00AA6335">
            <w:pPr>
              <w:rPr>
                <w:sz w:val="20"/>
                <w:szCs w:val="20"/>
                <w:lang w:val="en-GB"/>
              </w:rPr>
            </w:pPr>
            <w:r w:rsidRPr="00C3671E">
              <w:rPr>
                <w:sz w:val="20"/>
                <w:szCs w:val="20"/>
                <w:lang w:val="en-GB"/>
              </w:rPr>
              <w:t>Control</w:t>
            </w:r>
          </w:p>
        </w:tc>
        <w:tc>
          <w:tcPr>
            <w:tcW w:w="1601" w:type="dxa"/>
            <w:shd w:val="clear" w:color="auto" w:fill="auto"/>
          </w:tcPr>
          <w:p w14:paraId="3DDE6912" w14:textId="77777777" w:rsidR="005E32BB" w:rsidRPr="00C3671E" w:rsidRDefault="005E32BB" w:rsidP="00AA6335">
            <w:pPr>
              <w:rPr>
                <w:sz w:val="20"/>
                <w:szCs w:val="20"/>
                <w:lang w:val="en-GB"/>
              </w:rPr>
            </w:pPr>
            <w:r w:rsidRPr="00C3671E">
              <w:rPr>
                <w:sz w:val="20"/>
                <w:szCs w:val="20"/>
                <w:lang w:val="en-GB"/>
              </w:rPr>
              <w:t>0.22**</w:t>
            </w:r>
          </w:p>
        </w:tc>
        <w:tc>
          <w:tcPr>
            <w:tcW w:w="1601" w:type="dxa"/>
            <w:shd w:val="clear" w:color="auto" w:fill="auto"/>
          </w:tcPr>
          <w:p w14:paraId="1871B79A" w14:textId="77777777" w:rsidR="005E32BB" w:rsidRPr="00C3671E" w:rsidRDefault="005E32BB" w:rsidP="00AA6335">
            <w:pPr>
              <w:rPr>
                <w:sz w:val="20"/>
                <w:szCs w:val="20"/>
                <w:lang w:val="en-GB"/>
              </w:rPr>
            </w:pPr>
            <w:r w:rsidRPr="00C3671E">
              <w:rPr>
                <w:sz w:val="20"/>
                <w:szCs w:val="20"/>
                <w:lang w:val="en-GB"/>
              </w:rPr>
              <w:t>0.07</w:t>
            </w:r>
          </w:p>
        </w:tc>
        <w:tc>
          <w:tcPr>
            <w:tcW w:w="1601" w:type="dxa"/>
            <w:shd w:val="clear" w:color="auto" w:fill="auto"/>
          </w:tcPr>
          <w:p w14:paraId="5D9D3D2D" w14:textId="77777777" w:rsidR="005E32BB" w:rsidRPr="00C3671E" w:rsidRDefault="005E32BB" w:rsidP="00AA6335">
            <w:pPr>
              <w:rPr>
                <w:sz w:val="20"/>
                <w:szCs w:val="20"/>
                <w:lang w:val="en-GB"/>
              </w:rPr>
            </w:pPr>
            <w:r w:rsidRPr="00C3671E">
              <w:rPr>
                <w:sz w:val="20"/>
                <w:szCs w:val="20"/>
                <w:lang w:val="en-GB"/>
              </w:rPr>
              <w:t>0.11</w:t>
            </w:r>
          </w:p>
        </w:tc>
        <w:tc>
          <w:tcPr>
            <w:tcW w:w="1601" w:type="dxa"/>
            <w:shd w:val="clear" w:color="auto" w:fill="auto"/>
          </w:tcPr>
          <w:p w14:paraId="7440C3F5" w14:textId="77777777" w:rsidR="005E32BB" w:rsidRPr="00C3671E" w:rsidRDefault="005E32BB" w:rsidP="00AA6335">
            <w:pPr>
              <w:rPr>
                <w:sz w:val="20"/>
                <w:szCs w:val="20"/>
                <w:lang w:val="en-GB"/>
              </w:rPr>
            </w:pPr>
            <w:r w:rsidRPr="00C3671E">
              <w:rPr>
                <w:sz w:val="20"/>
                <w:szCs w:val="20"/>
                <w:lang w:val="en-GB"/>
              </w:rPr>
              <w:t>0.07</w:t>
            </w:r>
          </w:p>
        </w:tc>
      </w:tr>
      <w:tr w:rsidR="005E32BB" w:rsidRPr="00C3671E" w14:paraId="7700B46E" w14:textId="77777777" w:rsidTr="00AA6335">
        <w:tc>
          <w:tcPr>
            <w:tcW w:w="1184" w:type="dxa"/>
            <w:vMerge/>
            <w:shd w:val="clear" w:color="auto" w:fill="auto"/>
          </w:tcPr>
          <w:p w14:paraId="6E49F997" w14:textId="77777777" w:rsidR="005E32BB" w:rsidRPr="00C3671E" w:rsidRDefault="005E32BB" w:rsidP="00AA6335">
            <w:pPr>
              <w:rPr>
                <w:sz w:val="20"/>
                <w:szCs w:val="20"/>
                <w:lang w:val="en-GB"/>
              </w:rPr>
            </w:pPr>
          </w:p>
        </w:tc>
        <w:tc>
          <w:tcPr>
            <w:tcW w:w="1800" w:type="dxa"/>
            <w:shd w:val="clear" w:color="auto" w:fill="auto"/>
          </w:tcPr>
          <w:p w14:paraId="26F8F8FD" w14:textId="77777777" w:rsidR="005E32BB" w:rsidRPr="00C3671E" w:rsidRDefault="005E32BB" w:rsidP="00AA6335">
            <w:pPr>
              <w:rPr>
                <w:sz w:val="20"/>
                <w:szCs w:val="20"/>
                <w:lang w:val="en-GB"/>
              </w:rPr>
            </w:pPr>
            <w:r w:rsidRPr="00C3671E">
              <w:rPr>
                <w:sz w:val="20"/>
                <w:szCs w:val="20"/>
                <w:lang w:val="en-GB"/>
              </w:rPr>
              <w:t>Autonomy</w:t>
            </w:r>
          </w:p>
        </w:tc>
        <w:tc>
          <w:tcPr>
            <w:tcW w:w="1601" w:type="dxa"/>
            <w:shd w:val="clear" w:color="auto" w:fill="auto"/>
          </w:tcPr>
          <w:p w14:paraId="3874C160" w14:textId="77777777" w:rsidR="005E32BB" w:rsidRPr="00C3671E" w:rsidRDefault="005E32BB" w:rsidP="00AA6335">
            <w:pPr>
              <w:rPr>
                <w:sz w:val="20"/>
                <w:szCs w:val="20"/>
                <w:lang w:val="en-GB"/>
              </w:rPr>
            </w:pPr>
            <w:r w:rsidRPr="00C3671E">
              <w:rPr>
                <w:sz w:val="20"/>
                <w:szCs w:val="20"/>
                <w:lang w:val="en-GB"/>
              </w:rPr>
              <w:t>0.10</w:t>
            </w:r>
          </w:p>
        </w:tc>
        <w:tc>
          <w:tcPr>
            <w:tcW w:w="1601" w:type="dxa"/>
            <w:shd w:val="clear" w:color="auto" w:fill="auto"/>
          </w:tcPr>
          <w:p w14:paraId="722B53F1" w14:textId="77777777" w:rsidR="005E32BB" w:rsidRPr="00C3671E" w:rsidRDefault="005E32BB" w:rsidP="00AA6335">
            <w:pPr>
              <w:rPr>
                <w:sz w:val="20"/>
                <w:szCs w:val="20"/>
                <w:lang w:val="en-GB"/>
              </w:rPr>
            </w:pPr>
            <w:r w:rsidRPr="00C3671E">
              <w:rPr>
                <w:sz w:val="20"/>
                <w:szCs w:val="20"/>
                <w:lang w:val="en-GB"/>
              </w:rPr>
              <w:t>0.06</w:t>
            </w:r>
          </w:p>
        </w:tc>
        <w:tc>
          <w:tcPr>
            <w:tcW w:w="1601" w:type="dxa"/>
            <w:shd w:val="clear" w:color="auto" w:fill="auto"/>
          </w:tcPr>
          <w:p w14:paraId="03403D1D" w14:textId="77777777" w:rsidR="005E32BB" w:rsidRPr="00C3671E" w:rsidRDefault="005E32BB" w:rsidP="00AA6335">
            <w:pPr>
              <w:rPr>
                <w:sz w:val="20"/>
                <w:szCs w:val="20"/>
                <w:lang w:val="en-GB"/>
              </w:rPr>
            </w:pPr>
            <w:r w:rsidRPr="00C3671E">
              <w:rPr>
                <w:sz w:val="20"/>
                <w:szCs w:val="20"/>
                <w:lang w:val="en-GB"/>
              </w:rPr>
              <w:t>-0.02</w:t>
            </w:r>
          </w:p>
        </w:tc>
        <w:tc>
          <w:tcPr>
            <w:tcW w:w="1601" w:type="dxa"/>
            <w:shd w:val="clear" w:color="auto" w:fill="auto"/>
          </w:tcPr>
          <w:p w14:paraId="52753F0D" w14:textId="77777777" w:rsidR="005E32BB" w:rsidRPr="00C3671E" w:rsidRDefault="005E32BB" w:rsidP="00AA6335">
            <w:pPr>
              <w:rPr>
                <w:sz w:val="20"/>
                <w:szCs w:val="20"/>
                <w:lang w:val="en-GB"/>
              </w:rPr>
            </w:pPr>
            <w:r w:rsidRPr="00C3671E">
              <w:rPr>
                <w:sz w:val="20"/>
                <w:szCs w:val="20"/>
                <w:lang w:val="en-GB"/>
              </w:rPr>
              <w:t>0.07</w:t>
            </w:r>
          </w:p>
        </w:tc>
      </w:tr>
      <w:tr w:rsidR="005E32BB" w:rsidRPr="00C3671E" w14:paraId="6B76B8D1" w14:textId="77777777" w:rsidTr="00AA6335">
        <w:tc>
          <w:tcPr>
            <w:tcW w:w="1184" w:type="dxa"/>
            <w:vMerge/>
            <w:shd w:val="clear" w:color="auto" w:fill="auto"/>
          </w:tcPr>
          <w:p w14:paraId="7116E794" w14:textId="77777777" w:rsidR="005E32BB" w:rsidRPr="00C3671E" w:rsidRDefault="005E32BB" w:rsidP="00AA6335">
            <w:pPr>
              <w:rPr>
                <w:sz w:val="20"/>
                <w:szCs w:val="20"/>
                <w:lang w:val="en-GB"/>
              </w:rPr>
            </w:pPr>
          </w:p>
        </w:tc>
        <w:tc>
          <w:tcPr>
            <w:tcW w:w="1800" w:type="dxa"/>
            <w:shd w:val="clear" w:color="auto" w:fill="auto"/>
          </w:tcPr>
          <w:p w14:paraId="16BF1047" w14:textId="77777777" w:rsidR="005E32BB" w:rsidRPr="00C3671E" w:rsidRDefault="005E32BB" w:rsidP="00AA6335">
            <w:pPr>
              <w:rPr>
                <w:sz w:val="20"/>
                <w:szCs w:val="20"/>
                <w:lang w:val="en-GB"/>
              </w:rPr>
            </w:pPr>
            <w:r w:rsidRPr="00C3671E">
              <w:rPr>
                <w:sz w:val="20"/>
                <w:szCs w:val="20"/>
                <w:lang w:val="en-GB"/>
              </w:rPr>
              <w:t>Self-realization</w:t>
            </w:r>
          </w:p>
        </w:tc>
        <w:tc>
          <w:tcPr>
            <w:tcW w:w="1601" w:type="dxa"/>
            <w:shd w:val="clear" w:color="auto" w:fill="auto"/>
          </w:tcPr>
          <w:p w14:paraId="3AE042D8" w14:textId="77777777" w:rsidR="005E32BB" w:rsidRPr="00C3671E" w:rsidRDefault="005E32BB" w:rsidP="00AA6335">
            <w:pPr>
              <w:rPr>
                <w:sz w:val="20"/>
                <w:szCs w:val="20"/>
                <w:lang w:val="en-GB"/>
              </w:rPr>
            </w:pPr>
            <w:r w:rsidRPr="00C3671E">
              <w:rPr>
                <w:sz w:val="20"/>
                <w:szCs w:val="20"/>
                <w:lang w:val="en-GB"/>
              </w:rPr>
              <w:t>0.08</w:t>
            </w:r>
          </w:p>
        </w:tc>
        <w:tc>
          <w:tcPr>
            <w:tcW w:w="1601" w:type="dxa"/>
            <w:shd w:val="clear" w:color="auto" w:fill="auto"/>
          </w:tcPr>
          <w:p w14:paraId="48712425" w14:textId="77777777" w:rsidR="005E32BB" w:rsidRPr="00C3671E" w:rsidRDefault="005E32BB" w:rsidP="00AA6335">
            <w:pPr>
              <w:rPr>
                <w:sz w:val="20"/>
                <w:szCs w:val="20"/>
                <w:lang w:val="en-GB"/>
              </w:rPr>
            </w:pPr>
            <w:r w:rsidRPr="00C3671E">
              <w:rPr>
                <w:sz w:val="20"/>
                <w:szCs w:val="20"/>
                <w:lang w:val="en-GB"/>
              </w:rPr>
              <w:t>0.05</w:t>
            </w:r>
          </w:p>
        </w:tc>
        <w:tc>
          <w:tcPr>
            <w:tcW w:w="1601" w:type="dxa"/>
            <w:shd w:val="clear" w:color="auto" w:fill="auto"/>
          </w:tcPr>
          <w:p w14:paraId="37848AD1" w14:textId="77777777" w:rsidR="005E32BB" w:rsidRPr="00C3671E" w:rsidRDefault="005E32BB" w:rsidP="00AA6335">
            <w:pPr>
              <w:rPr>
                <w:sz w:val="20"/>
                <w:szCs w:val="20"/>
                <w:lang w:val="en-GB"/>
              </w:rPr>
            </w:pPr>
            <w:r w:rsidRPr="00C3671E">
              <w:rPr>
                <w:sz w:val="20"/>
                <w:szCs w:val="20"/>
                <w:lang w:val="en-GB"/>
              </w:rPr>
              <w:t>0.02</w:t>
            </w:r>
          </w:p>
        </w:tc>
        <w:tc>
          <w:tcPr>
            <w:tcW w:w="1601" w:type="dxa"/>
            <w:shd w:val="clear" w:color="auto" w:fill="auto"/>
          </w:tcPr>
          <w:p w14:paraId="72CE3290" w14:textId="77777777" w:rsidR="005E32BB" w:rsidRPr="00C3671E" w:rsidRDefault="005E32BB" w:rsidP="00AA6335">
            <w:pPr>
              <w:rPr>
                <w:sz w:val="20"/>
                <w:szCs w:val="20"/>
                <w:lang w:val="en-GB"/>
              </w:rPr>
            </w:pPr>
            <w:r w:rsidRPr="00C3671E">
              <w:rPr>
                <w:sz w:val="20"/>
                <w:szCs w:val="20"/>
                <w:lang w:val="en-GB"/>
              </w:rPr>
              <w:t>0.06</w:t>
            </w:r>
          </w:p>
        </w:tc>
      </w:tr>
      <w:tr w:rsidR="005E32BB" w:rsidRPr="00C3671E" w14:paraId="304C3724" w14:textId="77777777" w:rsidTr="00AA6335">
        <w:tc>
          <w:tcPr>
            <w:tcW w:w="1184" w:type="dxa"/>
            <w:vMerge/>
            <w:shd w:val="clear" w:color="auto" w:fill="auto"/>
          </w:tcPr>
          <w:p w14:paraId="449D2987" w14:textId="77777777" w:rsidR="005E32BB" w:rsidRPr="00C3671E" w:rsidRDefault="005E32BB" w:rsidP="00AA6335">
            <w:pPr>
              <w:rPr>
                <w:sz w:val="20"/>
                <w:szCs w:val="20"/>
                <w:lang w:val="en-GB"/>
              </w:rPr>
            </w:pPr>
          </w:p>
        </w:tc>
        <w:tc>
          <w:tcPr>
            <w:tcW w:w="1800" w:type="dxa"/>
            <w:shd w:val="clear" w:color="auto" w:fill="auto"/>
          </w:tcPr>
          <w:p w14:paraId="5C4F06C5" w14:textId="77777777" w:rsidR="005E32BB" w:rsidRPr="00C3671E" w:rsidRDefault="005E32BB" w:rsidP="00AA6335">
            <w:pPr>
              <w:rPr>
                <w:sz w:val="20"/>
                <w:szCs w:val="20"/>
                <w:lang w:val="en-GB"/>
              </w:rPr>
            </w:pPr>
            <w:r w:rsidRPr="00C3671E">
              <w:rPr>
                <w:sz w:val="20"/>
                <w:szCs w:val="20"/>
                <w:lang w:val="en-GB"/>
              </w:rPr>
              <w:t>Pleasure</w:t>
            </w:r>
          </w:p>
        </w:tc>
        <w:tc>
          <w:tcPr>
            <w:tcW w:w="1601" w:type="dxa"/>
            <w:shd w:val="clear" w:color="auto" w:fill="auto"/>
          </w:tcPr>
          <w:p w14:paraId="5EC38E87" w14:textId="77777777" w:rsidR="005E32BB" w:rsidRPr="00C3671E" w:rsidRDefault="005E32BB" w:rsidP="00AA6335">
            <w:pPr>
              <w:rPr>
                <w:sz w:val="20"/>
                <w:szCs w:val="20"/>
                <w:lang w:val="en-GB"/>
              </w:rPr>
            </w:pPr>
            <w:r w:rsidRPr="00C3671E">
              <w:rPr>
                <w:sz w:val="20"/>
                <w:szCs w:val="20"/>
                <w:lang w:val="en-GB"/>
              </w:rPr>
              <w:t>0.11+</w:t>
            </w:r>
          </w:p>
        </w:tc>
        <w:tc>
          <w:tcPr>
            <w:tcW w:w="1601" w:type="dxa"/>
            <w:shd w:val="clear" w:color="auto" w:fill="auto"/>
          </w:tcPr>
          <w:p w14:paraId="0F3FBE84" w14:textId="77777777" w:rsidR="005E32BB" w:rsidRPr="00C3671E" w:rsidRDefault="005E32BB" w:rsidP="00AA6335">
            <w:pPr>
              <w:rPr>
                <w:sz w:val="20"/>
                <w:szCs w:val="20"/>
                <w:lang w:val="en-GB"/>
              </w:rPr>
            </w:pPr>
            <w:r w:rsidRPr="00C3671E">
              <w:rPr>
                <w:sz w:val="20"/>
                <w:szCs w:val="20"/>
                <w:lang w:val="en-GB"/>
              </w:rPr>
              <w:t>0.06</w:t>
            </w:r>
          </w:p>
        </w:tc>
        <w:tc>
          <w:tcPr>
            <w:tcW w:w="1601" w:type="dxa"/>
            <w:shd w:val="clear" w:color="auto" w:fill="auto"/>
          </w:tcPr>
          <w:p w14:paraId="1B7C8FE5" w14:textId="77777777" w:rsidR="005E32BB" w:rsidRPr="00C3671E" w:rsidRDefault="005E32BB" w:rsidP="00AA6335">
            <w:pPr>
              <w:rPr>
                <w:sz w:val="20"/>
                <w:szCs w:val="20"/>
                <w:lang w:val="en-GB"/>
              </w:rPr>
            </w:pPr>
            <w:r w:rsidRPr="00C3671E">
              <w:rPr>
                <w:sz w:val="20"/>
                <w:szCs w:val="20"/>
                <w:lang w:val="en-GB"/>
              </w:rPr>
              <w:t>0.01</w:t>
            </w:r>
          </w:p>
        </w:tc>
        <w:tc>
          <w:tcPr>
            <w:tcW w:w="1601" w:type="dxa"/>
            <w:shd w:val="clear" w:color="auto" w:fill="auto"/>
          </w:tcPr>
          <w:p w14:paraId="14A8F1AD" w14:textId="77777777" w:rsidR="005E32BB" w:rsidRPr="00C3671E" w:rsidRDefault="005E32BB" w:rsidP="00AA6335">
            <w:pPr>
              <w:rPr>
                <w:sz w:val="20"/>
                <w:szCs w:val="20"/>
                <w:lang w:val="en-GB"/>
              </w:rPr>
            </w:pPr>
            <w:r w:rsidRPr="00C3671E">
              <w:rPr>
                <w:sz w:val="20"/>
                <w:szCs w:val="20"/>
                <w:lang w:val="en-GB"/>
              </w:rPr>
              <w:t>0.07</w:t>
            </w:r>
          </w:p>
        </w:tc>
      </w:tr>
      <w:tr w:rsidR="005E32BB" w:rsidRPr="00C3671E" w14:paraId="2FB1FF24" w14:textId="77777777" w:rsidTr="00AA6335">
        <w:tc>
          <w:tcPr>
            <w:tcW w:w="1184" w:type="dxa"/>
            <w:vMerge w:val="restart"/>
            <w:shd w:val="clear" w:color="auto" w:fill="auto"/>
          </w:tcPr>
          <w:p w14:paraId="76EC29E1" w14:textId="77777777" w:rsidR="005E32BB" w:rsidRPr="00C3671E" w:rsidRDefault="005E32BB" w:rsidP="00AA6335">
            <w:pPr>
              <w:rPr>
                <w:sz w:val="20"/>
                <w:szCs w:val="20"/>
                <w:lang w:val="en-GB"/>
              </w:rPr>
            </w:pPr>
            <w:r w:rsidRPr="00C3671E">
              <w:rPr>
                <w:sz w:val="20"/>
                <w:szCs w:val="20"/>
                <w:lang w:val="en-GB"/>
              </w:rPr>
              <w:t>Post-com. countries</w:t>
            </w:r>
          </w:p>
        </w:tc>
        <w:tc>
          <w:tcPr>
            <w:tcW w:w="1800" w:type="dxa"/>
            <w:shd w:val="clear" w:color="auto" w:fill="auto"/>
          </w:tcPr>
          <w:p w14:paraId="5D0F99B8" w14:textId="77777777" w:rsidR="005E32BB" w:rsidRPr="00C3671E" w:rsidRDefault="005E32BB" w:rsidP="00AA6335">
            <w:pPr>
              <w:rPr>
                <w:sz w:val="20"/>
                <w:szCs w:val="20"/>
                <w:lang w:val="en-GB"/>
              </w:rPr>
            </w:pPr>
            <w:r w:rsidRPr="00C3671E">
              <w:rPr>
                <w:sz w:val="20"/>
                <w:szCs w:val="20"/>
                <w:lang w:val="en-GB"/>
              </w:rPr>
              <w:t>CASP</w:t>
            </w:r>
          </w:p>
        </w:tc>
        <w:tc>
          <w:tcPr>
            <w:tcW w:w="1601" w:type="dxa"/>
            <w:shd w:val="clear" w:color="auto" w:fill="auto"/>
          </w:tcPr>
          <w:p w14:paraId="3A8900C9" w14:textId="77777777" w:rsidR="005E32BB" w:rsidRPr="00C3671E" w:rsidRDefault="005E32BB" w:rsidP="00AA6335">
            <w:pPr>
              <w:rPr>
                <w:sz w:val="20"/>
                <w:szCs w:val="20"/>
                <w:lang w:val="en-GB"/>
              </w:rPr>
            </w:pPr>
            <w:r w:rsidRPr="00C3671E">
              <w:rPr>
                <w:sz w:val="20"/>
                <w:szCs w:val="20"/>
                <w:lang w:val="en-GB"/>
              </w:rPr>
              <w:t>0.63**</w:t>
            </w:r>
          </w:p>
        </w:tc>
        <w:tc>
          <w:tcPr>
            <w:tcW w:w="1601" w:type="dxa"/>
            <w:shd w:val="clear" w:color="auto" w:fill="auto"/>
          </w:tcPr>
          <w:p w14:paraId="34EFE9CD" w14:textId="77777777" w:rsidR="005E32BB" w:rsidRPr="00C3671E" w:rsidRDefault="005E32BB" w:rsidP="00AA6335">
            <w:pPr>
              <w:rPr>
                <w:sz w:val="20"/>
                <w:szCs w:val="20"/>
                <w:lang w:val="en-GB"/>
              </w:rPr>
            </w:pPr>
            <w:r w:rsidRPr="00C3671E">
              <w:rPr>
                <w:sz w:val="20"/>
                <w:szCs w:val="20"/>
                <w:lang w:val="en-GB"/>
              </w:rPr>
              <w:t>0.17</w:t>
            </w:r>
          </w:p>
        </w:tc>
        <w:tc>
          <w:tcPr>
            <w:tcW w:w="1601" w:type="dxa"/>
            <w:shd w:val="clear" w:color="auto" w:fill="auto"/>
          </w:tcPr>
          <w:p w14:paraId="72E91B96" w14:textId="77777777" w:rsidR="005E32BB" w:rsidRPr="00C3671E" w:rsidRDefault="005E32BB" w:rsidP="00AA6335">
            <w:pPr>
              <w:rPr>
                <w:sz w:val="20"/>
                <w:szCs w:val="20"/>
                <w:lang w:val="en-GB"/>
              </w:rPr>
            </w:pPr>
            <w:r w:rsidRPr="00C3671E">
              <w:rPr>
                <w:sz w:val="20"/>
                <w:szCs w:val="20"/>
                <w:lang w:val="en-GB"/>
              </w:rPr>
              <w:t>0.83***</w:t>
            </w:r>
          </w:p>
        </w:tc>
        <w:tc>
          <w:tcPr>
            <w:tcW w:w="1601" w:type="dxa"/>
            <w:shd w:val="clear" w:color="auto" w:fill="auto"/>
          </w:tcPr>
          <w:p w14:paraId="73D43995" w14:textId="77777777" w:rsidR="005E32BB" w:rsidRPr="00C3671E" w:rsidRDefault="005E32BB" w:rsidP="00AA6335">
            <w:pPr>
              <w:rPr>
                <w:sz w:val="20"/>
                <w:szCs w:val="20"/>
                <w:lang w:val="en-GB"/>
              </w:rPr>
            </w:pPr>
            <w:r w:rsidRPr="00C3671E">
              <w:rPr>
                <w:sz w:val="20"/>
                <w:szCs w:val="20"/>
                <w:lang w:val="en-GB"/>
              </w:rPr>
              <w:t>0.19</w:t>
            </w:r>
          </w:p>
        </w:tc>
      </w:tr>
      <w:tr w:rsidR="005E32BB" w:rsidRPr="00C3671E" w14:paraId="16AFEEDD" w14:textId="77777777" w:rsidTr="00AA6335">
        <w:tc>
          <w:tcPr>
            <w:tcW w:w="1184" w:type="dxa"/>
            <w:vMerge/>
            <w:shd w:val="clear" w:color="auto" w:fill="auto"/>
          </w:tcPr>
          <w:p w14:paraId="5A95E536" w14:textId="77777777" w:rsidR="005E32BB" w:rsidRPr="00C3671E" w:rsidRDefault="005E32BB" w:rsidP="00AA6335">
            <w:pPr>
              <w:rPr>
                <w:sz w:val="20"/>
                <w:szCs w:val="20"/>
                <w:lang w:val="en-GB"/>
              </w:rPr>
            </w:pPr>
          </w:p>
        </w:tc>
        <w:tc>
          <w:tcPr>
            <w:tcW w:w="1800" w:type="dxa"/>
            <w:shd w:val="clear" w:color="auto" w:fill="auto"/>
          </w:tcPr>
          <w:p w14:paraId="4387405A" w14:textId="77777777" w:rsidR="005E32BB" w:rsidRPr="00C3671E" w:rsidRDefault="005E32BB" w:rsidP="00AA6335">
            <w:pPr>
              <w:rPr>
                <w:sz w:val="20"/>
                <w:szCs w:val="20"/>
                <w:lang w:val="en-GB"/>
              </w:rPr>
            </w:pPr>
            <w:r w:rsidRPr="00C3671E">
              <w:rPr>
                <w:sz w:val="20"/>
                <w:szCs w:val="20"/>
                <w:lang w:val="en-GB"/>
              </w:rPr>
              <w:t>Control</w:t>
            </w:r>
          </w:p>
        </w:tc>
        <w:tc>
          <w:tcPr>
            <w:tcW w:w="1601" w:type="dxa"/>
            <w:shd w:val="clear" w:color="auto" w:fill="auto"/>
          </w:tcPr>
          <w:p w14:paraId="36BCA093" w14:textId="77777777" w:rsidR="005E32BB" w:rsidRPr="00C3671E" w:rsidRDefault="005E32BB" w:rsidP="00AA6335">
            <w:pPr>
              <w:rPr>
                <w:sz w:val="20"/>
                <w:szCs w:val="20"/>
                <w:lang w:val="en-GB"/>
              </w:rPr>
            </w:pPr>
            <w:r w:rsidRPr="00C3671E">
              <w:rPr>
                <w:sz w:val="20"/>
                <w:szCs w:val="20"/>
                <w:lang w:val="en-GB"/>
              </w:rPr>
              <w:t>0.22**</w:t>
            </w:r>
          </w:p>
        </w:tc>
        <w:tc>
          <w:tcPr>
            <w:tcW w:w="1601" w:type="dxa"/>
            <w:shd w:val="clear" w:color="auto" w:fill="auto"/>
          </w:tcPr>
          <w:p w14:paraId="7D69061C" w14:textId="77777777" w:rsidR="005E32BB" w:rsidRPr="00C3671E" w:rsidRDefault="005E32BB" w:rsidP="00AA6335">
            <w:pPr>
              <w:rPr>
                <w:sz w:val="20"/>
                <w:szCs w:val="20"/>
                <w:lang w:val="en-GB"/>
              </w:rPr>
            </w:pPr>
            <w:r w:rsidRPr="00C3671E">
              <w:rPr>
                <w:sz w:val="20"/>
                <w:szCs w:val="20"/>
                <w:lang w:val="en-GB"/>
              </w:rPr>
              <w:t>0.07</w:t>
            </w:r>
          </w:p>
        </w:tc>
        <w:tc>
          <w:tcPr>
            <w:tcW w:w="1601" w:type="dxa"/>
            <w:shd w:val="clear" w:color="auto" w:fill="auto"/>
          </w:tcPr>
          <w:p w14:paraId="411C50CA" w14:textId="77777777" w:rsidR="005E32BB" w:rsidRPr="00C3671E" w:rsidRDefault="005E32BB" w:rsidP="00AA6335">
            <w:pPr>
              <w:rPr>
                <w:sz w:val="20"/>
                <w:szCs w:val="20"/>
                <w:lang w:val="en-GB"/>
              </w:rPr>
            </w:pPr>
            <w:r w:rsidRPr="00C3671E">
              <w:rPr>
                <w:sz w:val="20"/>
                <w:szCs w:val="20"/>
                <w:lang w:val="en-GB"/>
              </w:rPr>
              <w:t>0.26*</w:t>
            </w:r>
          </w:p>
        </w:tc>
        <w:tc>
          <w:tcPr>
            <w:tcW w:w="1601" w:type="dxa"/>
            <w:shd w:val="clear" w:color="auto" w:fill="auto"/>
          </w:tcPr>
          <w:p w14:paraId="76542F85" w14:textId="77777777" w:rsidR="005E32BB" w:rsidRPr="00C3671E" w:rsidRDefault="005E32BB" w:rsidP="00AA6335">
            <w:pPr>
              <w:rPr>
                <w:sz w:val="20"/>
                <w:szCs w:val="20"/>
                <w:lang w:val="en-GB"/>
              </w:rPr>
            </w:pPr>
            <w:r w:rsidRPr="00C3671E">
              <w:rPr>
                <w:sz w:val="20"/>
                <w:szCs w:val="20"/>
                <w:lang w:val="en-GB"/>
              </w:rPr>
              <w:t>0.11</w:t>
            </w:r>
          </w:p>
        </w:tc>
      </w:tr>
      <w:tr w:rsidR="005E32BB" w:rsidRPr="00C3671E" w14:paraId="7414093C" w14:textId="77777777" w:rsidTr="00AA6335">
        <w:tc>
          <w:tcPr>
            <w:tcW w:w="1184" w:type="dxa"/>
            <w:vMerge/>
            <w:shd w:val="clear" w:color="auto" w:fill="auto"/>
          </w:tcPr>
          <w:p w14:paraId="766B5D56" w14:textId="77777777" w:rsidR="005E32BB" w:rsidRPr="00C3671E" w:rsidRDefault="005E32BB" w:rsidP="00AA6335">
            <w:pPr>
              <w:rPr>
                <w:sz w:val="20"/>
                <w:szCs w:val="20"/>
                <w:lang w:val="en-GB"/>
              </w:rPr>
            </w:pPr>
          </w:p>
        </w:tc>
        <w:tc>
          <w:tcPr>
            <w:tcW w:w="1800" w:type="dxa"/>
            <w:shd w:val="clear" w:color="auto" w:fill="auto"/>
          </w:tcPr>
          <w:p w14:paraId="0FE8B045" w14:textId="77777777" w:rsidR="005E32BB" w:rsidRPr="00C3671E" w:rsidRDefault="005E32BB" w:rsidP="00AA6335">
            <w:pPr>
              <w:rPr>
                <w:sz w:val="20"/>
                <w:szCs w:val="20"/>
                <w:lang w:val="en-GB"/>
              </w:rPr>
            </w:pPr>
            <w:r w:rsidRPr="00C3671E">
              <w:rPr>
                <w:sz w:val="20"/>
                <w:szCs w:val="20"/>
                <w:lang w:val="en-GB"/>
              </w:rPr>
              <w:t>Autonomy</w:t>
            </w:r>
          </w:p>
        </w:tc>
        <w:tc>
          <w:tcPr>
            <w:tcW w:w="1601" w:type="dxa"/>
            <w:shd w:val="clear" w:color="auto" w:fill="auto"/>
          </w:tcPr>
          <w:p w14:paraId="6CBEFCA3" w14:textId="77777777" w:rsidR="005E32BB" w:rsidRPr="00C3671E" w:rsidRDefault="005E32BB" w:rsidP="00AA6335">
            <w:pPr>
              <w:rPr>
                <w:sz w:val="20"/>
                <w:szCs w:val="20"/>
                <w:lang w:val="en-GB"/>
              </w:rPr>
            </w:pPr>
            <w:r w:rsidRPr="00C3671E">
              <w:rPr>
                <w:sz w:val="20"/>
                <w:szCs w:val="20"/>
                <w:lang w:val="en-GB"/>
              </w:rPr>
              <w:t>0.03</w:t>
            </w:r>
          </w:p>
        </w:tc>
        <w:tc>
          <w:tcPr>
            <w:tcW w:w="1601" w:type="dxa"/>
            <w:shd w:val="clear" w:color="auto" w:fill="auto"/>
          </w:tcPr>
          <w:p w14:paraId="75EEF48B" w14:textId="77777777" w:rsidR="005E32BB" w:rsidRPr="00C3671E" w:rsidRDefault="005E32BB" w:rsidP="00AA6335">
            <w:pPr>
              <w:rPr>
                <w:sz w:val="20"/>
                <w:szCs w:val="20"/>
                <w:lang w:val="en-GB"/>
              </w:rPr>
            </w:pPr>
            <w:r w:rsidRPr="00C3671E">
              <w:rPr>
                <w:sz w:val="20"/>
                <w:szCs w:val="20"/>
                <w:lang w:val="en-GB"/>
              </w:rPr>
              <w:t>0.07</w:t>
            </w:r>
          </w:p>
        </w:tc>
        <w:tc>
          <w:tcPr>
            <w:tcW w:w="1601" w:type="dxa"/>
            <w:shd w:val="clear" w:color="auto" w:fill="auto"/>
          </w:tcPr>
          <w:p w14:paraId="6B287819" w14:textId="77777777" w:rsidR="005E32BB" w:rsidRPr="00C3671E" w:rsidRDefault="005E32BB" w:rsidP="00AA6335">
            <w:pPr>
              <w:rPr>
                <w:sz w:val="20"/>
                <w:szCs w:val="20"/>
                <w:lang w:val="en-GB"/>
              </w:rPr>
            </w:pPr>
            <w:r w:rsidRPr="00C3671E">
              <w:rPr>
                <w:sz w:val="20"/>
                <w:szCs w:val="20"/>
                <w:lang w:val="en-GB"/>
              </w:rPr>
              <w:t>0.04</w:t>
            </w:r>
          </w:p>
        </w:tc>
        <w:tc>
          <w:tcPr>
            <w:tcW w:w="1601" w:type="dxa"/>
            <w:shd w:val="clear" w:color="auto" w:fill="auto"/>
          </w:tcPr>
          <w:p w14:paraId="0A943DD0" w14:textId="77777777" w:rsidR="005E32BB" w:rsidRPr="00C3671E" w:rsidRDefault="005E32BB" w:rsidP="00AA6335">
            <w:pPr>
              <w:rPr>
                <w:sz w:val="20"/>
                <w:szCs w:val="20"/>
                <w:lang w:val="en-GB"/>
              </w:rPr>
            </w:pPr>
            <w:r w:rsidRPr="00C3671E">
              <w:rPr>
                <w:sz w:val="20"/>
                <w:szCs w:val="20"/>
                <w:lang w:val="en-GB"/>
              </w:rPr>
              <w:t>0.09</w:t>
            </w:r>
          </w:p>
        </w:tc>
      </w:tr>
      <w:tr w:rsidR="005E32BB" w:rsidRPr="00C3671E" w14:paraId="6ED740CE" w14:textId="77777777" w:rsidTr="00AA6335">
        <w:tc>
          <w:tcPr>
            <w:tcW w:w="1184" w:type="dxa"/>
            <w:vMerge/>
            <w:shd w:val="clear" w:color="auto" w:fill="auto"/>
          </w:tcPr>
          <w:p w14:paraId="3FB3373C" w14:textId="77777777" w:rsidR="005E32BB" w:rsidRPr="00C3671E" w:rsidRDefault="005E32BB" w:rsidP="00AA6335">
            <w:pPr>
              <w:rPr>
                <w:sz w:val="20"/>
                <w:szCs w:val="20"/>
                <w:lang w:val="en-GB"/>
              </w:rPr>
            </w:pPr>
          </w:p>
        </w:tc>
        <w:tc>
          <w:tcPr>
            <w:tcW w:w="1800" w:type="dxa"/>
            <w:shd w:val="clear" w:color="auto" w:fill="auto"/>
          </w:tcPr>
          <w:p w14:paraId="595ADD20" w14:textId="77777777" w:rsidR="005E32BB" w:rsidRPr="00C3671E" w:rsidRDefault="005E32BB" w:rsidP="00AA6335">
            <w:pPr>
              <w:rPr>
                <w:sz w:val="20"/>
                <w:szCs w:val="20"/>
                <w:lang w:val="en-GB"/>
              </w:rPr>
            </w:pPr>
            <w:r w:rsidRPr="00C3671E">
              <w:rPr>
                <w:sz w:val="20"/>
                <w:szCs w:val="20"/>
                <w:lang w:val="en-GB"/>
              </w:rPr>
              <w:t>Self-realization</w:t>
            </w:r>
          </w:p>
        </w:tc>
        <w:tc>
          <w:tcPr>
            <w:tcW w:w="1601" w:type="dxa"/>
            <w:shd w:val="clear" w:color="auto" w:fill="auto"/>
          </w:tcPr>
          <w:p w14:paraId="0DE1F6C9" w14:textId="77777777" w:rsidR="005E32BB" w:rsidRPr="00C3671E" w:rsidRDefault="005E32BB" w:rsidP="00AA6335">
            <w:pPr>
              <w:rPr>
                <w:sz w:val="20"/>
                <w:szCs w:val="20"/>
                <w:lang w:val="en-GB"/>
              </w:rPr>
            </w:pPr>
            <w:r w:rsidRPr="00C3671E">
              <w:rPr>
                <w:sz w:val="20"/>
                <w:szCs w:val="20"/>
                <w:lang w:val="en-GB"/>
              </w:rPr>
              <w:t>0.11*</w:t>
            </w:r>
          </w:p>
        </w:tc>
        <w:tc>
          <w:tcPr>
            <w:tcW w:w="1601" w:type="dxa"/>
            <w:shd w:val="clear" w:color="auto" w:fill="auto"/>
          </w:tcPr>
          <w:p w14:paraId="30C52E8C" w14:textId="77777777" w:rsidR="005E32BB" w:rsidRPr="00C3671E" w:rsidRDefault="005E32BB" w:rsidP="00AA6335">
            <w:pPr>
              <w:rPr>
                <w:sz w:val="20"/>
                <w:szCs w:val="20"/>
                <w:lang w:val="en-GB"/>
              </w:rPr>
            </w:pPr>
            <w:r w:rsidRPr="00C3671E">
              <w:rPr>
                <w:sz w:val="20"/>
                <w:szCs w:val="20"/>
                <w:lang w:val="en-GB"/>
              </w:rPr>
              <w:t>0.05</w:t>
            </w:r>
          </w:p>
        </w:tc>
        <w:tc>
          <w:tcPr>
            <w:tcW w:w="1601" w:type="dxa"/>
            <w:shd w:val="clear" w:color="auto" w:fill="auto"/>
          </w:tcPr>
          <w:p w14:paraId="17978D2C" w14:textId="77777777" w:rsidR="005E32BB" w:rsidRPr="00C3671E" w:rsidRDefault="005E32BB" w:rsidP="00AA6335">
            <w:pPr>
              <w:rPr>
                <w:sz w:val="20"/>
                <w:szCs w:val="20"/>
                <w:lang w:val="en-GB"/>
              </w:rPr>
            </w:pPr>
            <w:r w:rsidRPr="00C3671E">
              <w:rPr>
                <w:sz w:val="20"/>
                <w:szCs w:val="20"/>
                <w:lang w:val="en-GB"/>
              </w:rPr>
              <w:t>0.23*</w:t>
            </w:r>
          </w:p>
        </w:tc>
        <w:tc>
          <w:tcPr>
            <w:tcW w:w="1601" w:type="dxa"/>
            <w:shd w:val="clear" w:color="auto" w:fill="auto"/>
          </w:tcPr>
          <w:p w14:paraId="2C0FA26F" w14:textId="77777777" w:rsidR="005E32BB" w:rsidRPr="00C3671E" w:rsidRDefault="005E32BB" w:rsidP="00AA6335">
            <w:pPr>
              <w:rPr>
                <w:sz w:val="20"/>
                <w:szCs w:val="20"/>
                <w:lang w:val="en-GB"/>
              </w:rPr>
            </w:pPr>
            <w:r w:rsidRPr="00C3671E">
              <w:rPr>
                <w:sz w:val="20"/>
                <w:szCs w:val="20"/>
                <w:lang w:val="en-GB"/>
              </w:rPr>
              <w:t>0.11</w:t>
            </w:r>
          </w:p>
        </w:tc>
      </w:tr>
      <w:tr w:rsidR="005E32BB" w:rsidRPr="00C3671E" w14:paraId="6C23F4AC" w14:textId="77777777" w:rsidTr="00AA6335">
        <w:tc>
          <w:tcPr>
            <w:tcW w:w="1184" w:type="dxa"/>
            <w:vMerge/>
            <w:shd w:val="clear" w:color="auto" w:fill="auto"/>
          </w:tcPr>
          <w:p w14:paraId="52DE1FC9" w14:textId="77777777" w:rsidR="005E32BB" w:rsidRPr="00C3671E" w:rsidRDefault="005E32BB" w:rsidP="00AA6335">
            <w:pPr>
              <w:rPr>
                <w:sz w:val="20"/>
                <w:szCs w:val="20"/>
                <w:lang w:val="en-GB"/>
              </w:rPr>
            </w:pPr>
          </w:p>
        </w:tc>
        <w:tc>
          <w:tcPr>
            <w:tcW w:w="1800" w:type="dxa"/>
            <w:shd w:val="clear" w:color="auto" w:fill="auto"/>
          </w:tcPr>
          <w:p w14:paraId="2E765316" w14:textId="77777777" w:rsidR="005E32BB" w:rsidRPr="00C3671E" w:rsidRDefault="005E32BB" w:rsidP="00AA6335">
            <w:pPr>
              <w:rPr>
                <w:sz w:val="20"/>
                <w:szCs w:val="20"/>
                <w:lang w:val="en-GB"/>
              </w:rPr>
            </w:pPr>
            <w:r w:rsidRPr="00C3671E">
              <w:rPr>
                <w:sz w:val="20"/>
                <w:szCs w:val="20"/>
                <w:lang w:val="en-GB"/>
              </w:rPr>
              <w:t>Pleasure</w:t>
            </w:r>
          </w:p>
        </w:tc>
        <w:tc>
          <w:tcPr>
            <w:tcW w:w="1601" w:type="dxa"/>
            <w:shd w:val="clear" w:color="auto" w:fill="auto"/>
          </w:tcPr>
          <w:p w14:paraId="0C5E5082" w14:textId="77777777" w:rsidR="005E32BB" w:rsidRPr="00C3671E" w:rsidRDefault="005E32BB" w:rsidP="00AA6335">
            <w:pPr>
              <w:rPr>
                <w:sz w:val="20"/>
                <w:szCs w:val="20"/>
                <w:lang w:val="en-GB"/>
              </w:rPr>
            </w:pPr>
            <w:r w:rsidRPr="00C3671E">
              <w:rPr>
                <w:sz w:val="20"/>
                <w:szCs w:val="20"/>
                <w:lang w:val="en-GB"/>
              </w:rPr>
              <w:t>0.27***</w:t>
            </w:r>
          </w:p>
        </w:tc>
        <w:tc>
          <w:tcPr>
            <w:tcW w:w="1601" w:type="dxa"/>
            <w:shd w:val="clear" w:color="auto" w:fill="auto"/>
          </w:tcPr>
          <w:p w14:paraId="194332B7" w14:textId="77777777" w:rsidR="005E32BB" w:rsidRPr="00C3671E" w:rsidRDefault="005E32BB" w:rsidP="00AA6335">
            <w:pPr>
              <w:rPr>
                <w:sz w:val="20"/>
                <w:szCs w:val="20"/>
                <w:lang w:val="en-GB"/>
              </w:rPr>
            </w:pPr>
            <w:r w:rsidRPr="00C3671E">
              <w:rPr>
                <w:sz w:val="20"/>
                <w:szCs w:val="20"/>
                <w:lang w:val="en-GB"/>
              </w:rPr>
              <w:t>0.06</w:t>
            </w:r>
          </w:p>
        </w:tc>
        <w:tc>
          <w:tcPr>
            <w:tcW w:w="1601" w:type="dxa"/>
            <w:shd w:val="clear" w:color="auto" w:fill="auto"/>
          </w:tcPr>
          <w:p w14:paraId="41FD65C1" w14:textId="77777777" w:rsidR="005E32BB" w:rsidRPr="00C3671E" w:rsidRDefault="005E32BB" w:rsidP="00AA6335">
            <w:pPr>
              <w:rPr>
                <w:sz w:val="20"/>
                <w:szCs w:val="20"/>
                <w:lang w:val="en-GB"/>
              </w:rPr>
            </w:pPr>
            <w:r w:rsidRPr="00C3671E">
              <w:rPr>
                <w:sz w:val="20"/>
                <w:szCs w:val="20"/>
                <w:lang w:val="en-GB"/>
              </w:rPr>
              <w:t>0.30*</w:t>
            </w:r>
          </w:p>
        </w:tc>
        <w:tc>
          <w:tcPr>
            <w:tcW w:w="1601" w:type="dxa"/>
            <w:shd w:val="clear" w:color="auto" w:fill="auto"/>
          </w:tcPr>
          <w:p w14:paraId="31357DB2" w14:textId="77777777" w:rsidR="005E32BB" w:rsidRPr="00C3671E" w:rsidRDefault="005E32BB" w:rsidP="00AA6335">
            <w:pPr>
              <w:rPr>
                <w:sz w:val="20"/>
                <w:szCs w:val="20"/>
                <w:lang w:val="en-GB"/>
              </w:rPr>
            </w:pPr>
            <w:r w:rsidRPr="00C3671E">
              <w:rPr>
                <w:sz w:val="20"/>
                <w:szCs w:val="20"/>
                <w:lang w:val="en-GB"/>
              </w:rPr>
              <w:t>0.13</w:t>
            </w:r>
          </w:p>
        </w:tc>
      </w:tr>
    </w:tbl>
    <w:p w14:paraId="3A6E509D" w14:textId="77777777" w:rsidR="005E32BB" w:rsidRPr="00C3671E" w:rsidRDefault="005E32BB" w:rsidP="005E32BB">
      <w:pPr>
        <w:rPr>
          <w:sz w:val="20"/>
          <w:lang w:val="en-GB"/>
        </w:rPr>
      </w:pPr>
      <w:r w:rsidRPr="00C3671E">
        <w:rPr>
          <w:i/>
          <w:sz w:val="20"/>
          <w:lang w:val="en-GB"/>
        </w:rPr>
        <w:t xml:space="preserve">Source: </w:t>
      </w:r>
      <w:r w:rsidRPr="00C3671E">
        <w:rPr>
          <w:sz w:val="20"/>
          <w:lang w:val="en-GB"/>
        </w:rPr>
        <w:t>These calculations use data from SHARE, wave 6.</w:t>
      </w:r>
    </w:p>
    <w:p w14:paraId="351760B1" w14:textId="77777777" w:rsidR="005E32BB" w:rsidRPr="00C3671E" w:rsidRDefault="005E32BB" w:rsidP="005E32BB">
      <w:pPr>
        <w:rPr>
          <w:lang w:val="en-GB"/>
        </w:rPr>
      </w:pPr>
      <w:r w:rsidRPr="00C3671E">
        <w:rPr>
          <w:i/>
          <w:sz w:val="20"/>
          <w:lang w:val="en-GB"/>
        </w:rPr>
        <w:t xml:space="preserve">Notes: </w:t>
      </w:r>
      <w:r w:rsidRPr="00C3671E">
        <w:rPr>
          <w:sz w:val="20"/>
          <w:lang w:val="en-GB"/>
        </w:rPr>
        <w:t>+ p&lt;0.1, * p&lt;0.05, ** p&lt;0.01, *** p&lt;0.001.</w:t>
      </w:r>
    </w:p>
    <w:p w14:paraId="0219AE6E" w14:textId="77777777" w:rsidR="001A7940" w:rsidRPr="00C3671E" w:rsidRDefault="001A7940" w:rsidP="001A7940">
      <w:pPr>
        <w:suppressAutoHyphens/>
        <w:spacing w:line="480" w:lineRule="auto"/>
        <w:jc w:val="center"/>
        <w:rPr>
          <w:lang w:val="en-GB"/>
        </w:rPr>
      </w:pPr>
    </w:p>
    <w:p w14:paraId="2E455FD2" w14:textId="77777777" w:rsidR="001A7940" w:rsidRPr="00C3671E" w:rsidRDefault="001A7940" w:rsidP="007E6D8E">
      <w:pPr>
        <w:pStyle w:val="Nadpis2"/>
        <w:spacing w:line="480" w:lineRule="auto"/>
        <w:rPr>
          <w:sz w:val="26"/>
          <w:szCs w:val="26"/>
          <w:lang w:val="en-GB"/>
        </w:rPr>
      </w:pPr>
      <w:bookmarkStart w:id="42" w:name="_Toc512687749"/>
      <w:r w:rsidRPr="00C3671E">
        <w:rPr>
          <w:sz w:val="26"/>
          <w:szCs w:val="26"/>
          <w:lang w:val="en-GB"/>
        </w:rPr>
        <w:t>Conclusion and discussion</w:t>
      </w:r>
      <w:bookmarkEnd w:id="42"/>
    </w:p>
    <w:p w14:paraId="3679B510" w14:textId="77777777" w:rsidR="001A7940" w:rsidRPr="00C3671E" w:rsidRDefault="001A7940" w:rsidP="00F4146A">
      <w:pPr>
        <w:suppressAutoHyphens/>
        <w:spacing w:line="480" w:lineRule="auto"/>
        <w:jc w:val="both"/>
        <w:rPr>
          <w:lang w:val="en-GB"/>
        </w:rPr>
      </w:pPr>
      <w:r w:rsidRPr="00C3671E">
        <w:rPr>
          <w:i/>
          <w:lang w:val="en-GB"/>
        </w:rPr>
        <w:t>This paper tests the assumption of the active ageing approach that a prolonged working career improves the subjective QoL.</w:t>
      </w:r>
      <w:r w:rsidRPr="00C3671E">
        <w:rPr>
          <w:lang w:val="en-GB"/>
        </w:rPr>
        <w:t xml:space="preserve"> This assumption is evaluated for four European regions separately by comparing QoL of retirees and workers around retirement age, which are matched on possible confounding characteristics. The most recent wave of SHARE data containing countries from all main European regions is utilized for propensity score matching technique. Respondents from each </w:t>
      </w:r>
      <w:r w:rsidRPr="00F4146A">
        <w:rPr>
          <w:rFonts w:eastAsia="Calibri"/>
          <w:lang w:val="en-GB" w:eastAsia="en-US"/>
        </w:rPr>
        <w:t>European</w:t>
      </w:r>
      <w:r w:rsidRPr="00C3671E">
        <w:rPr>
          <w:lang w:val="en-GB"/>
        </w:rPr>
        <w:t xml:space="preserve"> region separately are successfully matched, and then the effect of working (compared to retirement) clear of other main characteristics is estimated.</w:t>
      </w:r>
    </w:p>
    <w:p w14:paraId="7623F303" w14:textId="31AD9F25" w:rsidR="001A7940" w:rsidRPr="00C3671E" w:rsidRDefault="001A7940" w:rsidP="00F4146A">
      <w:pPr>
        <w:pStyle w:val="Newparagraph"/>
        <w:jc w:val="both"/>
      </w:pPr>
      <w:r w:rsidRPr="00C3671E">
        <w:lastRenderedPageBreak/>
        <w:t xml:space="preserve">The effect of working in later life clearly differs across European regions. </w:t>
      </w:r>
      <w:r w:rsidRPr="00C3671E">
        <w:rPr>
          <w:i/>
        </w:rPr>
        <w:t>The effect is positive in Southern Europe and Post-communist countries, while it tends to be negative in Nordic countries and Western Europe.</w:t>
      </w:r>
      <w:r w:rsidRPr="00C3671E">
        <w:t xml:space="preserve"> This imply a context-sensitive effect of working in later life as expected by the ecological perspective </w:t>
      </w:r>
      <w:r w:rsidRPr="00C3671E">
        <w:fldChar w:fldCharType="begin" w:fldLock="1"/>
      </w:r>
      <w:r w:rsidR="00AA6335" w:rsidRPr="00C3671E">
        <w:instrText>ADDIN CSL_CITATION { "citationItems" : [ { "id" : "ITEM-1", "itemData" : { "author" : [ { "dropping-particle" : "", "family" : "Bronfenbrenner", "given" : "Urie", "non-dropping-particle" : "", "parse-names" : false, "suffix" : "" } ], "container-title" : "Developmental Psychology", "id" : "ITEM-1", "issue" : "6", "issued" : { "date-parts" : [ [ "1986" ] ] }, "page" : "723-742", "title" : "Ecology of the family as a context for human development: research perspectives", "type" : "article-journal", "volume" : "22" }, "uris" : [ "http://www.mendeley.com/documents/?uuid=914637a8-15ad-4ca9-89fd-0e132df3bbfe" ] } ], "mendeley" : { "formattedCitation" : "(Bronfenbrenner 1986)", "plainTextFormattedCitation" : "(Bronfenbrenner 1986)", "previouslyFormattedCitation" : "(Bronfenbrenner 1986)" }, "properties" : { "noteIndex" : 0 }, "schema" : "https://github.com/citation-style-language/schema/raw/master/csl-citation.json" }</w:instrText>
      </w:r>
      <w:r w:rsidRPr="00C3671E">
        <w:fldChar w:fldCharType="separate"/>
      </w:r>
      <w:r w:rsidRPr="00C3671E">
        <w:rPr>
          <w:noProof/>
        </w:rPr>
        <w:t>(Bronfenbrenner 1986)</w:t>
      </w:r>
      <w:r w:rsidRPr="00C3671E">
        <w:fldChar w:fldCharType="end"/>
      </w:r>
      <w:r w:rsidRPr="00C3671E">
        <w:t xml:space="preserve"> rather than more definite effect predicted by </w:t>
      </w:r>
      <w:r w:rsidRPr="00C3671E">
        <w:fldChar w:fldCharType="begin" w:fldLock="1"/>
      </w:r>
      <w:r w:rsidR="001257AA" w:rsidRPr="00C3671E">
        <w:instrText>ADDIN CSL_CITATION { "citationItems" : [ { "id" : "ITEM-1", "itemData" : { "DOI" : "10.1177/0038040709356567", "ISBN" : "063120301X", "ISSN" : "0036-8075", "PMID" : "17806662", "author" : [ { "dropping-particle" : "", "family" : "Goode", "given" : "William J", "non-dropping-particle" : "", "parse-names" : false, "suffix" : "" } ], "container-title" : "American Sociological Review", "id" : "ITEM-1", "issue" : "4", "issued" : { "date-parts" : [ [ "1960" ] ] }, "page" : "483-496", "title" : "A Theory of Role Strain", "type" : "article-journal", "volume" : "25" }, "uris" : [ "http://www.mendeley.com/documents/?uuid=fa5664e7-4c35-4e1f-ab5d-837ee62474a6" ] }, { "id" : "ITEM-2", "itemData" : { "DOI" : "10.1177/0003122413515997", "author" : [ { "dropping-particle" : "", "family" : "Sieber", "given" : "Sam D.", "non-dropping-particle" : "", "parse-names" : false, "suffix" : "" } ], "container-title" : "American Sociological Review", "id" : "ITEM-2", "issue" : "4", "issued" : { "date-parts" : [ [ "1974" ] ] }, "page" : "567-578", "title" : "Toward a Theory of Role Accumulation", "type" : "article-journal", "volume" : "39" }, "uris" : [ "http://www.mendeley.com/documents/?uuid=3a4692a5-08a8-406e-bfc8-2c3503d510c2" ] } ], "mendeley" : { "formattedCitation" : "(Goode 1960; Sieber 1974)", "manualFormatting" : "Goode (1960) or Sieber (1974)", "plainTextFormattedCitation" : "(Goode 1960; Sieber 1974)", "previouslyFormattedCitation" : "(Goode 1960; Sieber 1974)" }, "properties" : { "noteIndex" : 0 }, "schema" : "https://github.com/citation-style-language/schema/raw/master/csl-citation.json" }</w:instrText>
      </w:r>
      <w:r w:rsidRPr="00C3671E">
        <w:fldChar w:fldCharType="separate"/>
      </w:r>
      <w:r w:rsidRPr="00C3671E">
        <w:rPr>
          <w:noProof/>
        </w:rPr>
        <w:t>Goode (1960) or Sieber (1974)</w:t>
      </w:r>
      <w:r w:rsidRPr="00C3671E">
        <w:fldChar w:fldCharType="end"/>
      </w:r>
      <w:r w:rsidRPr="00C3671E">
        <w:t xml:space="preserve">. Importantly, most of the effects on subjective QoL and its dimensions are not large in their magnitude and significant at lower levels or not at all. Hence, the effect of working is not very strong for any region, which supports the assumption that the effect is a compilation of many both positive and negative effects </w:t>
      </w:r>
      <w:r w:rsidRPr="00C3671E">
        <w:rPr>
          <w:lang w:eastAsia="zh-CN"/>
        </w:rPr>
        <w:fldChar w:fldCharType="begin" w:fldLock="1"/>
      </w:r>
      <w:r w:rsidR="001257AA" w:rsidRPr="00C3671E">
        <w:rPr>
          <w:lang w:eastAsia="zh-CN"/>
        </w:rPr>
        <w:instrText>ADDIN CSL_CITATION { "citationItems" : [ { "id" : "ITEM-1", "itemData" : { "ISBN" : "0-335-21513-0", "author" : [ { "dropping-particle" : "", "family" : "Walker", "given" : "Alan", "non-dropping-particle" : "", "parse-names" : false, "suffix" : "" } ], "chapter-number" : "1", "container-title" : "Growing older in Europe", "editor" : [ { "dropping-particle" : "", "family" : "Walker", "given" : "Alan", "non-dropping-particle" : "", "parse-names" : false, "suffix" : "" } ], "id" : "ITEM-1", "issued" : { "date-parts" : [ [ "2004" ] ] }, "page" : "1-30", "publisher" : "Open University Press", "publisher-place" : "Maidenhead", "title" : "Quality of life in old age in Europe", "type" : "chapter" }, "uris" : [ "http://www.mendeley.com/documents/?uuid=50d6f5fc-128c-4195-b27d-ab7f3f67bfab" ] }, { "id" : "ITEM-2", "itemData" : { "author" : [ { "dropping-particle" : "", "family" : "Andersson", "given" : "Lars", "non-dropping-particle" : "", "parse-names" : false, "suffix" : "" } ], "chapter-number" : "5", "container-title" : "Growing older in Europe", "editor" : [ { "dropping-particle" : "", "family" : "Walker", "given" : "Alan", "non-dropping-particle" : "", "parse-names" : false, "suffix" : "" } ], "id" : "ITEM-2", "issued" : { "date-parts" : [ [ "2004" ] ] }, "page" : "105-128", "publisher" : "Open University Press", "publisher-place" : "Maidenhead", "title" : "Sweden - quality of life in old age I", "type" : "chapter" }, "uris" : [ "http://www.mendeley.com/documents/?uuid=6ba148d2-4767-4831-90aa-b02db5e6eb9d" ] }, { "id" : "ITEM-3", "itemData" : { "DOI" : "10.1136/jech-2013-202820", "ISBN" : "0143-005x", "ISSN" : "1470-2738", "PMID" : "22156662", "abstract" : "BACKGROUND: 'Active ageing' has been promoted as a strategy for extending quality of life and healthy life expectancy. However, there is limited evidence from nationally representative longitudinal studies on whether engagement among older adults is associated with better outcomes and few studies have considered possible bias arising from differential study attrition. METHODS: We investigate associations between the engagement of people aged 50-69 in three types of activity with self-rated health and depression 2 years later using nationally representative longitudinal data from four European countries (Denmark, France, Italy and England). Data were drawn from waves 1 and 2 of the Survey of Health, Ageing and Retirement in Europe and the English Longitudinal Study of Ageing. Multivariable analysis was used to analyse associations between baseline activity and outcomes at follow-up controlling for socioeconomic, demographic and health-related variables at baseline. Multiple imputation techniques and sensitivity analyses were undertaken to investigate possible bias arising from sample attrition. RESULTS: Respondents in paid work at baseline were less likely to be depressed or to report poor or fair health at follow-up than those who were 'inactive', although not in Italy. Engagement in formal and informal activities was not significantly associated with health at follow-up. Sensitivity analyses showed that assuming that those in bad health were over-represented among study attritors weakened the association between work at baseline and health at follow-up. CONCLUSIONS: Engagement in paid work may help maintain health in later life, although mechanisms and contextual influences need further investigation.", "author" : [ { "dropping-particle" : "", "family" : "Gessa", "given" : "Giorgio", "non-dropping-particle" : "Di", "parse-names" : false, "suffix" : "" }, { "dropping-particle" : "", "family" : "Grundy", "given" : "Emily", "non-dropping-particle" : "", "parse-names" : false, "suffix" : "" } ], "container-title" : "Journal of Epidemiology and Community Health", "id" : "ITEM-3", "issue" : "3", "issued" : { "date-parts" : [ [ "2013" ] ] }, "note" : "Gessa, Grundy 2013: The relationship between active ageing and health using longitudinal data from Denmark, France, Italy and England\n\u2018Active ageing\u2019 has been promoted as a strategy for extending quality of life and healthy life expectancy\nEngagement of older people occurs within a socio-political context and may be influenced by the provision of services and generosity of benefits, pension schemes and labour, retirement and early retirement policies, as well as norms and values.14 15 It is well recognised that these contextual factors vary within Europe, and typologies have been developed that group together countries with similar policies\nEngagement in formal and informal activities was not significantly associated with health at follow-up - higher attrition\nof ill respondents\npossitive impact of work in three countries except Italy\npaid work - prestige, power, status + physical activity + economic resources\nNo associations were found between engagement in the other types of activity considered and either depression or SRH\nEngagement in paid work may help maintain health in later life, although mechanisms and contextual influences need further investigation\n\u2192\nIndividual consequences of volunteer and paid work in old age: health and mortality\nIs work good for your health and well-being?\nPolicy and practices relating to the active engagement of older people in the community\nVariations in older people\u2019s social and productive ageing activities across different social welfare regimes", "page" : "261-267", "title" : "The relationship between active ageing and health using longitudinal data from Denmark, France, Italy and England", "type" : "article-journal", "volume" : "68" }, "uris" : [ "http://www.mendeley.com/documents/?uuid=099505a4-8bdf-490c-ae2d-b130a8bcf814" ] }, { "id" : "ITEM-4", "itemData" : { "DOI" : "10.1007/s10902-012-9399-2", "ISSN" : "13894978", "abstract" : "This study examines the relationship between retirement and subjective well-being (SWB), utilizing international data from sixteen countries in Western Europe and the US. Differences in social security regimes are exploited to estimate the retirement decision such that it is exogenous to individual-level characteristics. Although results from traditional ordinary least squares suggest an ambiguous relationship between retirement and SWB, this is due to comparatively lower SWB among those who choose retirement. The removal of selection bias reveals a large, positive effect that fades over a few years, suggesting a multi-stage adjustment to retirement. Individuals facing formal retirement at age 65 or later experience an increase in SWB that is roughly equivalent in total value to that of individuals facing earlier retirement, and both groups return to trend by age 70. This suggests that raising the formal retirement age, which is widely discussed today by policymakers, is relatively neutral with regard to SWB in the long-term.", "author" : [ { "dropping-particle" : "", "family" : "Horner", "given" : "Elizabeth Mokyr", "non-dropping-particle" : "", "parse-names" : false, "suffix" : "" } ], "container-title" : "Journal of Happiness Studies", "id" : "ITEM-4", "issue" : "1", "issued" : { "date-parts" : [ [ "2014" ] ] }, "page" : "125-144", "title" : "Subjective Well-Being and Retirement: Analysis and Policy Recommendations", "type" : "article-journal", "volume" : "15" }, "uris" : [ "http://www.mendeley.com/documents/?uuid=84c4b7f5-4f4e-4a9c-9f0b-e26858f7c56a" ] } ], "mendeley" : { "formattedCitation" : "(Andersson 2004; Di Gessa and Grundy 2013; Horner 2014; Walker 2004)", "plainTextFormattedCitation" : "(Andersson 2004; Di Gessa and Grundy 2013; Horner 2014; Walker 2004)", "previouslyFormattedCitation" : "(Andersson 2004; Di Gessa and Grundy 2013; Horner 2014; Walker 2004)" }, "properties" : { "noteIndex" : 0 }, "schema" : "https://github.com/citation-style-language/schema/raw/master/csl-citation.json" }</w:instrText>
      </w:r>
      <w:r w:rsidRPr="00C3671E">
        <w:rPr>
          <w:lang w:eastAsia="zh-CN"/>
        </w:rPr>
        <w:fldChar w:fldCharType="separate"/>
      </w:r>
      <w:r w:rsidR="00A91559" w:rsidRPr="00C3671E">
        <w:rPr>
          <w:noProof/>
          <w:lang w:eastAsia="zh-CN"/>
        </w:rPr>
        <w:t>(Andersson 2004; Di Gessa and Grundy 2013; Horner 2014; Walker 2004)</w:t>
      </w:r>
      <w:r w:rsidRPr="00C3671E">
        <w:rPr>
          <w:lang w:eastAsia="zh-CN"/>
        </w:rPr>
        <w:fldChar w:fldCharType="end"/>
      </w:r>
      <w:r w:rsidRPr="00C3671E">
        <w:t>. Nevertheless, the tendency is consistent.</w:t>
      </w:r>
    </w:p>
    <w:p w14:paraId="5C2EAFE0" w14:textId="5FFF9C63" w:rsidR="001A7940" w:rsidRPr="00C3671E" w:rsidRDefault="001A7940" w:rsidP="00F4146A">
      <w:pPr>
        <w:pStyle w:val="Newparagraph"/>
        <w:jc w:val="both"/>
      </w:pPr>
      <w:r w:rsidRPr="00C3671E">
        <w:t xml:space="preserve">Working longer in Southern Europe and Post-communist countries means a higher QoL generally, but also higher control over life and pleasure. This can imply that some income from labour force participation is important for ensuring safety and a satisfactory living standard within these settings. In contrast, a prolonged working career in Nordic countries and Western Europe seems to mildly decrease QoL, and particularly a feeling of autonomy. Lower autonomy connected to working indicates that constraints connected to job duties are probably more important here than possibilities stemming from higher income. Further, the effect of working on pleasure and self-realization is also not positive, and thus the paid job is not a pre-requirement of the opportunities in these matters. In any case, </w:t>
      </w:r>
      <w:r w:rsidRPr="00C3671E">
        <w:rPr>
          <w:i/>
        </w:rPr>
        <w:t>the effect of retirement/working is strongly context-dependent</w:t>
      </w:r>
      <w:r w:rsidRPr="00C3671E">
        <w:t xml:space="preserve">, similarly as the effect of caregiving among older adults </w:t>
      </w:r>
      <w:r w:rsidRPr="00C3671E">
        <w:fldChar w:fldCharType="begin" w:fldLock="1"/>
      </w:r>
      <w:r w:rsidR="001257AA" w:rsidRPr="00C3671E">
        <w:instrText>ADDIN CSL_CITATION { "citationItems" : [ { "id" : "ITEM-1", "itemData" : { "DOI" : "10.1007/s10680-014-9336-7", "ISBN" : "1068001493367", "ISSN" : "15729885", "abstract" : "We analyse the impact of the provision of care on the health and quality of life (QoL) of adult female informal caregivers using a representative sample drawn from the survey of health, ageing and retirement in Europe (SHARE). We match each informal caregiver with a non-carer using propensity score matching and test whether matched individuals differ on self-assessed health and a functional indicator of QoL and whether this relationship differs across European regions. We find a North-South gradient both for self-assessed health and QoL, and our results show that the provision of caregiving to close relatives in Europe impacts on the caregivers' QoL and health in a way that depends on their geographical location, the degree of formal care and specific cultural and social factors of the area. We find that informal caregiving is a complex phenomenon which may bring both psychological rewards and distress to providers of care and this complexity, along with the geographical gradient highlight the importance of ensuring that policies match the needs of individual carers in their own geographical areas and cultural contexts. [ABSTRACT FROM AUTHOR] Copyright of European Journal of Population is the property of Springer Science &amp; Business Media B.V.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"Novi", "given" : "Cinzia", "non-dropping-particle" : "Di", "parse-names" : false, "suffix" : "" }, { "dropping-particle" : "", "family" : "Jacobs", "given" : "Rowena", "non-dropping-particle" : "", "parse-names" : false, "suffix" : "" }, { "dropping-particle" : "", "family" : "Migheli", "given" : "Matteo", "non-dropping-particle" : "", "parse-names" : false, "suffix" : "" } ], "container-title" : "European Journal of Population", "id" : "ITEM-1", "issue" : "3", "issued" : { "date-parts" : [ [ "2015" ] ] }, "page" : "309-333", "publisher" : "Springer Netherlands", "title" : "The Quality of Life of Female Informal Caregivers: From Scandinavia to the Mediterranean Sea", "type" : "article-journal", "volume" : "31" }, "uris" : [ "http://www.mendeley.com/documents/?uuid=1ccc65b6-fa56-4844-8194-2bfe00ef56d5" ] }, { "id" : "ITEM-2", "itemData" : { "DOI" : "10.1007/s10433-013-0294-4", "ISBN" : "1613-9372", "ISSN" : "1613-9372", "abstract" : "This study employs the concept of structured ambivalence to analyse the effect of grandchild care on quality of life (QoL) in different cultural contexts. We define structured ambivalence as the contradiction between behaviour and cultural norms. The analysis is based on the Survey of Health, Ageing and Retirement in Europe with 14 countries in the sample. We focus on grandparents aged 50 and over with at least one grandchild 12 years old or younger (n = 12,740). In countries with high grandparent obligations, grandparents who did not look after their grandchildren reported a lower quality of life. Compliance with such grandparental obligations (e.g. providing grandchild care in a country with high grandparent obligations) was found to increase the QoL of grandparents. Family policy should consider family practices that better match the realities of current grandparents\u2019 lives in order to reduce structured ambivalence and increase the QoL of grandparents.", "author" : [ { "dropping-particle" : "", "family" : "Neuberger", "given" : "Franz S.", "non-dropping-particle" : "", "parse-names" : false, "suffix" : "" }, { "dropping-particle" : "", "family" : "Haberkern", "given" : "Klaus", "non-dropping-particle" : "", "parse-names" : false, "suffix" : "" } ], "container-title" : "European Journal of Ageing", "id" : "ITEM-2", "issue" : "2", "issued" : { "date-parts" : [ [ "2014" ] ] }, "page" : "171-181", "title" : "Structured ambivalence in grandchild care and the quality of life among European grandparents", "type" : "article-journal", "volume" : "11" }, "uris" : [ "http://www.mendeley.com/documents/?uuid=f5b5cac1-e999-4c39-a97d-1363ab276312" ] } ], "mendeley" : { "formattedCitation" : "(Neuberger and Haberkern 2014; Di Novi et al. 2015)", "plainTextFormattedCitation" : "(Neuberger and Haberkern 2014; Di Novi et al. 2015)", "previouslyFormattedCitation" : "(Neuberger and Haberkern 2014; Di Novi et al. 2015)" }, "properties" : { "noteIndex" : 0 }, "schema" : "https://github.com/citation-style-language/schema/raw/master/csl-citation.json" }</w:instrText>
      </w:r>
      <w:r w:rsidRPr="00C3671E">
        <w:fldChar w:fldCharType="separate"/>
      </w:r>
      <w:r w:rsidR="00A91559" w:rsidRPr="00C3671E">
        <w:rPr>
          <w:noProof/>
        </w:rPr>
        <w:t>(Neuberger and Haberkern 2014; Di Novi et al. 2015)</w:t>
      </w:r>
      <w:r w:rsidRPr="00C3671E">
        <w:fldChar w:fldCharType="end"/>
      </w:r>
      <w:r w:rsidRPr="00C3671E">
        <w:t>.</w:t>
      </w:r>
    </w:p>
    <w:p w14:paraId="061E12E6" w14:textId="65023215" w:rsidR="001A7940" w:rsidRPr="00C3671E" w:rsidRDefault="001A7940" w:rsidP="00F4146A">
      <w:pPr>
        <w:pStyle w:val="Newparagraph"/>
        <w:jc w:val="both"/>
      </w:pPr>
      <w:r w:rsidRPr="00C3671E">
        <w:t xml:space="preserve">This paper hypothesized that the effect of working in later life depends on economic, institutional, and cultural macro-conditions, while the analysis provides only indirect evidence of the importance of these factors. It seems that older people in regions with more intrinsic motivation to work – which is most of all Northern Europe – do not benefit from the labour </w:t>
      </w:r>
      <w:r w:rsidRPr="00C3671E">
        <w:lastRenderedPageBreak/>
        <w:t xml:space="preserve">force participation. Possibly, people from this context have intrinsic motivation and enough resources to enjoy the retirement as well </w:t>
      </w:r>
      <w:r w:rsidRPr="00C3671E">
        <w:fldChar w:fldCharType="begin" w:fldLock="1"/>
      </w:r>
      <w:r w:rsidR="00AA6335" w:rsidRPr="00C3671E">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"mendeley" : { "formattedCitation" : "(Timonen 2016)", "plainTextFormattedCitation" : "(Timonen 2016)", "previouslyFormattedCitation" : "(Timonen 2016)" }, "properties" : { "noteIndex" : 0 }, "schema" : "https://github.com/citation-style-language/schema/raw/master/csl-citation.json" }</w:instrText>
      </w:r>
      <w:r w:rsidRPr="00C3671E">
        <w:fldChar w:fldCharType="separate"/>
      </w:r>
      <w:r w:rsidRPr="00C3671E">
        <w:rPr>
          <w:noProof/>
        </w:rPr>
        <w:t>(Timonen 2016)</w:t>
      </w:r>
      <w:r w:rsidRPr="00C3671E">
        <w:fldChar w:fldCharType="end"/>
      </w:r>
      <w:r w:rsidRPr="00C3671E">
        <w:t xml:space="preserve">. More available early retirement in Western and Southern Europe also does not explain the differences among regions. Therefore, the positive effect of working in Southern Europe and Post-communist countries can be a result of an unsatisfactory income in retirement (this factor cannot be used for matching, as income in retirement is incomparable with wages). This explanation is supported by a) a higher need to work due to financial reasons in these regions </w:t>
      </w:r>
      <w:r w:rsidRPr="00C3671E">
        <w:fldChar w:fldCharType="begin" w:fldLock="1"/>
      </w:r>
      <w:r w:rsidR="00AA6335" w:rsidRPr="00C3671E">
        <w:instrText>ADDIN CSL_CITATION { "citationItems" : [ { "id" : "ITEM-1", "itemData" : { "DOI" : "10.4017/gt.2011.10.01.014.00", "ISBN" : "9789279215070", "ISSN" : "1569-111X", "abstract" : "In response to the demographic challenge which all EU Member States are facing, the European Union has designated 2012 as the European Year for Active Ageing and Solidarity between Generations. Active ageing is defined by the World Health Organisation as the process of optimising opportunities for health, participation and security in order to enhance quality of life as people age. Eurostat is marking the European Year 2012 by presenting in this book statistics on topics related to Active Ageing and Solidarity between Generations, such as demography, healthcare, pensions, volunteering and adult learning. Tis publication has been produced in collaboration with the Directorate-General for Employment, Social Affairs and Inclusion and Eurofound, the European Foundation for the Improvement of Living and Working Conditions.", "author" : [ { "dropping-particle" : "", "family" : "Eurostat", "given" : "", "non-dropping-particle" : "", "parse-names" : false, "suffix" : "" } ], "id" : "ITEM-1", "issued" : { "date-parts" : [ [ "2012" ] ] }, "number-of-pages" : "147", "title" : "Active ageing and solidarity between generations", "type" : "book" }, "uris" : [ "http://www.mendeley.com/documents/?uuid=1dd08e23-fc88-436d-8418-971846dbc156" ] } ], "mendeley" : { "formattedCitation" : "(Eurostat 2012)", "manualFormatting" : "(Eurostat 2012; Hof\u00e4cker and Naumann 2015)", "plainTextFormattedCitation" : "(Eurostat 2012)", "previouslyFormattedCitation" : "(Eurostat 2012)" }, "properties" : { "noteIndex" : 0 }, "schema" : "https://github.com/citation-style-language/schema/raw/master/csl-citation.json" }</w:instrText>
      </w:r>
      <w:r w:rsidRPr="00C3671E">
        <w:fldChar w:fldCharType="separate"/>
      </w:r>
      <w:r w:rsidRPr="00C3671E">
        <w:rPr>
          <w:noProof/>
        </w:rPr>
        <w:t xml:space="preserve">(Eurostat 2012; </w:t>
      </w:r>
      <w:r w:rsidRPr="00C3671E">
        <w:rPr>
          <w:noProof/>
          <w:lang w:eastAsia="zh-CN"/>
        </w:rPr>
        <w:t>Hofäcker and Naumann 2015</w:t>
      </w:r>
      <w:r w:rsidRPr="00C3671E">
        <w:rPr>
          <w:noProof/>
        </w:rPr>
        <w:t>)</w:t>
      </w:r>
      <w:r w:rsidRPr="00C3671E">
        <w:fldChar w:fldCharType="end"/>
      </w:r>
      <w:r w:rsidRPr="00C3671E">
        <w:t xml:space="preserve"> and b) beneficial effect of working on control over life and pleasure rather than autonomy and self-realization from the estimated factors of QoL.</w:t>
      </w:r>
    </w:p>
    <w:p w14:paraId="4AC7B1F5" w14:textId="45C5D54C" w:rsidR="001A7940" w:rsidRPr="00C3671E" w:rsidRDefault="001A7940" w:rsidP="00F4146A">
      <w:pPr>
        <w:pStyle w:val="Newparagraph"/>
        <w:jc w:val="both"/>
      </w:pPr>
      <w:r w:rsidRPr="00C3671E">
        <w:rPr>
          <w:i/>
        </w:rPr>
        <w:t xml:space="preserve">Importance of income </w:t>
      </w:r>
      <w:r w:rsidRPr="00C3671E">
        <w:t xml:space="preserve">is likely to </w:t>
      </w:r>
      <w:r w:rsidRPr="00C3671E">
        <w:rPr>
          <w:i/>
        </w:rPr>
        <w:t>explain the regional differences in the effect of working</w:t>
      </w:r>
      <w:r w:rsidRPr="00C3671E">
        <w:t xml:space="preserve">. This rather denies a statement ‘that well-being in later life is associated not with social engagement per se but with engagement in activities that an individual chooses freely and finds meaningful’ </w:t>
      </w:r>
      <w:r w:rsidRPr="00C3671E">
        <w:fldChar w:fldCharType="begin" w:fldLock="1"/>
      </w:r>
      <w:r w:rsidR="001257AA" w:rsidRPr="00C3671E">
        <w:instrText>ADDIN CSL_CITATION { "citationItems" : [ { "id" : "ITEM-1", "itemData" : { "DOI" : "10.1017/S0714980811000675", "ISBN" : "0714980811", "ISSN" : "0714-9808", "PMID" : "22373781", "abstract" : "Although some studies have confirmed positive associations between social engagement and well-being in later life, this study aimed to understand why some seniors cannot be engaged. The authors analyzed the lived experiences of 89 seniors in three rural communities in Canada, from semi-structured interviews and using the constant comparison method. Five factors make choices for social engagement in later life unequal among older adults who differ by gender, class, age, and health status. Profound engagement in care work, compulsory altruism, personal resources, objectively perceived and subjectively available engagement opportunities, and ageist barriers around paid work constrain choices for seniors who lack privilege in the context of a market economy, particularly for low-income older women. To avoid stigmatizing vulnerable older persons, societal barriers to meaningful activities must be addressed - for example, through provision of income security or by reversing inter- and intragenerational ageism in access to the labor market.", "author" : [ { "dropping-particle" : "", "family" : "Rozanova", "given" : "Julia", "non-dropping-particle" : "", "parse-names" : false, "suffix" : "" }, { "dropping-particle" : "", "family" : "Keating", "given" : "Norah", "non-dropping-particle" : "", "parse-names" : false, "suffix" : "" }, { "dropping-particle" : "", "family" : "Eales", "given" : "Jacquie", "non-dropping-particle" : "", "parse-names" : false, "suffix" : "" } ], "container-title" : "Canadian Journal on Aging / La Revue canadienne du vieillissement", "id" : "ITEM-1", "issue" : "01", "issued" : { "date-parts" : [ [ "2012" ] ] }, "note" : "Rozanova et al. 2012: Unequal Social Engagement for Older Adults: Constraints on Choice\nconcerns of social costs of ageing \u2192 ageing well perspective\ncritics emphasize the normative expectations this assumption carries \u2013 that those who are not well in later life may have themselves to blame because they haven\u2019t been sufficiently engaged (Katz, 2000 ; Laliberte-Rudman, 2006 )\nwell-being in later life is associated not with social engagement per se but with engagement in activities that an individual chooses freely and fi nds meaningful (Chapman, 2005 ; Katz, 2000 )\nJulia Rozanova et al.\naffected both by older individuals\u2019 personal character- istics and by community contexts. Researchers have noted that one important aspect in which rural com- munities may differ from urban areas is their lack of anonymity coupled with a tight-knit character (Keating, Swindle, &amp;amp; Fletcher, 2011 ). This aspect may facilitate the maintenance of social connectedness but at the same time block social engagement for some older individuals. For example, those who moved into the community as newcomers are typically viewed with some suspicion until they prove themselves in some way (Garland &amp;amp; Chakraborti, 2006 ). Other factors having an impact on social-engagement opportunities for rural older adults are the remoteness of some rural Canadian communities, a dwindling economy, and disparities of service infrastructure (Keating &amp;amp; Phillips, 2008 ).\nReview of the Literature Social Engagement of Older Adults\nSurvival through social engagement through activities that have a social component and are per- formed in relation to other people (Maier &amp;amp; Klumb, 2005 )\nsocial engagement may be affected by both structural inequalities and contextual factors\nthe lived experiences of 89 seniors in three rural communities in Canada from semi-structured interviews\nProfound engagement in care work, compulsory altruism, personal resources, objectively perceived and subjectively available engagement opportunities, and ageist barriers around paid work constrain choices especially for low-income older women\nsocietal barriers to meaningful activities must be addressed \u2013 through provision of income security or by reversing inter- and intragenerational ageism", "page" : "25-36", "title" : "Unequal Social Engagement for Older Adults: Constraints on Choice", "type" : "article-journal", "volume" : "31" }, "uris" : [ "http://www.mendeley.com/documents/?uuid=354042a3-40e3-4309-bec8-99c0941f3571" ] } ], "mendeley" : { "formattedCitation" : "(Rozanova et al. 2012)", "manualFormatting" : "(Rozanova, Keating, and Eales 2012", "plainTextFormattedCitation" : "(Rozanova et al. 2012)", "previouslyFormattedCitation" : "(Rozanova et al. 2012)" }, "properties" : { "noteIndex" : 0 }, "schema" : "https://github.com/citation-style-language/schema/raw/master/csl-citation.json" }</w:instrText>
      </w:r>
      <w:r w:rsidRPr="00C3671E">
        <w:fldChar w:fldCharType="separate"/>
      </w:r>
      <w:r w:rsidRPr="00C3671E">
        <w:rPr>
          <w:noProof/>
        </w:rPr>
        <w:t>(Rozanova, Keating, and Eales 2012</w:t>
      </w:r>
      <w:r w:rsidRPr="00C3671E">
        <w:fldChar w:fldCharType="end"/>
      </w:r>
      <w:r w:rsidRPr="00C3671E">
        <w:t xml:space="preserve">: 26) and supports a priority of material needs in case they are not fulfilled </w:t>
      </w:r>
      <w:r w:rsidRPr="00C3671E">
        <w:fldChar w:fldCharType="begin" w:fldLock="1"/>
      </w:r>
      <w:r w:rsidR="001257AA" w:rsidRPr="00C3671E">
        <w:instrText>ADDIN CSL_CITATION { "citationItems" : [ { "id" : "ITEM-1", "itemData" : { "DOI" : "10.1037/h0054346", "ISBN" : "0033-295X", "ISSN" : "0033-295X", "PMID" : "16618263", "abstract" : "The present paper is an attempt to formulate a positive theory of motivation which will satisfy these theoretical de- mands and at the same time conform to the known facts , clinical and observational as well as experimental . It derives most directly , however , from clinical experience . This theory is , I think , in the functionalist tradition of James and Dewey , and is fused with the holism of Wertheimer ( IQ ), Goldstein ( 6 ), and Gestalt Psychology , and with the dynamicism of Freud ( 4 ) and Adler ( i ). This fusion or synthesis may arbi- trarily be called a ' general-dynamic ' theory . It is far easier to perceive and to criticize the aspects in motivation theory than to remedy them . Mostly this is be- cause of the very serious lack of sound data in this area . I conceive this lack of sound facts to be due primarily to the absence of a valid theory of motivation . The present theory then must be considered to be a suggested program or frame- work for future research and must stand or fall , not so much on facts available or evidence presented , as upon researches yet to be done , researches suggested perhaps , by the questions raised in this paper .", "author" : [ { "dropping-particle" : "", "family" : "Maslow", "given" : "A. H.", "non-dropping-particle" : "", "parse-names" : false, "suffix" : "" } ], "container-title" : "Psychological Review", "id" : "ITEM-1", "issue" : "4", "issued" : { "date-parts" : [ [ "1943" ] ] }, "page" : "370-396", "title" : "A theory of human motivation", "type" : "article-journal", "volume" : "50" }, "uris" : [ "http://www.mendeley.com/documents/?uuid=2a3ae72f-f7ce-4b2b-bf16-219eea11c982" ] }, { "id" : "ITEM-2", "itemData" : { "DOI" : "10.2307/1953494", "ISBN" : "0003-0554", "ISSN" : "0003-0554", "abstract" : "A transformation of basic political priorities may be taking place in Western Europe. I hypothesize: (1) that people have a variety of needs which are given high or low priority according to their degree of fulfillment: people act on behalf of their most important unsatisfied need, giving relatively little attention to needs already satisfied\u2014except that (2) people tend to retain the value priorities adopted in their formative years throughout adult life. In contemporary Western Europe, needs for physical safety and economic security are relatively well satisfied for an unprecedentedly large share of the population. Younger, more affluent groups have been formed entirely under these conditions, and seem relatively likely to give top priority to fulfillment of needs which remain secondary to the older and less affluent majority of the population. Needs for belonging and intellectual and esthetic self-fulfillment (characterized as \u201cpost-bourgeois\u201d values) may take top priorities among the former group. Survey data from six countries indicate that the value priorities of the more affluent postwar group do contrast with those of groups raised under conditions of lesser economic and physical security. National patterns of value priorities correspond to the given nation's economic history, moreover, suggesting that the age-group differences reflect the persistence of preadult experiences, rather than life cycle effects. The distinctive value priorities imply distinctive political behavior\u2014being empirically linked with preferences for specific political issues and political parties in a predictable fashion. If the respective age cohorts retain their present value priorities, we would expect long-term shifts in the political goals and patterns of political partisanship prevailing in these societies.", "author" : [ { "dropping-particle" : "", "family" : "Inglehart", "given" : "Ronald", "non-dropping-particle" : "", "parse-names" : false, "suffix" : "" } ], "container-title" : "American Political Science Review", "id" : "ITEM-2", "issue" : "04", "issued" : { "date-parts" : [ [ "1971" ] ] }, "page" : "991-1017", "title" : "The Silent Revolution in Europe: Intergenerational Change in Post-Industrial Societies", "type" : "article-journal", "volume" : "65" }, "uris" : [ "http://www.mendeley.com/documents/?uuid=995a80df-4db1-4892-ad87-a25d40a0763b" ] }, { "id" : "ITEM-3", "itemData" : { "author" : [ { "dropping-particle" : "", "family" : "Inglehart", "given" : "Ronald", "non-dropping-particle" : "", "parse-names" : false, "suffix" : "" } ], "id" : "ITEM-3", "issued" : { "date-parts" : [ [ "1990" ] ] }, "publisher" : "Princeton University Press", "publisher-place" : "Princeton", "title" : "Culture Shift in Advanced Industrial Society", "type" : "book" }, "uris" : [ "http://www.mendeley.com/documents/?uuid=25dc8f63-d26d-432e-8cdc-a1a2c72d612c" ] } ], "mendeley" : { "formattedCitation" : "(Inglehart 1971, 1990; Maslow 1943)", "plainTextFormattedCitation" : "(Inglehart 1971, 1990; Maslow 1943)", "previouslyFormattedCitation" : "(Inglehart 1971, 1990; Maslow 1943)" }, "properties" : { "noteIndex" : 0 }, "schema" : "https://github.com/citation-style-language/schema/raw/master/csl-citation.json" }</w:instrText>
      </w:r>
      <w:r w:rsidRPr="00C3671E">
        <w:fldChar w:fldCharType="separate"/>
      </w:r>
      <w:r w:rsidR="00A91559" w:rsidRPr="00C3671E">
        <w:rPr>
          <w:noProof/>
        </w:rPr>
        <w:t>(Inglehart 1971, 1990; Maslow 1943)</w:t>
      </w:r>
      <w:r w:rsidRPr="00C3671E">
        <w:fldChar w:fldCharType="end"/>
      </w:r>
      <w:r w:rsidRPr="00C3671E">
        <w:t xml:space="preserve">. More importantly, such conclusion would have some implications for the active ageing approach, which presents prolonged labour force participation as a source of higher QoL </w:t>
      </w:r>
      <w:r w:rsidRPr="00C3671E">
        <w:fldChar w:fldCharType="begin" w:fldLock="1"/>
      </w:r>
      <w:r w:rsidR="001257AA" w:rsidRPr="00C3671E">
        <w:instrText>ADDIN CSL_CITATION { "citationItems" : [ { "id" : "ITEM-1", "itemData" : { "ISBN" : "9789287152404", "abstract" : "Foreword\\n\\nThe Council of Europe has a long tradition of producing population studies, and the work of the European Population Committee contributes to the understanding of the relationship between social policy and demographic issues in Europe. The findings of this work are published in the series Population studies, where topics covered include migration flows, national minorities, demographic\\nchanges and the labour market, the ageing of European populations and the demographic consequences of economic transition. These publications provide essential background information for implementing the Council of Europe\u2019s strategy for social cohesion: an integrated policy approach aimed at combating poverty and social exclusion through promoting access to social rights in areas\\nsuch as employment and training, health, social protection, housing, education and social services.\\n\\nThis volume takes as its starting point the changing age structure in European countries. This is characterised by the increase in the number of elderly persons and the decrease in the young and working populations. It reviews the demographic differences between European countries. The authors note that improved living conditions and effective health and social policies mean that the majority of younger elderly Europeans reach the third age in relatively good health and under conditions of some income security. They point out\\nthat whilst the effective age at retirement has been declining, it is only a minority of elderly people who use their free time in an active manner.\\n\\nThe authors examine the different public policy approaches and individual strategies developed in response to these societal changes and they make wide-ranging policy proposals for the development of active ageing strategies which address issues of employment, health, leisure and social cohesion.", "author" : [ { "dropping-particle" : "", "family" : "Avramov", "given" : "Dragana", "non-dropping-particle" : "", "parse-names" : false, "suffix" : "" }, { "dropping-particle" : "", "family" : "Maskova", "given" : "Miroslava", "non-dropping-particle" : "", "parse-names" : false, "suffix" : "" } ], "container-title" : "Population studies", "id" : "ITEM-1", "issue" : "41", "issued" : { "date-parts" : [ [ "2003" ] ] }, "number-of-pages" : "1-152", "publisher" : "Council of Europe Publishing", "publisher-place" : "Strasbourg", "title" : "Active ageing in Europe", "type" : "book", "volume" : "1" }, "uris" : [ "http://www.mendeley.com/documents/?uuid=7db55846-516c-430d-834c-164bd53456b9" ] }, { "id" : "ITEM-2", "itemData" : { "author" : [ { "dropping-particle" : "", "family" : "EU Council", "given" : "", "non-dropping-particle" : "", "parse-names" : false, "suffix" : "" } ], "id" : "ITEM-2", "issued" : { "date-parts" : [ [ "2012" ] ] }, "publisher" : "EU Council", "publisher-place" : "Brussels", "title" : "Council Declaration on the European Year for Active Ageing and Solidarity between Generations (2012): The Way Forward", "type" : "book" }, "uris" : [ "http://www.mendeley.com/documents/?uuid=bc232528-fad4-4b15-bede-b113103dbe49" ] }, { "id" : "ITEM-3", "itemData" : { "author" : [ { "dropping-particle" : "", "family" : "European Commission", "given" : "", "non-dropping-particle" : "", "parse-names" : false, "suffix" : "" } ], "id" : "ITEM-3", "issued" : { "date-parts" : [ [ "2013" ] ] }, "publisher" : "European Comission", "publisher-place" : "Brussels", "title" : "Introducing the Active Ageing Index. Policy brief", "type" : "book" }, "uris" : [ "http://www.mendeley.com/documents/?uuid=15ea840e-806d-4ce4-88d2-b847e7b3756b" ] } ], "mendeley" : { "formattedCitation" : "(Avramov and Maskova 2003; EU Council 2012; European Commission 2013)", "plainTextFormattedCitation" : "(Avramov and Maskova 2003; EU Council 2012; European Commission 2013)", "previouslyFormattedCitation" : "(Avramov and Maskova 2003; EU Council 2012; European Commission 2013)" }, "properties" : { "noteIndex" : 0 }, "schema" : "https://github.com/citation-style-language/schema/raw/master/csl-citation.json" }</w:instrText>
      </w:r>
      <w:r w:rsidRPr="00C3671E">
        <w:fldChar w:fldCharType="separate"/>
      </w:r>
      <w:r w:rsidR="00A91559" w:rsidRPr="00C3671E">
        <w:rPr>
          <w:noProof/>
        </w:rPr>
        <w:t>(Avramov and Maskova 2003; EU Council 2012; European Commission 2013)</w:t>
      </w:r>
      <w:r w:rsidRPr="00C3671E">
        <w:fldChar w:fldCharType="end"/>
      </w:r>
      <w:r w:rsidRPr="00C3671E">
        <w:t xml:space="preserve">. The results suggest that this is true in Southern Europe and Post-communist countries, but probably only due to a provision of more satisfactory income. In that case, the prolonged careers would improve QoL only in a situation of an inadequate amount of pension/savings. This assumption may become increasingly relevant throughout Europe, if the privatization of pension systems proceeds </w:t>
      </w:r>
      <w:r w:rsidRPr="00C3671E">
        <w:fldChar w:fldCharType="begin" w:fldLock="1"/>
      </w:r>
      <w:r w:rsidR="001257AA" w:rsidRPr="00C3671E">
        <w:instrText>ADDIN CSL_CITATION { "citationItems" : [ { "id" : "ITEM-1", "itemData" : { "author" : [ { "dropping-particle" : "", "family" : "Ebbinghaus", "given" : "Bernhard", "non-dropping-particle" : "", "parse-names" : false, "suffix" : "" } ], "chapter-number" : "9", "container-title" : "The politics of the New Welfare State", "editor" : [ { "dropping-particle" : "", "family" : "Bonoli", "given" : "Giuliano", "non-dropping-particle" : "", "parse-names" : false, "suffix" : "" } ], "id" : "ITEM-1", "issued" : { "date-parts" : [ [ "2012" ] ] }, "page" : "182-205", "publisher" : "Oxford University Press", "publisher-place" : "Oxford", "title" : "Europe\u2019s transformations towards a renewed pension system", "type" : "chapter" }, "uris" : [ "http://www.mendeley.com/documents/?uuid=5eb677ee-d907-44b8-a1ab-ea7c18ca7df3" ] }, { "id" : "ITEM-2", "itemData" : { "author" : [ { "dropping-particle" : "", "family" : "Kohli", "given" : "Martin", "non-dropping-particle" : "", "parse-names" : false, "suffix" : "" }, { "dropping-particle" : "", "family" : "Arza", "given" : "Camila", "non-dropping-particle" : "", "parse-names" : false, "suffix" : "" } ], "chapter-number" : "18", "container-title" : "Handbook of Aging and the Social Sciences", "editor" : [ { "dropping-particle" : "", "family" : "Binstock", "given" : "Robert H", "non-dropping-particle" : "", "parse-names" : false, "suffix" : "" }, { "dropping-particle" : "", "family" : "George", "given" : "Linda K", "non-dropping-particle" : "", "parse-names" : false, "suffix" : "" } ], "id" : "ITEM-2", "issued" : { "date-parts" : [ [ "2010" ] ] }, "page" : "251-264", "publisher" : "Academic Press", "publisher-place" : "London", "title" : "The Political Economy of Pension Reform in Europe", "type" : "chapter" }, "uris" : [ "http://www.mendeley.com/documents/?uuid=53338c01-2125-4895-84aa-c67491e38393" ] } ], "mendeley" : { "formattedCitation" : "(Ebbinghaus 2012b; Kohli and Arza 2010)", "plainTextFormattedCitation" : "(Ebbinghaus 2012b; Kohli and Arza 2010)", "previouslyFormattedCitation" : "(Ebbinghaus 2012b; Kohli and Arza 2010)" }, "properties" : { "noteIndex" : 0 }, "schema" : "https://github.com/citation-style-language/schema/raw/master/csl-citation.json" }</w:instrText>
      </w:r>
      <w:r w:rsidRPr="00C3671E">
        <w:fldChar w:fldCharType="separate"/>
      </w:r>
      <w:r w:rsidR="00A91559" w:rsidRPr="00C3671E">
        <w:rPr>
          <w:noProof/>
        </w:rPr>
        <w:t>(Ebbinghaus 2012b; Kohli and Arza 2010)</w:t>
      </w:r>
      <w:r w:rsidRPr="00C3671E">
        <w:fldChar w:fldCharType="end"/>
      </w:r>
      <w:r w:rsidRPr="00C3671E">
        <w:t xml:space="preserve">. Ultimately, ‘the increased reliance on employment-related or defined-contribution benefits will increase the risk of poverty and increase inequality in old age’ </w:t>
      </w:r>
      <w:r w:rsidRPr="00C3671E">
        <w:fldChar w:fldCharType="begin" w:fldLock="1"/>
      </w:r>
      <w:r w:rsidR="001257AA" w:rsidRPr="00C3671E">
        <w:instrText>ADDIN CSL_CITATION { "citationItems" : [ { "id" : "ITEM-1", "itemData" : { "author" : [ { "dropping-particle" : "", "family" : "Ebbinghaus", "given" : "Bernhard", "non-dropping-particle" : "", "parse-names" : false, "suffix" : "" } ], "chapter-number" : "9", "container-title" : "The politics of the New Welfare State", "editor" : [ { "dropping-particle" : "", "family" : "Bonoli", "given" : "Giuliano", "non-dropping-particle" : "", "parse-names" : false, "suffix" : "" } ], "id" : "ITEM-1", "issued" : { "date-parts" : [ [ "2012" ] ] }, "page" : "182-205", "publisher" : "Oxford University Press", "publisher-place" : "Oxford", "title" : "Europe\u2019s transformations towards a renewed pension system", "type" : "chapter" }, "uris" : [ "http://www.mendeley.com/documents/?uuid=5eb677ee-d907-44b8-a1ab-ea7c18ca7df3" ] } ], "mendeley" : { "formattedCitation" : "(Ebbinghaus 2012b)", "manualFormatting" : "(Ebbinghaus 2012", "plainTextFormattedCitation" : "(Ebbinghaus 2012b)", "previouslyFormattedCitation" : "(Ebbinghaus 2012b)" }, "properties" : { "noteIndex" : 0 }, "schema" : "https://github.com/citation-style-language/schema/raw/master/csl-citation.json" }</w:instrText>
      </w:r>
      <w:r w:rsidRPr="00C3671E">
        <w:fldChar w:fldCharType="separate"/>
      </w:r>
      <w:r w:rsidRPr="00C3671E">
        <w:rPr>
          <w:noProof/>
        </w:rPr>
        <w:t>(Ebbinghaus 2012</w:t>
      </w:r>
      <w:r w:rsidRPr="00C3671E">
        <w:fldChar w:fldCharType="end"/>
      </w:r>
      <w:r w:rsidRPr="00C3671E">
        <w:t xml:space="preserve">: 3). This inequality based rather on class than prolonged employment may </w:t>
      </w:r>
      <w:r w:rsidRPr="00C3671E">
        <w:lastRenderedPageBreak/>
        <w:t xml:space="preserve">be more present in the whole Europe, and thus </w:t>
      </w:r>
      <w:r w:rsidRPr="00C3671E">
        <w:rPr>
          <w:i/>
          <w:lang w:eastAsia="zh-CN"/>
        </w:rPr>
        <w:t>satisfactory conditions of retirement should be an aim complementary to working incentives for those, who are willing and able to work longer.</w:t>
      </w:r>
    </w:p>
    <w:p w14:paraId="6A02EAE1" w14:textId="77777777" w:rsidR="001A7940" w:rsidRPr="00C3671E" w:rsidRDefault="001A7940" w:rsidP="00F4146A">
      <w:pPr>
        <w:pStyle w:val="Newparagraph"/>
        <w:jc w:val="both"/>
      </w:pPr>
      <w:r w:rsidRPr="00C3671E">
        <w:t>The conclusions of this study are limited in several ways. The first group of limitations concerns limitations of propensity score matching method: a) propensity score matching matches only on variables included in the predictive model; hopefully, the most important confounders are present in the analysis, although some loss of information is inevitable, b) the method reduces sample significantly, and thus makes the sample less representative – this is to some degree addressed by two different types of matching and constructing comparable groups of workers and retirees. The second group of limitations is related to the fact that the macro-effects cannot be directly observed in this study. The effort to distinguish interrelated effects of economic, institutional, and cultural factors is based more on thought experiments than on the ability to distinguish them in the data. Thus, their interpretation should be taken with caution and the illustrated existence of the regional differences is more an inspiration for a future research.</w:t>
      </w:r>
    </w:p>
    <w:p w14:paraId="36AA9A70" w14:textId="26FB01B9" w:rsidR="001A7940" w:rsidRPr="00C3671E" w:rsidRDefault="001A7940" w:rsidP="007E6D8E">
      <w:pPr>
        <w:pStyle w:val="Nadpis1"/>
        <w:spacing w:line="480" w:lineRule="auto"/>
        <w:rPr>
          <w:sz w:val="20"/>
          <w:szCs w:val="20"/>
          <w:lang w:val="en-GB"/>
        </w:rPr>
      </w:pPr>
      <w:r w:rsidRPr="00C3671E">
        <w:rPr>
          <w:lang w:val="en-GB"/>
        </w:rPr>
        <w:br w:type="page"/>
      </w:r>
      <w:bookmarkStart w:id="43" w:name="_Toc512687750"/>
      <w:r w:rsidR="00C004DA" w:rsidRPr="00C3671E">
        <w:rPr>
          <w:sz w:val="36"/>
          <w:szCs w:val="36"/>
          <w:lang w:val="en-GB" w:eastAsia="zh-CN"/>
        </w:rPr>
        <w:lastRenderedPageBreak/>
        <w:t>Chapter 4: I</w:t>
      </w:r>
      <w:r w:rsidRPr="00C3671E">
        <w:rPr>
          <w:sz w:val="36"/>
          <w:szCs w:val="36"/>
          <w:lang w:val="en-GB" w:eastAsia="zh-CN"/>
        </w:rPr>
        <w:t>s Providing Informal Care a Path to Meaningful and Satisfying Ageing?</w:t>
      </w:r>
      <w:bookmarkEnd w:id="43"/>
    </w:p>
    <w:p w14:paraId="49F39341" w14:textId="7BB02913" w:rsidR="001A7940" w:rsidRDefault="001A7940" w:rsidP="00F4146A">
      <w:pPr>
        <w:suppressAutoHyphens/>
        <w:spacing w:line="480" w:lineRule="auto"/>
        <w:jc w:val="both"/>
        <w:rPr>
          <w:lang w:val="en-GB" w:eastAsia="zh-CN"/>
        </w:rPr>
      </w:pPr>
      <w:r w:rsidRPr="00C3671E">
        <w:rPr>
          <w:b/>
          <w:lang w:val="en-GB" w:eastAsia="zh-CN"/>
        </w:rPr>
        <w:t>Abstract:</w:t>
      </w:r>
      <w:r w:rsidRPr="00C3671E">
        <w:rPr>
          <w:lang w:val="en-GB" w:eastAsia="zh-CN"/>
        </w:rPr>
        <w:t xml:space="preserve"> This study examines the relationship between the provision of informal care and three specific feelings important in later life – loneliness, meaningfulness of life, and overload. The paper contributes to the research of this frequently studied topic through examining effects of the intensity and multiplicity of care as well as the availability of formal care at the national level to consider the complexity and context-dependence of the effect of caregiving. Data from the Survey of Health, Ageing and Retirement in Europe for 14 countries is analysed using multilevel ordinal logistic regression. The general effect of providing care is enhancing and this effect is even more pronounced for multiple caregiving. However, this beneficial </w:t>
      </w:r>
      <w:r w:rsidRPr="00F4146A">
        <w:rPr>
          <w:rFonts w:eastAsia="Calibri"/>
          <w:lang w:val="en-GB" w:eastAsia="en-US"/>
        </w:rPr>
        <w:t>effect</w:t>
      </w:r>
      <w:r w:rsidRPr="00C3671E">
        <w:rPr>
          <w:lang w:val="en-GB" w:eastAsia="zh-CN"/>
        </w:rPr>
        <w:t xml:space="preserve"> is weak or non-existent for very intensive care. Further, higher availability of formal care is beneficial, but the positive association between caregiving and quality of life is strengthened by this macro-factor only for less intensive care.  Overall, the theory of role accumulation is more suitable to explain the provision of care at older ages than the theory of role strain, but available formal care is a suitable complement for situations in which the burden of caregiving is too high.</w:t>
      </w:r>
    </w:p>
    <w:p w14:paraId="3024C8AC" w14:textId="77777777" w:rsidR="00F4146A" w:rsidRPr="00C3671E" w:rsidRDefault="00F4146A" w:rsidP="00F4146A">
      <w:pPr>
        <w:suppressAutoHyphens/>
        <w:spacing w:line="480" w:lineRule="auto"/>
        <w:jc w:val="both"/>
        <w:rPr>
          <w:lang w:val="en-GB" w:eastAsia="zh-CN"/>
        </w:rPr>
      </w:pPr>
    </w:p>
    <w:p w14:paraId="2064F2EA" w14:textId="77777777" w:rsidR="001A7940" w:rsidRPr="00C3671E" w:rsidRDefault="001A7940" w:rsidP="005E32BB">
      <w:pPr>
        <w:pStyle w:val="Paragraph"/>
        <w:rPr>
          <w:lang w:eastAsia="zh-CN"/>
        </w:rPr>
      </w:pPr>
      <w:r w:rsidRPr="00C3671E">
        <w:rPr>
          <w:b/>
          <w:lang w:eastAsia="zh-CN"/>
        </w:rPr>
        <w:t>Keywords:</w:t>
      </w:r>
      <w:r w:rsidRPr="00C3671E">
        <w:rPr>
          <w:lang w:eastAsia="zh-CN"/>
        </w:rPr>
        <w:t xml:space="preserve"> caregiving; quality of life; active ageing; SHARE; cross-national research</w:t>
      </w:r>
    </w:p>
    <w:p w14:paraId="5BC7CDBA" w14:textId="77777777" w:rsidR="001A7940" w:rsidRPr="00C3671E" w:rsidRDefault="001A7940" w:rsidP="007E6D8E">
      <w:pPr>
        <w:pStyle w:val="Nadpis2"/>
        <w:spacing w:line="480" w:lineRule="auto"/>
        <w:rPr>
          <w:lang w:val="en-GB" w:eastAsia="zh-CN"/>
        </w:rPr>
      </w:pPr>
      <w:r w:rsidRPr="00C3671E">
        <w:rPr>
          <w:kern w:val="1"/>
          <w:sz w:val="24"/>
          <w:szCs w:val="32"/>
          <w:lang w:val="en-GB" w:eastAsia="zh-CN"/>
        </w:rPr>
        <w:br w:type="page"/>
      </w:r>
      <w:bookmarkStart w:id="44" w:name="_Toc512687751"/>
      <w:r w:rsidRPr="00C3671E">
        <w:rPr>
          <w:sz w:val="26"/>
          <w:szCs w:val="26"/>
          <w:lang w:val="en-GB"/>
        </w:rPr>
        <w:lastRenderedPageBreak/>
        <w:t>Introduction</w:t>
      </w:r>
      <w:bookmarkEnd w:id="44"/>
    </w:p>
    <w:p w14:paraId="1B2C46CB" w14:textId="734DC77C" w:rsidR="001A7940" w:rsidRPr="00C3671E" w:rsidRDefault="001A7940" w:rsidP="00F4146A">
      <w:pPr>
        <w:suppressAutoHyphens/>
        <w:spacing w:line="480" w:lineRule="auto"/>
        <w:jc w:val="both"/>
        <w:rPr>
          <w:lang w:val="en-GB" w:eastAsia="zh-CN"/>
        </w:rPr>
      </w:pPr>
      <w:r w:rsidRPr="00F4146A">
        <w:rPr>
          <w:rFonts w:eastAsia="Calibri"/>
          <w:lang w:val="en-GB" w:eastAsia="en-US"/>
        </w:rPr>
        <w:t>Almost</w:t>
      </w:r>
      <w:r w:rsidRPr="00C3671E">
        <w:rPr>
          <w:lang w:val="en-GB" w:eastAsia="zh-CN"/>
        </w:rPr>
        <w:t xml:space="preserve"> every population around the world is currently ageing, due to the demographic transition from high fertility and high mortality to low fertility and low mortality </w:t>
      </w:r>
      <w:r w:rsidRPr="00C3671E">
        <w:rPr>
          <w:lang w:val="en-GB" w:eastAsia="zh-CN"/>
        </w:rPr>
        <w:fldChar w:fldCharType="begin" w:fldLock="1"/>
      </w:r>
      <w:r w:rsidR="00AA6335" w:rsidRPr="00C3671E">
        <w:rPr>
          <w:lang w:val="en-GB" w:eastAsia="zh-CN"/>
        </w:rPr>
        <w:instrText>ADDIN CSL_CITATION { "citationItems" : [ { "id" : "ITEM-1", "itemData" : { "DOI" : "10.1016/j.ssci.2009.10.008", "ISBN" : "978-0-335-22269-8", "ISSN" : "1544-7529", "PMID" : "20762", "abstract" : "This book aims to convince readers that ageing is not boring, threatening or depressing, but that it has enormous relevance for the young and the old alike. Virpi Timonen provides an engaging introduction to the central social, economic and political aspects and impacts of ageing and makes the case for the importance of analysing ageing from a number of different perspectives. Using comparative international data, the author provides a detailed description of the process of population ageing, including increasing longevity, changes in fertility and variations in the health status of older populations", "author" : [ { "dropping-particle" : "", "family" : "Timonen", "given" : "Virpi", "non-dropping-particle" : "", "parse-names" : false, "suffix" : "" } ], "id" : "ITEM-1", "issued" : { "date-parts" : [ [ "2008" ] ] }, "publisher" : "Open University Press", "publisher-place" : "Maidenhead", "title" : "Ageing societies: A comparative introduction", "type" : "book" }, "uris" : [ "http://www.mendeley.com/documents/?uuid=62ec3e51-def8-4a0a-8206-06ee230cbb1a" ] } ], "mendeley" : { "formattedCitation" : "(Timonen 2008)", "plainTextFormattedCitation" : "(Timonen 2008)", "previouslyFormattedCitation" : "(Timonen 2008)" }, "properties" : { "noteIndex" : 0 }, "schema" : "https://github.com/citation-style-language/schema/raw/master/csl-citation.json" }</w:instrText>
      </w:r>
      <w:r w:rsidRPr="00C3671E">
        <w:rPr>
          <w:lang w:val="en-GB" w:eastAsia="zh-CN"/>
        </w:rPr>
        <w:fldChar w:fldCharType="separate"/>
      </w:r>
      <w:r w:rsidRPr="00C3671E">
        <w:rPr>
          <w:noProof/>
          <w:lang w:val="en-GB" w:eastAsia="zh-CN"/>
        </w:rPr>
        <w:t>(Timonen 2008)</w:t>
      </w:r>
      <w:r w:rsidRPr="00C3671E">
        <w:rPr>
          <w:lang w:val="en-GB" w:eastAsia="zh-CN"/>
        </w:rPr>
        <w:fldChar w:fldCharType="end"/>
      </w:r>
      <w:r w:rsidRPr="00C3671E">
        <w:rPr>
          <w:lang w:val="en-GB" w:eastAsia="zh-CN"/>
        </w:rPr>
        <w:t xml:space="preserve">. Active ageing is both a concept and a policy that has been developed in response to these rapid </w:t>
      </w:r>
      <w:r w:rsidRPr="00C3671E">
        <w:rPr>
          <w:lang w:val="en-GB"/>
        </w:rPr>
        <w:t>changes</w:t>
      </w:r>
      <w:r w:rsidRPr="00C3671E">
        <w:rPr>
          <w:lang w:val="en-GB" w:eastAsia="zh-CN"/>
        </w:rPr>
        <w:t xml:space="preserve"> in the age structures of populations in Europe and elsewhere. Active ageing approach supports several types of activities including caregiving in order to maximize quality of life (QoL) of older people. The consequences of all of these activities are expected to be predominantly positive; no variations in their aspects or impacts have been distinguished </w:t>
      </w:r>
      <w:r w:rsidRPr="00C3671E">
        <w:rPr>
          <w:lang w:val="en-GB" w:eastAsia="zh-CN"/>
        </w:rPr>
        <w:fldChar w:fldCharType="begin" w:fldLock="1"/>
      </w:r>
      <w:r w:rsidR="001257AA" w:rsidRPr="00C3671E">
        <w:rPr>
          <w:lang w:val="en-GB" w:eastAsia="zh-CN"/>
        </w:rPr>
        <w:instrText>ADDIN CSL_CITATION { "citationItems" : [ { "id" : "ITEM-1", "itemData" : { "author" : [ { "dropping-particle" : "", "family" : "EU Council", "given" : "", "non-dropping-particle" : "", "parse-names" : false, "suffix" : "" } ], "id" : "ITEM-1", "issued" : { "date-parts" : [ [ "2012" ] ] }, "publisher" : "EU Council", "publisher-place" : "Brussels", "title" : "Council Declaration on the European Year for Active Ageing and Solidarity between Generations (2012): The Way Forward", "type" : "book" }, "uris" : [ "http://www.mendeley.com/documents/?uuid=bc232528-fad4-4b15-bede-b113103dbe49" ] }, { "id" : "ITEM-2", "itemData" : { "author" : [ { "dropping-particle" : "", "family" : "European Commission", "given" : "", "non-dropping-particle" : "", "parse-names" : false, "suffix" : "" } ], "id" : "ITEM-2", "issued" : { "date-parts" : [ [ "2013" ] ] }, "publisher" : "European Comission", "publisher-place" : "Brussels", "title" : "Introducing the Active Ageing Index. Policy brief", "type" : "book" }, "uris" : [ "http://www.mendeley.com/documents/?uuid=15ea840e-806d-4ce4-88d2-b847e7b3756b" ] }, { "id" : "ITEM-3", "itemData" : { "DOI" : "10.1007/s10433-017-0413-8", "ISBN" : "1043301704", "ISSN" : "16139380", "abstract" : "Several debates have emerged across the literature about the conceptualisation of active ageing. The aim of this study is to develop a model of the construct that is focused on the individual, including different elements of people\u2019s lives that have the potential to be modified by intervention programs. Moreover, the paper examines the contributions of active ageing to life satisfaction, as well as the possible predictive role of coping styles on active ageing. For this purpose, a representative sample of 404 Galician (Spain) community-dwelling older adults (aged \u226560 years) were interviewed using a structured survey. The results demonstrate that the proposed model composed of two broad categories is valid. The model comprises status variables (related to physical, psychological, and social health) as well as different types of activities, called processual variables. This model is tested using partial least squares (PLS) regression. The findings show that active ageing is a fourth-order, formative construct. In addition, PLS analyses indicate that active ageing has a moderate and positive path on life satisfaction and that coping styles may predict active ageing. The discussion highlights the potential of active ageing as a relevant concept for people\u2019s lives, drawing out policy implications and suggestions for further research.", "author" : [ { "dropping-particle" : "", "family" : "Marsillas", "given" : "Sara", "non-dropping-particle" : "", "parse-names" : false, "suffix" : "" }, { "dropping-particle" : "", "family" : "Donder", "given" : "Liesbeth", "non-dropping-particle" : "De", "parse-names" : false, "suffix" : "" }, { "dropping-particle" : "", "family" : "Kardol", "given" : "Tinie", "non-dropping-particle" : "", "parse-names" : false, "suffix" : "" }, { "dropping-particle" : "", "family" : "Regenmortel", "given" : "Sofie", "non-dropping-particle" : "van", "parse-names" : false, "suffix" : "" }, { "dropping-particle" : "", "family" : "Dury", "given" : "Sarah", "non-dropping-particle" : "", "parse-names" : false, "suffix" : "" }, { "dropping-particle" : "", "family" : "Brosens", "given" : "Dorien", "non-dropping-particle" : "", "parse-names" : false, "suffix" : "" }, { "dropping-particle" : "", "family" : "Smetcoren", "given" : "An Sofie", "non-dropping-particle" : "", "parse-names" : false, "suffix" : "" }, { "dropping-particle" : "", "family" : "Bra\u00f1a", "given" : "Teresa", "non-dropping-particle" : "", "parse-names" : false, "suffix" : "" }, { "dropping-particle" : "", "family" : "Varela", "given" : "Jes\u00fas", "non-dropping-particle" : "", "parse-names" : false, "suffix" : "" } ], "container-title" : "European Journal of Ageing", "id" : "ITEM-3", "issue" : "3", "issued" : { "date-parts" : [ [ "2017" ] ] }, "page" : "295-310", "title" : "Does active ageing contribute to life satisfaction for older people? Testing a new model of active ageing", "type" : "article-journal", "volume" : "14" }, "uris" : [ "http://www.mendeley.com/documents/?uuid=f4ca4b1e-010f-49fa-9c7f-5b6188337ddb" ] } ], "mendeley" : { "formattedCitation" : "(EU Council 2012; European Commission 2013; Marsillas et al. 2017)", "plainTextFormattedCitation" : "(EU Council 2012; European Commission 2013; Marsillas et al. 2017)", "previouslyFormattedCitation" : "(EU Council 2012; European Commission 2013; Marsillas et al. 2017)" }, "properties" : { "noteIndex" : 0 }, "schema" : "https://github.com/citation-style-language/schema/raw/master/csl-citation.json" }</w:instrText>
      </w:r>
      <w:r w:rsidRPr="00C3671E">
        <w:rPr>
          <w:lang w:val="en-GB" w:eastAsia="zh-CN"/>
        </w:rPr>
        <w:fldChar w:fldCharType="separate"/>
      </w:r>
      <w:r w:rsidR="00A91559" w:rsidRPr="00C3671E">
        <w:rPr>
          <w:noProof/>
          <w:lang w:val="en-GB" w:eastAsia="zh-CN"/>
        </w:rPr>
        <w:t>(EU Council 2012; European Commission 2013; Marsillas et al. 2017)</w:t>
      </w:r>
      <w:r w:rsidRPr="00C3671E">
        <w:rPr>
          <w:lang w:val="en-GB" w:eastAsia="zh-CN"/>
        </w:rPr>
        <w:fldChar w:fldCharType="end"/>
      </w:r>
      <w:r w:rsidRPr="00C3671E">
        <w:rPr>
          <w:lang w:val="en-GB" w:eastAsia="zh-CN"/>
        </w:rPr>
        <w:t xml:space="preserve">. Still, it can be supposed that, for example, the provision of care is often exhausting or dictated by circumstances. Caregiving has the potential to raise life satisfaction among older people, but only under certain conditions </w:t>
      </w:r>
      <w:r w:rsidRPr="00C3671E">
        <w:rPr>
          <w:lang w:val="en-GB" w:eastAsia="zh-CN"/>
        </w:rPr>
        <w:fldChar w:fldCharType="begin" w:fldLock="1"/>
      </w:r>
      <w:r w:rsidR="001257AA" w:rsidRPr="00C3671E">
        <w:rPr>
          <w:lang w:val="en-GB" w:eastAsia="zh-CN"/>
        </w:rPr>
        <w:instrText>ADDIN CSL_CITATION { "citationItems" : [ { "id" : "ITEM-1", "itemData" : { "PMID" : "7594358", "author" : [ { "dropping-particle" : "", "family" : "Moen", "given" : "Phillis", "non-dropping-particle" : "", "parse-names" : false, "suffix" : "" }, { "dropping-particle" : "", "family" : "Robison", "given" : "Julie", "non-dropping-particle" : "", "parse-names" : false, "suffix" : "" }, { "dropping-particle" : "", "family" : "Dempster-McLain", "given" : "Donna", "non-dropping-particle" : "", "parse-names" : false, "suffix" : "" } ], "container-title" : "Journal of Health and Social Behaviour", "id" : "ITEM-1", "issue" : "3", "issued" : { "date-parts" : [ [ "1995" ] ] }, "page" : "259-273", "title" : "Caregiving and Women's Well-being: A Life Course Approach", "type" : "article-journal", "volume" : "36" }, "uris" : [ "http://www.mendeley.com/documents/?uuid=69f1c045-98cd-4b80-8d2c-e3706322ce92" ] } ], "mendeley" : { "formattedCitation" : "(Moen et al. 1995)", "manualFormatting" : "(Moen et al. 1995)", "plainTextFormattedCitation" : "(Moen et al. 1995)", "previouslyFormattedCitation" : "(Moen et al. 1995)" }, "properties" : { "noteIndex" : 0 }, "schema" : "https://github.com/citation-style-language/schema/raw/master/csl-citation.json" }</w:instrText>
      </w:r>
      <w:r w:rsidRPr="00C3671E">
        <w:rPr>
          <w:lang w:val="en-GB" w:eastAsia="zh-CN"/>
        </w:rPr>
        <w:fldChar w:fldCharType="separate"/>
      </w:r>
      <w:r w:rsidRPr="00C3671E">
        <w:rPr>
          <w:noProof/>
          <w:lang w:val="en-GB" w:eastAsia="zh-CN"/>
        </w:rPr>
        <w:t>(Moen</w:t>
      </w:r>
      <w:r w:rsidRPr="00C3671E">
        <w:rPr>
          <w:i/>
          <w:noProof/>
          <w:lang w:val="en-GB" w:eastAsia="zh-CN"/>
        </w:rPr>
        <w:t xml:space="preserve"> et al.</w:t>
      </w:r>
      <w:r w:rsidRPr="00C3671E">
        <w:rPr>
          <w:noProof/>
          <w:lang w:val="en-GB" w:eastAsia="zh-CN"/>
        </w:rPr>
        <w:t xml:space="preserve"> 1995)</w:t>
      </w:r>
      <w:r w:rsidRPr="00C3671E">
        <w:rPr>
          <w:lang w:val="en-GB" w:eastAsia="zh-CN"/>
        </w:rPr>
        <w:fldChar w:fldCharType="end"/>
      </w:r>
      <w:r w:rsidRPr="00C3671E">
        <w:rPr>
          <w:lang w:val="en-GB" w:eastAsia="zh-CN"/>
        </w:rPr>
        <w:t>. Some of the most important conditions are mentioned in this paper and incorporated into the analysis.</w:t>
      </w:r>
    </w:p>
    <w:p w14:paraId="0CA494A5" w14:textId="77777777" w:rsidR="001A7940" w:rsidRPr="00C3671E" w:rsidRDefault="001A7940" w:rsidP="00F4146A">
      <w:pPr>
        <w:pStyle w:val="Newparagraph"/>
        <w:jc w:val="both"/>
        <w:rPr>
          <w:lang w:eastAsia="zh-CN"/>
        </w:rPr>
      </w:pPr>
      <w:r w:rsidRPr="00C3671E">
        <w:rPr>
          <w:lang w:eastAsia="zh-CN"/>
        </w:rPr>
        <w:t xml:space="preserve">This study investigates which dimensions of subjective QoL are connected to the </w:t>
      </w:r>
      <w:r w:rsidRPr="00C3671E">
        <w:t>provision</w:t>
      </w:r>
      <w:r w:rsidRPr="00C3671E">
        <w:rPr>
          <w:lang w:eastAsia="zh-CN"/>
        </w:rPr>
        <w:t xml:space="preserve"> of informal care and how this </w:t>
      </w:r>
      <w:r w:rsidRPr="00C3671E">
        <w:t>connection</w:t>
      </w:r>
      <w:r w:rsidRPr="00C3671E">
        <w:rPr>
          <w:lang w:eastAsia="zh-CN"/>
        </w:rPr>
        <w:t xml:space="preserve"> depends on the intensity, multiplicity, and voluntariness of the caregiving. Data from the Survey of Health, Ageing and Retirement in Europe (SHARE) are utilized to deal with this topic. The analysis, based on the data from 14 European countries, provides several contributions to existing research. First, the indicators of the provided care reflect all of the types of care provided to all potential recipients instead of just one type of care, and they also reflect the intensity and multiplicity of care. Second, the cross-national nature of the data makes it possible to control for the availability of formal care and its variations across Europe. Finally, some specific feelings that are important in later life (loneliness, meaningfulness of life, and overload) are examined, instead of the vague and multidimensional measurement of QoL used in most studies. The results indicate that </w:t>
      </w:r>
      <w:r w:rsidRPr="00C3671E">
        <w:rPr>
          <w:i/>
          <w:lang w:eastAsia="zh-CN"/>
        </w:rPr>
        <w:t xml:space="preserve">the effect of providing care in later life is generally beneficial, although this is not true for very intensive </w:t>
      </w:r>
      <w:r w:rsidRPr="00C3671E">
        <w:rPr>
          <w:i/>
          <w:lang w:eastAsia="zh-CN"/>
        </w:rPr>
        <w:lastRenderedPageBreak/>
        <w:t>care</w:t>
      </w:r>
      <w:r w:rsidRPr="00C3671E">
        <w:rPr>
          <w:lang w:eastAsia="zh-CN"/>
        </w:rPr>
        <w:t>. Further, multiple care is more beneficial than care provided to one recipient, and the accessibility of formal care strengthens the beneficial effect only under certain conditions.</w:t>
      </w:r>
    </w:p>
    <w:p w14:paraId="20E72894" w14:textId="77777777" w:rsidR="001A7940" w:rsidRPr="00C3671E" w:rsidRDefault="001A7940" w:rsidP="007E6D8E">
      <w:pPr>
        <w:pStyle w:val="Nadpis2"/>
        <w:spacing w:line="480" w:lineRule="auto"/>
        <w:rPr>
          <w:sz w:val="26"/>
          <w:szCs w:val="26"/>
          <w:lang w:val="en-GB"/>
        </w:rPr>
      </w:pPr>
      <w:bookmarkStart w:id="45" w:name="_Toc512687752"/>
      <w:r w:rsidRPr="00C3671E">
        <w:rPr>
          <w:sz w:val="26"/>
          <w:szCs w:val="26"/>
          <w:lang w:val="en-GB"/>
        </w:rPr>
        <w:t>Literature Review</w:t>
      </w:r>
      <w:bookmarkEnd w:id="45"/>
    </w:p>
    <w:p w14:paraId="5F0C76CD" w14:textId="77777777" w:rsidR="001A7940" w:rsidRPr="00C3671E" w:rsidRDefault="001A7940" w:rsidP="007E6D8E">
      <w:pPr>
        <w:pStyle w:val="Nadpis3"/>
        <w:spacing w:line="480" w:lineRule="auto"/>
        <w:rPr>
          <w:i/>
          <w:iCs/>
          <w:sz w:val="24"/>
          <w:szCs w:val="28"/>
          <w:lang w:val="en-GB" w:eastAsia="zh-CN"/>
        </w:rPr>
      </w:pPr>
      <w:bookmarkStart w:id="46" w:name="_Toc512687753"/>
      <w:r w:rsidRPr="00C3671E">
        <w:rPr>
          <w:rFonts w:ascii="Times New Roman" w:hAnsi="Times New Roman" w:cs="Times New Roman"/>
          <w:b w:val="0"/>
          <w:i/>
          <w:lang w:val="en-GB" w:eastAsia="zh-CN"/>
        </w:rPr>
        <w:t>Costs and Benefits of Informal Caregiving</w:t>
      </w:r>
      <w:bookmarkEnd w:id="46"/>
    </w:p>
    <w:p w14:paraId="7C3689C9" w14:textId="7B1B6636" w:rsidR="001A7940" w:rsidRPr="00C3671E" w:rsidRDefault="001A7940" w:rsidP="00F4146A">
      <w:pPr>
        <w:suppressAutoHyphens/>
        <w:spacing w:line="480" w:lineRule="auto"/>
        <w:jc w:val="both"/>
        <w:rPr>
          <w:lang w:val="en-GB" w:eastAsia="zh-CN"/>
        </w:rPr>
      </w:pPr>
      <w:r w:rsidRPr="00C3671E">
        <w:rPr>
          <w:lang w:val="en-GB" w:eastAsia="zh-CN"/>
        </w:rPr>
        <w:t xml:space="preserve">The basic assumption of active ageing theory is the notion that higher level of participation leads to increased personal health and well-being </w:t>
      </w:r>
      <w:r w:rsidRPr="00C3671E">
        <w:rPr>
          <w:lang w:val="en-GB" w:eastAsia="zh-CN"/>
        </w:rPr>
        <w:fldChar w:fldCharType="begin" w:fldLock="1"/>
      </w:r>
      <w:r w:rsidR="001257AA" w:rsidRPr="00C3671E">
        <w:rPr>
          <w:lang w:val="en-GB" w:eastAsia="zh-CN"/>
        </w:rPr>
        <w:instrText>ADDIN CSL_CITATION { "citationItems" : [ { "id" : "ITEM-1", "itemData" : { "DOI" : "10.1080/08959420802529986", "ISBN" : "0895-9420", "ISSN" : "08959420", "PMID" : "19197609", "abstract" : "Active aging is established as the leading global policy strategy in response to population aging. In practice, however, the term active aging serves as a convenient shelter for a wide range of policy discourses and initiatives concerning demographic change. The twin purposes of this article are, first, to examine its European origins and how it has been applied in the world's oldest region. This policy analysis illustrates the contrast between the primarily European discourse on active aging, which emphasizes health, participation, and well-being, and the U.S. discourse that prioritizes productivity. The application of active aging in Europe has, nonetheless, been predominantly in the productivist mold. The examination of the emergence of this key policy concept in Europe is contextualized by an outline of the changing politics of aging in this region. The second purpose of the article is to set out a new, comprehensive strategy on active aging that is intended to realize the full potential of the concept. Understanding of the need for this broad vision of active aging is facilitated by the historical policy review.", "author" : [ { "dropping-particle" : "", "family" : "Walker", "given" : "Alan", "non-dropping-particle" : "", "parse-names" : false, "suffix" : "" } ], "container-title" : "Journal of Aging and Social Policy", "id" : "ITEM-1", "issue" : "1", "issued" : { "date-parts" : [ [ "2009" ] ] }, "page" : "75-93", "title" : "Commentary: The emergence and application of active aging in Europe", "type" : "article-journal", "volume" : "21" }, "uris" : [ "http://www.mendeley.com/documents/?uuid=b952ee64-d282-43d1-a4b9-3ebacbcbce05" ] }, { "id" : "ITEM-2", "itemData" : { "DOI" : "10.1007/s10433-017-0413-8", "ISBN" : "1043301704", "ISSN" : "16139380", "abstract" : "Several debates have emerged across the literature about the conceptualisation of active ageing. The aim of this study is to develop a model of the construct that is focused on the individual, including different elements of people\u2019s lives that have the potential to be modified by intervention programs. Moreover, the paper examines the contributions of active ageing to life satisfaction, as well as the possible predictive role of coping styles on active ageing. For this purpose, a representative sample of 404 Galician (Spain) community-dwelling older adults (aged \u226560 years) were interviewed using a structured survey. The results demonstrate that the proposed model composed of two broad categories is valid. The model comprises status variables (related to physical, psychological, and social health) as well as different types of activities, called processual variables. This model is tested using partial least squares (PLS) regression. The findings show that active ageing is a fourth-order, formative construct. In addition, PLS analyses indicate that active ageing has a moderate and positive path on life satisfaction and that coping styles may predict active ageing. The discussion highlights the potential of active ageing as a relevant concept for people\u2019s lives, drawing out policy implications and suggestions for further research.", "author" : [ { "dropping-particle" : "", "family" : "Marsillas", "given" : "Sara", "non-dropping-particle" : "", "parse-names" : false, "suffix" : "" }, { "dropping-particle" : "", "family" : "Donder", "given" : "Liesbeth", "non-dropping-particle" : "De", "parse-names" : false, "suffix" : "" }, { "dropping-particle" : "", "family" : "Kardol", "given" : "Tinie", "non-dropping-particle" : "", "parse-names" : false, "suffix" : "" }, { "dropping-particle" : "", "family" : "Regenmortel", "given" : "Sofie", "non-dropping-particle" : "van", "parse-names" : false, "suffix" : "" }, { "dropping-particle" : "", "family" : "Dury", "given" : "Sarah", "non-dropping-particle" : "", "parse-names" : false, "suffix" : "" }, { "dropping-particle" : "", "family" : "Brosens", "given" : "Dorien", "non-dropping-particle" : "", "parse-names" : false, "suffix" : "" }, { "dropping-particle" : "", "family" : "Smetcoren", "given" : "An Sofie", "non-dropping-particle" : "", "parse-names" : false, "suffix" : "" }, { "dropping-particle" : "", "family" : "Bra\u00f1a", "given" : "Teresa", "non-dropping-particle" : "", "parse-names" : false, "suffix" : "" }, { "dropping-particle" : "", "family" : "Varela", "given" : "Jes\u00fas", "non-dropping-particle" : "", "parse-names" : false, "suffix" : "" } ], "container-title" : "European Journal of Ageing", "id" : "ITEM-2", "issue" : "3", "issued" : { "date-parts" : [ [ "2017" ] ] }, "page" : "295-310", "title" : "Does active ageing contribute to life satisfaction for older people? Testing a new model of active ageing", "type" : "article-journal", "volume" : "14" }, "uris" : [ "http://www.mendeley.com/documents/?uuid=f4ca4b1e-010f-49fa-9c7f-5b6188337ddb" ] } ], "mendeley" : { "formattedCitation" : "(Marsillas et al. 2017; Walker 2009)", "plainTextFormattedCitation" : "(Marsillas et al. 2017; Walker 2009)", "previouslyFormattedCitation" : "(Marsillas et al. 2017; Walker 2009)" }, "properties" : { "noteIndex" : 0 }, "schema" : "https://github.com/citation-style-language/schema/raw/master/csl-citation.json" }</w:instrText>
      </w:r>
      <w:r w:rsidRPr="00C3671E">
        <w:rPr>
          <w:lang w:val="en-GB" w:eastAsia="zh-CN"/>
        </w:rPr>
        <w:fldChar w:fldCharType="separate"/>
      </w:r>
      <w:r w:rsidR="00A91559" w:rsidRPr="00C3671E">
        <w:rPr>
          <w:noProof/>
          <w:lang w:val="en-GB" w:eastAsia="zh-CN"/>
        </w:rPr>
        <w:t>(Marsillas et al. 2017; Walker 2009)</w:t>
      </w:r>
      <w:r w:rsidRPr="00C3671E">
        <w:rPr>
          <w:lang w:val="en-GB" w:eastAsia="zh-CN"/>
        </w:rPr>
        <w:fldChar w:fldCharType="end"/>
      </w:r>
      <w:r w:rsidRPr="00C3671E">
        <w:rPr>
          <w:lang w:val="en-GB" w:eastAsia="zh-CN"/>
        </w:rPr>
        <w:t xml:space="preserve">. This </w:t>
      </w:r>
      <w:r w:rsidRPr="00F4146A">
        <w:rPr>
          <w:rFonts w:eastAsia="Calibri"/>
          <w:lang w:val="en-GB" w:eastAsia="en-US"/>
        </w:rPr>
        <w:t>notion</w:t>
      </w:r>
      <w:r w:rsidRPr="00C3671E">
        <w:rPr>
          <w:lang w:val="en-GB" w:eastAsia="zh-CN"/>
        </w:rPr>
        <w:t xml:space="preserve">, supporting the performance of more roles in later life, is highly compatible with the main idea of the theory of role accumulation. This theory argues that role accumulation has mostly positive outcomes </w:t>
      </w:r>
      <w:r w:rsidRPr="00C3671E">
        <w:rPr>
          <w:lang w:val="en-GB" w:eastAsia="zh-CN"/>
        </w:rPr>
        <w:fldChar w:fldCharType="begin" w:fldLock="1"/>
      </w:r>
      <w:r w:rsidR="00AA6335" w:rsidRPr="00C3671E">
        <w:rPr>
          <w:lang w:val="en-GB" w:eastAsia="zh-CN"/>
        </w:rPr>
        <w:instrText>ADDIN CSL_CITATION { "citationItems" : [ { "id" : "ITEM-1", "itemData" : { "DOI" : "10.1177/0003122413515997", "author" : [ { "dropping-particle" : "", "family" : "Sieber", "given" : "Sam D.", "non-dropping-particle" : "", "parse-names" : false, "suffix" : "" } ], "container-title" : "American Sociological Review", "id" : "ITEM-1", "issue" : "4", "issued" : { "date-parts" : [ [ "1974" ] ] }, "page" : "567-578", "title" : "Toward a Theory of Role Accumulation", "type" : "article-journal", "volume" : "39" }, "uris" : [ "http://www.mendeley.com/documents/?uuid=3a4692a5-08a8-406e-bfc8-2c3503d510c2" ] } ], "mendeley" : { "formattedCitation" : "(Sieber 1974)", "plainTextFormattedCitation" : "(Sieber 1974)", "previouslyFormattedCitation" : "(Sieber 1974)" }, "properties" : { "noteIndex" : 0 }, "schema" : "https://github.com/citation-style-language/schema/raw/master/csl-citation.json" }</w:instrText>
      </w:r>
      <w:r w:rsidRPr="00C3671E">
        <w:rPr>
          <w:lang w:val="en-GB" w:eastAsia="zh-CN"/>
        </w:rPr>
        <w:fldChar w:fldCharType="separate"/>
      </w:r>
      <w:r w:rsidRPr="00C3671E">
        <w:rPr>
          <w:noProof/>
          <w:lang w:val="en-GB" w:eastAsia="zh-CN"/>
        </w:rPr>
        <w:t>(Sieber 1974)</w:t>
      </w:r>
      <w:r w:rsidRPr="00C3671E">
        <w:rPr>
          <w:lang w:val="en-GB" w:eastAsia="zh-CN"/>
        </w:rPr>
        <w:fldChar w:fldCharType="end"/>
      </w:r>
      <w:r w:rsidRPr="00C3671E">
        <w:rPr>
          <w:lang w:val="en-GB" w:eastAsia="zh-CN"/>
        </w:rPr>
        <w:t xml:space="preserve">. The beneficial effect of additional roles is supported by some empirical research. In particular, studies focused on the effect on life satisfaction of caregiving at older ages have found that care provision has positive consequences </w:t>
      </w:r>
      <w:r w:rsidRPr="00C3671E">
        <w:rPr>
          <w:lang w:val="en-GB" w:eastAsia="zh-CN"/>
        </w:rPr>
        <w:fldChar w:fldCharType="begin" w:fldLock="1"/>
      </w:r>
      <w:r w:rsidR="001257AA" w:rsidRPr="00C3671E">
        <w:rPr>
          <w:lang w:val="en-GB" w:eastAsia="zh-CN"/>
        </w:rPr>
        <w:instrText>ADDIN CSL_CITATION { "citationItems" : [ { "id" : "ITEM-1", "itemData" : { "DOI" : "10.1017/S0144686X07006629", "ISBN" : "1469-1779", "ISSN" : "0144-686X", "abstract" : "Gerontologists have emphasised that older adults are not only recipients of support but also important support providers. Using data from the first wave of the Netherlands Kinship Panel Study of 727 middle-generation adults aged 45 to 79 years, we examined the associations between loneliness and giving support up, across and down family lineages. Overall, the findings were consistent more with an altruism perspective, that giving brings rewards, than with an exchange perspective, which emphasises the costs of giving support. The results showed an inverse relationship between the number of generations supported and loneliness, and that those engaged in balanced exchanges with family members in three generations (parents, siblings and children) were generally the least lonely. As regards the direction of support giving, the findings showed that the association between giving support and loneliness was insignificant if the support was for parents, negative for support to siblings, and positive for support to children. Imbalanced support exchanges were differentially associated with loneliness, and depended on the type of family relationship involved. Non-reciprocated support made parents more vulnerable to loneliness, whereas non-reciprocated giving in sibling ties was associated with low levels of loneliness. Imbalanced support giving in relationships with parents was not associated with loneliness.", "author" : [ { "dropping-particle" : "", "family" : "Jong Gierveld", "given" : "Jenny", "non-dropping-particle" : "De", "parse-names" : false, "suffix" : "" }, { "dropping-particle" : "", "family" : "Dykstra", "given" : "Pearl A.", "non-dropping-particle" : "", "parse-names" : false, "suffix" : "" } ], "container-title" : "Ageing and Society", "id" : "ITEM-1", "issue" : "02", "issued" : { "date-parts" : [ [ "2008" ] ] }, "page" : "271-287", "title" : "Virtue is its own reward? Support-giving in the family and loneliness in middle and old age", "type" : "article-journal", "volume" : "28" }, "uris" : [ "http://www.mendeley.com/documents/?uuid=51cd63fa-a8cd-488c-be10-d4ffd8214b5c" ] }, { "id" : "ITEM-2", "itemData" : { "DOI" : "10.1111/joop.12003", "ISBN" : "09631798", "ISSN" : "09631798", "PMID" : "90563210", "abstract" : "This study examines the impact of engaging in seven types of activities on depression and quality of life in retirees and older workers over a period of 2 years, using a sample from the survey of health, ageing and retirement in Europe. Longitudinal data were available from 2,813 retirees and 1,372 older employees. Our results showed that volunteering, providing help and going to sports or social clubs at the baseline improved retirees\u2019 quality of lifeover a period of 2 years. No direct effects of engaging in activities were found for older employees. Moreover, higher depression at the baseline fostered the depression experience at the follow-up in those retirees and older employees who were caring for disabled adults at baseline. In retirees with higher depression at baseline, participation in religious organizations was associated with a greater decrease in depression at follow-up than in those who had lower levels of depression at baseline. For older employees, taking part in political or community organizations at baselinewas related to a greater decrease in depression at follow-up than in those employees who experienced higher initial depression.", "author" : [ { "dropping-particle" : "", "family" : "Poto\u010dnik", "given" : "Kristina", "non-dropping-particle" : "", "parse-names" : false, "suffix" : "" }, { "dropping-particle" : "", "family" : "Sonnentag", "given" : "Sabine", "non-dropping-particle" : "", "parse-names" : false, "suffix" : "" } ], "container-title" : "Journal of Occupational and Organizational Psychology", "id" : "ITEM-2", "issue" : "4", "issued" : { "date-parts" : [ [ "2013" ] ] }, "page" : "497-521", "title" : "A longitudinal study of well-being in older workers and retirees: The role of engaging in different types of activities", "type" : "article-journal", "volume" : "86" }, "uris" : [ "http://www.mendeley.com/documents/?uuid=5889bc5d-921b-416d-a3eb-706b9facb5cf" ] } ], "mendeley" : { "formattedCitation" : "(De Jong Gierveld and Dykstra 2008; Poto\u010dnik and Sonnentag 2013)", "plainTextFormattedCitation" : "(De Jong Gierveld and Dykstra 2008; Poto\u010dnik and Sonnentag 2013)", "previouslyFormattedCitation" : "(De Jong Gierveld and Dykstra 2008; Poto\u010dnik and Sonnentag 2013)" }, "properties" : { "noteIndex" : 0 }, "schema" : "https://github.com/citation-style-language/schema/raw/master/csl-citation.json" }</w:instrText>
      </w:r>
      <w:r w:rsidRPr="00C3671E">
        <w:rPr>
          <w:lang w:val="en-GB" w:eastAsia="zh-CN"/>
        </w:rPr>
        <w:fldChar w:fldCharType="separate"/>
      </w:r>
      <w:r w:rsidR="00A91559" w:rsidRPr="00C3671E">
        <w:rPr>
          <w:noProof/>
          <w:lang w:val="en-GB" w:eastAsia="zh-CN"/>
        </w:rPr>
        <w:t>(De Jong Gierveld and Dykstra 2008; Potočnik and Sonnentag 2013)</w:t>
      </w:r>
      <w:r w:rsidRPr="00C3671E">
        <w:rPr>
          <w:lang w:val="en-GB" w:eastAsia="zh-CN"/>
        </w:rPr>
        <w:fldChar w:fldCharType="end"/>
      </w:r>
      <w:r w:rsidRPr="00C3671E">
        <w:rPr>
          <w:lang w:val="en-GB" w:eastAsia="zh-CN"/>
        </w:rPr>
        <w:t>.</w:t>
      </w:r>
    </w:p>
    <w:p w14:paraId="5350D2C3" w14:textId="7FFFB5F7" w:rsidR="001A7940" w:rsidRPr="00C3671E" w:rsidRDefault="001A7940" w:rsidP="00F4146A">
      <w:pPr>
        <w:pStyle w:val="Newparagraph"/>
        <w:jc w:val="both"/>
        <w:rPr>
          <w:lang w:eastAsia="zh-CN"/>
        </w:rPr>
      </w:pPr>
      <w:r w:rsidRPr="00C3671E">
        <w:rPr>
          <w:lang w:eastAsia="zh-CN"/>
        </w:rPr>
        <w:t xml:space="preserve">Not all authors agree </w:t>
      </w:r>
      <w:r w:rsidRPr="00C3671E">
        <w:t>with</w:t>
      </w:r>
      <w:r w:rsidRPr="00C3671E">
        <w:rPr>
          <w:lang w:eastAsia="zh-CN"/>
        </w:rPr>
        <w:t xml:space="preserve"> the beneficial effect of additional roles for older adults. According to the theory of role strain, involvement in multiple roles leads to conflicts in </w:t>
      </w:r>
      <w:r w:rsidRPr="00C3671E">
        <w:t>demands</w:t>
      </w:r>
      <w:r w:rsidRPr="00C3671E">
        <w:rPr>
          <w:lang w:eastAsia="zh-CN"/>
        </w:rPr>
        <w:t xml:space="preserve"> or obligations among competing roles under normal conditions </w:t>
      </w:r>
      <w:r w:rsidRPr="00C3671E">
        <w:rPr>
          <w:lang w:eastAsia="zh-CN"/>
        </w:rPr>
        <w:fldChar w:fldCharType="begin" w:fldLock="1"/>
      </w:r>
      <w:r w:rsidR="00AA6335" w:rsidRPr="00C3671E">
        <w:rPr>
          <w:lang w:eastAsia="zh-CN"/>
        </w:rPr>
        <w:instrText>ADDIN CSL_CITATION { "citationItems" : [ { "id" : "ITEM-1", "itemData" : { "DOI" : "10.1177/0038040709356567", "ISBN" : "063120301X", "ISSN" : "0036-8075", "PMID" : "17806662", "author" : [ { "dropping-particle" : "", "family" : "Goode", "given" : "William J", "non-dropping-particle" : "", "parse-names" : false, "suffix" : "" } ], "container-title" : "American Sociological Review", "id" : "ITEM-1", "issue" : "4", "issued" : { "date-parts" : [ [ "1960" ] ] }, "page" : "483-496", "title" : "A Theory of Role Strain", "type" : "article-journal", "volume" : "25" }, "uris" : [ "http://www.mendeley.com/documents/?uuid=fa5664e7-4c35-4e1f-ab5d-837ee62474a6" ] } ], "mendeley" : { "formattedCitation" : "(Goode 1960)", "plainTextFormattedCitation" : "(Goode 1960)", "previouslyFormattedCitation" : "(Goode 1960)" }, "properties" : { "noteIndex" : 0 }, "schema" : "https://github.com/citation-style-language/schema/raw/master/csl-citation.json" }</w:instrText>
      </w:r>
      <w:r w:rsidRPr="00C3671E">
        <w:rPr>
          <w:lang w:eastAsia="zh-CN"/>
        </w:rPr>
        <w:fldChar w:fldCharType="separate"/>
      </w:r>
      <w:r w:rsidRPr="00C3671E">
        <w:rPr>
          <w:noProof/>
          <w:lang w:eastAsia="zh-CN"/>
        </w:rPr>
        <w:t>(Goode 1960)</w:t>
      </w:r>
      <w:r w:rsidRPr="00C3671E">
        <w:rPr>
          <w:lang w:eastAsia="zh-CN"/>
        </w:rPr>
        <w:fldChar w:fldCharType="end"/>
      </w:r>
      <w:r w:rsidRPr="00C3671E">
        <w:rPr>
          <w:lang w:eastAsia="zh-CN"/>
        </w:rPr>
        <w:t xml:space="preserve">. Role strain for older caregivers is well-documented in empirical studies </w:t>
      </w:r>
      <w:r w:rsidRPr="00C3671E">
        <w:rPr>
          <w:lang w:eastAsia="zh-CN"/>
        </w:rPr>
        <w:fldChar w:fldCharType="begin" w:fldLock="1"/>
      </w:r>
      <w:r w:rsidR="001257AA" w:rsidRPr="00C3671E">
        <w:rPr>
          <w:lang w:eastAsia="zh-CN"/>
        </w:rPr>
        <w:instrText>ADDIN CSL_CITATION { "citationItems" : [ { "id" : "ITEM-1", "itemData" : { "DOI" : "10.1177/003288553401400202", "ISBN" : "9789264097759", "ISSN" : "0032-8855", "PMID" : "24443734", "abstract" : "When a young person is jobless, it also damages family, community, and country", "author" : [ { "dropping-particle" : "", "family" : "Colombo", "given" : "Francesca", "non-dropping-particle" : "", "parse-names" : false, "suffix" : "" }, { "dropping-particle" : "", "family" : "Llena-Nozal", "given" : "Ana", "non-dropping-particle" : "", "parse-names" : false, "suffix" : "" }, { "dropping-particle" : "", "family" : "Mercier", "given" : "J\u00e9r\u00f4me", "non-dropping-particle" : "", "parse-names" : false, "suffix" : "" }, { "dropping-particle" : "", "family" : "Tjadens", "given" : "Frits", "non-dropping-particle" : "", "parse-names" : false, "suffix" : "" } ], "id" : "ITEM-1", "issued" : { "date-parts" : [ [ "2011" ] ] }, "publisher" : "OECD Publishing", "publisher-place" : "Paris", "title" : "Help Wanted? Providing and Paying for Long-Term Care", "type" : "book" }, "uris" : [ "http://www.mendeley.com/documents/?uuid=0369a866-d1da-45d0-b6c4-0d3653bc82c7" ] }, { "id" : "ITEM-2", "itemData" : { "author" : [ { "dropping-particle" : "", "family" : "Mui", "given" : "Ada C.", "non-dropping-particle" : "", "parse-names" : false, "suffix" : "" } ], "container-title" : "Journal of Marriage and Family", "id" : "ITEM-2", "issued" : { "date-parts" : [ [ "1995" ] ] }, "page" : "733-740", "title" : "Multidimensional Predictors of Caregiver Strain Among Older Persons Caring for Frail Spouses", "type" : "article-journal", "volume" : "57" }, "uris" : [ "http://www.mendeley.com/documents/?uuid=c10f8eef-2566-454d-89b1-e2810661b468" ] }, { "id" : "ITEM-3", "itemData" : { "DOI" : "10.1093/geronb/54B.6.S329", "ISBN" : "1079-5014 (Print)", "ISSN" : "1079-5014", "PMID" : "10625968", "abstract" : "Objective. Research on women's multiple roles frequently adopts one of two perspectives: role strain, which argues that assuming multiple roles is detrimental to mental well-being, or role enhancement, which argues that engaging in multiple roles enhances mental well-being. We argue that the relationship between role occupancy and well-being is manifested through multiple dimensions of role experiences. We investigate the association between depressive symptomatology and various dimensions of the roles of wife, mother, paid worker, and informal caregiver to aging parents.Methods. Data are from the 1992 wave of the Health and Retirement Study. Depressive symptomatology, measured by a subset of the CES-D scale, is the dependent variable. To assess the robustness of findings relative to different functional forms of the dependent variable, we estimate multiple regression, log-linear regression, and multinomial logit models. Independent variables include demographic characteristics, measures of role occupancy, role demands, and role satisfaction.Results. Although the number of roles women assume affects their reports of depressive symptoms, once the demand and satisfaction associated with these roles is controlled, number has no effect; that is, the effect of the number of roles is indirect.Discussion. Our results highlight the importance of women's perceptions of the quality of their roles in relation to their overall well-being. Future investigations of women's multiple roles should examine how roles may provide rewards, impose constraints, or generate conflict, as well as the extent to which the willingness to assume multiple roles and the reported levels of role satisfaction and mental well-being may be jointly endogenous.", "author" : [ { "dropping-particle" : "", "family" : "Reid", "given" : "Jennifer", "non-dropping-particle" : "", "parse-names" : false, "suffix" : "" }, { "dropping-particle" : "", "family" : "Hardy", "given" : "Melissa", "non-dropping-particle" : "", "parse-names" : false, "suffix" : "" } ], "container-title" : "The Journals of Gerontology Series B: Psychological Sciences and Social Sciences", "id" : "ITEM-3", "issue" : "6", "issued" : { "date-parts" : [ [ "1999" ] ] }, "page" : "S329-S338", "title" : "Multiple roles and well-being among midlife women: Testing role strain and role enhancement theories", "type" : "article-journal", "volume" : "54B" }, "uris" : [ "http://www.mendeley.com/documents/?uuid=7834c0d8-a1fd-416b-9c55-f23f041ddef2" ] } ], "mendeley" : { "formattedCitation" : "(Colombo et al. 2011; Mui 1995; Reid and Hardy 1999)", "plainTextFormattedCitation" : "(Colombo et al. 2011; Mui 1995; Reid and Hardy 1999)", "previouslyFormattedCitation" : "(Colombo et al. 2011; Mui 1995; Reid and Hardy 1999)" }, "properties" : { "noteIndex" : 0 }, "schema" : "https://github.com/citation-style-language/schema/raw/master/csl-citation.json" }</w:instrText>
      </w:r>
      <w:r w:rsidRPr="00C3671E">
        <w:rPr>
          <w:lang w:eastAsia="zh-CN"/>
        </w:rPr>
        <w:fldChar w:fldCharType="separate"/>
      </w:r>
      <w:r w:rsidR="00A91559" w:rsidRPr="00C3671E">
        <w:rPr>
          <w:noProof/>
          <w:lang w:eastAsia="zh-CN"/>
        </w:rPr>
        <w:t>(Colombo et al. 2011; Mui 1995; Reid and Hardy 1999)</w:t>
      </w:r>
      <w:r w:rsidRPr="00C3671E">
        <w:rPr>
          <w:lang w:eastAsia="zh-CN"/>
        </w:rPr>
        <w:fldChar w:fldCharType="end"/>
      </w:r>
      <w:r w:rsidRPr="00C3671E">
        <w:rPr>
          <w:lang w:eastAsia="zh-CN"/>
        </w:rPr>
        <w:t xml:space="preserve">. It is evident from the results of these studies that the effect of caregiving (as well as many other roles) depends on the context. </w:t>
      </w:r>
      <w:r w:rsidRPr="00C3671E">
        <w:fldChar w:fldCharType="begin" w:fldLock="1"/>
      </w:r>
      <w:r w:rsidR="001257AA" w:rsidRPr="00C3671E">
        <w:instrText>ADDIN CSL_CITATION { "citationItems" : [ { "id" : "ITEM-1", "itemData" : { "PMID" : "7594358", "author" : [ { "dropping-particle" : "", "family" : "Moen", "given" : "Phillis", "non-dropping-particle" : "", "parse-names" : false, "suffix" : "" }, { "dropping-particle" : "", "family" : "Robison", "given" : "Julie", "non-dropping-particle" : "", "parse-names" : false, "suffix" : "" }, { "dropping-particle" : "", "family" : "Dempster-McLain", "given" : "Donna", "non-dropping-particle" : "", "parse-names" : false, "suffix" : "" } ], "container-title" : "Journal of Health and Social Behaviour", "id" : "ITEM-1", "issue" : "3", "issued" : { "date-parts" : [ [ "1995" ] ] }, "page" : "259-273", "title" : "Caregiving and Women's Well-being: A Life Course Approach", "type" : "article-journal", "volume" : "36" }, "uris" : [ "http://www.mendeley.com/documents/?uuid=69f1c045-98cd-4b80-8d2c-e3706322ce92" ] }, { "id" : "ITEM-2", "itemData" : { "ISBN" : "1079-5014", "ISSN" : "1079-5014", "PMID" : "9679520", "abstract" : "Parental caregiving has been conceptualized as both a source of role strain and of role enhancement. To assess support for each of these perspectives, this article examines the relationship between concurrent multiple roles (as spouse, parent, and employed worker) and the perceived stress and physical and emotional ill health of parental caregivers.", "author" : [ { "dropping-particle" : "", "family" : "Penning", "given" : "M J", "non-dropping-particle" : "", "parse-names" : false, "suffix" : "" } ], "container-title" : "The Journals of Gerontology Series B: Psychological Sciences and Social Sciences", "id" : "ITEM-2", "issue" : "4", "issued" : { "date-parts" : [ [ "1998" ] ] }, "page" : "S188-97", "title" : "In the middle: parental caregiving in the context of other roles.", "type" : "article-journal", "volume" : "53" }, "uris" : [ "http://www.mendeley.com/documents/?uuid=b3b5e992-49db-442d-916f-14acecb53c86" ] } ], "mendeley" : { "formattedCitation" : "(Moen et al. 1995; Penning 1998)", "manualFormatting" : "Moen et al. (1995) and Penning (1998)", "plainTextFormattedCitation" : "(Moen et al. 1995; Penning 1998)", "previouslyFormattedCitation" : "(Moen et al. 1995; Penning 1998)" }, "properties" : { "noteIndex" : 0 }, "schema" : "https://github.com/citation-style-language/schema/raw/master/csl-citation.json" }</w:instrText>
      </w:r>
      <w:r w:rsidRPr="00C3671E">
        <w:fldChar w:fldCharType="separate"/>
      </w:r>
      <w:r w:rsidRPr="00C3671E">
        <w:rPr>
          <w:noProof/>
        </w:rPr>
        <w:t>Moen et al. (1995) and Penning (1998)</w:t>
      </w:r>
      <w:r w:rsidRPr="00C3671E">
        <w:fldChar w:fldCharType="end"/>
      </w:r>
      <w:r w:rsidRPr="00C3671E">
        <w:rPr>
          <w:lang w:eastAsia="zh-CN"/>
        </w:rPr>
        <w:t xml:space="preserve"> reach this same conclusion in their studies.</w:t>
      </w:r>
    </w:p>
    <w:p w14:paraId="5EB26EA9" w14:textId="25544503" w:rsidR="001A7940" w:rsidRPr="00C3671E" w:rsidRDefault="001A7940" w:rsidP="00F4146A">
      <w:pPr>
        <w:pStyle w:val="Newparagraph"/>
        <w:jc w:val="both"/>
        <w:rPr>
          <w:lang w:eastAsia="zh-CN"/>
        </w:rPr>
      </w:pPr>
      <w:r w:rsidRPr="00C3671E">
        <w:rPr>
          <w:lang w:eastAsia="zh-CN"/>
        </w:rPr>
        <w:t xml:space="preserve">The effect of providing care on QoL in older carers indeed depends on specific </w:t>
      </w:r>
      <w:r w:rsidRPr="00C3671E">
        <w:t>conditions</w:t>
      </w:r>
      <w:r w:rsidRPr="00C3671E">
        <w:rPr>
          <w:lang w:eastAsia="zh-CN"/>
        </w:rPr>
        <w:t xml:space="preserve">. This topic has not been </w:t>
      </w:r>
      <w:r w:rsidRPr="00C3671E">
        <w:t>systematically</w:t>
      </w:r>
      <w:r w:rsidRPr="00C3671E">
        <w:rPr>
          <w:lang w:eastAsia="zh-CN"/>
        </w:rPr>
        <w:t xml:space="preserve"> examined, but it seems that caregiving has more positive outcomes when it is less intensive </w:t>
      </w:r>
      <w:r w:rsidRPr="00C3671E">
        <w:rPr>
          <w:lang w:eastAsia="zh-CN"/>
        </w:rPr>
        <w:fldChar w:fldCharType="begin" w:fldLock="1"/>
      </w:r>
      <w:r w:rsidR="001257AA" w:rsidRPr="00C3671E">
        <w:rPr>
          <w:lang w:eastAsia="zh-CN"/>
        </w:rPr>
        <w:instrText>ADDIN CSL_CITATION { "citationItems" : [ { "id" : "ITEM-1", "itemData" : { "DOI" : "10.1093/ageing/28.3.307", "ISBN" : "0002-0729 (Print)\\r0002-0729 (Linking)", "ISSN" : "00020729", "PMID" : "10475869", "abstract" : "OBJECTIVE: To assess distress in a sample of carers who were selected from a community survey rather than recruited via community-service agencies.\\n\\nMETHODS: A community survey was carried out on 630 people aged 75 or over living in Sydney, Australia. Informants nominated by these elderly people were divided into full carer (n = 21), partial carer (n = 187) and non-carer groups (n = 344). Informants completed the General Health Questionnaire (a continuous measure of psychiatric symptoms), the life satisfaction index (a measure of well-being) and the interpersonal bonding measure (a measure of quality of the relationship with the elderly person). Elderly participants had a medical examination, were assessed for disability and were questioned about use of services.\\n\\nRESULTS: Elderly people who had a full carer were more disabled and had more medical diagnoses. Full, but not partial, carers reported more psychiatric symptoms and lower life satisfaction. In multivariate analysis, the main determinant of carer distress was a relationship in which the carer felt controlled by the elderly person.\\n\\nCONCLUSION: When carers are selected from a population-based sample, only those who are full carers are more distressed. However, relationship factors are the most important determinant of distress.", "author" : [ { "dropping-particle" : "", "family" : "Broe", "given" : "Gerald A.", "non-dropping-particle" : "", "parse-names" : false, "suffix" : "" }, { "dropping-particle" : "", "family" : "Jorm", "given" : "Anthony F.", "non-dropping-particle" : "", "parse-names" : false, "suffix" : "" }, { "dropping-particle" : "", "family" : "Creasey", "given" : "Helen", "non-dropping-particle" : "", "parse-names" : false, "suffix" : "" }, { "dropping-particle" : "", "family" : "Casey", "given" : "Barney", "non-dropping-particle" : "", "parse-names" : false, "suffix" : "" }, { "dropping-particle" : "", "family" : "Bennett", "given" : "Hayley", "non-dropping-particle" : "", "parse-names" : false, "suffix" : "" }, { "dropping-particle" : "", "family" : "Cullen", "given" : "John", "non-dropping-particle" : "", "parse-names" : false, "suffix" : "" }, { "dropping-particle" : "", "family" : "Edelbrock", "given" : "Dorothy", "non-dropping-particle" : "", "parse-names" : false, "suffix" : "" }, { "dropping-particle" : "", "family" : "Waite", "given" : "Louise", "non-dropping-particle" : "", "parse-names" : false, "suffix" : "" }, { "dropping-particle" : "", "family" : "Grayson", "given" : "David", "non-dropping-particle" : "", "parse-names" : false, "suffix" : "" } ], "container-title" : "Age and Ageing", "id" : "ITEM-1", "issue" : "3", "issued" : { "date-parts" : [ [ "1999" ] ] }, "page" : "307-311", "title" : "Carer distress in the general population: Results from the Sydney Older Persons Study", "type" : "article-journal", "volume" : "28" }, "uris" : [ "http://www.mendeley.com/documents/?uuid=f72f8fdf-7fa8-44a6-a4b7-915036579ee2" ] }, { "id" : "ITEM-2", "itemData" : { "DOI" : "10.1177/003288553401400202", "ISBN" : "9789264097759", "ISSN" : "0032-8855", "PMID" : "24443734", "abstract" : "When a young person is jobless, it also damages family, community, and country", "author" : [ { "dropping-particle" : "", "family" : "Colombo", "given" : "Francesca", "non-dropping-particle" : "", "parse-names" : false, "suffix" : "" }, { "dropping-particle" : "", "family" : "Llena-Nozal", "given" : "Ana", "non-dropping-particle" : "", "parse-names" : false, "suffix" : "" }, { "dropping-particle" : "", "family" : "Mercier", "given" : "J\u00e9r\u00f4me", "non-dropping-particle" : "", "parse-names" : false, "suffix" : "" }, { "dropping-particle" : "", "family" : "Tjadens", "given" : "Frits", "non-dropping-particle" : "", "parse-names" : false, "suffix" : "" } ], "id" : "ITEM-2", "issued" : { "date-parts" : [ [ "2011" ] ] }, "publisher" : "OECD Publishing", "publisher-place" : "Paris", "title" : "Help Wanted? Providing and Paying for Long-Term Care", "type" : "book" }, "uris" : [ "http://www.mendeley.com/documents/?uuid=0369a866-d1da-45d0-b6c4-0d3653bc82c7" ] }, { "id" : "ITEM-3", "itemData" : { "DOI" : "10.1007/s10433-013-0276-6", "ISBN" : "1613-9380; 1613-9372", "ISSN" : "16139372", "abstract" : "Based on the caregiver stress model, we examined how care demands, caregiver motivation, coping style and external support are associated with positive evaluation and caregiver burden among spousal, adult child and other types of care relations. Data from a sample of Dutch informal caregivers of 1,685 older persons (55 and older) were analyzed employing multivariate linear regression analyses for each of the care relationship types. Spouses (N = 206) report high positive evaluation and high burden, adult children (N = 1,093) report low positive evaluation, and other caregivers (N = 386) report high positive evaluation and a low burden. Multivariate linear regression analyses showed that motives and external support were important for positive evaluation but the impact varied among types of caregivers, whereas care demands and not asking for help were associated with burden for all types. Only among \u2018other\u2019 caregiver relationships, positive evaluation was negatively associated with burden. It is concluded that results confirm the dual nature of caregiving among spouses and children. The care context and motivation of the different types of caregivers explain their differences in care evaluation. Various interventions for types of caregivers are discussed. (PsycINFO Database Record (c) 2014 APA, all rights reserved) (journal abstract)", "author" : [ { "dropping-particle" : "", "family" : "Broese van Groenou", "given" : "Marjolein I.", "non-dropping-particle" : "", "parse-names" : false, "suffix" : "" }, { "dropping-particle" : "", "family" : "Boer", "given" : "Alice", "non-dropping-particle" : "de", "parse-names" : false, "suffix" : "" }, { "dropping-particle" : "", "family" : "Iedema", "given" : "Jurjen", "non-dropping-particle" : "", "parse-names" : false, "suffix" : "" } ], "container-title" : "European Journal of Ageing", "id" : "ITEM-3", "issue" : "4", "issued" : { "date-parts" : [ [ "2013" ] ] }, "page" : "301-311", "title" : "Positive and negative evaluation of caregiving among three different types of informal care relationships", "type" : "article-journal", "volume" : "10" }, "uris" : [ "http://www.mendeley.com/documents/?uuid=e39ec068-a7a1-4bd1-bbf4-2717643670f7" ] } ], "mendeley" : { "formattedCitation" : "(Broe et al. 1999; Broese van Groenou et al. 2013; Colombo et al. 2011)", "manualFormatting" : "(Broe et al. 1999; Broese van Groenou et al. 2013; Colombo et al. 2011)", "plainTextFormattedCitation" : "(Broe et al. 1999; Broese van Groenou et al. 2013; Colombo et al. 2011)", "previouslyFormattedCitation" : "(Broe et al. 1999; Broese van Groenou et al. 2013; Colombo et al. 2011)" }, "properties" : { "noteIndex" : 0 }, "schema" : "https://github.com/citation-style-language/schema/raw/master/csl-citation.json" }</w:instrText>
      </w:r>
      <w:r w:rsidRPr="00C3671E">
        <w:rPr>
          <w:lang w:eastAsia="zh-CN"/>
        </w:rPr>
        <w:fldChar w:fldCharType="separate"/>
      </w:r>
      <w:r w:rsidRPr="00C3671E">
        <w:rPr>
          <w:noProof/>
          <w:lang w:eastAsia="zh-CN"/>
        </w:rPr>
        <w:t xml:space="preserve">(Broe </w:t>
      </w:r>
      <w:r w:rsidRPr="00C3671E">
        <w:rPr>
          <w:i/>
          <w:noProof/>
          <w:lang w:eastAsia="zh-CN"/>
        </w:rPr>
        <w:t>et al.</w:t>
      </w:r>
      <w:r w:rsidRPr="00C3671E">
        <w:rPr>
          <w:noProof/>
          <w:lang w:eastAsia="zh-CN"/>
        </w:rPr>
        <w:t xml:space="preserve"> 1999; Broese van Groenou </w:t>
      </w:r>
      <w:r w:rsidRPr="00C3671E">
        <w:rPr>
          <w:i/>
          <w:noProof/>
          <w:lang w:eastAsia="zh-CN"/>
        </w:rPr>
        <w:t xml:space="preserve">et al. </w:t>
      </w:r>
      <w:r w:rsidRPr="00C3671E">
        <w:rPr>
          <w:noProof/>
          <w:lang w:eastAsia="zh-CN"/>
        </w:rPr>
        <w:t xml:space="preserve">2013; Colombo </w:t>
      </w:r>
      <w:r w:rsidRPr="00C3671E">
        <w:rPr>
          <w:i/>
          <w:noProof/>
          <w:lang w:eastAsia="zh-CN"/>
        </w:rPr>
        <w:t>et al.</w:t>
      </w:r>
      <w:r w:rsidRPr="00C3671E">
        <w:rPr>
          <w:noProof/>
          <w:lang w:eastAsia="zh-CN"/>
        </w:rPr>
        <w:t xml:space="preserve"> 2011)</w:t>
      </w:r>
      <w:r w:rsidRPr="00C3671E">
        <w:rPr>
          <w:lang w:eastAsia="zh-CN"/>
        </w:rPr>
        <w:fldChar w:fldCharType="end"/>
      </w:r>
      <w:r w:rsidRPr="00C3671E">
        <w:rPr>
          <w:lang w:eastAsia="zh-CN"/>
        </w:rPr>
        <w:t xml:space="preserve"> and more voluntary </w:t>
      </w:r>
      <w:r w:rsidRPr="00C3671E">
        <w:rPr>
          <w:lang w:eastAsia="zh-CN"/>
        </w:rPr>
        <w:fldChar w:fldCharType="begin" w:fldLock="1"/>
      </w:r>
      <w:r w:rsidR="001257AA" w:rsidRPr="00C3671E">
        <w:rPr>
          <w:lang w:eastAsia="zh-CN"/>
        </w:rPr>
        <w:instrText>ADDIN CSL_CITATION { "citationItems" : [ { "id" : "ITEM-1", "itemData" : { "author" : [ { "dropping-particle" : "", "family" : "Lowenstein", "given" : "Ariela", "non-dropping-particle" : "", "parse-names" : false, "suffix" : "" }, { "dropping-particle" : "", "family" : "Katz", "given" : "Ruth", "non-dropping-particle" : "", "parse-names" : false, "suffix" : "" }, { "dropping-particle" : "", "family" : "Gur-Yaish", "given" : "Nurit", "non-dropping-particle" : "", "parse-names" : false, "suffix" : "" } ], "chapter-number" : "5", "container-title" : "Caregiving Contexts: Cultural, Familial, and Societal Implications", "editor" : [ { "dropping-particle" : "", "family" : "Davey", "given" : "Adam", "non-dropping-particle" : "", "parse-names" : false, "suffix" : "" }, { "dropping-particle" : "", "family" : "Szinovacz", "given" : "Maximiliane E", "non-dropping-particle" : "", "parse-names" : false, "suffix" : "" } ], "id" : "ITEM-1", "issued" : { "date-parts" : [ [ "2008" ] ] }, "page" : "93-114", "publisher" : "Springer Publishing Company", "publisher-place" : "New York", "title" : "Cross-national v ariations in Elder Care: Antecedents and outcomes", "type" : "chapter" }, "uris" : [ "http://www.mendeley.com/documents/?uuid=f018b976-3d6d-444e-ab31-0664a763a2dc" ] }, { "id" : "ITEM-2", "itemData" : { "DOI" : "10.1007/s10433-013-0276-6", "ISBN" : "1613-9380; 1613-9372", "ISSN" : "16139372", "abstract" : "Based on the caregiver stress model, we examined how care demands, caregiver motivation, coping style and external support are associated with positive evaluation and caregiver burden among spousal, adult child and other types of care relations. Data from a sample of Dutch informal caregivers of 1,685 older persons (55 and older) were analyzed employing multivariate linear regression analyses for each of the care relationship types. Spouses (N = 206) report high positive evaluation and high burden, adult children (N = 1,093) report low positive evaluation, and other caregivers (N = 386) report high positive evaluation and a low burden. Multivariate linear regression analyses showed that motives and external support were important for positive evaluation but the impact varied among types of caregivers, whereas care demands and not asking for help were associated with burden for all types. Only among \u2018other\u2019 caregiver relationships, positive evaluation was negatively associated with burden. It is concluded that results confirm the dual nature of caregiving among spouses and children. The care context and motivation of the different types of caregivers explain their differences in care evaluation. Various interventions for types of caregivers are discussed. (PsycINFO Database Record (c) 2014 APA, all rights reserved) (journal abstract)", "author" : [ { "dropping-particle" : "", "family" : "Broese van Groenou", "given" : "Marjolein I.", "non-dropping-particle" : "", "parse-names" : false, "suffix" : "" }, { "dropping-particle" : "", "family" : "Boer", "given" : "Alice", "non-dropping-particle" : "de", "parse-names" : false, "suffix" : "" }, { "dropping-particle" : "", "family" : "Iedema", "given" : "Jurjen", "non-dropping-particle" : "", "parse-names" : false, "suffix" : "" } ], "container-title" : "European Journal of Ageing", "id" : "ITEM-2", "issue" : "4", "issued" : { "date-parts" : [ [ "2013" ] ] }, "page" : "301-311", "title" : "Positive and negative evaluation of caregiving among three different types of informal care relationships", "type" : "article-journal", "volume" : "10" }, "uris" : [ "http://www.mendeley.com/documents/?uuid=e39ec068-a7a1-4bd1-bbf4-2717643670f7" ] } ], "mendeley" : { "formattedCitation" : "(Broese van Groenou et al. 2013; Lowenstein et al. 2008)", "manualFormatting" : "(Broese van Groenou et al. 2013; Lowenstein et al. 2008)", "plainTextFormattedCitation" : "(Broese van Groenou et al. 2013; Lowenstein et al. 2008)", "previouslyFormattedCitation" : "(Broese van Groenou et al. 2013; Lowenstein et al. 2008)" }, "properties" : { "noteIndex" : 0 }, "schema" : "https://github.com/citation-style-language/schema/raw/master/csl-citation.json" }</w:instrText>
      </w:r>
      <w:r w:rsidRPr="00C3671E">
        <w:rPr>
          <w:lang w:eastAsia="zh-CN"/>
        </w:rPr>
        <w:fldChar w:fldCharType="separate"/>
      </w:r>
      <w:r w:rsidRPr="00C3671E">
        <w:rPr>
          <w:noProof/>
          <w:lang w:eastAsia="zh-CN"/>
        </w:rPr>
        <w:t xml:space="preserve">(Broese van Groenou </w:t>
      </w:r>
      <w:r w:rsidRPr="00C3671E">
        <w:rPr>
          <w:i/>
          <w:noProof/>
          <w:lang w:eastAsia="zh-CN"/>
        </w:rPr>
        <w:t>et al.</w:t>
      </w:r>
      <w:r w:rsidRPr="00C3671E">
        <w:rPr>
          <w:noProof/>
          <w:lang w:eastAsia="zh-CN"/>
        </w:rPr>
        <w:t xml:space="preserve"> 2013; Lowenstein </w:t>
      </w:r>
      <w:r w:rsidRPr="00C3671E">
        <w:rPr>
          <w:i/>
          <w:noProof/>
          <w:lang w:eastAsia="zh-CN"/>
        </w:rPr>
        <w:lastRenderedPageBreak/>
        <w:t>et al.</w:t>
      </w:r>
      <w:r w:rsidRPr="00C3671E">
        <w:rPr>
          <w:noProof/>
          <w:lang w:eastAsia="zh-CN"/>
        </w:rPr>
        <w:t xml:space="preserve"> 2008)</w:t>
      </w:r>
      <w:r w:rsidRPr="00C3671E">
        <w:rPr>
          <w:lang w:eastAsia="zh-CN"/>
        </w:rPr>
        <w:fldChar w:fldCharType="end"/>
      </w:r>
      <w:r w:rsidRPr="00C3671E">
        <w:rPr>
          <w:lang w:eastAsia="zh-CN"/>
        </w:rPr>
        <w:t xml:space="preserve">, while the effect of multiplicity of care remains unclear </w:t>
      </w:r>
      <w:r w:rsidRPr="00C3671E">
        <w:rPr>
          <w:lang w:eastAsia="zh-CN"/>
        </w:rPr>
        <w:fldChar w:fldCharType="begin" w:fldLock="1"/>
      </w:r>
      <w:r w:rsidR="001257AA" w:rsidRPr="00C3671E">
        <w:rPr>
          <w:lang w:eastAsia="zh-CN"/>
        </w:rPr>
        <w:instrText>ADDIN CSL_CITATION { "citationItems" : [ { "id" : "ITEM-1", "itemData" : { "DOI" : "10.1017/S0144686X07006629", "ISBN" : "1469-1779", "ISSN" : "0144-686X", "abstract" : "Gerontologists have emphasised that older adults are not only recipients of support but also important support providers. Using data from the first wave of the Netherlands Kinship Panel Study of 727 middle-generation adults aged 45 to 79 years, we examined the associations between loneliness and giving support up, across and down family lineages. Overall, the findings were consistent more with an altruism perspective, that giving brings rewards, than with an exchange perspective, which emphasises the costs of giving support. The results showed an inverse relationship between the number of generations supported and loneliness, and that those engaged in balanced exchanges with family members in three generations (parents, siblings and children) were generally the least lonely. As regards the direction of support giving, the findings showed that the association between giving support and loneliness was insignificant if the support was for parents, negative for support to siblings, and positive for support to children. Imbalanced support exchanges were differentially associated with loneliness, and depended on the type of family relationship involved. Non-reciprocated support made parents more vulnerable to loneliness, whereas non-reciprocated giving in sibling ties was associated with low levels of loneliness. Imbalanced support giving in relationships with parents was not associated with loneliness.", "author" : [ { "dropping-particle" : "", "family" : "Jong Gierveld", "given" : "Jenny", "non-dropping-particle" : "De", "parse-names" : false, "suffix" : "" }, { "dropping-particle" : "", "family" : "Dykstra", "given" : "Pearl A.", "non-dropping-particle" : "", "parse-names" : false, "suffix" : "" } ], "container-title" : "Ageing and Society", "id" : "ITEM-1", "issue" : "02", "issued" : { "date-parts" : [ [ "2008" ] ] }, "page" : "271-287", "title" : "Virtue is its own reward? Support-giving in the family and loneliness in middle and old age", "type" : "article-journal", "volume" : "28" }, "uris" : [ "http://www.mendeley.com/documents/?uuid=51cd63fa-a8cd-488c-be10-d4ffd8214b5c" ] }, { "id" : "ITEM-2", "itemData" : { "DOI" : "10.1016/j.appdev.2009.06.001", "ISBN" : "0193-3973", "ISSN" : "01933973", "PMID" : "20161605", "abstract" : "The current study examined the association between membership in the sandwich generation, defined as providing care to both children and parents or in-laws, and five health behaviors: checking the food label for health value when buying foods, using a seat belt, choosing foods based on health value, exercising regularly, and cigarette smoking. Participants (N = 4943) were from a longitudinal study of a midwestern community-based sample. Regression analyses tested the unique effect of sandwich generation membership on health behaviors above and beyond demographic factors and prior levels of the same behavior. Compared to other caregivers and noncaregivers, multigenerational caregivers were less likely to check food labels and choose foods based on health values. Multigenerational caregivers were less likely than noncaregivers and those who cared for children only to use seat belts, and they smoked marginally more cigarettes per day than those groups. Multigenerational caregivers were less likely than noncaregivers and those who cared for parents/in-laws only to exercise regularly. Thus, in general, healthy behaviors were diminished for multigenerational caregivers. \u00a9 2009 Elsevier Inc. All rights reserved.", "author" : [ { "dropping-particle" : "", "family" : "Chassin", "given" : "Laurie", "non-dropping-particle" : "", "parse-names" : false, "suffix" : "" }, { "dropping-particle" : "", "family" : "Macy", "given" : "Jon T.", "non-dropping-particle" : "", "parse-names" : false, "suffix" : "" }, { "dropping-particle" : "", "family" : "Seo", "given" : "Dong Chul", "non-dropping-particle" : "", "parse-names" : false, "suffix" : "" }, { "dropping-particle" : "", "family" : "Presson", "given" : "Clark C.", "non-dropping-particle" : "", "parse-names" : false, "suffix" : "" }, { "dropping-particle" : "", "family" : "Sherman", "given" : "Steven J.", "non-dropping-particle" : "", "parse-names" : false, "suffix" : "" } ], "container-title" : "Journal of Applied Developmental Psychology", "id" : "ITEM-2", "issue" : "1", "issued" : { "date-parts" : [ [ "2010" ] ] }, "page" : "38-46", "publisher" : "Elsevier Inc.", "title" : "The association between membership in the sandwich generation and health behaviors: A longitudinal study", "type" : "article-journal", "volume" : "31" }, "uris" : [ "http://www.mendeley.com/documents/?uuid=0894864d-1724-4906-9fe3-73d53bee3cb8" ] } ], "mendeley" : { "formattedCitation" : "(Chassin et al. 2010; De Jong Gierveld and Dykstra 2008)", "plainTextFormattedCitation" : "(Chassin et al. 2010; De Jong Gierveld and Dykstra 2008)", "previouslyFormattedCitation" : "(Chassin et al. 2010; De Jong Gierveld and Dykstra 2008)" }, "properties" : { "noteIndex" : 0 }, "schema" : "https://github.com/citation-style-language/schema/raw/master/csl-citation.json" }</w:instrText>
      </w:r>
      <w:r w:rsidRPr="00C3671E">
        <w:rPr>
          <w:lang w:eastAsia="zh-CN"/>
        </w:rPr>
        <w:fldChar w:fldCharType="separate"/>
      </w:r>
      <w:r w:rsidR="00A91559" w:rsidRPr="00C3671E">
        <w:rPr>
          <w:noProof/>
          <w:lang w:eastAsia="zh-CN"/>
        </w:rPr>
        <w:t>(Chassin et al. 2010; De Jong Gierveld and Dykstra 2008)</w:t>
      </w:r>
      <w:r w:rsidRPr="00C3671E">
        <w:rPr>
          <w:lang w:eastAsia="zh-CN"/>
        </w:rPr>
        <w:fldChar w:fldCharType="end"/>
      </w:r>
      <w:r w:rsidRPr="00C3671E">
        <w:rPr>
          <w:lang w:eastAsia="zh-CN"/>
        </w:rPr>
        <w:t>. The next section explains these factors in more detail.</w:t>
      </w:r>
    </w:p>
    <w:p w14:paraId="7E4C31D7" w14:textId="77777777" w:rsidR="001A7940" w:rsidRPr="00C3671E" w:rsidRDefault="001A7940" w:rsidP="007E6D8E">
      <w:pPr>
        <w:pStyle w:val="Nadpis3"/>
        <w:spacing w:line="480" w:lineRule="auto"/>
        <w:rPr>
          <w:rFonts w:ascii="Times New Roman" w:hAnsi="Times New Roman" w:cs="Times New Roman"/>
          <w:b w:val="0"/>
          <w:i/>
          <w:lang w:val="en-GB" w:eastAsia="zh-CN"/>
        </w:rPr>
      </w:pPr>
      <w:bookmarkStart w:id="47" w:name="_Toc512687754"/>
      <w:r w:rsidRPr="00C3671E">
        <w:rPr>
          <w:rFonts w:ascii="Times New Roman" w:hAnsi="Times New Roman" w:cs="Times New Roman"/>
          <w:b w:val="0"/>
          <w:i/>
          <w:lang w:val="en-GB" w:eastAsia="zh-CN"/>
        </w:rPr>
        <w:t>Factors Affecting Caregiving Outcomes</w:t>
      </w:r>
      <w:bookmarkEnd w:id="47"/>
    </w:p>
    <w:p w14:paraId="4C210D40" w14:textId="53404F0E" w:rsidR="001A7940" w:rsidRPr="00C3671E" w:rsidRDefault="001A7940" w:rsidP="00F4146A">
      <w:pPr>
        <w:suppressAutoHyphens/>
        <w:spacing w:line="480" w:lineRule="auto"/>
        <w:jc w:val="both"/>
        <w:rPr>
          <w:lang w:val="en-GB" w:eastAsia="zh-CN"/>
        </w:rPr>
      </w:pPr>
      <w:r w:rsidRPr="00C3671E">
        <w:rPr>
          <w:lang w:val="en-GB" w:eastAsia="zh-CN"/>
        </w:rPr>
        <w:t xml:space="preserve">Several studies illustrate that intensive care has a detrimental effect on the consequences of caring </w:t>
      </w:r>
      <w:r w:rsidRPr="00C3671E">
        <w:rPr>
          <w:lang w:val="en-GB" w:eastAsia="zh-CN"/>
        </w:rPr>
        <w:fldChar w:fldCharType="begin" w:fldLock="1"/>
      </w:r>
      <w:r w:rsidR="001257AA" w:rsidRPr="00C3671E">
        <w:rPr>
          <w:lang w:val="en-GB" w:eastAsia="zh-CN"/>
        </w:rPr>
        <w:instrText>ADDIN CSL_CITATION { "citationItems" : [ { "id" : "ITEM-1", "itemData" : { "DOI" : "10.1093/ageing/28.3.307", "ISBN" : "0002-0729 (Print)\\r0002-0729 (Linking)", "ISSN" : "00020729", "PMID" : "10475869", "abstract" : "OBJECTIVE: To assess distress in a sample of carers who were selected from a community survey rather than recruited via community-service agencies.\\n\\nMETHODS: A community survey was carried out on 630 people aged 75 or over living in Sydney, Australia. Informants nominated by these elderly people were divided into full carer (n = 21), partial carer (n = 187) and non-carer groups (n = 344). Informants completed the General Health Questionnaire (a continuous measure of psychiatric symptoms), the life satisfaction index (a measure of well-being) and the interpersonal bonding measure (a measure of quality of the relationship with the elderly person). Elderly participants had a medical examination, were assessed for disability and were questioned about use of services.\\n\\nRESULTS: Elderly people who had a full carer were more disabled and had more medical diagnoses. Full, but not partial, carers reported more psychiatric symptoms and lower life satisfaction. In multivariate analysis, the main determinant of carer distress was a relationship in which the carer felt controlled by the elderly person.\\n\\nCONCLUSION: When carers are selected from a population-based sample, only those who are full carers are more distressed. However, relationship factors are the most important determinant of distress.", "author" : [ { "dropping-particle" : "", "family" : "Broe", "given" : "Gerald A.", "non-dropping-particle" : "", "parse-names" : false, "suffix" : "" }, { "dropping-particle" : "", "family" : "Jorm", "given" : "Anthony F.", "non-dropping-particle" : "", "parse-names" : false, "suffix" : "" }, { "dropping-particle" : "", "family" : "Creasey", "given" : "Helen", "non-dropping-particle" : "", "parse-names" : false, "suffix" : "" }, { "dropping-particle" : "", "family" : "Casey", "given" : "Barney", "non-dropping-particle" : "", "parse-names" : false, "suffix" : "" }, { "dropping-particle" : "", "family" : "Bennett", "given" : "Hayley", "non-dropping-particle" : "", "parse-names" : false, "suffix" : "" }, { "dropping-particle" : "", "family" : "Cullen", "given" : "John", "non-dropping-particle" : "", "parse-names" : false, "suffix" : "" }, { "dropping-particle" : "", "family" : "Edelbrock", "given" : "Dorothy", "non-dropping-particle" : "", "parse-names" : false, "suffix" : "" }, { "dropping-particle" : "", "family" : "Waite", "given" : "Louise", "non-dropping-particle" : "", "parse-names" : false, "suffix" : "" }, { "dropping-particle" : "", "family" : "Grayson", "given" : "David", "non-dropping-particle" : "", "parse-names" : false, "suffix" : "" } ], "container-title" : "Age and Ageing", "id" : "ITEM-1", "issue" : "3", "issued" : { "date-parts" : [ [ "1999" ] ] }, "page" : "307-311", "title" : "Carer distress in the general population: Results from the Sydney Older Persons Study", "type" : "article-journal", "volume" : "28" }, "uris" : [ "http://www.mendeley.com/documents/?uuid=f72f8fdf-7fa8-44a6-a4b7-915036579ee2" ] }, { "id" : "ITEM-2", "itemData" : { "DOI" : "10.1177/003288553401400202", "ISBN" : "9789264097759", "ISSN" : "0032-8855", "PMID" : "24443734", "abstract" : "When a young person is jobless, it also damages family, community, and country", "author" : [ { "dropping-particle" : "", "family" : "Colombo", "given" : "Francesca", "non-dropping-particle" : "", "parse-names" : false, "suffix" : "" }, { "dropping-particle" : "", "family" : "Llena-Nozal", "given" : "Ana", "non-dropping-particle" : "", "parse-names" : false, "suffix" : "" }, { "dropping-particle" : "", "family" : "Mercier", "given" : "J\u00e9r\u00f4me", "non-dropping-particle" : "", "parse-names" : false, "suffix" : "" }, { "dropping-particle" : "", "family" : "Tjadens", "given" : "Frits", "non-dropping-particle" : "", "parse-names" : false, "suffix" : "" } ], "id" : "ITEM-2", "issued" : { "date-parts" : [ [ "2011" ] ] }, "publisher" : "OECD Publishing", "publisher-place" : "Paris", "title" : "Help Wanted? Providing and Paying for Long-Term Care", "type" : "book" }, "uris" : [ "http://www.mendeley.com/documents/?uuid=0369a866-d1da-45d0-b6c4-0d3653bc82c7" ] }, { "id" : "ITEM-3", "itemData" : { "DOI" : "10.1007/s10433-013-0276-6", "ISBN" : "1613-9380; 1613-9372", "ISSN" : "16139372", "abstract" : "Based on the caregiver stress model, we examined how care demands, caregiver motivation, coping style and external support are associated with positive evaluation and caregiver burden among spousal, adult child and other types of care relations. Data from a sample of Dutch informal caregivers of 1,685 older persons (55 and older) were analyzed employing multivariate linear regression analyses for each of the care relationship types. Spouses (N = 206) report high positive evaluation and high burden, adult children (N = 1,093) report low positive evaluation, and other caregivers (N = 386) report high positive evaluation and a low burden. Multivariate linear regression analyses showed that motives and external support were important for positive evaluation but the impact varied among types of caregivers, whereas care demands and not asking for help were associated with burden for all types. Only among \u2018other\u2019 caregiver relationships, positive evaluation was negatively associated with burden. It is concluded that results confirm the dual nature of caregiving among spouses and children. The care context and motivation of the different types of caregivers explain their differences in care evaluation. Various interventions for types of caregivers are discussed. (PsycINFO Database Record (c) 2014 APA, all rights reserved) (journal abstract)", "author" : [ { "dropping-particle" : "", "family" : "Broese van Groenou", "given" : "Marjolein I.", "non-dropping-particle" : "", "parse-names" : false, "suffix" : "" }, { "dropping-particle" : "", "family" : "Boer", "given" : "Alice", "non-dropping-particle" : "de", "parse-names" : false, "suffix" : "" }, { "dropping-particle" : "", "family" : "Iedema", "given" : "Jurjen", "non-dropping-particle" : "", "parse-names" : false, "suffix" : "" } ], "container-title" : "European Journal of Ageing", "id" : "ITEM-3", "issue" : "4", "issued" : { "date-parts" : [ [ "2013" ] ] }, "page" : "301-311", "title" : "Positive and negative evaluation of caregiving among three different types of informal care relationships", "type" : "article-journal", "volume" : "10" }, "uris" : [ "http://www.mendeley.com/documents/?uuid=e39ec068-a7a1-4bd1-bbf4-2717643670f7" ] } ], "mendeley" : { "formattedCitation" : "(Broe et al. 1999; Broese van Groenou et al. 2013; Colombo et al. 2011)", "plainTextFormattedCitation" : "(Broe et al. 1999; Broese van Groenou et al. 2013; Colombo et al. 2011)", "previouslyFormattedCitation" : "(Broe et al. 1999; Broese van Groenou et al. 2013; Colombo et al. 2011)" }, "properties" : { "noteIndex" : 0 }, "schema" : "https://github.com/citation-style-language/schema/raw/master/csl-citation.json" }</w:instrText>
      </w:r>
      <w:r w:rsidRPr="00C3671E">
        <w:rPr>
          <w:lang w:val="en-GB" w:eastAsia="zh-CN"/>
        </w:rPr>
        <w:fldChar w:fldCharType="separate"/>
      </w:r>
      <w:r w:rsidR="00A91559" w:rsidRPr="00C3671E">
        <w:rPr>
          <w:noProof/>
          <w:lang w:val="en-GB" w:eastAsia="zh-CN"/>
        </w:rPr>
        <w:t>(Broe et al. 1999; Broese van Groenou et al. 2013; Colombo et al. 2011)</w:t>
      </w:r>
      <w:r w:rsidRPr="00C3671E">
        <w:rPr>
          <w:lang w:val="en-GB" w:eastAsia="zh-CN"/>
        </w:rPr>
        <w:fldChar w:fldCharType="end"/>
      </w:r>
      <w:r w:rsidRPr="00C3671E">
        <w:rPr>
          <w:lang w:val="en-GB" w:eastAsia="zh-CN"/>
        </w:rPr>
        <w:t xml:space="preserve">. A direct </w:t>
      </w:r>
      <w:r w:rsidRPr="00F4146A">
        <w:rPr>
          <w:rFonts w:eastAsia="Calibri"/>
          <w:lang w:val="en-GB" w:eastAsia="en-US"/>
        </w:rPr>
        <w:t>explanation</w:t>
      </w:r>
      <w:r w:rsidRPr="00C3671E">
        <w:rPr>
          <w:lang w:val="en-GB" w:eastAsia="zh-CN"/>
        </w:rPr>
        <w:t xml:space="preserve"> for this effect is the fact that more intensive caregiving consumes more time and energy </w:t>
      </w:r>
      <w:r w:rsidRPr="00C3671E">
        <w:rPr>
          <w:lang w:val="en-GB" w:eastAsia="zh-CN"/>
        </w:rPr>
        <w:fldChar w:fldCharType="begin" w:fldLock="1"/>
      </w:r>
      <w:r w:rsidR="001257AA" w:rsidRPr="00C3671E">
        <w:rPr>
          <w:lang w:val="en-GB" w:eastAsia="zh-CN"/>
        </w:rPr>
        <w:instrText>ADDIN CSL_CITATION { "citationItems" : [ { "id" : "ITEM-1", "itemData" : { "DOI" : "10.1007/s10433-013-0276-6", "ISBN" : "1613-9380; 1613-9372", "ISSN" : "16139372", "abstract" : "Based on the caregiver stress model, we examined how care demands, caregiver motivation, coping style and external support are associated with positive evaluation and caregiver burden among spousal, adult child and other types of care relations. Data from a sample of Dutch informal caregivers of 1,685 older persons (55 and older) were analyzed employing multivariate linear regression analyses for each of the care relationship types. Spouses (N = 206) report high positive evaluation and high burden, adult children (N = 1,093) report low positive evaluation, and other caregivers (N = 386) report high positive evaluation and a low burden. Multivariate linear regression analyses showed that motives and external support were important for positive evaluation but the impact varied among types of caregivers, whereas care demands and not asking for help were associated with burden for all types. Only among \u2018other\u2019 caregiver relationships, positive evaluation was negatively associated with burden. It is concluded that results confirm the dual nature of caregiving among spouses and children. The care context and motivation of the different types of caregivers explain their differences in care evaluation. Various interventions for types of caregivers are discussed. (PsycINFO Database Record (c) 2014 APA, all rights reserved) (journal abstract)", "author" : [ { "dropping-particle" : "", "family" : "Broese van Groenou", "given" : "Marjolein I.", "non-dropping-particle" : "", "parse-names" : false, "suffix" : "" }, { "dropping-particle" : "", "family" : "Boer", "given" : "Alice", "non-dropping-particle" : "de", "parse-names" : false, "suffix" : "" }, { "dropping-particle" : "", "family" : "Iedema", "given" : "Jurjen", "non-dropping-particle" : "", "parse-names" : false, "suffix" : "" } ], "container-title" : "European Journal of Ageing", "id" : "ITEM-1", "issue" : "4", "issued" : { "date-parts" : [ [ "2013" ] ] }, "page" : "301-311", "title" : "Positive and negative evaluation of caregiving among three different types of informal care relationships", "type" : "article-journal", "volume" : "10" }, "uris" : [ "http://www.mendeley.com/documents/?uuid=e39ec068-a7a1-4bd1-bbf4-2717643670f7" ] } ], "mendeley" : { "formattedCitation" : "(Broese van Groenou et al. 2013)", "plainTextFormattedCitation" : "(Broese van Groenou et al. 2013)", "previouslyFormattedCitation" : "(Broese van Groenou et al. 2013)" }, "properties" : { "noteIndex" : 0 }, "schema" : "https://github.com/citation-style-language/schema/raw/master/csl-citation.json" }</w:instrText>
      </w:r>
      <w:r w:rsidRPr="00C3671E">
        <w:rPr>
          <w:lang w:val="en-GB" w:eastAsia="zh-CN"/>
        </w:rPr>
        <w:fldChar w:fldCharType="separate"/>
      </w:r>
      <w:r w:rsidRPr="00C3671E">
        <w:rPr>
          <w:noProof/>
          <w:lang w:val="en-GB" w:eastAsia="zh-CN"/>
        </w:rPr>
        <w:t>(Broese van Groenou et al. 2013)</w:t>
      </w:r>
      <w:r w:rsidRPr="00C3671E">
        <w:rPr>
          <w:lang w:val="en-GB" w:eastAsia="zh-CN"/>
        </w:rPr>
        <w:fldChar w:fldCharType="end"/>
      </w:r>
      <w:r w:rsidRPr="00C3671E">
        <w:rPr>
          <w:lang w:val="en-GB" w:eastAsia="zh-CN"/>
        </w:rPr>
        <w:t xml:space="preserve">. Additionally, more intensive provision of care is often dictated by circumstances of less accessible formal care </w:t>
      </w:r>
      <w:r w:rsidRPr="00C3671E">
        <w:rPr>
          <w:lang w:val="en-GB" w:eastAsia="zh-CN"/>
        </w:rPr>
        <w:fldChar w:fldCharType="begin" w:fldLock="1"/>
      </w:r>
      <w:r w:rsidR="001257AA" w:rsidRPr="00C3671E">
        <w:rPr>
          <w:lang w:val="en-GB" w:eastAsia="zh-CN"/>
        </w:rPr>
        <w:instrText>ADDIN CSL_CITATION { "citationItems" : [ { "id" : "ITEM-1", "itemData" : { "ISSN" : "00472328", "abstract" : "Intergenerational time transfers can be differentiated and divided\\ninto two support forms: help and care activities. Adult children\\nsupport their elderly parents with more or less intensive and widely\\ndiffering transfers ranging from help with household chores and paperwork\\nto personal care. However, elderly people are also an important source\\nof intergenerational support, as they help their children by looking\\nafter the grandchildren for example. In general intergenerational\\nsolidarity patterns are influenced by opportunity, need, family and\\ncultural-contextual structures, which have differing impacts on help\\nand care: Care is mainly depending on the need structures of the\\nreceiver while help activities to parents and children are primarily\\ninfluenced by the opportunity structures of the giver. Additionally,\\nusing the SHARE data, logistic multilevel modeling allows national\\nhelp and care levels to be traced back to the provision of public\\nservices. The empirical findings support the ``specialization hypothesis{''}:\\nA higher national level of social services coincides with less intensive\\nhelp and more demanding care. Well-developed welfare states thus\\nlower the risk of an overburdening of the family and secure the overall\\nsupport of older people and young families through efficient collaboration\\nbetween family and state.", "author" : [ { "dropping-particle" : "", "family" : "Igel", "given" : "Corinne", "non-dropping-particle" : "", "parse-names" : false, "suffix" : "" }, { "dropping-particle" : "", "family" : "Brandt", "given" : "Martina", "non-dropping-particle" : "", "parse-names" : false, "suffix" : "" }, { "dropping-particle" : "", "family" : "Haberkern", "given" : "Klaus", "non-dropping-particle" : "", "parse-names" : false, "suffix" : "" }, { "dropping-particle" : "", "family" : "Szydlik", "given" : "Marc", "non-dropping-particle" : "", "parse-names" : false, "suffix" : "" } ], "container-title" : "Journal of Comparative Family Studies", "id" : "ITEM-1", "issue" : "2", "issued" : { "date-parts" : [ [ "2009" ] ] }, "page" : "203-224", "title" : "Specialization between family and state intergenerational time transfers in Western Europe", "type" : "article-journal", "volume" : "40" }, "uris" : [ "http://www.mendeley.com/documents/?uuid=6a7ba839-ceb4-4cec-83cd-d7e5b4c92ae4" ] } ], "mendeley" : { "formattedCitation" : "(Igel et al. 2009)", "plainTextFormattedCitation" : "(Igel et al. 2009)", "previouslyFormattedCitation" : "(Igel et al. 2009)" }, "properties" : { "noteIndex" : 0 }, "schema" : "https://github.com/citation-style-language/schema/raw/master/csl-citation.json" }</w:instrText>
      </w:r>
      <w:r w:rsidRPr="00C3671E">
        <w:rPr>
          <w:lang w:val="en-GB" w:eastAsia="zh-CN"/>
        </w:rPr>
        <w:fldChar w:fldCharType="separate"/>
      </w:r>
      <w:r w:rsidRPr="00C3671E">
        <w:rPr>
          <w:noProof/>
          <w:lang w:val="en-GB" w:eastAsia="zh-CN"/>
        </w:rPr>
        <w:t>(Igel et al. 2009)</w:t>
      </w:r>
      <w:r w:rsidRPr="00C3671E">
        <w:rPr>
          <w:lang w:val="en-GB" w:eastAsia="zh-CN"/>
        </w:rPr>
        <w:fldChar w:fldCharType="end"/>
      </w:r>
      <w:r w:rsidRPr="00C3671E">
        <w:rPr>
          <w:lang w:val="en-GB" w:eastAsia="zh-CN"/>
        </w:rPr>
        <w:t xml:space="preserve"> or of fewer family members accessible for sharing family responsibilities </w:t>
      </w:r>
      <w:r w:rsidRPr="00C3671E">
        <w:rPr>
          <w:lang w:val="en-GB" w:eastAsia="zh-CN"/>
        </w:rPr>
        <w:fldChar w:fldCharType="begin" w:fldLock="1"/>
      </w:r>
      <w:r w:rsidR="001257AA" w:rsidRPr="00C3671E">
        <w:rPr>
          <w:lang w:val="en-GB" w:eastAsia="zh-CN"/>
        </w:rPr>
        <w:instrText>ADDIN CSL_CITATION { "citationItems" : [ { "id" : "ITEM-1", "itemData" : { "DOI" : "10.1007/s10433-013-0276-6", "ISBN" : "1613-9380; 1613-9372", "ISSN" : "16139372", "abstract" : "Based on the caregiver stress model, we examined how care demands, caregiver motivation, coping style and external support are associated with positive evaluation and caregiver burden among spousal, adult child and other types of care relations. Data from a sample of Dutch informal caregivers of 1,685 older persons (55 and older) were analyzed employing multivariate linear regression analyses for each of the care relationship types. Spouses (N = 206) report high positive evaluation and high burden, adult children (N = 1,093) report low positive evaluation, and other caregivers (N = 386) report high positive evaluation and a low burden. Multivariate linear regression analyses showed that motives and external support were important for positive evaluation but the impact varied among types of caregivers, whereas care demands and not asking for help were associated with burden for all types. Only among \u2018other\u2019 caregiver relationships, positive evaluation was negatively associated with burden. It is concluded that results confirm the dual nature of caregiving among spouses and children. The care context and motivation of the different types of caregivers explain their differences in care evaluation. Various interventions for types of caregivers are discussed. (PsycINFO Database Record (c) 2014 APA, all rights reserved) (journal abstract)", "author" : [ { "dropping-particle" : "", "family" : "Broese van Groenou", "given" : "Marjolein I.", "non-dropping-particle" : "", "parse-names" : false, "suffix" : "" }, { "dropping-particle" : "", "family" : "Boer", "given" : "Alice", "non-dropping-particle" : "de", "parse-names" : false, "suffix" : "" }, { "dropping-particle" : "", "family" : "Iedema", "given" : "Jurjen", "non-dropping-particle" : "", "parse-names" : false, "suffix" : "" } ], "container-title" : "European Journal of Ageing", "id" : "ITEM-1", "issue" : "4", "issued" : { "date-parts" : [ [ "2013" ] ] }, "page" : "301-311", "title" : "Positive and negative evaluation of caregiving among three different types of informal care relationships", "type" : "article-journal", "volume" : "10" }, "uris" : [ "http://www.mendeley.com/documents/?uuid=e39ec068-a7a1-4bd1-bbf4-2717643670f7" ] } ], "mendeley" : { "formattedCitation" : "(Broese van Groenou et al. 2013)", "plainTextFormattedCitation" : "(Broese van Groenou et al. 2013)", "previouslyFormattedCitation" : "(Broese van Groenou et al. 2013)" }, "properties" : { "noteIndex" : 0 }, "schema" : "https://github.com/citation-style-language/schema/raw/master/csl-citation.json" }</w:instrText>
      </w:r>
      <w:r w:rsidRPr="00C3671E">
        <w:rPr>
          <w:lang w:val="en-GB" w:eastAsia="zh-CN"/>
        </w:rPr>
        <w:fldChar w:fldCharType="separate"/>
      </w:r>
      <w:r w:rsidRPr="00C3671E">
        <w:rPr>
          <w:noProof/>
          <w:lang w:val="en-GB" w:eastAsia="zh-CN"/>
        </w:rPr>
        <w:t>(Broese van Groenou et al. 2013)</w:t>
      </w:r>
      <w:r w:rsidRPr="00C3671E">
        <w:rPr>
          <w:lang w:val="en-GB" w:eastAsia="zh-CN"/>
        </w:rPr>
        <w:fldChar w:fldCharType="end"/>
      </w:r>
      <w:r w:rsidRPr="00C3671E">
        <w:rPr>
          <w:lang w:val="en-GB" w:eastAsia="zh-CN"/>
        </w:rPr>
        <w:t xml:space="preserve">. These findings explain why more intensive care is associated with a higher burden and other negative consequences. Occasional care does not seem to significantly change subjective QoL </w:t>
      </w:r>
      <w:r w:rsidRPr="00C3671E">
        <w:rPr>
          <w:lang w:val="en-GB" w:eastAsia="zh-CN"/>
        </w:rPr>
        <w:fldChar w:fldCharType="begin" w:fldLock="1"/>
      </w:r>
      <w:r w:rsidR="001257AA" w:rsidRPr="00C3671E">
        <w:rPr>
          <w:lang w:val="en-GB" w:eastAsia="zh-CN"/>
        </w:rPr>
        <w:instrText>ADDIN CSL_CITATION { "citationItems" : [ { "id" : "ITEM-1", "itemData" : { "DOI" : "10.1093/ageing/28.3.307", "ISBN" : "0002-0729 (Print)\\r0002-0729 (Linking)", "ISSN" : "00020729", "PMID" : "10475869", "abstract" : "OBJECTIVE: To assess distress in a sample of carers who were selected from a community survey rather than recruited via community-service agencies.\\n\\nMETHODS: A community survey was carried out on 630 people aged 75 or over living in Sydney, Australia. Informants nominated by these elderly people were divided into full carer (n = 21), partial carer (n = 187) and non-carer groups (n = 344). Informants completed the General Health Questionnaire (a continuous measure of psychiatric symptoms), the life satisfaction index (a measure of well-being) and the interpersonal bonding measure (a measure of quality of the relationship with the elderly person). Elderly participants had a medical examination, were assessed for disability and were questioned about use of services.\\n\\nRESULTS: Elderly people who had a full carer were more disabled and had more medical diagnoses. Full, but not partial, carers reported more psychiatric symptoms and lower life satisfaction. In multivariate analysis, the main determinant of carer distress was a relationship in which the carer felt controlled by the elderly person.\\n\\nCONCLUSION: When carers are selected from a population-based sample, only those who are full carers are more distressed. However, relationship factors are the most important determinant of distress.", "author" : [ { "dropping-particle" : "", "family" : "Broe", "given" : "Gerald A.", "non-dropping-particle" : "", "parse-names" : false, "suffix" : "" }, { "dropping-particle" : "", "family" : "Jorm", "given" : "Anthony F.", "non-dropping-particle" : "", "parse-names" : false, "suffix" : "" }, { "dropping-particle" : "", "family" : "Creasey", "given" : "Helen", "non-dropping-particle" : "", "parse-names" : false, "suffix" : "" }, { "dropping-particle" : "", "family" : "Casey", "given" : "Barney", "non-dropping-particle" : "", "parse-names" : false, "suffix" : "" }, { "dropping-particle" : "", "family" : "Bennett", "given" : "Hayley", "non-dropping-particle" : "", "parse-names" : false, "suffix" : "" }, { "dropping-particle" : "", "family" : "Cullen", "given" : "John", "non-dropping-particle" : "", "parse-names" : false, "suffix" : "" }, { "dropping-particle" : "", "family" : "Edelbrock", "given" : "Dorothy", "non-dropping-particle" : "", "parse-names" : false, "suffix" : "" }, { "dropping-particle" : "", "family" : "Waite", "given" : "Louise", "non-dropping-particle" : "", "parse-names" : false, "suffix" : "" }, { "dropping-particle" : "", "family" : "Grayson", "given" : "David", "non-dropping-particle" : "", "parse-names" : false, "suffix" : "" } ], "container-title" : "Age and Ageing", "id" : "ITEM-1", "issue" : "3", "issued" : { "date-parts" : [ [ "1999" ] ] }, "page" : "307-311", "title" : "Carer distress in the general population: Results from the Sydney Older Persons Study", "type" : "article-journal", "volume" : "28" }, "uris" : [ "http://www.mendeley.com/documents/?uuid=f72f8fdf-7fa8-44a6-a4b7-915036579ee2" ] }, { "id" : "ITEM-2", "itemData" : { "DOI" : "10.1177/003288553401400202", "ISBN" : "9789264097759", "ISSN" : "0032-8855", "PMID" : "24443734", "abstract" : "When a young person is jobless, it also damages family, community, and country", "author" : [ { "dropping-particle" : "", "family" : "Colombo", "given" : "Francesca", "non-dropping-particle" : "", "parse-names" : false, "suffix" : "" }, { "dropping-particle" : "", "family" : "Llena-Nozal", "given" : "Ana", "non-dropping-particle" : "", "parse-names" : false, "suffix" : "" }, { "dropping-particle" : "", "family" : "Mercier", "given" : "J\u00e9r\u00f4me", "non-dropping-particle" : "", "parse-names" : false, "suffix" : "" }, { "dropping-particle" : "", "family" : "Tjadens", "given" : "Frits", "non-dropping-particle" : "", "parse-names" : false, "suffix" : "" } ], "id" : "ITEM-2", "issued" : { "date-parts" : [ [ "2011" ] ] }, "publisher" : "OECD Publishing", "publisher-place" : "Paris", "title" : "Help Wanted? Providing and Paying for Long-Term Care", "type" : "book" }, "uris" : [ "http://www.mendeley.com/documents/?uuid=0369a866-d1da-45d0-b6c4-0d3653bc82c7" ] } ], "mendeley" : { "formattedCitation" : "(Broe et al. 1999; Colombo et al. 2011)", "plainTextFormattedCitation" : "(Broe et al. 1999; Colombo et al. 2011)", "previouslyFormattedCitation" : "(Broe et al. 1999; Colombo et al. 2011)" }, "properties" : { "noteIndex" : 0 }, "schema" : "https://github.com/citation-style-language/schema/raw/master/csl-citation.json" }</w:instrText>
      </w:r>
      <w:r w:rsidRPr="00C3671E">
        <w:rPr>
          <w:lang w:val="en-GB" w:eastAsia="zh-CN"/>
        </w:rPr>
        <w:fldChar w:fldCharType="separate"/>
      </w:r>
      <w:r w:rsidR="00A91559" w:rsidRPr="00C3671E">
        <w:rPr>
          <w:noProof/>
          <w:lang w:val="en-GB" w:eastAsia="zh-CN"/>
        </w:rPr>
        <w:t>(Broe et al. 1999; Colombo et al. 2011)</w:t>
      </w:r>
      <w:r w:rsidRPr="00C3671E">
        <w:rPr>
          <w:lang w:val="en-GB" w:eastAsia="zh-CN"/>
        </w:rPr>
        <w:fldChar w:fldCharType="end"/>
      </w:r>
      <w:r w:rsidRPr="00C3671E">
        <w:rPr>
          <w:lang w:val="en-GB" w:eastAsia="zh-CN"/>
        </w:rPr>
        <w:t>, and thus, this paper investigates the effect of intensity by comparing the effect of regular care performed almost weekly or more often to the effect of very intensive care performed almost daily or more often.</w:t>
      </w:r>
    </w:p>
    <w:p w14:paraId="2B062BBD" w14:textId="41BCB34A" w:rsidR="001A7940" w:rsidRPr="00C3671E" w:rsidRDefault="001A7940" w:rsidP="00F4146A">
      <w:pPr>
        <w:pStyle w:val="Newparagraph"/>
        <w:jc w:val="both"/>
        <w:rPr>
          <w:lang w:eastAsia="zh-CN"/>
        </w:rPr>
      </w:pPr>
      <w:r w:rsidRPr="00C3671E">
        <w:rPr>
          <w:lang w:eastAsia="zh-CN"/>
        </w:rPr>
        <w:t xml:space="preserve">The multiplicity of </w:t>
      </w:r>
      <w:r w:rsidRPr="00C3671E">
        <w:t>care</w:t>
      </w:r>
      <w:r w:rsidRPr="00C3671E">
        <w:rPr>
          <w:lang w:eastAsia="zh-CN"/>
        </w:rPr>
        <w:t xml:space="preserve"> has an unclear impact on QoL. Multiple caregiving is </w:t>
      </w:r>
      <w:r w:rsidRPr="00C3671E">
        <w:t>beneficial</w:t>
      </w:r>
      <w:r w:rsidRPr="00C3671E">
        <w:rPr>
          <w:lang w:eastAsia="zh-CN"/>
        </w:rPr>
        <w:t xml:space="preserve"> according to </w:t>
      </w:r>
      <w:r w:rsidRPr="00C3671E">
        <w:rPr>
          <w:lang w:eastAsia="zh-CN"/>
        </w:rPr>
        <w:fldChar w:fldCharType="begin" w:fldLock="1"/>
      </w:r>
      <w:r w:rsidR="001257AA" w:rsidRPr="00C3671E">
        <w:rPr>
          <w:lang w:eastAsia="zh-CN"/>
        </w:rPr>
        <w:instrText>ADDIN CSL_CITATION { "citationItems" : [ { "id" : "ITEM-1", "itemData" : { "DOI" : "10.1017/S0144686X07006629", "ISBN" : "1469-1779", "ISSN" : "0144-686X", "abstract" : "Gerontologists have emphasised that older adults are not only recipients of support but also important support providers. Using data from the first wave of the Netherlands Kinship Panel Study of 727 middle-generation adults aged 45 to 79 years, we examined the associations between loneliness and giving support up, across and down family lineages. Overall, the findings were consistent more with an altruism perspective, that giving brings rewards, than with an exchange perspective, which emphasises the costs of giving support. The results showed an inverse relationship between the number of generations supported and loneliness, and that those engaged in balanced exchanges with family members in three generations (parents, siblings and children) were generally the least lonely. As regards the direction of support giving, the findings showed that the association between giving support and loneliness was insignificant if the support was for parents, negative for support to siblings, and positive for support to children. Imbalanced support exchanges were differentially associated with loneliness, and depended on the type of family relationship involved. Non-reciprocated support made parents more vulnerable to loneliness, whereas non-reciprocated giving in sibling ties was associated with low levels of loneliness. Imbalanced support giving in relationships with parents was not associated with loneliness.", "author" : [ { "dropping-particle" : "", "family" : "Jong Gierveld", "given" : "Jenny", "non-dropping-particle" : "De", "parse-names" : false, "suffix" : "" }, { "dropping-particle" : "", "family" : "Dykstra", "given" : "Pearl A.", "non-dropping-particle" : "", "parse-names" : false, "suffix" : "" } ], "container-title" : "Ageing and Society", "id" : "ITEM-1", "issue" : "02", "issued" : { "date-parts" : [ [ "2008" ] ] }, "page" : "271-287", "title" : "Virtue is its own reward? Support-giving in the family and loneliness in middle and old age", "type" : "article-journal", "volume" : "28" }, "uris" : [ "http://www.mendeley.com/documents/?uuid=51cd63fa-a8cd-488c-be10-d4ffd8214b5c" ] }, { "id" : "ITEM-2", "itemData" : { "DOI" : "10.1177/0190272511422452", "ISBN" : "0190272511", "ISSN" : "0190-2725", "abstract" : "We use existential theory as a framework to explore the levels of and relationship between job and couple burnout reported by dual-earner couples in the \u2018\u2018sandwich generation\u2019\u2019 (i.e., couples caring both for children and aging parents) in a sample of such couples in Israel and the United States. This comparison enables an examination of the influence of culture (which is rarely addressed in burnout research) and gender (a topic fraught with conflicting results) on both job and couple burnout in this growing yet understudied group of workers who are reaching middle age and starting to face existential issues as part of their own life cycle. Results revealed significant differences in burnout type (job burnout higher than couple burnout); gender (wives more burned out than husbands); and country (Americans more burned out than Israelis). Job related stressors and rewards as well as parent care stressors predicted job burnout, and marital stressors and rewards predicted couple burnout. In addition, there was evidence for both crossover and spillover.", "author" : [ { "dropping-particle" : "", "family" : "Pines", "given" : "Ayala Malach", "non-dropping-particle" : "", "parse-names" : false, "suffix" : "" }, { "dropping-particle" : "", "family" : "Neal", "given" : "Margaret B.", "non-dropping-particle" : "", "parse-names" : false, "suffix" : "" }, { "dropping-particle" : "", "family" : "Hammer", "given" : "Leslie B.", "non-dropping-particle" : "", "parse-names" : false, "suffix" : "" }, { "dropping-particle" : "", "family" : "Icekson", "given" : "Tamar", "non-dropping-particle" : "", "parse-names" : false, "suffix" : "" } ], "container-title" : "Social Psychology Quarterly", "id" : "ITEM-2", "issue" : "4", "issued" : { "date-parts" : [ [ "2011" ] ] }, "page" : "361-386", "title" : "Job Burnout and Couple Burnout in Dual-earner Couples in the Sandwiched Generation", "type" : "article-journal", "volume" : "74" }, "uris" : [ "http://www.mendeley.com/documents/?uuid=95d8b186-6596-493c-9642-2bfa694357b6" ] } ], "mendeley" : { "formattedCitation" : "(De Jong Gierveld and Dykstra 2008; Pines et al. 2011)", "manualFormatting" : "De Jong Gierveld and Dykstra (2008) and Pines et al. (2011)", "plainTextFormattedCitation" : "(De Jong Gierveld and Dykstra 2008; Pines et al. 2011)", "previouslyFormattedCitation" : "(De Jong Gierveld and Dykstra 2008; Pines et al. 2011)" }, "properties" : { "noteIndex" : 0 }, "schema" : "https://github.com/citation-style-language/schema/raw/master/csl-citation.json" }</w:instrText>
      </w:r>
      <w:r w:rsidRPr="00C3671E">
        <w:rPr>
          <w:lang w:eastAsia="zh-CN"/>
        </w:rPr>
        <w:fldChar w:fldCharType="separate"/>
      </w:r>
      <w:r w:rsidRPr="00C3671E">
        <w:rPr>
          <w:noProof/>
          <w:lang w:eastAsia="zh-CN"/>
        </w:rPr>
        <w:t xml:space="preserve">De Jong Gierveld and Dykstra (2008) and Pines </w:t>
      </w:r>
      <w:r w:rsidRPr="00C3671E">
        <w:rPr>
          <w:i/>
          <w:noProof/>
          <w:lang w:eastAsia="zh-CN"/>
        </w:rPr>
        <w:t>et al.</w:t>
      </w:r>
      <w:r w:rsidRPr="00C3671E">
        <w:rPr>
          <w:noProof/>
          <w:lang w:eastAsia="zh-CN"/>
        </w:rPr>
        <w:t xml:space="preserve"> (2011)</w:t>
      </w:r>
      <w:r w:rsidRPr="00C3671E">
        <w:rPr>
          <w:lang w:eastAsia="zh-CN"/>
        </w:rPr>
        <w:fldChar w:fldCharType="end"/>
      </w:r>
      <w:r w:rsidRPr="00C3671E">
        <w:rPr>
          <w:lang w:eastAsia="zh-CN"/>
        </w:rPr>
        <w:t xml:space="preserve">, but harmful according to studies by </w:t>
      </w:r>
      <w:r w:rsidRPr="00C3671E">
        <w:rPr>
          <w:lang w:eastAsia="zh-CN"/>
        </w:rPr>
        <w:fldChar w:fldCharType="begin" w:fldLock="1"/>
      </w:r>
      <w:r w:rsidR="001257AA" w:rsidRPr="00C3671E">
        <w:rPr>
          <w:lang w:eastAsia="zh-CN"/>
        </w:rPr>
        <w:instrText>ADDIN CSL_CITATION { "citationItems" : [ { "id" : "ITEM-1", "itemData" : { "DOI" : "10.1023/A:1018815425195", "ISBN" : "0360-0025", "ISSN" : "03600025", "abstract" : "It has been suggested that adding elder care to the list of women's multiple roles may significantly jeopardize their well-being and mental health. This study explored the experiences with multiple roles among Jewish women who immigrated to Israel from the former Soviet Union in the early 1990s with their extended families. The thirty informants for the study (aged between 35 and 55) represented a variety of pre-emigration backgrounds. Their common denominator was in multiple roles (employment and caregiving to both children and ageing parents) coupled with the challenges of resettlement in a country swept by the mass influx of immigrants. Facing downward social mobility, marital distress, and problems with adolescent children, the women of this \"sandwich\" generation also had to support their uprooted parents. The growing dependency and declining health of the elders significantly burdened the women and hindered their occupational upgrading and social integration ill Israel. Exhaustion and tight time budgets led to somatization and poor self-care among middle-aged women. Social services' role hi elder care was minimal. The informants' social networks were mainly co-ethnic, and their coping tools drew on Israeli-Russian subculture. The study concludes that, even in the relatively egalitarian Russian-Soviet gender system, women function as principal caregivers, often at the expense of ether life goals.", "author" : [ { "dropping-particle" : "", "family" : "Remennick", "given" : "Larissa I.", "non-dropping-particle" : "", "parse-names" : false, "suffix" : "" } ], "container-title" : "Sex Roles", "id" : "ITEM-1", "issue" : "5-6", "issued" : { "date-parts" : [ [ "1999" ] ] }, "page" : "347-378", "title" : "Women of the \"sandwich\" generation and multiple roles: The case of Russian immigrants of the 1990s in Israel", "type" : "article-journal", "volume" : "40" }, "uris" : [ "http://www.mendeley.com/documents/?uuid=192e151c-665c-4c75-b855-6aede51481d0" ] }, { "id" : "ITEM-2", "itemData" : { "DOI" : "10.1016/j.appdev.2009.06.001", "ISBN" : "0193-3973", "ISSN" : "01933973", "PMID" : "20161605", "abstract" : "The current study examined the association between membership in the sandwich generation, defined as providing care to both children and parents or in-laws, and five health behaviors: checking the food label for health value when buying foods, using a seat belt, choosing foods based on health value, exercising regularly, and cigarette smoking. Participants (N = 4943) were from a longitudinal study of a midwestern community-based sample. Regression analyses tested the unique effect of sandwich generation membership on health behaviors above and beyond demographic factors and prior levels of the same behavior. Compared to other caregivers and noncaregivers, multigenerational caregivers were less likely to check food labels and choose foods based on health values. Multigenerational caregivers were less likely than noncaregivers and those who cared for children only to use seat belts, and they smoked marginally more cigarettes per day than those groups. Multigenerational caregivers were less likely than noncaregivers and those who cared for parents/in-laws only to exercise regularly. Thus, in general, healthy behaviors were diminished for multigenerational caregivers. \u00a9 2009 Elsevier Inc. All rights reserved.", "author" : [ { "dropping-particle" : "", "family" : "Chassin", "given" : "Laurie", "non-dropping-particle" : "", "parse-names" : false, "suffix" : "" }, { "dropping-particle" : "", "family" : "Macy", "given" : "Jon T.", "non-dropping-particle" : "", "parse-names" : false, "suffix" : "" }, { "dropping-particle" : "", "family" : "Seo", "given" : "Dong Chul", "non-dropping-particle" : "", "parse-names" : false, "suffix" : "" }, { "dropping-particle" : "", "family" : "Presson", "given" : "Clark C.", "non-dropping-particle" : "", "parse-names" : false, "suffix" : "" }, { "dropping-particle" : "", "family" : "Sherman", "given" : "Steven J.", "non-dropping-particle" : "", "parse-names" : false, "suffix" : "" } ], "container-title" : "Journal of Applied Developmental Psychology", "id" : "ITEM-2", "issue" : "1", "issued" : { "date-parts" : [ [ "2010" ] ] }, "page" : "38-46", "publisher" : "Elsevier Inc.", "title" : "The association between membership in the sandwich generation and health behaviors: A longitudinal study", "type" : "article-journal", "volume" : "31" }, "uris" : [ "http://www.mendeley.com/documents/?uuid=0894864d-1724-4906-9fe3-73d53bee3cb8" ] } ], "mendeley" : { "formattedCitation" : "(Chassin et al. 2010; Remennick 1999)", "manualFormatting" : "Chassin et al. (2010) and Remennick (1999)", "plainTextFormattedCitation" : "(Chassin et al. 2010; Remennick 1999)", "previouslyFormattedCitation" : "(Chassin et al. 2010; Remennick 1999)" }, "properties" : { "noteIndex" : 0 }, "schema" : "https://github.com/citation-style-language/schema/raw/master/csl-citation.json" }</w:instrText>
      </w:r>
      <w:r w:rsidRPr="00C3671E">
        <w:rPr>
          <w:lang w:eastAsia="zh-CN"/>
        </w:rPr>
        <w:fldChar w:fldCharType="separate"/>
      </w:r>
      <w:r w:rsidRPr="00C3671E">
        <w:rPr>
          <w:noProof/>
          <w:lang w:eastAsia="zh-CN"/>
        </w:rPr>
        <w:t xml:space="preserve">Chassin </w:t>
      </w:r>
      <w:r w:rsidRPr="00C3671E">
        <w:rPr>
          <w:i/>
          <w:noProof/>
          <w:lang w:eastAsia="zh-CN"/>
        </w:rPr>
        <w:t>et al.</w:t>
      </w:r>
      <w:r w:rsidRPr="00C3671E">
        <w:rPr>
          <w:noProof/>
          <w:lang w:eastAsia="zh-CN"/>
        </w:rPr>
        <w:t xml:space="preserve"> (2010) and Remennick (1999)</w:t>
      </w:r>
      <w:r w:rsidRPr="00C3671E">
        <w:rPr>
          <w:lang w:eastAsia="zh-CN"/>
        </w:rPr>
        <w:fldChar w:fldCharType="end"/>
      </w:r>
      <w:r w:rsidRPr="00C3671E">
        <w:rPr>
          <w:lang w:eastAsia="zh-CN"/>
        </w:rPr>
        <w:t xml:space="preserve">. The findings seem to imply that the nature of the effect of providing care to multiple recipients is connected to the intensity of the care provided </w:t>
      </w:r>
      <w:r w:rsidRPr="00C3671E">
        <w:rPr>
          <w:lang w:eastAsia="zh-CN"/>
        </w:rPr>
        <w:fldChar w:fldCharType="begin" w:fldLock="1"/>
      </w:r>
      <w:r w:rsidR="00AA6335" w:rsidRPr="00C3671E">
        <w:rPr>
          <w:lang w:eastAsia="zh-CN"/>
        </w:rPr>
        <w:instrText>ADDIN CSL_CITATION { "citationItems" : [ { "id" : "ITEM-1", "itemData" : { "DOI" : "10.1017/S0144686X07006629", "ISBN" : "1469-1779", "ISSN" : "0144-686X", "abstract" : "Gerontologists have emphasised that older adults are not only recipients of support but also important support providers. Using data from the first wave of the Netherlands Kinship Panel Study of 727 middle-generation adults aged 45 to 79 years, we examined the associations between loneliness and giving support up, across and down family lineages. Overall, the findings were consistent more with an altruism perspective, that giving brings rewards, than with an exchange perspective, which emphasises the costs of giving support. The results showed an inverse relationship between the number of generations supported and loneliness, and that those engaged in balanced exchanges with family members in three generations (parents, siblings and children) were generally the least lonely. As regards the direction of support giving, the findings showed that the association between giving support and loneliness was insignificant if the support was for parents, negative for support to siblings, and positive for support to children. Imbalanced support exchanges were differentially associated with loneliness, and depended on the type of family relationship involved. Non-reciprocated support made parents more vulnerable to loneliness, whereas non-reciprocated giving in sibling ties was associated with low levels of loneliness. Imbalanced support giving in relationships with parents was not associated with loneliness.", "author" : [ { "dropping-particle" : "", "family" : "Jong Gierveld", "given" : "Jenny", "non-dropping-particle" : "De", "parse-names" : false, "suffix" : "" }, { "dropping-particle" : "", "family" : "Dykstra", "given" : "Pearl A.", "non-dropping-particle" : "", "parse-names" : false, "suffix" : "" } ], "container-title" : "Ageing and Society", "id" : "ITEM-1", "issue" : "02", "issued" : { "date-parts" : [ [ "2008" ] ] }, "page" : "271-287", "title" : "Virtue is its own reward? Support-giving in the family and loneliness in middle and old age", "type" : "article-journal", "volume" : "28" }, "uris" : [ "http://www.mendeley.com/documents/?uuid=51cd63fa-a8cd-488c-be10-d4ffd8214b5c" ] } ], "mendeley" : { "formattedCitation" : "(De Jong Gierveld and Dykstra 2008)", "plainTextFormattedCitation" : "(De Jong Gierveld and Dykstra 2008)", "previouslyFormattedCitation" : "(De Jong Gierveld and Dykstra 2008)" }, "properties" : { "noteIndex" : 0 }, "schema" : "https://github.com/citation-style-language/schema/raw/master/csl-citation.json" }</w:instrText>
      </w:r>
      <w:r w:rsidRPr="00C3671E">
        <w:rPr>
          <w:lang w:eastAsia="zh-CN"/>
        </w:rPr>
        <w:fldChar w:fldCharType="separate"/>
      </w:r>
      <w:r w:rsidRPr="00C3671E">
        <w:rPr>
          <w:noProof/>
          <w:lang w:eastAsia="zh-CN"/>
        </w:rPr>
        <w:t>(De Jong Gierveld and Dykstra 2008)</w:t>
      </w:r>
      <w:r w:rsidRPr="00C3671E">
        <w:rPr>
          <w:lang w:eastAsia="zh-CN"/>
        </w:rPr>
        <w:fldChar w:fldCharType="end"/>
      </w:r>
      <w:r w:rsidRPr="00C3671E">
        <w:rPr>
          <w:lang w:eastAsia="zh-CN"/>
        </w:rPr>
        <w:t>.</w:t>
      </w:r>
    </w:p>
    <w:p w14:paraId="26C8C32F" w14:textId="1B8E1BB6" w:rsidR="001A7940" w:rsidRPr="00C3671E" w:rsidRDefault="001A7940" w:rsidP="00F4146A">
      <w:pPr>
        <w:pStyle w:val="Newparagraph"/>
        <w:jc w:val="both"/>
        <w:rPr>
          <w:lang w:eastAsia="zh-CN"/>
        </w:rPr>
      </w:pPr>
      <w:r w:rsidRPr="00C3671E">
        <w:rPr>
          <w:lang w:eastAsia="zh-CN"/>
        </w:rPr>
        <w:t xml:space="preserve">Unfortunately, most of the cited studies do not mention a precise minimum intensity of care provided by those respondents defined as ‘caregivers’. This intensity, in various studies, seems to range from at least one hour per week </w:t>
      </w:r>
      <w:r w:rsidRPr="00C3671E">
        <w:rPr>
          <w:lang w:eastAsia="zh-CN"/>
        </w:rPr>
        <w:fldChar w:fldCharType="begin" w:fldLock="1"/>
      </w:r>
      <w:r w:rsidR="001257AA" w:rsidRPr="00C3671E">
        <w:rPr>
          <w:lang w:eastAsia="zh-CN"/>
        </w:rPr>
        <w:instrText>ADDIN CSL_CITATION { "citationItems" : [ { "id" : "ITEM-1", "itemData" : { "DOI" : "10.1016/j.appdev.2009.06.001", "ISBN" : "0193-3973", "ISSN" : "01933973", "PMID" : "20161605", "abstract" : "The current study examined the association between membership in the sandwich generation, defined as providing care to both children and parents or in-laws, and five health behaviors: checking the food label for health value when buying foods, using a seat belt, choosing foods based on health value, exercising regularly, and cigarette smoking. Participants (N = 4943) were from a longitudinal study of a midwestern community-based sample. Regression analyses tested the unique effect of sandwich generation membership on health behaviors above and beyond demographic factors and prior levels of the same behavior. Compared to other caregivers and noncaregivers, multigenerational caregivers were less likely to check food labels and choose foods based on health values. Multigenerational caregivers were less likely than noncaregivers and those who cared for children only to use seat belts, and they smoked marginally more cigarettes per day than those groups. Multigenerational caregivers were less likely than noncaregivers and those who cared for parents/in-laws only to exercise regularly. Thus, in general, healthy behaviors were diminished for multigenerational caregivers. \u00a9 2009 Elsevier Inc. All rights reserved.", "author" : [ { "dropping-particle" : "", "family" : "Chassin", "given" : "Laurie", "non-dropping-particle" : "", "parse-names" : false, "suffix" : "" }, { "dropping-particle" : "", "family" : "Macy", "given" : "Jon T.", "non-dropping-particle" : "", "parse-names" : false, "suffix" : "" }, { "dropping-particle" : "", "family" : "Seo", "given" : "Dong Chul", "non-dropping-particle" : "", "parse-names" : false, "suffix" : "" }, { "dropping-particle" : "", "family" : "Presson", "given" : "Clark C.", "non-dropping-particle" : "", "parse-names" : false, "suffix" : "" }, { "dropping-particle" : "", "family" : "Sherman", "given" : "Steven J.", "non-dropping-particle" : "", "parse-names" : false, "suffix" : "" } ], "container-title" : "Journal of Applied Developmental Psychology", "id" : "ITEM-1", "issue" : "1", "issued" : { "date-parts" : [ [ "2010" ] ] }, "page" : "38-46", "publisher" : "Elsevier Inc.", "title" : "The association between membership in the sandwich generation and health behaviors: A longitudinal study", "type" : "article-journal", "volume" : "31" }, "uris" : [ "http://www.mendeley.com/documents/?uuid=0894864d-1724-4906-9fe3-73d53bee3cb8" ] } ], "mendeley" : { "formattedCitation" : "(Chassin et al. 2010)", "plainTextFormattedCitation" : "(Chassin et al. 2010)", "previouslyFormattedCitation" : "(Chassin et al. 2010)" }, "properties" : { "noteIndex" : 0 }, "schema" : "https://github.com/citation-style-language/schema/raw/master/csl-citation.json" }</w:instrText>
      </w:r>
      <w:r w:rsidRPr="00C3671E">
        <w:rPr>
          <w:lang w:eastAsia="zh-CN"/>
        </w:rPr>
        <w:fldChar w:fldCharType="separate"/>
      </w:r>
      <w:r w:rsidRPr="00C3671E">
        <w:rPr>
          <w:noProof/>
          <w:lang w:eastAsia="zh-CN"/>
        </w:rPr>
        <w:t>(Chassin et al. 2010)</w:t>
      </w:r>
      <w:r w:rsidRPr="00C3671E">
        <w:rPr>
          <w:lang w:eastAsia="zh-CN"/>
        </w:rPr>
        <w:fldChar w:fldCharType="end"/>
      </w:r>
      <w:r w:rsidRPr="00C3671E">
        <w:rPr>
          <w:lang w:eastAsia="zh-CN"/>
        </w:rPr>
        <w:t xml:space="preserve">, to co-residence with children and at least a few hours of help to parents per week </w:t>
      </w:r>
      <w:r w:rsidRPr="00C3671E">
        <w:rPr>
          <w:lang w:eastAsia="zh-CN"/>
        </w:rPr>
        <w:fldChar w:fldCharType="begin" w:fldLock="1"/>
      </w:r>
      <w:r w:rsidR="001257AA" w:rsidRPr="00C3671E">
        <w:rPr>
          <w:lang w:eastAsia="zh-CN"/>
        </w:rPr>
        <w:instrText>ADDIN CSL_CITATION { "citationItems" : [ { "id" : "ITEM-1", "itemData" : { "DOI" : "10.1177/0190272511422452", "ISBN" : "0190272511", "ISSN" : "0190-2725", "abstract" : "We use existential theory as a framework to explore the levels of and relationship between job and couple burnout reported by dual-earner couples in the \u2018\u2018sandwich generation\u2019\u2019 (i.e., couples caring both for children and aging parents) in a sample of such couples in Israel and the United States. This comparison enables an examination of the influence of culture (which is rarely addressed in burnout research) and gender (a topic fraught with conflicting results) on both job and couple burnout in this growing yet understudied group of workers who are reaching middle age and starting to face existential issues as part of their own life cycle. Results revealed significant differences in burnout type (job burnout higher than couple burnout); gender (wives more burned out than husbands); and country (Americans more burned out than Israelis). Job related stressors and rewards as well as parent care stressors predicted job burnout, and marital stressors and rewards predicted couple burnout. In addition, there was evidence for both crossover and spillover.", "author" : [ { "dropping-particle" : "", "family" : "Pines", "given" : "Ayala Malach", "non-dropping-particle" : "", "parse-names" : false, "suffix" : "" }, { "dropping-particle" : "", "family" : "Neal", "given" : "Margaret B.", "non-dropping-particle" : "", "parse-names" : false, "suffix" : "" }, { "dropping-particle" : "", "family" : "Hammer", "given" : "Leslie B.", "non-dropping-particle" : "", "parse-names" : false, "suffix" : "" }, { "dropping-particle" : "", "family" : "Icekson", "given" : "Tamar", "non-dropping-particle" : "", "parse-names" : false, "suffix" : "" } ], "container-title" : "Social Psychology Quarterly", "id" : "ITEM-1", "issue" : "4", "issued" : { "date-parts" : [ [ "2011" ] ] }, "page" : "361-386", "title" : "Job Burnout and Couple Burnout in Dual-earner Couples in the Sandwiched Generation", "type" : "article-journal", "volume" : "74" }, "uris" : [ "http://www.mendeley.com/documents/?uuid=95d8b186-6596-493c-9642-2bfa694357b6" ] } ], "mendeley" : { "formattedCitation" : "(Pines et al. 2011)", "plainTextFormattedCitation" : "(Pines et al. 2011)", "previouslyFormattedCitation" : "(Pines et al. 2011)" }, "properties" : { "noteIndex" : 0 }, "schema" : "https://github.com/citation-style-language/schema/raw/master/csl-citation.json" }</w:instrText>
      </w:r>
      <w:r w:rsidRPr="00C3671E">
        <w:rPr>
          <w:lang w:eastAsia="zh-CN"/>
        </w:rPr>
        <w:fldChar w:fldCharType="separate"/>
      </w:r>
      <w:r w:rsidRPr="00C3671E">
        <w:rPr>
          <w:noProof/>
          <w:lang w:eastAsia="zh-CN"/>
        </w:rPr>
        <w:t>(Pines et al. 2011)</w:t>
      </w:r>
      <w:r w:rsidRPr="00C3671E">
        <w:rPr>
          <w:lang w:eastAsia="zh-CN"/>
        </w:rPr>
        <w:fldChar w:fldCharType="end"/>
      </w:r>
      <w:r w:rsidRPr="00C3671E">
        <w:rPr>
          <w:lang w:eastAsia="zh-CN"/>
        </w:rPr>
        <w:t xml:space="preserve">, to very intensive care for more family members </w:t>
      </w:r>
      <w:r w:rsidRPr="00C3671E">
        <w:rPr>
          <w:lang w:eastAsia="zh-CN"/>
        </w:rPr>
        <w:fldChar w:fldCharType="begin" w:fldLock="1"/>
      </w:r>
      <w:r w:rsidR="00AA6335" w:rsidRPr="00C3671E">
        <w:rPr>
          <w:lang w:eastAsia="zh-CN"/>
        </w:rPr>
        <w:instrText>ADDIN CSL_CITATION { "citationItems" : [ { "id" : "ITEM-1", "itemData" : { "DOI" : "10.1023/A:1018815425195", "ISBN" : "0360-0025", "ISSN" : "03600025", "abstract" : "It has been suggested that adding elder care to the list of women's multiple roles may significantly jeopardize their well-being and mental health. This study explored the experiences with multiple roles among Jewish women who immigrated to Israel from the former Soviet Union in the early 1990s with their extended families. The thirty informants for the study (aged between 35 and 55) represented a variety of pre-emigration backgrounds. Their common denominator was in multiple roles (employment and caregiving to both children and ageing parents) coupled with the challenges of resettlement in a country swept by the mass influx of immigrants. Facing downward social mobility, marital distress, and problems with adolescent children, the women of this \"sandwich\" generation also had to support their uprooted parents. The growing dependency and declining health of the elders significantly burdened the women and hindered their occupational upgrading and social integration ill Israel. Exhaustion and tight time budgets led to somatization and poor self-care among middle-aged women. Social services' role hi elder care was minimal. The informants' social networks were mainly co-ethnic, and their coping tools drew on Israeli-Russian subculture. The study concludes that, even in the relatively egalitarian Russian-Soviet gender system, women function as principal caregivers, often at the expense of ether life goals.", "author" : [ { "dropping-particle" : "", "family" : "Remennick", "given" : "Larissa I.", "non-dropping-particle" : "", "parse-names" : false, "suffix" : "" } ], "container-title" : "Sex Roles", "id" : "ITEM-1", "issue" : "5-6", "issued" : { "date-parts" : [ [ "1999" ] ] }, "page" : "347-378", "title" : "Women of the \"sandwich\" generation and multiple roles: The case of Russian immigrants of the 1990s in Israel", "type" : "article-journal", "volume" : "40" }, "uris" : [ "http://www.mendeley.com/documents/?uuid=192e151c-665c-4c75-b855-6aede51481d0" ] } ], "mendeley" : { "formattedCitation" : "(Remennick 1999)", "plainTextFormattedCitation" : "(Remennick 1999)", "previouslyFormattedCitation" : "(Remennick 1999)" }, "properties" : { "noteIndex" : 0 }, "schema" : "https://github.com/citation-style-language/schema/raw/master/csl-citation.json" }</w:instrText>
      </w:r>
      <w:r w:rsidRPr="00C3671E">
        <w:rPr>
          <w:lang w:eastAsia="zh-CN"/>
        </w:rPr>
        <w:fldChar w:fldCharType="separate"/>
      </w:r>
      <w:r w:rsidRPr="00C3671E">
        <w:rPr>
          <w:noProof/>
          <w:lang w:eastAsia="zh-CN"/>
        </w:rPr>
        <w:t>(Remennick 1999)</w:t>
      </w:r>
      <w:r w:rsidRPr="00C3671E">
        <w:rPr>
          <w:lang w:eastAsia="zh-CN"/>
        </w:rPr>
        <w:fldChar w:fldCharType="end"/>
      </w:r>
      <w:r w:rsidRPr="00C3671E">
        <w:rPr>
          <w:lang w:eastAsia="zh-CN"/>
        </w:rPr>
        <w:t xml:space="preserve">. Hence, previous inconsistencies among studies can be tentatively explained by stating that multiple caregiving is beneficial only to a </w:t>
      </w:r>
      <w:r w:rsidRPr="00C3671E">
        <w:rPr>
          <w:lang w:eastAsia="zh-CN"/>
        </w:rPr>
        <w:lastRenderedPageBreak/>
        <w:t>certain level of intensity of caring. This paper is interested in the regular provision of care; accordingly, the effect of multiple caregiving is expected to be negative.</w:t>
      </w:r>
    </w:p>
    <w:p w14:paraId="7EF4AD86" w14:textId="6C932AFB" w:rsidR="001A7940" w:rsidRPr="00C3671E" w:rsidRDefault="001A7940" w:rsidP="00F4146A">
      <w:pPr>
        <w:pStyle w:val="Newparagraph"/>
        <w:jc w:val="both"/>
        <w:rPr>
          <w:lang w:eastAsia="zh-CN"/>
        </w:rPr>
      </w:pPr>
      <w:r w:rsidRPr="00C3671E">
        <w:rPr>
          <w:lang w:eastAsia="zh-CN"/>
        </w:rPr>
        <w:t xml:space="preserve">The effects of both intensity of care and multiplicity of care indicate similar </w:t>
      </w:r>
      <w:r w:rsidRPr="00C3671E">
        <w:t>characteristics</w:t>
      </w:r>
      <w:r w:rsidRPr="00C3671E">
        <w:rPr>
          <w:lang w:eastAsia="zh-CN"/>
        </w:rPr>
        <w:t xml:space="preserve"> of care, and thus, it might be redundant to investigate both. However, it seems that multiple caregiving is of a different quality than merely the sum of its frequencies, because more roles often exist in subjectively perceived tension or conflict </w:t>
      </w:r>
      <w:r w:rsidRPr="00C3671E">
        <w:rPr>
          <w:lang w:eastAsia="zh-CN"/>
        </w:rPr>
        <w:fldChar w:fldCharType="begin" w:fldLock="1"/>
      </w:r>
      <w:r w:rsidR="001257AA" w:rsidRPr="00C3671E">
        <w:rPr>
          <w:lang w:eastAsia="zh-CN"/>
        </w:rPr>
        <w:instrText>ADDIN CSL_CITATION { "citationItems" : [ { "id" : "ITEM-1", "itemData" : { "DOI" : "10.1017/S0144686X1200030X", "ISBN" : "0144-686X (Print)\\r0144-686X (Linking)", "ISSN" : "0144-686X", "PMID" : "23913994", "abstract" : "\u2018Active ageing\u2019 is a topic of increasing attention in scientific and policy discussions on ageing, yet there is no consensus on its actual meaning. The current paper proposes a detailed classification of various definitions that have been used since its introduction. These definitions are subjected to critical investigation, and subtle differences with regard to such terms as \u2018healthy ageing\u2019 and \u2018productive ageing\u2019 are clarified. Bearing the hazards of previous definitions in mind, a comprehensive strategy is initiated. Given that earlier definitions have tended to exclude frail older adults, this strategy pays particular attention to the translation of the active-ageing concept to situations of dependency by centring on three key principles: fostering adaptability, supporting the maintenance of emotionally close relationships and removing structural barriers related to age or dependency.", "author" : [ { "dropping-particle" : "", "family" : "Boudiny", "given" : "K I M", "non-dropping-particle" : "", "parse-names" : false, "suffix" : "" } ], "container-title" : "Ageing &amp; Society", "id" : "ITEM-1", "issue" : "6", "issued" : { "date-parts" : [ [ "2013" ] ] }, "page" : "1077-1098", "title" : "\u2018Active ageing\u2019: from empty rhetoric to effective policy tool", "type" : "article-journal", "volume" : "33" }, "uris" : [ "http://www.mendeley.com/documents/?uuid=51ddee1f-9273-4bcd-8c5d-5c01e98c615c" ] }, { "id" : "ITEM-2", "itemData" : { "author" : [ { "dropping-particle" : "", "family" : "Coverman", "given" : "Shelley", "non-dropping-particle" : "", "parse-names" : false, "suffix" : "" } ], "container-title" : "Social Forces", "id" : "ITEM-2", "issue" : "4", "issued" : { "date-parts" : [ [ "1989" ] ] }, "page" : "965-982", "title" : "Role overload, role conflict and stress: addressing consequences of multiple role demand", "type" : "article-journal", "volume" : "67" }, "uris" : [ "http://www.mendeley.com/documents/?uuid=aef9116d-7f6f-4098-9854-195c5b6ad190" ] }, { "id" : "ITEM-3", "itemData" : { "DOI" : "10.1177/0038040709356567", "ISBN" : "063120301X", "ISSN" : "0036-8075", "PMID" : "17806662", "author" : [ { "dropping-particle" : "", "family" : "Goode", "given" : "William J", "non-dropping-particle" : "", "parse-names" : false, "suffix" : "" } ], "container-title" : "American Sociological Review", "id" : "ITEM-3", "issue" : "4", "issued" : { "date-parts" : [ [ "1960" ] ] }, "page" : "483-496", "title" : "A Theory of Role Strain", "type" : "article-journal", "volume" : "25" }, "uris" : [ "http://www.mendeley.com/documents/?uuid=fa5664e7-4c35-4e1f-ab5d-837ee62474a6" ] } ], "mendeley" : { "formattedCitation" : "(Boudiny 2013; Coverman 1989; Goode 1960)", "plainTextFormattedCitation" : "(Boudiny 2013; Coverman 1989; Goode 1960)", "previouslyFormattedCitation" : "(Boudiny 2013; Coverman 1989; Goode 1960)" }, "properties" : { "noteIndex" : 0 }, "schema" : "https://github.com/citation-style-language/schema/raw/master/csl-citation.json" }</w:instrText>
      </w:r>
      <w:r w:rsidRPr="00C3671E">
        <w:rPr>
          <w:lang w:eastAsia="zh-CN"/>
        </w:rPr>
        <w:fldChar w:fldCharType="separate"/>
      </w:r>
      <w:r w:rsidR="00A91559" w:rsidRPr="00C3671E">
        <w:rPr>
          <w:noProof/>
          <w:lang w:eastAsia="zh-CN"/>
        </w:rPr>
        <w:t>(Boudiny 2013; Coverman 1989; Goode 1960)</w:t>
      </w:r>
      <w:r w:rsidRPr="00C3671E">
        <w:rPr>
          <w:lang w:eastAsia="zh-CN"/>
        </w:rPr>
        <w:fldChar w:fldCharType="end"/>
      </w:r>
      <w:r w:rsidRPr="00C3671E">
        <w:rPr>
          <w:lang w:eastAsia="zh-CN"/>
        </w:rPr>
        <w:t xml:space="preserve">, and a negative effect of multiple caregiving on health has been found even if the total amount of provided care is controlled </w:t>
      </w:r>
      <w:r w:rsidRPr="00C3671E">
        <w:rPr>
          <w:lang w:eastAsia="zh-CN"/>
        </w:rPr>
        <w:fldChar w:fldCharType="begin" w:fldLock="1"/>
      </w:r>
      <w:r w:rsidR="001257AA" w:rsidRPr="00C3671E">
        <w:rPr>
          <w:lang w:eastAsia="zh-CN"/>
        </w:rPr>
        <w:instrText>ADDIN CSL_CITATION { "citationItems" : [ { "id" : "ITEM-1", "itemData" : { "DOI" : "10.1016/j.appdev.2009.06.001", "ISBN" : "0193-3973", "ISSN" : "01933973", "PMID" : "20161605", "abstract" : "The current study examined the association between membership in the sandwich generation, defined as providing care to both children and parents or in-laws, and five health behaviors: checking the food label for health value when buying foods, using a seat belt, choosing foods based on health value, exercising regularly, and cigarette smoking. Participants (N = 4943) were from a longitudinal study of a midwestern community-based sample. Regression analyses tested the unique effect of sandwich generation membership on health behaviors above and beyond demographic factors and prior levels of the same behavior. Compared to other caregivers and noncaregivers, multigenerational caregivers were less likely to check food labels and choose foods based on health values. Multigenerational caregivers were less likely than noncaregivers and those who cared for children only to use seat belts, and they smoked marginally more cigarettes per day than those groups. Multigenerational caregivers were less likely than noncaregivers and those who cared for parents/in-laws only to exercise regularly. Thus, in general, healthy behaviors were diminished for multigenerational caregivers. \u00a9 2009 Elsevier Inc. All rights reserved.", "author" : [ { "dropping-particle" : "", "family" : "Chassin", "given" : "Laurie", "non-dropping-particle" : "", "parse-names" : false, "suffix" : "" }, { "dropping-particle" : "", "family" : "Macy", "given" : "Jon T.", "non-dropping-particle" : "", "parse-names" : false, "suffix" : "" }, { "dropping-particle" : "", "family" : "Seo", "given" : "Dong Chul", "non-dropping-particle" : "", "parse-names" : false, "suffix" : "" }, { "dropping-particle" : "", "family" : "Presson", "given" : "Clark C.", "non-dropping-particle" : "", "parse-names" : false, "suffix" : "" }, { "dropping-particle" : "", "family" : "Sherman", "given" : "Steven J.", "non-dropping-particle" : "", "parse-names" : false, "suffix" : "" } ], "container-title" : "Journal of Applied Developmental Psychology", "id" : "ITEM-1", "issue" : "1", "issued" : { "date-parts" : [ [ "2010" ] ] }, "page" : "38-46", "publisher" : "Elsevier Inc.", "title" : "The association between membership in the sandwich generation and health behaviors: A longitudinal study", "type" : "article-journal", "volume" : "31" }, "uris" : [ "http://www.mendeley.com/documents/?uuid=0894864d-1724-4906-9fe3-73d53bee3cb8" ] } ], "mendeley" : { "formattedCitation" : "(Chassin et al. 2010)", "plainTextFormattedCitation" : "(Chassin et al. 2010)", "previouslyFormattedCitation" : "(Chassin et al. 2010)" }, "properties" : { "noteIndex" : 0 }, "schema" : "https://github.com/citation-style-language/schema/raw/master/csl-citation.json" }</w:instrText>
      </w:r>
      <w:r w:rsidRPr="00C3671E">
        <w:rPr>
          <w:lang w:eastAsia="zh-CN"/>
        </w:rPr>
        <w:fldChar w:fldCharType="separate"/>
      </w:r>
      <w:r w:rsidRPr="00C3671E">
        <w:rPr>
          <w:noProof/>
          <w:lang w:eastAsia="zh-CN"/>
        </w:rPr>
        <w:t>(Chassin et al. 2010)</w:t>
      </w:r>
      <w:r w:rsidRPr="00C3671E">
        <w:rPr>
          <w:lang w:eastAsia="zh-CN"/>
        </w:rPr>
        <w:fldChar w:fldCharType="end"/>
      </w:r>
      <w:r w:rsidRPr="00C3671E">
        <w:rPr>
          <w:lang w:eastAsia="zh-CN"/>
        </w:rPr>
        <w:t>. Hence, this paper aims to examine the caregiving situation in its complexity by elaborating on both intensity of care and the number of caregiving relationships. Further, a broad definition of care provided within or outside the household to all possible family and nonfamily members is employed, so no caregiving activity is omitted in the analysis.</w:t>
      </w:r>
    </w:p>
    <w:p w14:paraId="0BB1EA84" w14:textId="55927576" w:rsidR="001A7940" w:rsidRPr="00C3671E" w:rsidRDefault="001A7940" w:rsidP="00F4146A">
      <w:pPr>
        <w:pStyle w:val="Newparagraph"/>
        <w:jc w:val="both"/>
        <w:rPr>
          <w:lang w:eastAsia="zh-CN"/>
        </w:rPr>
      </w:pPr>
      <w:r w:rsidRPr="00C3671E">
        <w:rPr>
          <w:lang w:eastAsia="zh-CN"/>
        </w:rPr>
        <w:t xml:space="preserve">The broader definition of care prevents investigating the effect of the relationship between the caregiver and the care receiver on caregiving outcome, which has been found by other studies </w:t>
      </w:r>
      <w:r w:rsidRPr="00C3671E">
        <w:rPr>
          <w:lang w:eastAsia="zh-CN"/>
        </w:rPr>
        <w:fldChar w:fldCharType="begin" w:fldLock="1"/>
      </w:r>
      <w:r w:rsidR="001257AA" w:rsidRPr="00C3671E">
        <w:rPr>
          <w:lang w:eastAsia="zh-CN"/>
        </w:rPr>
        <w:instrText>ADDIN CSL_CITATION { "citationItems" : [ { "id" : "ITEM-1", "itemData" : { "DOI" : "10.1007/s10433-013-0276-6", "ISBN" : "1613-9380; 1613-9372", "ISSN" : "16139372", "abstract" : "Based on the caregiver stress model, we examined how care demands, caregiver motivation, coping style and external support are associated with positive evaluation and caregiver burden among spousal, adult child and other types of care relations. Data from a sample of Dutch informal caregivers of 1,685 older persons (55 and older) were analyzed employing multivariate linear regression analyses for each of the care relationship types. Spouses (N = 206) report high positive evaluation and high burden, adult children (N = 1,093) report low positive evaluation, and other caregivers (N = 386) report high positive evaluation and a low burden. Multivariate linear regression analyses showed that motives and external support were important for positive evaluation but the impact varied among types of caregivers, whereas care demands and not asking for help were associated with burden for all types. Only among \u2018other\u2019 caregiver relationships, positive evaluation was negatively associated with burden. It is concluded that results confirm the dual nature of caregiving among spouses and children. The care context and motivation of the different types of caregivers explain their differences in care evaluation. Various interventions for types of caregivers are discussed. (PsycINFO Database Record (c) 2014 APA, all rights reserved) (journal abstract)", "author" : [ { "dropping-particle" : "", "family" : "Broese van Groenou", "given" : "Marjolein I.", "non-dropping-particle" : "", "parse-names" : false, "suffix" : "" }, { "dropping-particle" : "", "family" : "Boer", "given" : "Alice", "non-dropping-particle" : "de", "parse-names" : false, "suffix" : "" }, { "dropping-particle" : "", "family" : "Iedema", "given" : "Jurjen", "non-dropping-particle" : "", "parse-names" : false, "suffix" : "" } ], "container-title" : "European Journal of Ageing", "id" : "ITEM-1", "issue" : "4", "issued" : { "date-parts" : [ [ "2013" ] ] }, "page" : "301-311", "title" : "Positive and negative evaluation of caregiving among three different types of informal care relationships", "type" : "article-journal", "volume" : "10" }, "uris" : [ "http://www.mendeley.com/documents/?uuid=e39ec068-a7a1-4bd1-bbf4-2717643670f7" ] }, { "id" : "ITEM-2", "itemData" : { "DOI" : "10.1017/S0144686X07006629", "ISBN" : "1469-1779", "ISSN" : "0144-686X", "abstract" : "Gerontologists have emphasised that older adults are not only recipients of support but also important support providers. Using data from the first wave of the Netherlands Kinship Panel Study of 727 middle-generation adults aged 45 to 79 years, we examined the associations between loneliness and giving support up, across and down family lineages. Overall, the findings were consistent more with an altruism perspective, that giving brings rewards, than with an exchange perspective, which emphasises the costs of giving support. The results showed an inverse relationship between the number of generations supported and loneliness, and that those engaged in balanced exchanges with family members in three generations (parents, siblings and children) were generally the least lonely. As regards the direction of support giving, the findings showed that the association between giving support and loneliness was insignificant if the support was for parents, negative for support to siblings, and positive for support to children. Imbalanced support exchanges were differentially associated with loneliness, and depended on the type of family relationship involved. Non-reciprocated support made parents more vulnerable to loneliness, whereas non-reciprocated giving in sibling ties was associated with low levels of loneliness. Imbalanced support giving in relationships with parents was not associated with loneliness.", "author" : [ { "dropping-particle" : "", "family" : "Jong Gierveld", "given" : "Jenny", "non-dropping-particle" : "De", "parse-names" : false, "suffix" : "" }, { "dropping-particle" : "", "family" : "Dykstra", "given" : "Pearl A.", "non-dropping-particle" : "", "parse-names" : false, "suffix" : "" } ], "container-title" : "Ageing and Society", "id" : "ITEM-2", "issue" : "02", "issued" : { "date-parts" : [ [ "2008" ] ] }, "page" : "271-287", "title" : "Virtue is its own reward? Support-giving in the family and loneliness in middle and old age", "type" : "article-journal", "volume" : "28" }, "uris" : [ "http://www.mendeley.com/documents/?uuid=51cd63fa-a8cd-488c-be10-d4ffd8214b5c" ] } ], "mendeley" : { "formattedCitation" : "(Broese van Groenou et al. 2013; De Jong Gierveld and Dykstra 2008)", "plainTextFormattedCitation" : "(Broese van Groenou et al. 2013; De Jong Gierveld and Dykstra 2008)", "previouslyFormattedCitation" : "(Broese van Groenou et al. 2013; De Jong Gierveld and Dykstra 2008)" }, "properties" : { "noteIndex" : 0 }, "schema" : "https://github.com/citation-style-language/schema/raw/master/csl-citation.json" }</w:instrText>
      </w:r>
      <w:r w:rsidRPr="00C3671E">
        <w:rPr>
          <w:lang w:eastAsia="zh-CN"/>
        </w:rPr>
        <w:fldChar w:fldCharType="separate"/>
      </w:r>
      <w:r w:rsidR="00A91559" w:rsidRPr="00C3671E">
        <w:rPr>
          <w:noProof/>
          <w:lang w:eastAsia="zh-CN"/>
        </w:rPr>
        <w:t>(Broese van Groenou et al. 2013; De Jong Gierveld and Dykstra 2008)</w:t>
      </w:r>
      <w:r w:rsidRPr="00C3671E">
        <w:rPr>
          <w:lang w:eastAsia="zh-CN"/>
        </w:rPr>
        <w:fldChar w:fldCharType="end"/>
      </w:r>
      <w:r w:rsidRPr="00C3671E">
        <w:rPr>
          <w:lang w:eastAsia="zh-CN"/>
        </w:rPr>
        <w:t xml:space="preserve">. The analysis would be too extensive for one paper if this factor is also included. However, it is not the aim of the paper to control for this already explored factor but to examine the effect of caregiving as a potentially beneficial activity in later life. Active ageing assumes a beneficial effect of providing care exists, irrespective of personal characteristics and the characteristics of caregiving </w:t>
      </w:r>
      <w:r w:rsidRPr="00C3671E">
        <w:rPr>
          <w:lang w:eastAsia="zh-CN"/>
        </w:rPr>
        <w:fldChar w:fldCharType="begin" w:fldLock="1"/>
      </w:r>
      <w:r w:rsidR="001257AA" w:rsidRPr="00C3671E">
        <w:rPr>
          <w:lang w:eastAsia="zh-CN"/>
        </w:rPr>
        <w:instrText>ADDIN CSL_CITATION { "citationItems" : [ { "id" : "ITEM-1", "itemData" : { "author" : [ { "dropping-particle" : "", "family" : "European Commission", "given" : "", "non-dropping-particle" : "", "parse-names" : false, "suffix" : "" } ], "id" : "ITEM-1", "issued" : { "date-parts" : [ [ "2013" ] ] }, "publisher" : "European Comission", "publisher-place" : "Brussels", "title" : "Introducing the Active Ageing Index. Policy brief", "type" : "book" }, "uris" : [ "http://www.mendeley.com/documents/?uuid=15ea840e-806d-4ce4-88d2-b847e7b3756b" ] }, { "id" : "ITEM-2", "itemData" : { "abstract" : "The report should be referred to as: UNECE/ European Commission (2015) \u201cActive Ageing Index 2014: Analytical Report\u201d, Report prepared by Asghar Zaidi of Centre for Research on Ageing, University of Southampton and David Stanton, under contract with United Nations Economic Commission for Europe (Geneva), co-funded by the European Commission\u2019s Directorate General for Employment, Social Affairs and Inclusion (Brussels).", "author" : [ { "dropping-particle" : "", "family" : "Zaidi", "given" : "Asghar", "non-dropping-particle" : "", "parse-names" : false, "suffix" : "" } ], "id" : "ITEM-2", "issue" : "April", "issued" : { "date-parts" : [ [ "2015" ] ] }, "number-of-pages" : "1-9", "publisher" : "UNECE", "publisher-place" : "Geneva", "title" : "Active Ageing Index 2014 Analytical Report", "type" : "book" }, "uris" : [ "http://www.mendeley.com/documents/?uuid=e5502369-34dc-4c1e-ad2d-b04716a04efe" ] } ], "mendeley" : { "formattedCitation" : "(European Commission 2013; Zaidi 2015)", "plainTextFormattedCitation" : "(European Commission 2013; Zaidi 2015)", "previouslyFormattedCitation" : "(European Commission 2013; Zaidi 2015)" }, "properties" : { "noteIndex" : 0 }, "schema" : "https://github.com/citation-style-language/schema/raw/master/csl-citation.json" }</w:instrText>
      </w:r>
      <w:r w:rsidRPr="00C3671E">
        <w:rPr>
          <w:lang w:eastAsia="zh-CN"/>
        </w:rPr>
        <w:fldChar w:fldCharType="separate"/>
      </w:r>
      <w:r w:rsidR="00A91559" w:rsidRPr="00C3671E">
        <w:rPr>
          <w:noProof/>
          <w:lang w:eastAsia="zh-CN"/>
        </w:rPr>
        <w:t>(European Commission 2013; Zaidi 2015)</w:t>
      </w:r>
      <w:r w:rsidRPr="00C3671E">
        <w:rPr>
          <w:lang w:eastAsia="zh-CN"/>
        </w:rPr>
        <w:fldChar w:fldCharType="end"/>
      </w:r>
      <w:r w:rsidRPr="00C3671E">
        <w:rPr>
          <w:lang w:eastAsia="zh-CN"/>
        </w:rPr>
        <w:t>. Thus, it is legitimate to study the overall effect of caregiving in older adults and its potential explanations.</w:t>
      </w:r>
    </w:p>
    <w:p w14:paraId="437E6EBE" w14:textId="2279AF99" w:rsidR="001A7940" w:rsidRPr="00C3671E" w:rsidRDefault="001A7940" w:rsidP="00F4146A">
      <w:pPr>
        <w:pStyle w:val="Newparagraph"/>
        <w:jc w:val="both"/>
        <w:rPr>
          <w:lang w:eastAsia="zh-CN"/>
        </w:rPr>
      </w:pPr>
      <w:r w:rsidRPr="00C3671E">
        <w:rPr>
          <w:lang w:eastAsia="zh-CN"/>
        </w:rPr>
        <w:t xml:space="preserve">The last important factor of care addressed is voluntariness of care. Voluntary care means that a caregiver can manipulate role obligations and have some alternative options for satisfying them. The opposite is the case under the synonyms of involuntary </w:t>
      </w:r>
      <w:r w:rsidRPr="00C3671E">
        <w:rPr>
          <w:lang w:eastAsia="zh-CN"/>
        </w:rPr>
        <w:fldChar w:fldCharType="begin" w:fldLock="1"/>
      </w:r>
      <w:r w:rsidR="001257AA" w:rsidRPr="00C3671E">
        <w:rPr>
          <w:lang w:eastAsia="zh-CN"/>
        </w:rPr>
        <w:instrText>ADDIN CSL_CITATION { "citationItems" : [ { "id" : "ITEM-1", "itemData" : { "DOI" : "10.1007/s10433-011-0197-1", "ISBN" : "1613-9372\\r1613-9380", "ISSN" : "16139372", "abstract" : "The aim of this study is to examine the association of welfare state policies and the gendered organisation of intergenerational support (instrumental help and personal care) to older parents. The study distinguishes between support to older parents provided at least weekly, i.e. time-intensive and often burdening support, and sup- plemental sporadic support. Three policy instruments were expected to be associated with daughters\u2019 and sons\u2019 support or gender inequality in intergenerational support respec- tively: (1) professional social services, (2) cash-for-care payments and (3) legal obligations to provide or co-finance care for parents. The analyses based on the Survey of Health, Ageing and Retirement in Europe showed that daughters provided somewhat more sporadic and much more intensive support than sons throughout Europe. While about half of all children who sporadically supported a parent were men, this applied to only one out of four children who provided intensive support. Logistic multi- level models revealed that legal obligations were positively associated with daughters\u2019 likelihood of giving intensive support to parents but did not affect the likelihood of sons doing so. Legal obligations thus stimulate support in a gender-specific way. Both legal obligations and cash-for- care schemes were also accompanied by a more unequal", "author" : [ { "dropping-particle" : "", "family" : "Schmid", "given" : "Tina", "non-dropping-particle" : "", "parse-names" : false, "suffix" : "" }, { "dropping-particle" : "", "family" : "Brandt", "given" : "Martina", "non-dropping-particle" : "", "parse-names" : false, "suffix" : "" }, { "dropping-particle" : "", "family" : "Haberkern", "given" : "Klaus", "non-dropping-particle" : "", "parse-names" : false, "suffix" : "" } ], "container-title" : "European Journal of Ageing", "id" : "ITEM-1", "issue" : "1", "issued" : { "date-parts" : [ [ "2012" ] ] }, "page" : "39-50", "title" : "Gendered support to older parents: Do welfare states matter?", "type" : "article-journal", "volume" : "9" }, "uris" : [ "http://www.mendeley.com/documents/?uuid=2009c023-098b-416f-9c08-298f42eb27c7" ] }, { "id" : "ITEM-2", "itemData" : { "author" : [ { "dropping-particle" : "", "family" : "Szinovacz", "given" : "Maximiliane E", "non-dropping-particle" : "", "parse-names" : false, "suffix" : "" } ], "chapter-number" : "8", "container-title" : "Caregiving Contexts: Cultural, Familial, and Societal Implications: Cultural, Familial, and Societal Implications", "editor" : [ { "dropping-particle" : "", "family" : "Davey", "given" : "Adam", "non-dropping-particle" : "", "parse-names" : false, "suffix" : "" }, { "dropping-particle" : "", "family" : "Szinovacz", "given" : "Maximiliane E", "non-dropping-particle" : "", "parse-names" : false, "suffix" : "" } ], "id" : "ITEM-2", "issued" : { "date-parts" : [ [ "2008" ] ] }, "page" : "161-194", "publisher" : "Springer Publishing Company", "publisher-place" : "New York", "title" : "Children in Caregiving Families", "type" : "chapter" }, "uris" : [ "http://www.mendeley.com/documents/?uuid=e27df20f-37be-405f-bc10-873a93bdf569" ] } ], "mendeley" : { "formattedCitation" : "(Schmid, Brandt, and Haberkern 2012; Szinovacz 2008)", "manualFormatting" : "(Schmid et al. 2012; Szinovacz 2008)", "plainTextFormattedCitation" : "(Schmid, Brandt, and Haberkern 2012; Szinovacz 2008)", "previouslyFormattedCitation" : "(Schmid, Brandt, and Haberkern 2012; Szinovacz 2008)" }, "properties" : { "noteIndex" : 0 }, "schema" : "https://github.com/citation-style-language/schema/raw/master/csl-citation.json" }</w:instrText>
      </w:r>
      <w:r w:rsidRPr="00C3671E">
        <w:rPr>
          <w:lang w:eastAsia="zh-CN"/>
        </w:rPr>
        <w:fldChar w:fldCharType="separate"/>
      </w:r>
      <w:r w:rsidRPr="00C3671E">
        <w:rPr>
          <w:noProof/>
          <w:lang w:eastAsia="zh-CN"/>
        </w:rPr>
        <w:t xml:space="preserve">(Schmid </w:t>
      </w:r>
      <w:r w:rsidRPr="00C3671E">
        <w:rPr>
          <w:i/>
          <w:noProof/>
          <w:lang w:eastAsia="zh-CN"/>
        </w:rPr>
        <w:t>et al.</w:t>
      </w:r>
      <w:r w:rsidRPr="00C3671E">
        <w:rPr>
          <w:noProof/>
          <w:lang w:eastAsia="zh-CN"/>
        </w:rPr>
        <w:t xml:space="preserve"> 2012; Szinovacz 2008)</w:t>
      </w:r>
      <w:r w:rsidRPr="00C3671E">
        <w:rPr>
          <w:lang w:eastAsia="zh-CN"/>
        </w:rPr>
        <w:fldChar w:fldCharType="end"/>
      </w:r>
      <w:r w:rsidRPr="00C3671E">
        <w:rPr>
          <w:lang w:eastAsia="zh-CN"/>
        </w:rPr>
        <w:t xml:space="preserve">, normative </w:t>
      </w:r>
      <w:r w:rsidRPr="00C3671E">
        <w:rPr>
          <w:lang w:eastAsia="zh-CN"/>
        </w:rPr>
        <w:fldChar w:fldCharType="begin" w:fldLock="1"/>
      </w:r>
      <w:r w:rsidR="001257AA" w:rsidRPr="00C3671E">
        <w:rPr>
          <w:lang w:eastAsia="zh-CN"/>
        </w:rPr>
        <w:instrText>ADDIN CSL_CITATION { "citationItems" : [ { "id" : "ITEM-1", "itemData" : { "author" : [ { "dropping-particle" : "", "family" : "Lowenstein", "given" : "Ariela", "non-dropping-particle" : "", "parse-names" : false, "suffix" : "" }, { "dropping-particle" : "", "family" : "Katz", "given" : "Ruth", "non-dropping-particle" : "", "parse-names" : false, "suffix" : "" }, { "dropping-particle" : "", "family" : "Gur-Yaish", "given" : "Nurit", "non-dropping-particle" : "", "parse-names" : false, "suffix" : "" } ], "chapter-number" : "5", "container-title" : "Caregiving Contexts: Cultural, Familial, and Societal Implications", "editor" : [ { "dropping-particle" : "", "family" : "Davey", "given" : "Adam", "non-dropping-particle" : "", "parse-names" : false, "suffix" : "" }, { "dropping-particle" : "", "family" : "Szinovacz", "given" : "Maximiliane E", "non-dropping-particle" : "", "parse-names" : false, "suffix" : "" } ], "id" : "ITEM-1", "issued" : { "date-parts" : [ [ "2008" ] ] }, "page" : "93-114", "publisher" : "Springer Publishing Company", "publisher-place" : "New York", "title" : "Cross-national v ariations in Elder Care: Antecedents and outcomes", "type" : "chapter" }, "uris" : [ "http://www.mendeley.com/documents/?uuid=f018b976-3d6d-444e-ab31-0664a763a2dc" ] } ], "mendeley" : { "formattedCitation" : "(Lowenstein et al. 2008)", "plainTextFormattedCitation" : "(Lowenstein et al. 2008)", "previouslyFormattedCitation" : "(Lowenstein et al. 2008)" }, "properties" : { "noteIndex" : 0 }, "schema" : "https://github.com/citation-style-language/schema/raw/master/csl-citation.json" }</w:instrText>
      </w:r>
      <w:r w:rsidRPr="00C3671E">
        <w:rPr>
          <w:lang w:eastAsia="zh-CN"/>
        </w:rPr>
        <w:fldChar w:fldCharType="separate"/>
      </w:r>
      <w:r w:rsidRPr="00C3671E">
        <w:rPr>
          <w:noProof/>
          <w:lang w:eastAsia="zh-CN"/>
        </w:rPr>
        <w:t>(Lowenstein et al. 2008)</w:t>
      </w:r>
      <w:r w:rsidRPr="00C3671E">
        <w:rPr>
          <w:lang w:eastAsia="zh-CN"/>
        </w:rPr>
        <w:fldChar w:fldCharType="end"/>
      </w:r>
      <w:r w:rsidRPr="00C3671E">
        <w:rPr>
          <w:lang w:eastAsia="zh-CN"/>
        </w:rPr>
        <w:t xml:space="preserve">, or obligatory </w:t>
      </w:r>
      <w:r w:rsidRPr="00C3671E">
        <w:rPr>
          <w:lang w:eastAsia="zh-CN"/>
        </w:rPr>
        <w:fldChar w:fldCharType="begin" w:fldLock="1"/>
      </w:r>
      <w:r w:rsidR="001257AA" w:rsidRPr="00C3671E">
        <w:rPr>
          <w:lang w:eastAsia="zh-CN"/>
        </w:rPr>
        <w:instrText>ADDIN CSL_CITATION { "citationItems" : [ { "id" : "ITEM-1", "itemData" : { "ISSN" : "00472328", "abstract" : "Intergenerational time transfers can be differentiated and divided\\ninto two support forms: help and care activities. Adult children\\nsupport their elderly parents with more or less intensive and widely\\ndiffering transfers ranging from help with household chores and paperwork\\nto personal care. However, elderly people are also an important source\\nof intergenerational support, as they help their children by looking\\nafter the grandchildren for example. In general intergenerational\\nsolidarity patterns are influenced by opportunity, need, family and\\ncultural-contextual structures, which have differing impacts on help\\nand care: Care is mainly depending on the need structures of the\\nreceiver while help activities to parents and children are primarily\\ninfluenced by the opportunity structures of the giver. Additionally,\\nusing the SHARE data, logistic multilevel modeling allows national\\nhelp and care levels to be traced back to the provision of public\\nservices. The empirical findings support the ``specialization hypothesis{''}:\\nA higher national level of social services coincides with less intensive\\nhelp and more demanding care. Well-developed welfare states thus\\nlower the risk of an overburdening of the family and secure the overall\\nsupport of older people and young families through efficient collaboration\\nbetween family and state.", "author" : [ { "dropping-particle" : "", "family" : "Igel", "given" : "Corinne", "non-dropping-particle" : "", "parse-names" : false, "suffix" : "" }, { "dropping-particle" : "", "family" : "Brandt", "given" : "Martina", "non-dropping-particle" : "", "parse-names" : false, "suffix" : "" }, { "dropping-particle" : "", "family" : "Haberkern", "given" : "Klaus", "non-dropping-particle" : "", "parse-names" : false, "suffix" : "" }, { "dropping-particle" : "", "family" : "Szydlik", "given" : "Marc", "non-dropping-particle" : "", "parse-names" : false, "suffix" : "" } ], "container-title" : "Journal of Comparative Family Studies", "id" : "ITEM-1", "issue" : "2", "issued" : { "date-parts" : [ [ "2009" ] ] }, "page" : "203-224", "title" : "Specialization between family and state intergenerational time transfers in Western Europe", "type" : "article-journal", "volume" : "40" }, "uris" : [ "http://www.mendeley.com/documents/?uuid=6a7ba839-ceb4-4cec-83cd-d7e5b4c92ae4" ] } ], "mendeley" : { "formattedCitation" : "(Igel et al. 2009)", "plainTextFormattedCitation" : "(Igel et al. 2009)", "previouslyFormattedCitation" : "(Igel et al. 2009)" }, "properties" : { "noteIndex" : 0 }, "schema" : "https://github.com/citation-style-language/schema/raw/master/csl-citation.json" }</w:instrText>
      </w:r>
      <w:r w:rsidRPr="00C3671E">
        <w:rPr>
          <w:lang w:eastAsia="zh-CN"/>
        </w:rPr>
        <w:fldChar w:fldCharType="separate"/>
      </w:r>
      <w:r w:rsidRPr="00C3671E">
        <w:rPr>
          <w:noProof/>
          <w:lang w:eastAsia="zh-CN"/>
        </w:rPr>
        <w:t>(Igel et al. 2009)</w:t>
      </w:r>
      <w:r w:rsidRPr="00C3671E">
        <w:rPr>
          <w:lang w:eastAsia="zh-CN"/>
        </w:rPr>
        <w:fldChar w:fldCharType="end"/>
      </w:r>
      <w:r w:rsidRPr="00C3671E">
        <w:rPr>
          <w:lang w:eastAsia="zh-CN"/>
        </w:rPr>
        <w:t xml:space="preserve"> </w:t>
      </w:r>
      <w:r w:rsidRPr="00C3671E">
        <w:rPr>
          <w:lang w:eastAsia="zh-CN"/>
        </w:rPr>
        <w:lastRenderedPageBreak/>
        <w:t xml:space="preserve">care. Involuntary care exists mostly in situations in which formal care is not available and a caregiver is forced to provide (often intensive) practical help to someone close. Involuntary care could be a consequence of a lack of caregivers in the family </w:t>
      </w:r>
      <w:r w:rsidRPr="00C3671E">
        <w:rPr>
          <w:lang w:eastAsia="zh-CN"/>
        </w:rPr>
        <w:fldChar w:fldCharType="begin" w:fldLock="1"/>
      </w:r>
      <w:r w:rsidR="001257AA" w:rsidRPr="00C3671E">
        <w:rPr>
          <w:lang w:eastAsia="zh-CN"/>
        </w:rPr>
        <w:instrText>ADDIN CSL_CITATION { "citationItems" : [ { "id" : "ITEM-1", "itemData" : { "DOI" : "10.1007/s10433-013-0276-6", "ISBN" : "1613-9380; 1613-9372", "ISSN" : "16139372", "abstract" : "Based on the caregiver stress model, we examined how care demands, caregiver motivation, coping style and external support are associated with positive evaluation and caregiver burden among spousal, adult child and other types of care relations. Data from a sample of Dutch informal caregivers of 1,685 older persons (55 and older) were analyzed employing multivariate linear regression analyses for each of the care relationship types. Spouses (N = 206) report high positive evaluation and high burden, adult children (N = 1,093) report low positive evaluation, and other caregivers (N = 386) report high positive evaluation and a low burden. Multivariate linear regression analyses showed that motives and external support were important for positive evaluation but the impact varied among types of caregivers, whereas care demands and not asking for help were associated with burden for all types. Only among \u2018other\u2019 caregiver relationships, positive evaluation was negatively associated with burden. It is concluded that results confirm the dual nature of caregiving among spouses and children. The care context and motivation of the different types of caregivers explain their differences in care evaluation. Various interventions for types of caregivers are discussed. (PsycINFO Database Record (c) 2014 APA, all rights reserved) (journal abstract)", "author" : [ { "dropping-particle" : "", "family" : "Broese van Groenou", "given" : "Marjolein I.", "non-dropping-particle" : "", "parse-names" : false, "suffix" : "" }, { "dropping-particle" : "", "family" : "Boer", "given" : "Alice", "non-dropping-particle" : "de", "parse-names" : false, "suffix" : "" }, { "dropping-particle" : "", "family" : "Iedema", "given" : "Jurjen", "non-dropping-particle" : "", "parse-names" : false, "suffix" : "" } ], "container-title" : "European Journal of Ageing", "id" : "ITEM-1", "issue" : "4", "issued" : { "date-parts" : [ [ "2013" ] ] }, "page" : "301-311", "title" : "Positive and negative evaluation of caregiving among three different types of informal care relationships", "type" : "article-journal", "volume" : "10" }, "uris" : [ "http://www.mendeley.com/documents/?uuid=e39ec068-a7a1-4bd1-bbf4-2717643670f7" ] } ], "mendeley" : { "formattedCitation" : "(Broese van Groenou et al. 2013)", "plainTextFormattedCitation" : "(Broese van Groenou et al. 2013)", "previouslyFormattedCitation" : "(Broese van Groenou et al. 2013)" }, "properties" : { "noteIndex" : 0 }, "schema" : "https://github.com/citation-style-language/schema/raw/master/csl-citation.json" }</w:instrText>
      </w:r>
      <w:r w:rsidRPr="00C3671E">
        <w:rPr>
          <w:lang w:eastAsia="zh-CN"/>
        </w:rPr>
        <w:fldChar w:fldCharType="separate"/>
      </w:r>
      <w:r w:rsidRPr="00C3671E">
        <w:rPr>
          <w:noProof/>
          <w:lang w:eastAsia="zh-CN"/>
        </w:rPr>
        <w:t>(Broese van Groenou et al. 2013)</w:t>
      </w:r>
      <w:r w:rsidRPr="00C3671E">
        <w:rPr>
          <w:lang w:eastAsia="zh-CN"/>
        </w:rPr>
        <w:fldChar w:fldCharType="end"/>
      </w:r>
      <w:r w:rsidRPr="00C3671E">
        <w:rPr>
          <w:lang w:eastAsia="zh-CN"/>
        </w:rPr>
        <w:t xml:space="preserve"> or insufficient access to formal care. Involuntary care is more prevalent in countries with less available social services and stronger familial norms, in which individuals are more often pushed by circumstances into more demanding provision of care </w:t>
      </w:r>
      <w:r w:rsidRPr="00C3671E">
        <w:rPr>
          <w:lang w:eastAsia="zh-CN"/>
        </w:rPr>
        <w:fldChar w:fldCharType="begin" w:fldLock="1"/>
      </w:r>
      <w:r w:rsidR="001257AA" w:rsidRPr="00C3671E">
        <w:rPr>
          <w:lang w:eastAsia="zh-CN"/>
        </w:rPr>
        <w:instrText>ADDIN CSL_CITATION { "citationItems" : [ { "id" : "ITEM-1", "itemData" : { "DOI" : "10.1177/0958928707081068", "ISBN" : "0958-9287", "ISSN" : "0958-9287", "abstract" : "The `generational contract' is the most important and also the most contentious dimension of contemporary welfare systems. Much of the debate on how to reform it is still truncated, however, by focusing on its public dimension only, especially on pensions and health-care provisions. For a full account, the transfer of resources between adult generations in the family needs to be included as well. So far, research on family transfers has almost exclusively been limited to single-country studies. In this article, we present a comparative study of financial transfers and social support in ten Western European countries based on the Survey of Health, Ageing and Retirement in Europe (SHARE) conducted in 2004. Our results confirm, at the European level, the existence of a common transfer pattern. There is a net downward flow from the older to the younger generations, both by inter vivos financial transfers and by social support. Transfers from the elderly parents to their children are much more frequent and also usually much more intense than those in the opposite direction. The positive balance decreases with age but even those over the age of 70 clearly remain net givers. Our results also demonstrate that country-specific transfer patterns follow the typology of welfare regimes. Transfers from parents to children are less frequent but more intense in the Southern European countries than in the Nordic ones, with the Continental European countries being somewhere in between the two. This welfare regime effect still holds after controlling for the most relevant characteristics of the parents. ", "author" : [ { "dropping-particle" : "", "family" : "Albertini", "given" : "Marco", "non-dropping-particle" : "", "parse-names" : false, "suffix" : "" }, { "dropping-particle" : "", "family" : "Kohli", "given" : "Martin", "non-dropping-particle" : "", "parse-names" : false, "suffix" : "" }, { "dropping-particle" : "", "family" : "Vogel", "given" : "Claudia", "non-dropping-particle" : "", "parse-names" : false, "suffix" : "" } ], "container-title" : "Journal of European Social Policy", "id" : "ITEM-1", "issue" : "4", "issued" : { "date-parts" : [ [ "2007" ] ] }, "page" : "319-334", "title" : "Intergenerational transfers of time and money in European families: common patterns \u2014 different regimes?", "type" : "article-journal", "volume" : "17" }, "uris" : [ "http://www.mendeley.com/documents/?uuid=cc4646ac-1002-4223-90c1-04adb8a7f3d3" ] }, { "id" : "ITEM-2", "itemData" : { "ISSN" : "00472328", "abstract" : "Intergenerational time transfers can be differentiated and divided\\ninto two support forms: help and care activities. Adult children\\nsupport their elderly parents with more or less intensive and widely\\ndiffering transfers ranging from help with household chores and paperwork\\nto personal care. However, elderly people are also an important source\\nof intergenerational support, as they help their children by looking\\nafter the grandchildren for example. In general intergenerational\\nsolidarity patterns are influenced by opportunity, need, family and\\ncultural-contextual structures, which have differing impacts on help\\nand care: Care is mainly depending on the need structures of the\\nreceiver while help activities to parents and children are primarily\\ninfluenced by the opportunity structures of the giver. Additionally,\\nusing the SHARE data, logistic multilevel modeling allows national\\nhelp and care levels to be traced back to the provision of public\\nservices. The empirical findings support the ``specialization hypothesis{''}:\\nA higher national level of social services coincides with less intensive\\nhelp and more demanding care. Well-developed welfare states thus\\nlower the risk of an overburdening of the family and secure the overall\\nsupport of older people and young families through efficient collaboration\\nbetween family and state.", "author" : [ { "dropping-particle" : "", "family" : "Igel", "given" : "Corinne", "non-dropping-particle" : "", "parse-names" : false, "suffix" : "" }, { "dropping-particle" : "", "family" : "Brandt", "given" : "Martina", "non-dropping-particle" : "", "parse-names" : false, "suffix" : "" }, { "dropping-particle" : "", "family" : "Haberkern", "given" : "Klaus", "non-dropping-particle" : "", "parse-names" : false, "suffix" : "" }, { "dropping-particle" : "", "family" : "Szydlik", "given" : "Marc", "non-dropping-particle" : "", "parse-names" : false, "suffix" : "" } ], "container-title" : "Journal of Comparative Family Studies", "id" : "ITEM-2", "issue" : "2", "issued" : { "date-parts" : [ [ "2009" ] ] }, "page" : "203-224", "title" : "Specialization between family and state intergenerational time transfers in Western Europe", "type" : "article-journal", "volume" : "40" }, "uris" : [ "http://www.mendeley.com/documents/?uuid=6a7ba839-ceb4-4cec-83cd-d7e5b4c92ae4" ] } ], "mendeley" : { "formattedCitation" : "(Albertini et al. 2007; Igel et al. 2009)", "manualFormatting" : "(Albertini et al. 2007; Igel et al. 2009)", "plainTextFormattedCitation" : "(Albertini et al. 2007; Igel et al. 2009)", "previouslyFormattedCitation" : "(Albertini et al. 2007; Igel et al. 2009)" }, "properties" : { "noteIndex" : 0 }, "schema" : "https://github.com/citation-style-language/schema/raw/master/csl-citation.json" }</w:instrText>
      </w:r>
      <w:r w:rsidRPr="00C3671E">
        <w:rPr>
          <w:lang w:eastAsia="zh-CN"/>
        </w:rPr>
        <w:fldChar w:fldCharType="separate"/>
      </w:r>
      <w:r w:rsidRPr="00C3671E">
        <w:rPr>
          <w:noProof/>
          <w:lang w:eastAsia="zh-CN"/>
        </w:rPr>
        <w:t xml:space="preserve">(Albertini </w:t>
      </w:r>
      <w:r w:rsidRPr="00C3671E">
        <w:rPr>
          <w:i/>
          <w:noProof/>
          <w:lang w:eastAsia="zh-CN"/>
        </w:rPr>
        <w:t>et al.</w:t>
      </w:r>
      <w:r w:rsidRPr="00C3671E">
        <w:rPr>
          <w:noProof/>
          <w:lang w:eastAsia="zh-CN"/>
        </w:rPr>
        <w:t xml:space="preserve"> 2007; Igel </w:t>
      </w:r>
      <w:r w:rsidRPr="00C3671E">
        <w:rPr>
          <w:i/>
          <w:noProof/>
          <w:lang w:eastAsia="zh-CN"/>
        </w:rPr>
        <w:t>et al.</w:t>
      </w:r>
      <w:r w:rsidRPr="00C3671E">
        <w:rPr>
          <w:noProof/>
          <w:lang w:eastAsia="zh-CN"/>
        </w:rPr>
        <w:t xml:space="preserve"> 2009)</w:t>
      </w:r>
      <w:r w:rsidRPr="00C3671E">
        <w:rPr>
          <w:lang w:eastAsia="zh-CN"/>
        </w:rPr>
        <w:fldChar w:fldCharType="end"/>
      </w:r>
      <w:r w:rsidRPr="00C3671E">
        <w:rPr>
          <w:lang w:eastAsia="zh-CN"/>
        </w:rPr>
        <w:t>.</w:t>
      </w:r>
    </w:p>
    <w:p w14:paraId="646B4FFB" w14:textId="5422C3D9" w:rsidR="001A7940" w:rsidRPr="00C3671E" w:rsidRDefault="001A7940" w:rsidP="00F4146A">
      <w:pPr>
        <w:pStyle w:val="Newparagraph"/>
        <w:jc w:val="both"/>
        <w:rPr>
          <w:i/>
          <w:lang w:eastAsia="zh-CN"/>
        </w:rPr>
      </w:pPr>
      <w:r w:rsidRPr="00C3671E">
        <w:rPr>
          <w:lang w:eastAsia="zh-CN"/>
        </w:rPr>
        <w:t xml:space="preserve">The voluntariness of provided care seems to have a positive effect on care outcomes </w:t>
      </w:r>
      <w:r w:rsidRPr="00C3671E">
        <w:rPr>
          <w:lang w:eastAsia="zh-CN"/>
        </w:rPr>
        <w:fldChar w:fldCharType="begin" w:fldLock="1"/>
      </w:r>
      <w:r w:rsidR="001257AA" w:rsidRPr="00C3671E">
        <w:rPr>
          <w:lang w:eastAsia="zh-CN"/>
        </w:rPr>
        <w:instrText>ADDIN CSL_CITATION { "citationItems" : [ { "id" : "ITEM-1", "itemData" : { "author" : [ { "dropping-particle" : "", "family" : "Lowenstein", "given" : "Ariela", "non-dropping-particle" : "", "parse-names" : false, "suffix" : "" }, { "dropping-particle" : "", "family" : "Katz", "given" : "Ruth", "non-dropping-particle" : "", "parse-names" : false, "suffix" : "" }, { "dropping-particle" : "", "family" : "Gur-Yaish", "given" : "Nurit", "non-dropping-particle" : "", "parse-names" : false, "suffix" : "" } ], "chapter-number" : "5", "container-title" : "Caregiving Contexts: Cultural, Familial, and Societal Implications", "editor" : [ { "dropping-particle" : "", "family" : "Davey", "given" : "Adam", "non-dropping-particle" : "", "parse-names" : false, "suffix" : "" }, { "dropping-particle" : "", "family" : "Szinovacz", "given" : "Maximiliane E", "non-dropping-particle" : "", "parse-names" : false, "suffix" : "" } ], "id" : "ITEM-1", "issued" : { "date-parts" : [ [ "2008" ] ] }, "page" : "93-114", "publisher" : "Springer Publishing Company", "publisher-place" : "New York", "title" : "Cross-national v ariations in Elder Care: Antecedents and outcomes", "type" : "chapter" }, "uris" : [ "http://www.mendeley.com/documents/?uuid=f018b976-3d6d-444e-ab31-0664a763a2dc" ] }, { "id" : "ITEM-2", "itemData" : { "DOI" : "10.1007/s10433-013-0276-6", "ISBN" : "1613-9380; 1613-9372", "ISSN" : "16139372", "abstract" : "Based on the caregiver stress model, we examined how care demands, caregiver motivation, coping style and external support are associated with positive evaluation and caregiver burden among spousal, adult child and other types of care relations. Data from a sample of Dutch informal caregivers of 1,685 older persons (55 and older) were analyzed employing multivariate linear regression analyses for each of the care relationship types. Spouses (N = 206) report high positive evaluation and high burden, adult children (N = 1,093) report low positive evaluation, and other caregivers (N = 386) report high positive evaluation and a low burden. Multivariate linear regression analyses showed that motives and external support were important for positive evaluation but the impact varied among types of caregivers, whereas care demands and not asking for help were associated with burden for all types. Only among \u2018other\u2019 caregiver relationships, positive evaluation was negatively associated with burden. It is concluded that results confirm the dual nature of caregiving among spouses and children. The care context and motivation of the different types of caregivers explain their differences in care evaluation. Various interventions for types of caregivers are discussed. (PsycINFO Database Record (c) 2014 APA, all rights reserved) (journal abstract)", "author" : [ { "dropping-particle" : "", "family" : "Broese van Groenou", "given" : "Marjolein I.", "non-dropping-particle" : "", "parse-names" : false, "suffix" : "" }, { "dropping-particle" : "", "family" : "Boer", "given" : "Alice", "non-dropping-particle" : "de", "parse-names" : false, "suffix" : "" }, { "dropping-particle" : "", "family" : "Iedema", "given" : "Jurjen", "non-dropping-particle" : "", "parse-names" : false, "suffix" : "" } ], "container-title" : "European Journal of Ageing", "id" : "ITEM-2", "issue" : "4", "issued" : { "date-parts" : [ [ "2013" ] ] }, "page" : "301-311", "title" : "Positive and negative evaluation of caregiving among three different types of informal care relationships", "type" : "article-journal", "volume" : "10" }, "uris" : [ "http://www.mendeley.com/documents/?uuid=e39ec068-a7a1-4bd1-bbf4-2717643670f7" ] } ], "mendeley" : { "formattedCitation" : "(Broese van Groenou et al. 2013; Lowenstein et al. 2008)", "plainTextFormattedCitation" : "(Broese van Groenou et al. 2013; Lowenstein et al. 2008)", "previouslyFormattedCitation" : "(Broese van Groenou et al. 2013; Lowenstein et al. 2008)" }, "properties" : { "noteIndex" : 0 }, "schema" : "https://github.com/citation-style-language/schema/raw/master/csl-citation.json" }</w:instrText>
      </w:r>
      <w:r w:rsidRPr="00C3671E">
        <w:rPr>
          <w:lang w:eastAsia="zh-CN"/>
        </w:rPr>
        <w:fldChar w:fldCharType="separate"/>
      </w:r>
      <w:r w:rsidR="00A91559" w:rsidRPr="00C3671E">
        <w:rPr>
          <w:noProof/>
          <w:lang w:eastAsia="zh-CN"/>
        </w:rPr>
        <w:t>(Broese van Groenou et al. 2013; Lowenstein et al. 2008)</w:t>
      </w:r>
      <w:r w:rsidRPr="00C3671E">
        <w:rPr>
          <w:lang w:eastAsia="zh-CN"/>
        </w:rPr>
        <w:fldChar w:fldCharType="end"/>
      </w:r>
      <w:r w:rsidRPr="00C3671E">
        <w:rPr>
          <w:lang w:eastAsia="zh-CN"/>
        </w:rPr>
        <w:t xml:space="preserve">. However, it is difficult to indicate this characteristic of care in data, which is especially true at the individual level of survey data. Therefore, the voluntariness of provided care is indicated by the macro-level factor of availability of formal care, since a higher availability of formal care in a country creates an alternative for informal caregivers, and provision of care is thus more voluntary </w:t>
      </w:r>
      <w:r w:rsidRPr="00C3671E">
        <w:rPr>
          <w:lang w:eastAsia="zh-CN"/>
        </w:rPr>
        <w:fldChar w:fldCharType="begin" w:fldLock="1"/>
      </w:r>
      <w:r w:rsidR="001257AA" w:rsidRPr="00C3671E">
        <w:rPr>
          <w:lang w:eastAsia="zh-CN"/>
        </w:rPr>
        <w:instrText>ADDIN CSL_CITATION { "citationItems" : [ { "id" : "ITEM-1", "itemData" : { "DOI" : "10.1177/0958928707081068", "ISBN" : "0958-9287", "ISSN" : "0958-9287", "abstract" : "The `generational contract' is the most important and also the most contentious dimension of contemporary welfare systems. Much of the debate on how to reform it is still truncated, however, by focusing on its public dimension only, especially on pensions and health-care provisions. For a full account, the transfer of resources between adult generations in the family needs to be included as well. So far, research on family transfers has almost exclusively been limited to single-country studies. In this article, we present a comparative study of financial transfers and social support in ten Western European countries based on the Survey of Health, Ageing and Retirement in Europe (SHARE) conducted in 2004. Our results confirm, at the European level, the existence of a common transfer pattern. There is a net downward flow from the older to the younger generations, both by inter vivos financial transfers and by social support. Transfers from the elderly parents to their children are much more frequent and also usually much more intense than those in the opposite direction. The positive balance decreases with age but even those over the age of 70 clearly remain net givers. Our results also demonstrate that country-specific transfer patterns follow the typology of welfare regimes. Transfers from parents to children are less frequent but more intense in the Southern European countries than in the Nordic ones, with the Continental European countries being somewhere in between the two. This welfare regime effect still holds after controlling for the most relevant characteristics of the parents. ", "author" : [ { "dropping-particle" : "", "family" : "Albertini", "given" : "Marco", "non-dropping-particle" : "", "parse-names" : false, "suffix" : "" }, { "dropping-particle" : "", "family" : "Kohli", "given" : "Martin", "non-dropping-particle" : "", "parse-names" : false, "suffix" : "" }, { "dropping-particle" : "", "family" : "Vogel", "given" : "Claudia", "non-dropping-particle" : "", "parse-names" : false, "suffix" : "" } ], "container-title" : "Journal of European Social Policy", "id" : "ITEM-1", "issue" : "4", "issued" : { "date-parts" : [ [ "2007" ] ] }, "page" : "319-334", "title" : "Intergenerational transfers of time and money in European families: common patterns \u2014 different regimes?", "type" : "article-journal", "volume" : "17" }, "uris" : [ "http://www.mendeley.com/documents/?uuid=cc4646ac-1002-4223-90c1-04adb8a7f3d3" ] }, { "id" : "ITEM-2", "itemData" : { "ISSN" : "00472328", "abstract" : "Intergenerational time transfers can be differentiated and divided\\ninto two support forms: help and care activities. Adult children\\nsupport their elderly parents with more or less intensive and widely\\ndiffering transfers ranging from help with household chores and paperwork\\nto personal care. However, elderly people are also an important source\\nof intergenerational support, as they help their children by looking\\nafter the grandchildren for example. In general intergenerational\\nsolidarity patterns are influenced by opportunity, need, family and\\ncultural-contextual structures, which have differing impacts on help\\nand care: Care is mainly depending on the need structures of the\\nreceiver while help activities to parents and children are primarily\\ninfluenced by the opportunity structures of the giver. Additionally,\\nusing the SHARE data, logistic multilevel modeling allows national\\nhelp and care levels to be traced back to the provision of public\\nservices. The empirical findings support the ``specialization hypothesis{''}:\\nA higher national level of social services coincides with less intensive\\nhelp and more demanding care. Well-developed welfare states thus\\nlower the risk of an overburdening of the family and secure the overall\\nsupport of older people and young families through efficient collaboration\\nbetween family and state.", "author" : [ { "dropping-particle" : "", "family" : "Igel", "given" : "Corinne", "non-dropping-particle" : "", "parse-names" : false, "suffix" : "" }, { "dropping-particle" : "", "family" : "Brandt", "given" : "Martina", "non-dropping-particle" : "", "parse-names" : false, "suffix" : "" }, { "dropping-particle" : "", "family" : "Haberkern", "given" : "Klaus", "non-dropping-particle" : "", "parse-names" : false, "suffix" : "" }, { "dropping-particle" : "", "family" : "Szydlik", "given" : "Marc", "non-dropping-particle" : "", "parse-names" : false, "suffix" : "" } ], "container-title" : "Journal of Comparative Family Studies", "id" : "ITEM-2", "issue" : "2", "issued" : { "date-parts" : [ [ "2009" ] ] }, "page" : "203-224", "title" : "Specialization between family and state intergenerational time transfers in Western Europe", "type" : "article-journal", "volume" : "40" }, "uris" : [ "http://www.mendeley.com/documents/?uuid=6a7ba839-ceb4-4cec-83cd-d7e5b4c92ae4" ] }, { "id" : "ITEM-3", "itemData" : { "DOI" : "10.1017/S0144686X05003971", "ISBN" : "0144-686X", "ISSN" : "0144-686X", "abstract" : "This paper discusses the informal and formal provision of help and support to older people from a comparative welfare state perspective, with particular reference to the relationships between inter-generational family help and welfare state support. While the 'substitution' hypothesis states that the generous provision of welfare state services In Support of older people 'crowds out' Family help, the encouragement' hypothesis predicts a stimulation of family help, and the 'mixed responsibility' hypothesis predicts a combination of family and formal help and support. The paper reports findings from the Old Age and Anatomy: The Role of Service Systems and Inter-generational Family Solidarity (OASIS) research project. This created a unique age-stratified sample of 6,106 people aged 25-102 years from the urban populations of Norway, England, Germany, Spain and Israel. The analyses show that the total quantity of help received by older people is greater In welfare states with a strong infrastructure of formal services. Moreover, when measures of the social structure, support preferences and familial opportunity structures were controlled, no evidence of a substantial 'crowding out' of family help was found. The results Support the hypothesis of mixed responsibility', and suggest that in societies with well-developed service infrastructures, help from families and welfare state services act accumulatively, but that in familistic welfare regimes, similar combinations do not occur.", "author" : [ { "dropping-particle" : "", "family" : "Motel-Klingebiel", "given" : "Andreas", "non-dropping-particle" : "", "parse-names" : false, "suffix" : "" }, { "dropping-particle" : "", "family" : "Tesch-Roemer", "given" : "Clemens", "non-dropping-particle" : "", "parse-names" : false, "suffix" : "" }, { "dropping-particle" : "", "family" : "Kondratowitz", "given" : "Hans-Joachim", "non-dropping-particle" : "Von", "parse-names" : false, "suffix" : "" } ], "container-title" : "Ageing and Society", "id" : "ITEM-3", "issue" : "06", "issued" : { "date-parts" : [ [ "2005" ] ] }, "page" : "863-882", "title" : "Welfare states do not crowd out the family: evidence for mixed responsibility from comparative analyses", "type" : "article-journal", "volume" : "25" }, "uris" : [ "http://www.mendeley.com/documents/?uuid=1e17e148-2138-4b8b-82c2-0cf335b6bc4e" ] } ], "mendeley" : { "formattedCitation" : "(Albertini et al. 2007; Igel et al. 2009; Motel-Klingebiel, Tesch-Roemer, and Von Kondratowitz 2005)", "plainTextFormattedCitation" : "(Albertini et al. 2007; Igel et al. 2009; Motel-Klingebiel, Tesch-Roemer, and Von Kondratowitz 2005)", "previouslyFormattedCitation" : "(Albertini et al. 2007; Igel et al. 2009; Motel-Klingebiel, Tesch-Roemer, and Von Kondratowitz 2005)" }, "properties" : { "noteIndex" : 0 }, "schema" : "https://github.com/citation-style-language/schema/raw/master/csl-citation.json" }</w:instrText>
      </w:r>
      <w:r w:rsidRPr="00C3671E">
        <w:rPr>
          <w:lang w:eastAsia="zh-CN"/>
        </w:rPr>
        <w:fldChar w:fldCharType="separate"/>
      </w:r>
      <w:r w:rsidR="00A91559" w:rsidRPr="00C3671E">
        <w:rPr>
          <w:noProof/>
          <w:lang w:eastAsia="zh-CN"/>
        </w:rPr>
        <w:t>(Albertini et al. 2007; Igel et al. 2009; Motel-Klingebiel, Tesch-Roemer, and Von Kondratowitz 2005)</w:t>
      </w:r>
      <w:r w:rsidRPr="00C3671E">
        <w:rPr>
          <w:lang w:eastAsia="zh-CN"/>
        </w:rPr>
        <w:fldChar w:fldCharType="end"/>
      </w:r>
      <w:r w:rsidRPr="00C3671E">
        <w:rPr>
          <w:lang w:eastAsia="zh-CN"/>
        </w:rPr>
        <w:t>.</w:t>
      </w:r>
    </w:p>
    <w:p w14:paraId="03E82BAD" w14:textId="77777777" w:rsidR="001A7940" w:rsidRPr="00C3671E" w:rsidRDefault="001A7940" w:rsidP="007E6D8E">
      <w:pPr>
        <w:pStyle w:val="Nadpis3"/>
        <w:spacing w:line="480" w:lineRule="auto"/>
        <w:rPr>
          <w:i/>
          <w:iCs/>
          <w:sz w:val="24"/>
          <w:szCs w:val="28"/>
          <w:lang w:val="en-GB" w:eastAsia="zh-CN"/>
        </w:rPr>
      </w:pPr>
      <w:bookmarkStart w:id="48" w:name="_Toc512687755"/>
      <w:r w:rsidRPr="00C3671E">
        <w:rPr>
          <w:rFonts w:ascii="Times New Roman" w:hAnsi="Times New Roman" w:cs="Times New Roman"/>
          <w:b w:val="0"/>
          <w:i/>
          <w:lang w:val="en-GB" w:eastAsia="zh-CN"/>
        </w:rPr>
        <w:t>Subjective QoL and Related Concepts</w:t>
      </w:r>
      <w:bookmarkEnd w:id="48"/>
    </w:p>
    <w:p w14:paraId="7CE03701" w14:textId="534BD08F" w:rsidR="001A7940" w:rsidRPr="00C3671E" w:rsidRDefault="001A7940" w:rsidP="00F4146A">
      <w:pPr>
        <w:suppressAutoHyphens/>
        <w:spacing w:line="480" w:lineRule="auto"/>
        <w:jc w:val="both"/>
        <w:rPr>
          <w:lang w:val="en-GB" w:eastAsia="zh-CN"/>
        </w:rPr>
      </w:pPr>
      <w:r w:rsidRPr="00C3671E">
        <w:rPr>
          <w:lang w:val="en-GB" w:eastAsia="zh-CN"/>
        </w:rPr>
        <w:t xml:space="preserve">A general aim of many policy </w:t>
      </w:r>
      <w:r w:rsidRPr="00C3671E">
        <w:rPr>
          <w:lang w:val="en-GB"/>
        </w:rPr>
        <w:t>programmes</w:t>
      </w:r>
      <w:r w:rsidRPr="00C3671E">
        <w:rPr>
          <w:lang w:val="en-GB" w:eastAsia="zh-CN"/>
        </w:rPr>
        <w:t xml:space="preserve"> focused on older people – including active ageing policy </w:t>
      </w:r>
      <w:r w:rsidRPr="00F4146A">
        <w:rPr>
          <w:rFonts w:eastAsia="Calibri"/>
          <w:lang w:val="en-GB" w:eastAsia="en-US"/>
        </w:rPr>
        <w:t>programmes</w:t>
      </w:r>
      <w:r w:rsidRPr="00C3671E">
        <w:rPr>
          <w:lang w:val="en-GB" w:eastAsia="zh-CN"/>
        </w:rPr>
        <w:t xml:space="preserve"> – is to increase the QoL of the target population </w:t>
      </w:r>
      <w:r w:rsidRPr="00C3671E">
        <w:rPr>
          <w:lang w:val="en-GB" w:eastAsia="zh-CN"/>
        </w:rPr>
        <w:fldChar w:fldCharType="begin" w:fldLock="1"/>
      </w:r>
      <w:r w:rsidR="00AA6335" w:rsidRPr="00C3671E">
        <w:rPr>
          <w:lang w:val="en-GB" w:eastAsia="zh-CN"/>
        </w:rPr>
        <w:instrText>ADDIN CSL_CITATION { "citationItems" : [ { "id" : "ITEM-1", "itemData" : { "DOI" : "10.1080/08959420802529986", "ISBN" : "0895-9420", "ISSN" : "08959420", "PMID" : "19197609", "abstract" : "Active aging is established as the leading global policy strategy in response to population aging. In practice, however, the term active aging serves as a convenient shelter for a wide range of policy discourses and initiatives concerning demographic change. The twin purposes of this article are, first, to examine its European origins and how it has been applied in the world's oldest region. This policy analysis illustrates the contrast between the primarily European discourse on active aging, which emphasizes health, participation, and well-being, and the U.S. discourse that prioritizes productivity. The application of active aging in Europe has, nonetheless, been predominantly in the productivist mold. The examination of the emergence of this key policy concept in Europe is contextualized by an outline of the changing politics of aging in this region. The second purpose of the article is to set out a new, comprehensive strategy on active aging that is intended to realize the full potential of the concept. Understanding of the need for this broad vision of active aging is facilitated by the historical policy review.", "author" : [ { "dropping-particle" : "", "family" : "Walker", "given" : "Alan", "non-dropping-particle" : "", "parse-names" : false, "suffix" : "" } ], "container-title" : "Journal of Aging and Social Policy", "id" : "ITEM-1", "issue" : "1", "issued" : { "date-parts" : [ [ "2009" ] ] }, "page" : "75-93", "title" : "Commentary: The emergence and application of active aging in Europe", "type" : "article-journal", "volume" : "21" }, "uris" : [ "http://www.mendeley.com/documents/?uuid=b952ee64-d282-43d1-a4b9-3ebacbcbce05" ] } ], "mendeley" : { "formattedCitation" : "(Walker 2009)", "plainTextFormattedCitation" : "(Walker 2009)", "previouslyFormattedCitation" : "(Walker 2009)" }, "properties" : { "noteIndex" : 0 }, "schema" : "https://github.com/citation-style-language/schema/raw/master/csl-citation.json" }</w:instrText>
      </w:r>
      <w:r w:rsidRPr="00C3671E">
        <w:rPr>
          <w:lang w:val="en-GB" w:eastAsia="zh-CN"/>
        </w:rPr>
        <w:fldChar w:fldCharType="separate"/>
      </w:r>
      <w:r w:rsidRPr="00C3671E">
        <w:rPr>
          <w:noProof/>
          <w:lang w:val="en-GB" w:eastAsia="zh-CN"/>
        </w:rPr>
        <w:t>(Walker 2009)</w:t>
      </w:r>
      <w:r w:rsidRPr="00C3671E">
        <w:rPr>
          <w:lang w:val="en-GB" w:eastAsia="zh-CN"/>
        </w:rPr>
        <w:fldChar w:fldCharType="end"/>
      </w:r>
      <w:r w:rsidRPr="00C3671E">
        <w:rPr>
          <w:lang w:val="en-GB" w:eastAsia="zh-CN"/>
        </w:rPr>
        <w:t xml:space="preserve">. However, QoL is not easy to define, as it has been conceptualized and measured in many ways. Even with a focus on the subjective assessment of life in general, many concepts, such as subjective QoL, life satisfaction, well-being, psychological distress, happiness, mood, and affect, have been interpreted in very similar ways and used almost as synonyms </w:t>
      </w:r>
      <w:r w:rsidRPr="00C3671E">
        <w:rPr>
          <w:lang w:val="en-GB" w:eastAsia="zh-CN"/>
        </w:rPr>
        <w:fldChar w:fldCharType="begin" w:fldLock="1"/>
      </w:r>
      <w:r w:rsidR="001257AA" w:rsidRPr="00C3671E">
        <w:rPr>
          <w:lang w:val="en-GB" w:eastAsia="zh-CN"/>
        </w:rPr>
        <w:instrText>ADDIN CSL_CITATION { "citationItems" : [ { "id" : "ITEM-1", "itemData" : { "DOI" : "10.1007/s10433-009-0113-0", "ISBN" : "1613-9372", "ISSN" : "16139372", "abstract" : "This study addresses the links between different dimensions of intergenerational family relations (solidarity, conflict, and ambivalence) and subjective well-being (life satisfaction, and positive and negative affects) of older people (aged 75+) using a comparative perspective from a random urban sample in five countries (Norway, England, Germany, Spain, and Israel). Comparative descriptive analyses and multivariate models are presented. Three general conclusions can be drawn. First, the country variables contributed significantly to the explained variance for all three components of well-being, where Israel was most different from the other four countries, except for positive affects, for which Spain and Israel differed from Norway, England, and Germany. However, the countries explained more of the variance for positive and negative affects compared with life satisfaction. Second, the intergenerational family solidarity dimensions contributed significantly to the explained variance for all three components of well-being, although they were differentially related to the different aspects of subjective well-being. Third, personal resources, mainly physical functioning and financial adequacy, were related to all of the well-being variables, although their relative contribution was much stronger for life satisfaction. The importance of intergenerational family relations and personal resources for the subjective well-being of older people and the importance of using multiple measures for outcome variables of well-being are discussed. \u00a9 Springer-Verlag 2009.", "author" : [ { "dropping-particle" : "", "family" : "Katz", "given" : "Ruth", "non-dropping-particle" : "", "parse-names" : false, "suffix" : "" } ], "container-title" : "European Journal of Ageing", "id" : "ITEM-1", "issue" : "2", "issued" : { "date-parts" : [ [ "2009" ] ] }, "page" : "79-90", "title" : "Intergenerational family relations and subjective well-being in old age: A cross-national study", "type" : "article-journal", "volume" : "6" }, "uris" : [ "http://www.mendeley.com/documents/?uuid=18bcabc4-1179-4c65-a136-fbb161c59e79" ] }, { "id" : "ITEM-2", "itemData" : { "author" : [ { "dropping-particle" : "", "family" : "Mcilvane", "given" : "Jessica M", "non-dropping-particle" : "", "parse-names" : false, "suffix" : "" }, { "dropping-particle" : "", "family" : "Ajrouch", "given" : "Kristine J", "non-dropping-particle" : "", "parse-names" : false, "suffix" : "" }, { "dropping-particle" : "", "family" : "Antonucci", "given" : "Toni C", "non-dropping-particle" : "", "parse-names" : false, "suffix" : "" } ], "container-title" : "Journal of Social Issues", "id" : "ITEM-2", "issue" : "4", "issued" : { "date-parts" : [ [ "2007" ] ] }, "page" : "759-773", "title" : "Generational Structure and Social Resources in Mid-Life: Influences on Health and Well-Being", "type" : "article-journal", "volume" : "63" }, "uris" : [ "http://www.mendeley.com/documents/?uuid=bac0d554-0b64-458f-81e4-d7bc272f449f" ] }, { "id" : "ITEM-3", "itemData" : { "ISBN" : "9783110295467", "author" : [ { "dropping-particle" : "", "family" : "Roll", "given" : "Anat", "non-dropping-particle" : "", "parse-names" : false, "suffix" : "" }, { "dropping-particle" : "", "family" : "Litwin", "given" : "Howard", "non-dropping-particle" : "", "parse-names" : false, "suffix" : "" } ], "chapter-number" : "25", "container-title" : "Active Ageing and Solidarity between Generations in Europe: First Results from SHARE after the Economic Crisis", "editor" : [ { "dropping-particle" : "", "family" : "B\u00f6rsch-Supan", "given" : "Axel", "non-dropping-particle" : "", "parse-names" : false, "suffix" : "" }, { "dropping-particle" : "", "family" : "Brandt", "given" : "Martina", "non-dropping-particle" : "", "parse-names" : false, "suffix" : "" }, { "dropping-particle" : "", "family" : "Litwin", "given" : "Howard", "non-dropping-particle" : "", "parse-names" : false, "suffix" : "" }, { "dropping-particle" : "", "family" : "Weber", "given" : "Guglielmo", "non-dropping-particle" : "", "parse-names" : false, "suffix" : "" } ], "id" : "ITEM-3", "issued" : { "date-parts" : [ [ "2013" ] ] }, "page" : "289-300", "publisher" : "De Gruyter", "publisher-place" : "Berlin", "title" : "The exchange of support and financial assistance: differences in exchange patterns and their implications for ageing well", "type" : "chapter" }, "uris" : [ "http://www.mendeley.com/documents/?uuid=d356d7cd-dc85-44a1-8dde-6a76b65f7d06" ] } ], "mendeley" : { "formattedCitation" : "(Katz 2009; Mcilvane et al. 2007; Roll and Litwin 2013)", "plainTextFormattedCitation" : "(Katz 2009; Mcilvane et al. 2007; Roll and Litwin 2013)", "previouslyFormattedCitation" : "(Katz 2009; Mcilvane et al. 2007; Roll and Litwin 2013)" }, "properties" : { "noteIndex" : 0 }, "schema" : "https://github.com/citation-style-language/schema/raw/master/csl-citation.json" }</w:instrText>
      </w:r>
      <w:r w:rsidRPr="00C3671E">
        <w:rPr>
          <w:lang w:val="en-GB" w:eastAsia="zh-CN"/>
        </w:rPr>
        <w:fldChar w:fldCharType="separate"/>
      </w:r>
      <w:r w:rsidR="00A91559" w:rsidRPr="00C3671E">
        <w:rPr>
          <w:noProof/>
          <w:lang w:val="en-GB" w:eastAsia="zh-CN"/>
        </w:rPr>
        <w:t>(Katz 2009; Mcilvane et al. 2007; Roll and Litwin 2013)</w:t>
      </w:r>
      <w:r w:rsidRPr="00C3671E">
        <w:rPr>
          <w:lang w:val="en-GB" w:eastAsia="zh-CN"/>
        </w:rPr>
        <w:fldChar w:fldCharType="end"/>
      </w:r>
      <w:r w:rsidRPr="00C3671E">
        <w:rPr>
          <w:lang w:val="en-GB" w:eastAsia="zh-CN"/>
        </w:rPr>
        <w:t xml:space="preserve">. All of these concepts are general, vague, and potentially encompass several domains or dimensions </w:t>
      </w:r>
      <w:r w:rsidRPr="00C3671E">
        <w:rPr>
          <w:lang w:val="en-GB" w:eastAsia="zh-CN"/>
        </w:rPr>
        <w:fldChar w:fldCharType="begin" w:fldLock="1"/>
      </w:r>
      <w:r w:rsidR="00AA6335" w:rsidRPr="00C3671E">
        <w:rPr>
          <w:lang w:val="en-GB" w:eastAsia="zh-CN"/>
        </w:rPr>
        <w:instrText>ADDIN CSL_CITATION { "citationItems" : [ { "id" : "ITEM-1", "itemData" : { "author" : [ { "dropping-particle" : "", "family" : "Bowling", "given" : "Ann", "non-dropping-particle" : "", "parse-names" : false, "suffix" : "" } ], "id" : "ITEM-1", "issued" : { "date-parts" : [ [ "2005" ] ] }, "publisher" : "Open University Press", "publisher-place" : "Maidenhead", "title" : "Ageing Well: Quality of Life in Old Age", "type" : "book" }, "uris" : [ "http://www.mendeley.com/documents/?uuid=3092aada-65ae-4609-b8ce-2960b6e9c961" ] } ], "mendeley" : { "formattedCitation" : "(Bowling 2005)", "plainTextFormattedCitation" : "(Bowling 2005)", "previouslyFormattedCitation" : "(Bowling 2005)" }, "properties" : { "noteIndex" : 0 }, "schema" : "https://github.com/citation-style-language/schema/raw/master/csl-citation.json" }</w:instrText>
      </w:r>
      <w:r w:rsidRPr="00C3671E">
        <w:rPr>
          <w:lang w:val="en-GB" w:eastAsia="zh-CN"/>
        </w:rPr>
        <w:fldChar w:fldCharType="separate"/>
      </w:r>
      <w:r w:rsidRPr="00C3671E">
        <w:rPr>
          <w:noProof/>
          <w:lang w:val="en-GB" w:eastAsia="zh-CN"/>
        </w:rPr>
        <w:t>(Bowling 2005)</w:t>
      </w:r>
      <w:r w:rsidRPr="00C3671E">
        <w:rPr>
          <w:lang w:val="en-GB" w:eastAsia="zh-CN"/>
        </w:rPr>
        <w:fldChar w:fldCharType="end"/>
      </w:r>
      <w:r w:rsidRPr="00C3671E">
        <w:rPr>
          <w:lang w:val="en-GB" w:eastAsia="zh-CN"/>
        </w:rPr>
        <w:t xml:space="preserve">. </w:t>
      </w:r>
    </w:p>
    <w:p w14:paraId="40AB132E" w14:textId="0FFED359" w:rsidR="001A7940" w:rsidRPr="00C3671E" w:rsidRDefault="001A7940" w:rsidP="00F4146A">
      <w:pPr>
        <w:pStyle w:val="Newparagraph"/>
        <w:jc w:val="both"/>
        <w:rPr>
          <w:lang w:eastAsia="zh-CN"/>
        </w:rPr>
      </w:pPr>
      <w:r w:rsidRPr="00C3671E">
        <w:t>This</w:t>
      </w:r>
      <w:r w:rsidRPr="00C3671E">
        <w:rPr>
          <w:lang w:eastAsia="zh-CN"/>
        </w:rPr>
        <w:t xml:space="preserve"> paper argues that, besides the </w:t>
      </w:r>
      <w:r w:rsidRPr="00C3671E">
        <w:t>extensive</w:t>
      </w:r>
      <w:r w:rsidRPr="00C3671E">
        <w:rPr>
          <w:lang w:eastAsia="zh-CN"/>
        </w:rPr>
        <w:t xml:space="preserve"> existing research examining life satisfaction generally, it is useful to research three specific domains QoL in older ages. First, </w:t>
      </w:r>
      <w:r w:rsidRPr="00C3671E">
        <w:rPr>
          <w:lang w:eastAsia="zh-CN"/>
        </w:rPr>
        <w:lastRenderedPageBreak/>
        <w:fldChar w:fldCharType="begin" w:fldLock="1"/>
      </w:r>
      <w:r w:rsidR="00AA6335" w:rsidRPr="00C3671E">
        <w:rPr>
          <w:lang w:eastAsia="zh-CN"/>
        </w:rPr>
        <w:instrText>ADDIN CSL_CITATION { "citationItems" : [ { "id" : "ITEM-1", "itemData" : { "DOI" : "10.1017/S0144686X07006629", "ISBN" : "1469-1779", "ISSN" : "0144-686X", "abstract" : "Gerontologists have emphasised that older adults are not only recipients of support but also important support providers. Using data from the first wave of the Netherlands Kinship Panel Study of 727 middle-generation adults aged 45 to 79 years, we examined the associations between loneliness and giving support up, across and down family lineages. Overall, the findings were consistent more with an altruism perspective, that giving brings rewards, than with an exchange perspective, which emphasises the costs of giving support. The results showed an inverse relationship between the number of generations supported and loneliness, and that those engaged in balanced exchanges with family members in three generations (parents, siblings and children) were generally the least lonely. As regards the direction of support giving, the findings showed that the association between giving support and loneliness was insignificant if the support was for parents, negative for support to siblings, and positive for support to children. Imbalanced support exchanges were differentially associated with loneliness, and depended on the type of family relationship involved. Non-reciprocated support made parents more vulnerable to loneliness, whereas non-reciprocated giving in sibling ties was associated with low levels of loneliness. Imbalanced support giving in relationships with parents was not associated with loneliness.", "author" : [ { "dropping-particle" : "", "family" : "Jong Gierveld", "given" : "Jenny", "non-dropping-particle" : "De", "parse-names" : false, "suffix" : "" }, { "dropping-particle" : "", "family" : "Dykstra", "given" : "Pearl A.", "non-dropping-particle" : "", "parse-names" : false, "suffix" : "" } ], "container-title" : "Ageing and Society", "id" : "ITEM-1", "issue" : "02", "issued" : { "date-parts" : [ [ "2008" ] ] }, "page" : "271-287", "title" : "Virtue is its own reward? Support-giving in the family and loneliness in middle and old age", "type" : "article-journal", "volume" : "28" }, "uris" : [ "http://www.mendeley.com/documents/?uuid=51cd63fa-a8cd-488c-be10-d4ffd8214b5c" ] } ], "mendeley" : { "formattedCitation" : "(De Jong Gierveld and Dykstra 2008)", "manualFormatting" : "De Jong Gierveld and Dykstra (2008)", "plainTextFormattedCitation" : "(De Jong Gierveld and Dykstra 2008)", "previouslyFormattedCitation" : "(De Jong Gierveld and Dykstra 2008)" }, "properties" : { "noteIndex" : 0 }, "schema" : "https://github.com/citation-style-language/schema/raw/master/csl-citation.json" }</w:instrText>
      </w:r>
      <w:r w:rsidRPr="00C3671E">
        <w:rPr>
          <w:lang w:eastAsia="zh-CN"/>
        </w:rPr>
        <w:fldChar w:fldCharType="separate"/>
      </w:r>
      <w:r w:rsidRPr="00C3671E">
        <w:rPr>
          <w:noProof/>
          <w:lang w:eastAsia="zh-CN"/>
        </w:rPr>
        <w:t>De Jong Gierveld and Dykstra (2008)</w:t>
      </w:r>
      <w:r w:rsidRPr="00C3671E">
        <w:rPr>
          <w:lang w:eastAsia="zh-CN"/>
        </w:rPr>
        <w:fldChar w:fldCharType="end"/>
      </w:r>
      <w:r w:rsidRPr="00C3671E">
        <w:rPr>
          <w:lang w:eastAsia="zh-CN"/>
        </w:rPr>
        <w:t xml:space="preserve"> have found that (multiple) care provision substantially reduces loneliness, which is a very prevalent phenomenon in older ages </w:t>
      </w:r>
      <w:r w:rsidRPr="00C3671E">
        <w:rPr>
          <w:lang w:eastAsia="zh-CN"/>
        </w:rPr>
        <w:fldChar w:fldCharType="begin" w:fldLock="1"/>
      </w:r>
      <w:r w:rsidR="00AA6335" w:rsidRPr="00C3671E">
        <w:rPr>
          <w:lang w:eastAsia="zh-CN"/>
        </w:rPr>
        <w:instrText>ADDIN CSL_CITATION { "citationItems" : [ { "id" : "ITEM-1", "itemData" : { "DOI" : "10.1515/9783110295467.349", "ISBN" : "978-3-11-029545-0", "author" : [ { "dropping-particle" : "", "family" : "Shiovitz-Ezra", "given" : "Sharon", "non-dropping-particle" : "", "parse-names" : false, "suffix" : "" } ], "chapter-number" : "30", "container-title" : "Active ageing and solidarity between generations in Europe. First results from SHARE after the economic crisis", "editor" : [ { "dropping-particle" : "", "family" : "B\u00f6rsch-Supan", "given" : "Axel", "non-dropping-particle" : "", "parse-names" : false, "suffix" : "" }, { "dropping-particle" : "", "family" : "Brandt", "given" : "Martina", "non-dropping-particle" : "", "parse-names" : false, "suffix" : "" }, { "dropping-particle" : "", "family" : "Litwin", "given" : "Howard", "non-dropping-particle" : "", "parse-names" : false, "suffix" : "" }, { "dropping-particle" : "", "family" : "Weber", "given" : "Guglielmo", "non-dropping-particle" : "", "parse-names" : false, "suffix" : "" } ], "id" : "ITEM-1", "issued" : { "date-parts" : [ [ "2013" ] ] }, "page" : "349-358", "publisher" : "De Gruyter", "publisher-place" : "Berlin", "title" : "Confidant networks and loneliness", "type" : "chapter" }, "uris" : [ "http://www.mendeley.com/documents/?uuid=5b3a999d-c2f1-48d7-b86f-4d83870cd007" ] } ], "mendeley" : { "formattedCitation" : "(Shiovitz-Ezra 2013)", "plainTextFormattedCitation" : "(Shiovitz-Ezra 2013)", "previouslyFormattedCitation" : "(Shiovitz-Ezra 2013)" }, "properties" : { "noteIndex" : 0 }, "schema" : "https://github.com/citation-style-language/schema/raw/master/csl-citation.json" }</w:instrText>
      </w:r>
      <w:r w:rsidRPr="00C3671E">
        <w:rPr>
          <w:lang w:eastAsia="zh-CN"/>
        </w:rPr>
        <w:fldChar w:fldCharType="separate"/>
      </w:r>
      <w:r w:rsidRPr="00C3671E">
        <w:rPr>
          <w:noProof/>
          <w:lang w:eastAsia="zh-CN"/>
        </w:rPr>
        <w:t>(Shiovitz-Ezra 2013)</w:t>
      </w:r>
      <w:r w:rsidRPr="00C3671E">
        <w:rPr>
          <w:lang w:eastAsia="zh-CN"/>
        </w:rPr>
        <w:fldChar w:fldCharType="end"/>
      </w:r>
      <w:r w:rsidRPr="00C3671E">
        <w:rPr>
          <w:lang w:eastAsia="zh-CN"/>
        </w:rPr>
        <w:t xml:space="preserve">, strongly related to depression </w:t>
      </w:r>
      <w:r w:rsidRPr="00C3671E">
        <w:rPr>
          <w:lang w:eastAsia="zh-CN"/>
        </w:rPr>
        <w:fldChar w:fldCharType="begin" w:fldLock="1"/>
      </w:r>
      <w:r w:rsidR="001257AA" w:rsidRPr="00C3671E">
        <w:rPr>
          <w:lang w:eastAsia="zh-CN"/>
        </w:rPr>
        <w:instrText>ADDIN CSL_CITATION { "citationItems" : [ { "id" : "ITEM-1", "itemData" : { "DOI" : "10.1186/1471-2458-13-567", "ISBN" : "1471-2458", "ISSN" : "1471-2458", "PMID" : "23758624", "abstract" : "BACKGROUND: The 20th century's rapid industrialization and urbanization brought important social changes to Taiwan, including an increased number of elders living alone, which has increased risk of depression for the elderly. This study aimed to evaluate the changing pattern regarding the effect of intergenerational exchanges on elders' depressive symptoms from 1993 to 2007.\\n\\nMETHODS: Data from the second-, fourth- and sixth-wave surveys of the Study of Health and Living Status of the Middle-Aged and Elderly in Taiwan were analyzed. This study collected elders' individual sociodemographic characteristics, their self-reported health status and their intergenerational exchanges, including living with partners or with their children and their provision of care for their grandchildren. Information about elders' depression was evaluated using the 5-item Epidemiological Studies Depression Scale (CES-D).Changes in elders' intergenerational exchanges and depressive symptoms were compared during these study periods (chi-square test). Then, logistic regression was performed to determine how significantly elders' intergenerational exchanges were associated with their depressive symptoms across the three years 1993, 1999 and 2007.\\n\\nRESULTS: The prevalence of elders living with partners decreased from 1993 to 2007 by 19%, and that of living with their children decreased from 1993 to 2007 by 7%. Conversely, the percentage of elders providing care for grandchildren dramatically increased, from 9% in 1993 to 21% in 2007. Elderly people had significantly fewer depressive symptoms in 2007 than in 1993.After adjusting for confounders, those living without a partner, living without children or providing no grandchild care had a greater risk of feeling lonely and being depressed. However, during the period 1993 to 2007, the impact on elders' depression and loneliness of co-residing with a partner or with children decreased at the same time that the impact of their provision of grandchild care increased. In 2007, elders who provided no grandchild care were significantly more likely to feel lonely and sad as well as to have high CES-D scores; these strong associations were not found in 1993 and 1999.\\n\\nCONCLUSIONS: This study illustrates how taking care of grandchildren protects against depression and loneliness in elderly Taiwanese. We argue the need, in an aging society, for improving intergenerational interaction and recommend careful evaluation of the interaction bet\u2026", "author" : [ { "dropping-particle" : "", "family" : "Tsai", "given" : "Feng-Jen", "non-dropping-particle" : "", "parse-names" : false, "suffix" : "" }, { "dropping-particle" : "", "family" : "Motamed", "given" : "Sandrine", "non-dropping-particle" : "", "parse-names" : false, "suffix" : "" }, { "dropping-particle" : "", "family" : "Rougemont", "given" : "Andr\u00e9", "non-dropping-particle" : "", "parse-names" : false, "suffix" : "" } ], "container-title" : "BMC Public Health", "id" : "ITEM-1", "issue" : "1", "issued" : { "date-parts" : [ [ "2013" ] ] }, "page" : "567", "title" : "The protective effect of taking care of grandchildren on elders\u2019 mental health? Associations between changing patterns of intergenerational exchanges and the reduction of elders\u2019 loneliness and depression between 1993 and 2007 in Taiwan", "type" : "article-journal", "volume" : "13" }, "uris" : [ "http://www.mendeley.com/documents/?uuid=6be30764-4560-4980-8d10-e3738115f157" ] } ], "mendeley" : { "formattedCitation" : "(Tsai, Motamed, and Rougemont 2013)", "manualFormatting" : "(Tsai et al. 2013)", "plainTextFormattedCitation" : "(Tsai, Motamed, and Rougemont 2013)", "previouslyFormattedCitation" : "(Tsai, Motamed, and Rougemont 2013)" }, "properties" : { "noteIndex" : 0 }, "schema" : "https://github.com/citation-style-language/schema/raw/master/csl-citation.json" }</w:instrText>
      </w:r>
      <w:r w:rsidRPr="00C3671E">
        <w:rPr>
          <w:lang w:eastAsia="zh-CN"/>
        </w:rPr>
        <w:fldChar w:fldCharType="separate"/>
      </w:r>
      <w:r w:rsidRPr="00C3671E">
        <w:rPr>
          <w:noProof/>
          <w:lang w:eastAsia="zh-CN"/>
        </w:rPr>
        <w:t xml:space="preserve">(Tsai </w:t>
      </w:r>
      <w:r w:rsidRPr="00C3671E">
        <w:rPr>
          <w:i/>
          <w:noProof/>
          <w:lang w:eastAsia="zh-CN"/>
        </w:rPr>
        <w:t>et al.</w:t>
      </w:r>
      <w:r w:rsidRPr="00C3671E">
        <w:rPr>
          <w:noProof/>
          <w:lang w:eastAsia="zh-CN"/>
        </w:rPr>
        <w:t xml:space="preserve"> 2013)</w:t>
      </w:r>
      <w:r w:rsidRPr="00C3671E">
        <w:rPr>
          <w:lang w:eastAsia="zh-CN"/>
        </w:rPr>
        <w:fldChar w:fldCharType="end"/>
      </w:r>
      <w:r w:rsidRPr="00C3671E">
        <w:rPr>
          <w:lang w:eastAsia="zh-CN"/>
        </w:rPr>
        <w:t xml:space="preserve">. Second, meaningfulness of life is another important part of well-being and other desired outcomes of later life </w:t>
      </w:r>
      <w:r w:rsidRPr="00C3671E">
        <w:rPr>
          <w:lang w:eastAsia="zh-CN"/>
        </w:rPr>
        <w:fldChar w:fldCharType="begin" w:fldLock="1"/>
      </w:r>
      <w:r w:rsidR="001257AA" w:rsidRPr="00C3671E">
        <w:rPr>
          <w:lang w:eastAsia="zh-CN"/>
        </w:rPr>
        <w:instrText>ADDIN CSL_CITATION { "citationItems" : [ { "id" : "ITEM-1", "itemData" : { "author" : [ { "dropping-particle" : "", "family" : "Bauer", "given" : "Jack J.", "non-dropping-particle" : "", "parse-names" : false, "suffix" : "" }, { "dropping-particle" : "", "family" : "Park", "given" : "Sun W", "non-dropping-particle" : "", "parse-names" : false, "suffix" : "" } ], "chapter-number" : "2", "container-title" : "New Frontiers in Resilient Aging: Life-Strengths and Well-Being in Late Life", "editor" : [ { "dropping-particle" : "", "family" : "Fry", "given" : "Prem S.", "non-dropping-particle" : "", "parse-names" : false, "suffix" : "" }, { "dropping-particle" : "", "family" : "Keyes", "given" : "Corey L. M.", "non-dropping-particle" : "", "parse-names" : false, "suffix" : "" } ], "id" : "ITEM-1", "issued" : { "date-parts" : [ [ "2010" ] ] }, "page" : "60-89", "publisher" : "Cambridge University Press", "publisher-place" : "New York", "title" : "Growth is not just for the young: growth narratives, eudaimonic resilience, and the aging self", "type" : "chapter" }, "uris" : [ "http://www.mendeley.com/documents/?uuid=0e44a97a-b4a4-41c6-ba97-9e18a98c8dd5" ] }, { "id" : "ITEM-2", "itemData" : { "DOI" : "10.1097/PSY.0b013e3181a5a7c0", "ISBN" : "0033-3174; 1534-7796", "ISSN" : "1534-7796", "PMID" : "19414613", "abstract" : "Objective\u2014To assess the association between purpose in life as an important determinant of health outcomes and mortality in community-dwelling elderly persons. Methods\u2014We used data from 1238 older persons without dementia from two longitudinal cohort studies (Rush Memory and Aging Project and Minority Aging Research Study) with baseline evaluations of purpose in life and up to 5 years of follow-up to test the hypothesis that greater purpose in life is associated with a reduced risk of mortality among community-dwelling older persons. Results\u2014The mean \u00b1 standard deviation score on the purpose in life measure at baseline was 3.7 \u00b1 0.5 (range = 2\u22125), with higher scores indicating greater purpose in life. During the 5-year follow- up (mean = 2.7 years), 151 of 1238 persons (12.2%) died. In a proportional hazards model adjusted for age, sex, education, and race, a higher level of purpose in life was associated with a substantially reduced risk of mortality (hazard ratio = 0.60, 95% Confidence Interval = 0.42, 0.87). Thus, the hazard rate for a person with a high score on the purpose in life measure (score = 4.2, 90th percentile) was about 57% of the hazard rate of a person with a low score (score = 3.1, 10th percentile). The association of purpose in life with mortality did not differ among men and women or Whites and Blacks. Further, the finding persisted after the addition of terms for several potential confounders, including depressive symptoms, disability, neuroticism, the number of chronic medical conditions, and income. Conclusion\u2014Greater purpose in life is associated with a reduced risk of all-cause mortality among community-dwelling older persons.", "author" : [ { "dropping-particle" : "", "family" : "Boyle", "given" : "Patricia A", "non-dropping-particle" : "", "parse-names" : false, "suffix" : "" }, { "dropping-particle" : "", "family" : "Barnes", "given" : "Lisa L.", "non-dropping-particle" : "", "parse-names" : false, "suffix" : "" }, { "dropping-particle" : "", "family" : "Buchman", "given" : "Aron S", "non-dropping-particle" : "", "parse-names" : false, "suffix" : "" }, { "dropping-particle" : "", "family" : "Bennett", "given" : "David A", "non-dropping-particle" : "", "parse-names" : false, "suffix" : "" } ], "container-title" : "Psychosomatic Medicine", "id" : "ITEM-2", "issue" : "5", "issued" : { "date-parts" : [ [ "2009" ] ] }, "page" : "574-579", "title" : "Purpose in life is associated with mortality among community dwelling older persons", "type" : "article-journal", "volume" : "71" }, "uris" : [ "http://www.mendeley.com/documents/?uuid=9e26fa70-faae-4fcf-a02d-8585add8a0eb" ] }, { "id" : "ITEM-3", "itemData" : { "DOI" : "10.1016/j.gerinurse.2012.12.011", "ISSN" : "0197-4572", "author" : [ { "dropping-particle" : "", "family" : "Kessel", "given" : "Gisela", "non-dropping-particle" : "van", "parse-names" : false, "suffix" : "" } ], "container-title" : "Geriatric Nursing", "id" : "ITEM-3", "issue" : "2", "issued" : { "date-parts" : [ [ "2013" ] ] }, "page" : "122-127", "publisher" : "Elsevier Ltd", "title" : "The ability of older people to overcome adversity: A review of the resilience concept", "type" : "article-journal", "volume" : "34" }, "uris" : [ "http://www.mendeley.com/documents/?uuid=2b31abc8-a798-4e17-903c-329f59a344a0" ] }, { "id" : "ITEM-4", "itemData" : { "DOI" : "10.1093/geronb/gbp047.", "author" : [ { "dropping-particle" : "", "family" : "Krause", "given" : "Neal", "non-dropping-particle" : "", "parse-names" : false, "suffix" : "" } ], "container-title" : "Journal of Gerontology: Social Sciences", "id" : "ITEM-4", "issue" : "4", "issued" : { "date-parts" : [ [ "2009" ] ] }, "page" : "517-527", "title" : "Meaning in Life and Mortality", "type" : "article-journal", "volume" : "64B" }, "uris" : [ "http://www.mendeley.com/documents/?uuid=0f2f9500-c08c-4841-b728-81c614d6b45f" ] }, { "id" : "ITEM-5", "itemData" : { "DOI" : "10.1080/1360500114415", "ISBN" : "1360-7863 (Print)\\n1360-7863", "ISSN" : "1360-7863", "PMID" : "16019292", "abstract" : "Different concepts have been presented which denote driving forces and strengths that contribute to a person's ability to meet and handle adversities, and keep or regain health. The aim of this study, which is a part of The Ume\u00e5 85+ study, was to describe resilience, sense of coherence, purpose in life and self-transcendence in relation to perceived physical and mental health in a sample of the oldest old. The study sample consisted of 125 participants 85 years of age or older, who ranked themselves on the Resilience Scale, Sense of Coherence Scale, Purpose in Life Scale and Self-Transcendence Scale and answered the SF-36 Health Survey questionnaire. The findings showed significant correlations between scores on the Resilience Scale, the Sense of Coherence Scale, the Purpose in Life Test, and the Self-Transcendence Scale. Significant correlations were also found between these scales and the SF-36 Mental Health Summary among women but not among men. There was no significant correlation between perceived physical and mental health. The mean values of the different scales showed that the oldest old have the same or higher scores than younger age groups. Regression analyses also revealed sex differences regarding mental health. The conclusions are that, the correlation between scores on the different scales suggests that the scales measure some dimension of inner strength and that the oldest old have this strength at least in the same extent as younger adults. Another conclusion is that the dimensions that constitute mental health differ between women and men.", "author" : [ { "dropping-particle" : "", "family" : "Nygren", "given" : "B", "non-dropping-particle" : "", "parse-names" : false, "suffix" : "" }, { "dropping-particle" : "", "family" : "Al\u00e9x", "given" : "L", "non-dropping-particle" : "", "parse-names" : false, "suffix" : "" }, { "dropping-particle" : "", "family" : "Jons\u00e9n", "given" : "E", "non-dropping-particle" : "", "parse-names" : false, "suffix" : "" }, { "dropping-particle" : "", "family" : "Gustafson", "given" : "Y", "non-dropping-particle" : "", "parse-names" : false, "suffix" : "" }, { "dropping-particle" : "", "family" : "Norberg", "given" : "A", "non-dropping-particle" : "", "parse-names" : false, "suffix" : "" }, { "dropping-particle" : "", "family" : "Lundman", "given" : "B", "non-dropping-particle" : "", "parse-names" : false, "suffix" : "" } ], "container-title" : "Aging &amp; Mental Health", "id" : "ITEM-5", "issue" : "4", "issued" : { "date-parts" : [ [ "2005" ] ] }, "page" : "354-362", "title" : "Resilience, sense of coherence, purpose in life and self-transcendence in relation to perceived physical and mental health among the oldest old", "type" : "article-journal", "volume" : "9" }, "uris" : [ "http://www.mendeley.com/documents/?uuid=83aaaea8-a4c1-4071-b491-24049c9ef3ac" ] } ], "mendeley" : { "formattedCitation" : "(Bauer and Park 2010; Boyle et al. 2009; van Kessel 2013; Krause 2009; Nygren et al. 2005)", "manualFormatting" : "(Bauer and Park 2010; Boyle et al. 2009; van Kessel 2013; Krause 2009; Nygren et al. 2005)", "plainTextFormattedCitation" : "(Bauer and Park 2010; Boyle et al. 2009; van Kessel 2013; Krause 2009; Nygren et al. 2005)", "previouslyFormattedCitation" : "(Bauer and Park 2010; Boyle et al. 2009; van Kessel 2013; Krause 2009; Nygren et al. 2005)" }, "properties" : { "noteIndex" : 0 }, "schema" : "https://github.com/citation-style-language/schema/raw/master/csl-citation.json" }</w:instrText>
      </w:r>
      <w:r w:rsidRPr="00C3671E">
        <w:rPr>
          <w:lang w:eastAsia="zh-CN"/>
        </w:rPr>
        <w:fldChar w:fldCharType="separate"/>
      </w:r>
      <w:r w:rsidRPr="00C3671E">
        <w:rPr>
          <w:noProof/>
          <w:lang w:eastAsia="zh-CN"/>
        </w:rPr>
        <w:t xml:space="preserve">(Bauer and Park 2010; Boyle </w:t>
      </w:r>
      <w:r w:rsidRPr="00C3671E">
        <w:rPr>
          <w:i/>
          <w:noProof/>
          <w:lang w:eastAsia="zh-CN"/>
        </w:rPr>
        <w:t>et al.</w:t>
      </w:r>
      <w:r w:rsidRPr="00C3671E">
        <w:rPr>
          <w:noProof/>
          <w:lang w:eastAsia="zh-CN"/>
        </w:rPr>
        <w:t xml:space="preserve"> 2009; van Kessel 2013; Krause 2009; Nygren </w:t>
      </w:r>
      <w:r w:rsidRPr="00C3671E">
        <w:rPr>
          <w:i/>
          <w:noProof/>
          <w:lang w:eastAsia="zh-CN"/>
        </w:rPr>
        <w:t>et al.</w:t>
      </w:r>
      <w:r w:rsidRPr="00C3671E">
        <w:rPr>
          <w:noProof/>
          <w:lang w:eastAsia="zh-CN"/>
        </w:rPr>
        <w:t xml:space="preserve"> 2005)</w:t>
      </w:r>
      <w:r w:rsidRPr="00C3671E">
        <w:rPr>
          <w:lang w:eastAsia="zh-CN"/>
        </w:rPr>
        <w:fldChar w:fldCharType="end"/>
      </w:r>
      <w:r w:rsidRPr="00C3671E">
        <w:rPr>
          <w:lang w:eastAsia="zh-CN"/>
        </w:rPr>
        <w:t xml:space="preserve">. The effect of caregiving on meaningfulness of life may be positive, as providing care seems to be one of the possible answers to existential issues in late mid-life </w:t>
      </w:r>
      <w:r w:rsidRPr="00C3671E">
        <w:rPr>
          <w:lang w:eastAsia="zh-CN"/>
        </w:rPr>
        <w:fldChar w:fldCharType="begin" w:fldLock="1"/>
      </w:r>
      <w:r w:rsidR="001257AA" w:rsidRPr="00C3671E">
        <w:rPr>
          <w:lang w:eastAsia="zh-CN"/>
        </w:rPr>
        <w:instrText>ADDIN CSL_CITATION { "citationItems" : [ { "id" : "ITEM-1", "itemData" : { "DOI" : "10.1177/0190272511422452", "ISBN" : "0190272511", "ISSN" : "0190-2725", "abstract" : "We use existential theory as a framework to explore the levels of and relationship between job and couple burnout reported by dual-earner couples in the \u2018\u2018sandwich generation\u2019\u2019 (i.e., couples caring both for children and aging parents) in a sample of such couples in Israel and the United States. This comparison enables an examination of the influence of culture (which is rarely addressed in burnout research) and gender (a topic fraught with conflicting results) on both job and couple burnout in this growing yet understudied group of workers who are reaching middle age and starting to face existential issues as part of their own life cycle. Results revealed significant differences in burnout type (job burnout higher than couple burnout); gender (wives more burned out than husbands); and country (Americans more burned out than Israelis). Job related stressors and rewards as well as parent care stressors predicted job burnout, and marital stressors and rewards predicted couple burnout. In addition, there was evidence for both crossover and spillover.", "author" : [ { "dropping-particle" : "", "family" : "Pines", "given" : "Ayala Malach", "non-dropping-particle" : "", "parse-names" : false, "suffix" : "" }, { "dropping-particle" : "", "family" : "Neal", "given" : "Margaret B.", "non-dropping-particle" : "", "parse-names" : false, "suffix" : "" }, { "dropping-particle" : "", "family" : "Hammer", "given" : "Leslie B.", "non-dropping-particle" : "", "parse-names" : false, "suffix" : "" }, { "dropping-particle" : "", "family" : "Icekson", "given" : "Tamar", "non-dropping-particle" : "", "parse-names" : false, "suffix" : "" } ], "container-title" : "Social Psychology Quarterly", "id" : "ITEM-1", "issue" : "4", "issued" : { "date-parts" : [ [ "2011" ] ] }, "page" : "361-386", "title" : "Job Burnout and Couple Burnout in Dual-earner Couples in the Sandwiched Generation", "type" : "article-journal", "volume" : "74" }, "uris" : [ "http://www.mendeley.com/documents/?uuid=95d8b186-6596-493c-9642-2bfa694357b6" ] } ], "mendeley" : { "formattedCitation" : "(Pines et al. 2011)", "plainTextFormattedCitation" : "(Pines et al. 2011)", "previouslyFormattedCitation" : "(Pines et al. 2011)" }, "properties" : { "noteIndex" : 0 }, "schema" : "https://github.com/citation-style-language/schema/raw/master/csl-citation.json" }</w:instrText>
      </w:r>
      <w:r w:rsidRPr="00C3671E">
        <w:rPr>
          <w:lang w:eastAsia="zh-CN"/>
        </w:rPr>
        <w:fldChar w:fldCharType="separate"/>
      </w:r>
      <w:r w:rsidRPr="00C3671E">
        <w:rPr>
          <w:noProof/>
          <w:lang w:eastAsia="zh-CN"/>
        </w:rPr>
        <w:t>(Pines et al. 2011)</w:t>
      </w:r>
      <w:r w:rsidRPr="00C3671E">
        <w:rPr>
          <w:lang w:eastAsia="zh-CN"/>
        </w:rPr>
        <w:fldChar w:fldCharType="end"/>
      </w:r>
      <w:r w:rsidRPr="00C3671E">
        <w:rPr>
          <w:lang w:eastAsia="zh-CN"/>
        </w:rPr>
        <w:t xml:space="preserve">, and it enhances meaningfulness of life by fulfilling social roles and personal ethics </w:t>
      </w:r>
      <w:r w:rsidRPr="00C3671E">
        <w:rPr>
          <w:lang w:eastAsia="zh-CN"/>
        </w:rPr>
        <w:fldChar w:fldCharType="begin" w:fldLock="1"/>
      </w:r>
      <w:r w:rsidR="001257AA" w:rsidRPr="00C3671E">
        <w:rPr>
          <w:lang w:eastAsia="zh-CN"/>
        </w:rPr>
        <w:instrText>ADDIN CSL_CITATION { "citationItems" : [ { "id" : "ITEM-1", "itemData" : { "DOI" : "10.1007/s10680-014-9336-7", "ISBN" : "1068001493367", "ISSN" : "15729885", "abstract" : "We analyse the impact of the provision of care on the health and quality of life (QoL) of adult female informal caregivers using a representative sample drawn from the survey of health, ageing and retirement in Europe (SHARE). We match each informal caregiver with a non-carer using propensity score matching and test whether matched individuals differ on self-assessed health and a functional indicator of QoL and whether this relationship differs across European regions. We find a North-South gradient both for self-assessed health and QoL, and our results show that the provision of caregiving to close relatives in Europe impacts on the caregivers' QoL and health in a way that depends on their geographical location, the degree of formal care and specific cultural and social factors of the area. We find that informal caregiving is a complex phenomenon which may bring both psychological rewards and distress to providers of care and this complexity, along with the geographical gradient highlight the importance of ensuring that policies match the needs of individual carers in their own geographical areas and cultural contexts. [ABSTRACT FROM AUTHOR] Copyright of European Journal of Population is the property of Springer Science &amp; Business Media B.V.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"Novi", "given" : "Cinzia", "non-dropping-particle" : "Di", "parse-names" : false, "suffix" : "" }, { "dropping-particle" : "", "family" : "Jacobs", "given" : "Rowena", "non-dropping-particle" : "", "parse-names" : false, "suffix" : "" }, { "dropping-particle" : "", "family" : "Migheli", "given" : "Matteo", "non-dropping-particle" : "", "parse-names" : false, "suffix" : "" } ], "container-title" : "European Journal of Population", "id" : "ITEM-1", "issue" : "3", "issued" : { "date-parts" : [ [ "2015" ] ] }, "page" : "309-333", "publisher" : "Springer Netherlands", "title" : "The Quality of Life of Female Informal Caregivers: From Scandinavia to the Mediterranean Sea", "type" : "article-journal", "volume" : "31" }, "uris" : [ "http://www.mendeley.com/documents/?uuid=1ccc65b6-fa56-4844-8194-2bfe00ef56d5" ] } ], "mendeley" : { "formattedCitation" : "(Di Novi et al. 2015)", "manualFormatting" : "(Di Novi et al. 2015)", "plainTextFormattedCitation" : "(Di Novi et al. 2015)", "previouslyFormattedCitation" : "(Di Novi et al. 2015)" }, "properties" : { "noteIndex" : 0 }, "schema" : "https://github.com/citation-style-language/schema/raw/master/csl-citation.json" }</w:instrText>
      </w:r>
      <w:r w:rsidRPr="00C3671E">
        <w:rPr>
          <w:lang w:eastAsia="zh-CN"/>
        </w:rPr>
        <w:fldChar w:fldCharType="separate"/>
      </w:r>
      <w:r w:rsidRPr="00C3671E">
        <w:rPr>
          <w:noProof/>
          <w:lang w:eastAsia="zh-CN"/>
        </w:rPr>
        <w:t xml:space="preserve">(Di Novi </w:t>
      </w:r>
      <w:r w:rsidRPr="00C3671E">
        <w:rPr>
          <w:i/>
          <w:noProof/>
          <w:lang w:eastAsia="zh-CN"/>
        </w:rPr>
        <w:t>et al.</w:t>
      </w:r>
      <w:r w:rsidRPr="00C3671E">
        <w:rPr>
          <w:noProof/>
          <w:lang w:eastAsia="zh-CN"/>
        </w:rPr>
        <w:t xml:space="preserve"> 2015)</w:t>
      </w:r>
      <w:r w:rsidRPr="00C3671E">
        <w:rPr>
          <w:lang w:eastAsia="zh-CN"/>
        </w:rPr>
        <w:fldChar w:fldCharType="end"/>
      </w:r>
      <w:r w:rsidRPr="00C3671E">
        <w:rPr>
          <w:lang w:eastAsia="zh-CN"/>
        </w:rPr>
        <w:t xml:space="preserve">. Third, previous research has found an association of intensive care with higher strain and burden </w:t>
      </w:r>
      <w:r w:rsidRPr="00C3671E">
        <w:rPr>
          <w:lang w:eastAsia="zh-CN"/>
        </w:rPr>
        <w:fldChar w:fldCharType="begin" w:fldLock="1"/>
      </w:r>
      <w:r w:rsidR="001257AA" w:rsidRPr="00C3671E">
        <w:rPr>
          <w:lang w:eastAsia="zh-CN"/>
        </w:rPr>
        <w:instrText>ADDIN CSL_CITATION { "citationItems" : [ { "id" : "ITEM-1", "itemData" : { "DOI" : "10.1177/003288553401400202", "ISBN" : "9789264097759", "ISSN" : "0032-8855", "PMID" : "24443734", "abstract" : "When a young person is jobless, it also damages family, community, and country", "author" : [ { "dropping-particle" : "", "family" : "Colombo", "given" : "Francesca", "non-dropping-particle" : "", "parse-names" : false, "suffix" : "" }, { "dropping-particle" : "", "family" : "Llena-Nozal", "given" : "Ana", "non-dropping-particle" : "", "parse-names" : false, "suffix" : "" }, { "dropping-particle" : "", "family" : "Mercier", "given" : "J\u00e9r\u00f4me", "non-dropping-particle" : "", "parse-names" : false, "suffix" : "" }, { "dropping-particle" : "", "family" : "Tjadens", "given" : "Frits", "non-dropping-particle" : "", "parse-names" : false, "suffix" : "" } ], "id" : "ITEM-1", "issued" : { "date-parts" : [ [ "2011" ] ] }, "publisher" : "OECD Publishing", "publisher-place" : "Paris", "title" : "Help Wanted? Providing and Paying for Long-Term Care", "type" : "book" }, "uris" : [ "http://www.mendeley.com/documents/?uuid=0369a866-d1da-45d0-b6c4-0d3653bc82c7" ] }, { "id" : "ITEM-2", "itemData" : { "DOI" : "10.1093/geronb/54B.6.S329", "ISBN" : "1079-5014 (Print)", "ISSN" : "1079-5014", "PMID" : "10625968", "abstract" : "Objective. Research on women's multiple roles frequently adopts one of two perspectives: role strain, which argues that assuming multiple roles is detrimental to mental well-being, or role enhancement, which argues that engaging in multiple roles enhances mental well-being. We argue that the relationship between role occupancy and well-being is manifested through multiple dimensions of role experiences. We investigate the association between depressive symptomatology and various dimensions of the roles of wife, mother, paid worker, and informal caregiver to aging parents.Methods. Data are from the 1992 wave of the Health and Retirement Study. Depressive symptomatology, measured by a subset of the CES-D scale, is the dependent variable. To assess the robustness of findings relative to different functional forms of the dependent variable, we estimate multiple regression, log-linear regression, and multinomial logit models. Independent variables include demographic characteristics, measures of role occupancy, role demands, and role satisfaction.Results. Although the number of roles women assume affects their reports of depressive symptoms, once the demand and satisfaction associated with these roles is controlled, number has no effect; that is, the effect of the number of roles is indirect.Discussion. Our results highlight the importance of women's perceptions of the quality of their roles in relation to their overall well-being. Future investigations of women's multiple roles should examine how roles may provide rewards, impose constraints, or generate conflict, as well as the extent to which the willingness to assume multiple roles and the reported levels of role satisfaction and mental well-being may be jointly endogenous.", "author" : [ { "dropping-particle" : "", "family" : "Reid", "given" : "Jennifer", "non-dropping-particle" : "", "parse-names" : false, "suffix" : "" }, { "dropping-particle" : "", "family" : "Hardy", "given" : "Melissa", "non-dropping-particle" : "", "parse-names" : false, "suffix" : "" } ], "container-title" : "The Journals of Gerontology Series B: Psychological Sciences and Social Sciences", "id" : "ITEM-2", "issue" : "6", "issued" : { "date-parts" : [ [ "1999" ] ] }, "page" : "S329-S338", "title" : "Multiple roles and well-being among midlife women: Testing role strain and role enhancement theories", "type" : "article-journal", "volume" : "54B" }, "uris" : [ "http://www.mendeley.com/documents/?uuid=7834c0d8-a1fd-416b-9c55-f23f041ddef2" ] }, { "id" : "ITEM-3", "itemData" : { "DOI" : "10.1007/s10433-013-0276-6", "ISBN" : "1613-9380; 1613-9372", "ISSN" : "16139372", "abstract" : "Based on the caregiver stress model, we examined how care demands, caregiver motivation, coping style and external support are associated with positive evaluation and caregiver burden among spousal, adult child and other types of care relations. Data from a sample of Dutch informal caregivers of 1,685 older persons (55 and older) were analyzed employing multivariate linear regression analyses for each of the care relationship types. Spouses (N = 206) report high positive evaluation and high burden, adult children (N = 1,093) report low positive evaluation, and other caregivers (N = 386) report high positive evaluation and a low burden. Multivariate linear regression analyses showed that motives and external support were important for positive evaluation but the impact varied among types of caregivers, whereas care demands and not asking for help were associated with burden for all types. Only among \u2018other\u2019 caregiver relationships, positive evaluation was negatively associated with burden. It is concluded that results confirm the dual nature of caregiving among spouses and children. The care context and motivation of the different types of caregivers explain their differences in care evaluation. Various interventions for types of caregivers are discussed. (PsycINFO Database Record (c) 2014 APA, all rights reserved) (journal abstract)", "author" : [ { "dropping-particle" : "", "family" : "Broese van Groenou", "given" : "Marjolein I.", "non-dropping-particle" : "", "parse-names" : false, "suffix" : "" }, { "dropping-particle" : "", "family" : "Boer", "given" : "Alice", "non-dropping-particle" : "de", "parse-names" : false, "suffix" : "" }, { "dropping-particle" : "", "family" : "Iedema", "given" : "Jurjen", "non-dropping-particle" : "", "parse-names" : false, "suffix" : "" } ], "container-title" : "European Journal of Ageing", "id" : "ITEM-3", "issue" : "4", "issued" : { "date-parts" : [ [ "2013" ] ] }, "page" : "301-311", "title" : "Positive and negative evaluation of caregiving among three different types of informal care relationships", "type" : "article-journal", "volume" : "10" }, "uris" : [ "http://www.mendeley.com/documents/?uuid=e39ec068-a7a1-4bd1-bbf4-2717643670f7" ] } ], "mendeley" : { "formattedCitation" : "(Broese van Groenou et al. 2013; Colombo et al. 2011; Reid and Hardy 1999)", "plainTextFormattedCitation" : "(Broese van Groenou et al. 2013; Colombo et al. 2011; Reid and Hardy 1999)", "previouslyFormattedCitation" : "(Broese van Groenou et al. 2013; Colombo et al. 2011; Reid and Hardy 1999)" }, "properties" : { "noteIndex" : 0 }, "schema" : "https://github.com/citation-style-language/schema/raw/master/csl-citation.json" }</w:instrText>
      </w:r>
      <w:r w:rsidRPr="00C3671E">
        <w:rPr>
          <w:lang w:eastAsia="zh-CN"/>
        </w:rPr>
        <w:fldChar w:fldCharType="separate"/>
      </w:r>
      <w:r w:rsidR="00A91559" w:rsidRPr="00C3671E">
        <w:rPr>
          <w:noProof/>
          <w:lang w:eastAsia="zh-CN"/>
        </w:rPr>
        <w:t>(Broese van Groenou et al. 2013; Colombo et al. 2011; Reid and Hardy 1999)</w:t>
      </w:r>
      <w:r w:rsidRPr="00C3671E">
        <w:rPr>
          <w:lang w:eastAsia="zh-CN"/>
        </w:rPr>
        <w:fldChar w:fldCharType="end"/>
      </w:r>
      <w:r w:rsidRPr="00C3671E">
        <w:rPr>
          <w:lang w:eastAsia="zh-CN"/>
        </w:rPr>
        <w:t xml:space="preserve">, which may indicate a negative association between caregiving and overload corresponding to role strain theory </w:t>
      </w:r>
      <w:r w:rsidRPr="00C3671E">
        <w:rPr>
          <w:lang w:eastAsia="zh-CN"/>
        </w:rPr>
        <w:fldChar w:fldCharType="begin" w:fldLock="1"/>
      </w:r>
      <w:r w:rsidR="00AA6335" w:rsidRPr="00C3671E">
        <w:rPr>
          <w:lang w:eastAsia="zh-CN"/>
        </w:rPr>
        <w:instrText>ADDIN CSL_CITATION { "citationItems" : [ { "id" : "ITEM-1", "itemData" : { "DOI" : "10.1177/0038040709356567", "ISBN" : "063120301X", "ISSN" : "0036-8075", "PMID" : "17806662", "author" : [ { "dropping-particle" : "", "family" : "Goode", "given" : "William J", "non-dropping-particle" : "", "parse-names" : false, "suffix" : "" } ], "container-title" : "American Sociological Review", "id" : "ITEM-1", "issue" : "4", "issued" : { "date-parts" : [ [ "1960" ] ] }, "page" : "483-496", "title" : "A Theory of Role Strain", "type" : "article-journal", "volume" : "25" }, "uris" : [ "http://www.mendeley.com/documents/?uuid=fa5664e7-4c35-4e1f-ab5d-837ee62474a6" ] } ], "mendeley" : { "formattedCitation" : "(Goode 1960)", "plainTextFormattedCitation" : "(Goode 1960)", "previouslyFormattedCitation" : "(Goode 1960)" }, "properties" : { "noteIndex" : 0 }, "schema" : "https://github.com/citation-style-language/schema/raw/master/csl-citation.json" }</w:instrText>
      </w:r>
      <w:r w:rsidRPr="00C3671E">
        <w:rPr>
          <w:lang w:eastAsia="zh-CN"/>
        </w:rPr>
        <w:fldChar w:fldCharType="separate"/>
      </w:r>
      <w:r w:rsidRPr="00C3671E">
        <w:rPr>
          <w:noProof/>
          <w:lang w:eastAsia="zh-CN"/>
        </w:rPr>
        <w:t>(Goode 1960)</w:t>
      </w:r>
      <w:r w:rsidRPr="00C3671E">
        <w:rPr>
          <w:lang w:eastAsia="zh-CN"/>
        </w:rPr>
        <w:fldChar w:fldCharType="end"/>
      </w:r>
      <w:r w:rsidRPr="00C3671E">
        <w:rPr>
          <w:lang w:eastAsia="zh-CN"/>
        </w:rPr>
        <w:t xml:space="preserve">. Generally, the effect of providing regular care on loneliness, meaningfulness of life, and overload is expected to differ from the predominantly not significant </w:t>
      </w:r>
      <w:r w:rsidRPr="00C3671E">
        <w:rPr>
          <w:lang w:eastAsia="zh-CN"/>
        </w:rPr>
        <w:fldChar w:fldCharType="begin" w:fldLock="1"/>
      </w:r>
      <w:r w:rsidR="001257AA" w:rsidRPr="00C3671E">
        <w:rPr>
          <w:lang w:eastAsia="zh-CN"/>
        </w:rPr>
        <w:instrText>ADDIN CSL_CITATION { "citationItems" : [ { "id" : "ITEM-1", "itemData" : { "author" : [ { "dropping-particle" : "", "family" : "Baydar", "given" : "Nazli", "non-dropping-particle" : "", "parse-names" : false, "suffix" : "" }, { "dropping-particle" : "", "family" : "Brooks-Gunn", "given" : "Jeanne", "non-dropping-particle" : "", "parse-names" : false, "suffix" : "" } ], "container-title" : "Family Relations", "id" : "ITEM-1", "issue" : "4", "issued" : { "date-parts" : [ [ "1998" ] ] }, "page" : "385-393", "title" : "Profiles of Grandmothers Who Help Care for Their Grandchildren in the United States", "type" : "article-journal", "volume" : "47" }, "uris" : [ "http://www.mendeley.com/documents/?uuid=fc4f5192-f7bd-47ad-a89f-f804c6f8efde" ] }, { "id" : "ITEM-2", "itemData" : { "DOI" : "10.1177/1350506809341513", "ISBN" : "0958-9287", "ISSN" : "0958-9287", "PMID" : "44896743", "abstract" : "In order to understand variations of quality of life in early old age, associations between economic status, socially productive activities and well-being are studied across 14 European countries. Information on three different types of productive activities and their exchange characteristics is included. We used the first two waves of the Survey of Health, Ageing and Retirement in Europe (SHARE) including some 15,000 retired men and women. Well-being is measured by a standardized quality of life measure (CASP-12). Findings of multilevel analyses show larger within country than between-country variability in prospective quality of life. Strong individual predictors were the experience of reciprocity in social productive activities and high socio-economic position. Continued participation in socially productive activities, in particular those that offer opportunities of experiencing reciprocity in exchange, improves prospective quality of life in early old age.", "author" : [ { "dropping-particle" : "", "family" : "Siegrist", "given" : "Johannes", "non-dropping-particle" : "", "parse-names" : false, "suffix" : "" }, { "dropping-particle" : "", "family" : "Wahrendorf", "given" : "Morten", "non-dropping-particle" : "", "parse-names" : false, "suffix" : "" } ], "container-title" : "Journal of European Social Policy", "id" : "ITEM-2", "issue" : "4", "issued" : { "date-parts" : [ [ "2009" ] ] }, "page" : "317-326", "title" : "Participation in socially productive activities and quality of life in early old age: findings from SHARE", "type" : "article-journal", "volume" : "19" }, "uris" : [ "http://www.mendeley.com/documents/?uuid=d6184dc7-ff41-4c97-a30a-bb2bd49a4212" ] } ], "mendeley" : { "formattedCitation" : "(Baydar and Brooks-Gunn 1998; Siegrist and Wahrendorf 2009)", "plainTextFormattedCitation" : "(Baydar and Brooks-Gunn 1998; Siegrist and Wahrendorf 2009)", "previouslyFormattedCitation" : "(Baydar and Brooks-Gunn 1998; Siegrist and Wahrendorf 2009)" }, "properties" : { "noteIndex" : 0 }, "schema" : "https://github.com/citation-style-language/schema/raw/master/csl-citation.json" }</w:instrText>
      </w:r>
      <w:r w:rsidRPr="00C3671E">
        <w:rPr>
          <w:lang w:eastAsia="zh-CN"/>
        </w:rPr>
        <w:fldChar w:fldCharType="separate"/>
      </w:r>
      <w:r w:rsidR="00A91559" w:rsidRPr="00C3671E">
        <w:rPr>
          <w:noProof/>
          <w:lang w:eastAsia="zh-CN"/>
        </w:rPr>
        <w:t>(Baydar and Brooks-Gunn 1998; Siegrist and Wahrendorf 2009)</w:t>
      </w:r>
      <w:r w:rsidRPr="00C3671E">
        <w:rPr>
          <w:lang w:eastAsia="zh-CN"/>
        </w:rPr>
        <w:fldChar w:fldCharType="end"/>
      </w:r>
      <w:r w:rsidRPr="00C3671E">
        <w:rPr>
          <w:lang w:eastAsia="zh-CN"/>
        </w:rPr>
        <w:t xml:space="preserve"> or negative </w:t>
      </w:r>
      <w:r w:rsidRPr="00C3671E">
        <w:rPr>
          <w:lang w:eastAsia="zh-CN"/>
        </w:rPr>
        <w:fldChar w:fldCharType="begin" w:fldLock="1"/>
      </w:r>
      <w:r w:rsidR="001257AA" w:rsidRPr="00C3671E">
        <w:rPr>
          <w:lang w:eastAsia="zh-CN"/>
        </w:rPr>
        <w:instrText>ADDIN CSL_CITATION { "citationItems" : [ { "id" : "ITEM-1", "itemData" : { "DOI" : "10.1093/ageing/28.3.307", "ISBN" : "0002-0729 (Print)\\r0002-0729 (Linking)", "ISSN" : "00020729", "PMID" : "10475869", "abstract" : "OBJECTIVE: To assess distress in a sample of carers who were selected from a community survey rather than recruited via community-service agencies.\\n\\nMETHODS: A community survey was carried out on 630 people aged 75 or over living in Sydney, Australia. Informants nominated by these elderly people were divided into full carer (n = 21), partial carer (n = 187) and non-carer groups (n = 344). Informants completed the General Health Questionnaire (a continuous measure of psychiatric symptoms), the life satisfaction index (a measure of well-being) and the interpersonal bonding measure (a measure of quality of the relationship with the elderly person). Elderly participants had a medical examination, were assessed for disability and were questioned about use of services.\\n\\nRESULTS: Elderly people who had a full carer were more disabled and had more medical diagnoses. Full, but not partial, carers reported more psychiatric symptoms and lower life satisfaction. In multivariate analysis, the main determinant of carer distress was a relationship in which the carer felt controlled by the elderly person.\\n\\nCONCLUSION: When carers are selected from a population-based sample, only those who are full carers are more distressed. However, relationship factors are the most important determinant of distress.", "author" : [ { "dropping-particle" : "", "family" : "Broe", "given" : "Gerald A.", "non-dropping-particle" : "", "parse-names" : false, "suffix" : "" }, { "dropping-particle" : "", "family" : "Jorm", "given" : "Anthony F.", "non-dropping-particle" : "", "parse-names" : false, "suffix" : "" }, { "dropping-particle" : "", "family" : "Creasey", "given" : "Helen", "non-dropping-particle" : "", "parse-names" : false, "suffix" : "" }, { "dropping-particle" : "", "family" : "Casey", "given" : "Barney", "non-dropping-particle" : "", "parse-names" : false, "suffix" : "" }, { "dropping-particle" : "", "family" : "Bennett", "given" : "Hayley", "non-dropping-particle" : "", "parse-names" : false, "suffix" : "" }, { "dropping-particle" : "", "family" : "Cullen", "given" : "John", "non-dropping-particle" : "", "parse-names" : false, "suffix" : "" }, { "dropping-particle" : "", "family" : "Edelbrock", "given" : "Dorothy", "non-dropping-particle" : "", "parse-names" : false, "suffix" : "" }, { "dropping-particle" : "", "family" : "Waite", "given" : "Louise", "non-dropping-particle" : "", "parse-names" : false, "suffix" : "" }, { "dropping-particle" : "", "family" : "Grayson", "given" : "David", "non-dropping-particle" : "", "parse-names" : false, "suffix" : "" } ], "container-title" : "Age and Ageing", "id" : "ITEM-1", "issue" : "3", "issued" : { "date-parts" : [ [ "1999" ] ] }, "page" : "307-311", "title" : "Carer distress in the general population: Results from the Sydney Older Persons Study", "type" : "article-journal", "volume" : "28" }, "uris" : [ "http://www.mendeley.com/documents/?uuid=f72f8fdf-7fa8-44a6-a4b7-915036579ee2" ] }, { "id" : "ITEM-2", "itemData" : { "DOI" : "10.1177/003288553401400202", "ISBN" : "9789264097759", "ISSN" : "0032-8855", "PMID" : "24443734", "abstract" : "When a young person is jobless, it also damages family, community, and country", "author" : [ { "dropping-particle" : "", "family" : "Colombo", "given" : "Francesca", "non-dropping-particle" : "", "parse-names" : false, "suffix" : "" }, { "dropping-particle" : "", "family" : "Llena-Nozal", "given" : "Ana", "non-dropping-particle" : "", "parse-names" : false, "suffix" : "" }, { "dropping-particle" : "", "family" : "Mercier", "given" : "J\u00e9r\u00f4me", "non-dropping-particle" : "", "parse-names" : false, "suffix" : "" }, { "dropping-particle" : "", "family" : "Tjadens", "given" : "Frits", "non-dropping-particle" : "", "parse-names" : false, "suffix" : "" } ], "id" : "ITEM-2", "issued" : { "date-parts" : [ [ "2011" ] ] }, "publisher" : "OECD Publishing", "publisher-place" : "Paris", "title" : "Help Wanted? Providing and Paying for Long-Term Care", "type" : "book" }, "uris" : [ "http://www.mendeley.com/documents/?uuid=0369a866-d1da-45d0-b6c4-0d3653bc82c7" ] }, { "id" : "ITEM-3", "itemData" : { "DOI" : "10.1111/j.1471-6712.2004.00283.x", "ISBN" : "0283-9318", "ISSN" : "0283-9318", "PMID" : "15355517", "abstract" : "The aim was to investigate dimensions of caregiving activities among\\nelderly (75+) caregivers based on Nolan's model and to study the\\ndimensions in relation to health-related quality of life (Short Form\\n12). Responses to a Swedish postal survey (n = 4278, response rate 75-79\\nyears old: 60%; 80-84: 56%; 85-89: 48% and 90+: 42%) showed that 783\\npersons (18%) were helping another person due to that person's impaired\\nhealth, 41.6% women, mean age for women 81.8 years (SD 4.96) and for\\nmen 81.7 years (SD 4.32). The postal questionnaire included SF-12,\\ndemographic data and questions about caregiving activities derived from\\nNolan's model, social network and contacts with health care. Adapting\\ntheir activities to be prepared if something happened (52%), having\\nregular contact to prevent problems (35%), helping in contacts with the\\nhospital (57%), helping with instrumental activities of daily living\\n(49%), personal activities of daily living (14%), medical care (11%)\\nand helping to improve functions (14%) were the activities reported.\\nAdapting own activities, regular contact, weak economy and needing\\ninstrumental help with daily living oneself predicted low MCS12. The\\nimportance of early involvement on the part of the caregivers was\\nemphasized.", "author" : [ { "dropping-particle" : "", "family" : "Ekwall", "given" : "Anna", "non-dropping-particle" : "", "parse-names" : false, "suffix" : "" }, { "dropping-particle" : "", "family" : "Sivberg", "given" : "Bengt", "non-dropping-particle" : "", "parse-names" : false, "suffix" : "" }, { "dropping-particle" : "", "family" : "Hallberg", "given" : "Ingalill Rahm", "non-dropping-particle" : "", "parse-names" : false, "suffix" : "" } ], "container-title" : "Scandinavian Journal of Caring Sciences", "id" : "ITEM-3", "issue" : "6", "issued" : { "date-parts" : [ [ "2004" ] ] }, "page" : "239-248", "title" : "Dimensions of informal care and quality of life among elderly family caregivers", "type" : "article-journal", "volume" : "18" }, "uris" : [ "http://www.mendeley.com/documents/?uuid=b477efce-9118-40e2-8538-9bf845caa49b" ] } ], "mendeley" : { "formattedCitation" : "(Broe et al. 1999; Colombo et al. 2011; Ekwall, Sivberg, and Hallberg 2004)", "manualFormatting" : "(Broe et al. 1999; Colombo et al. 2011; Ekwall et al. 2004)", "plainTextFormattedCitation" : "(Broe et al. 1999; Colombo et al. 2011; Ekwall, Sivberg, and Hallberg 2004)", "previouslyFormattedCitation" : "(Broe et al. 1999; Colombo et al. 2011; Ekwall, Sivberg, and Hallberg 2004)" }, "properties" : { "noteIndex" : 0 }, "schema" : "https://github.com/citation-style-language/schema/raw/master/csl-citation.json" }</w:instrText>
      </w:r>
      <w:r w:rsidRPr="00C3671E">
        <w:rPr>
          <w:lang w:eastAsia="zh-CN"/>
        </w:rPr>
        <w:fldChar w:fldCharType="separate"/>
      </w:r>
      <w:r w:rsidRPr="00C3671E">
        <w:rPr>
          <w:noProof/>
          <w:lang w:eastAsia="zh-CN"/>
        </w:rPr>
        <w:t xml:space="preserve">(Broe </w:t>
      </w:r>
      <w:r w:rsidRPr="00C3671E">
        <w:rPr>
          <w:i/>
          <w:noProof/>
          <w:lang w:eastAsia="zh-CN"/>
        </w:rPr>
        <w:t>et al.</w:t>
      </w:r>
      <w:r w:rsidRPr="00C3671E">
        <w:rPr>
          <w:noProof/>
          <w:lang w:eastAsia="zh-CN"/>
        </w:rPr>
        <w:t xml:space="preserve"> 1999; Colombo </w:t>
      </w:r>
      <w:r w:rsidRPr="00C3671E">
        <w:rPr>
          <w:i/>
          <w:noProof/>
          <w:lang w:eastAsia="zh-CN"/>
        </w:rPr>
        <w:t>et al.</w:t>
      </w:r>
      <w:r w:rsidRPr="00C3671E">
        <w:rPr>
          <w:noProof/>
          <w:lang w:eastAsia="zh-CN"/>
        </w:rPr>
        <w:t xml:space="preserve"> 2011; Ekwall </w:t>
      </w:r>
      <w:r w:rsidRPr="00C3671E">
        <w:rPr>
          <w:i/>
          <w:noProof/>
          <w:lang w:eastAsia="zh-CN"/>
        </w:rPr>
        <w:t>et al.</w:t>
      </w:r>
      <w:r w:rsidRPr="00C3671E">
        <w:rPr>
          <w:noProof/>
          <w:lang w:eastAsia="zh-CN"/>
        </w:rPr>
        <w:t xml:space="preserve"> 2004)</w:t>
      </w:r>
      <w:r w:rsidRPr="00C3671E">
        <w:rPr>
          <w:lang w:eastAsia="zh-CN"/>
        </w:rPr>
        <w:fldChar w:fldCharType="end"/>
      </w:r>
      <w:r w:rsidRPr="00C3671E">
        <w:rPr>
          <w:lang w:eastAsia="zh-CN"/>
        </w:rPr>
        <w:t xml:space="preserve"> effect on subjective QoL in its vague and multidimensional conceptualizations.</w:t>
      </w:r>
    </w:p>
    <w:p w14:paraId="7E0BA240" w14:textId="77777777" w:rsidR="001A7940" w:rsidRPr="00C3671E" w:rsidRDefault="001A7940" w:rsidP="00F4146A">
      <w:pPr>
        <w:pStyle w:val="Newparagraph"/>
        <w:jc w:val="both"/>
        <w:rPr>
          <w:lang w:eastAsia="zh-CN"/>
        </w:rPr>
      </w:pPr>
      <w:r w:rsidRPr="00C3671E">
        <w:t>This</w:t>
      </w:r>
      <w:r w:rsidRPr="00C3671E">
        <w:rPr>
          <w:lang w:eastAsia="zh-CN"/>
        </w:rPr>
        <w:t xml:space="preserve"> study examines the association between caregiving and three dimensions of subjective QoL. The paper hypothesizes that the regular provision of care reduces loneliness and increases meaningfulness of life (role enhancement hypothesis) but also increases perceived overload (role strain hypothesis). Furthermore, it is expected that the effect of caregiving on all three aspects of subjective QoL is more negative/less positive in situations in which the caregiver provides more intensive care and in which the caregiver provides care to more recipients. This paper also hypothesizes that the effect of caregiving is more positive/less negative in countries with a higher availability of formal care, because the provision of care is more voluntary and optional under this condition.</w:t>
      </w:r>
    </w:p>
    <w:p w14:paraId="1F5C6996" w14:textId="77777777" w:rsidR="001A7940" w:rsidRPr="00C3671E" w:rsidRDefault="001A7940" w:rsidP="007E6D8E">
      <w:pPr>
        <w:pStyle w:val="Nadpis2"/>
        <w:spacing w:line="480" w:lineRule="auto"/>
        <w:rPr>
          <w:sz w:val="26"/>
          <w:szCs w:val="26"/>
          <w:lang w:val="en-GB"/>
        </w:rPr>
      </w:pPr>
      <w:bookmarkStart w:id="49" w:name="_Toc512687756"/>
      <w:r w:rsidRPr="00C3671E">
        <w:rPr>
          <w:sz w:val="26"/>
          <w:szCs w:val="26"/>
          <w:lang w:val="en-GB"/>
        </w:rPr>
        <w:lastRenderedPageBreak/>
        <w:t>Data, Measurement, and Methods</w:t>
      </w:r>
      <w:bookmarkEnd w:id="49"/>
    </w:p>
    <w:p w14:paraId="374B6E8B" w14:textId="77777777" w:rsidR="001A7940" w:rsidRPr="00C3671E" w:rsidRDefault="001A7940" w:rsidP="007E6D8E">
      <w:pPr>
        <w:pStyle w:val="Nadpis3"/>
        <w:spacing w:line="480" w:lineRule="auto"/>
        <w:rPr>
          <w:rFonts w:ascii="Times New Roman" w:hAnsi="Times New Roman" w:cs="Times New Roman"/>
          <w:b w:val="0"/>
          <w:i/>
          <w:lang w:val="en-GB" w:eastAsia="zh-CN"/>
        </w:rPr>
      </w:pPr>
      <w:bookmarkStart w:id="50" w:name="_Toc512687757"/>
      <w:r w:rsidRPr="00C3671E">
        <w:rPr>
          <w:rFonts w:ascii="Times New Roman" w:hAnsi="Times New Roman" w:cs="Times New Roman"/>
          <w:b w:val="0"/>
          <w:i/>
          <w:lang w:val="en-GB" w:eastAsia="zh-CN"/>
        </w:rPr>
        <w:t>Data</w:t>
      </w:r>
      <w:bookmarkEnd w:id="50"/>
    </w:p>
    <w:p w14:paraId="63DC962C" w14:textId="18623036" w:rsidR="001A7940" w:rsidRPr="00C3671E" w:rsidRDefault="001A7940" w:rsidP="00F4146A">
      <w:pPr>
        <w:suppressAutoHyphens/>
        <w:spacing w:line="480" w:lineRule="auto"/>
        <w:jc w:val="both"/>
        <w:rPr>
          <w:lang w:val="en-GB" w:eastAsia="zh-CN"/>
        </w:rPr>
      </w:pPr>
      <w:r w:rsidRPr="00C3671E">
        <w:rPr>
          <w:lang w:val="en-GB" w:eastAsia="zh-CN"/>
        </w:rPr>
        <w:t xml:space="preserve">This </w:t>
      </w:r>
      <w:r w:rsidRPr="00F4146A">
        <w:rPr>
          <w:rFonts w:eastAsia="Calibri"/>
          <w:lang w:val="en-GB" w:eastAsia="en-US"/>
        </w:rPr>
        <w:t>paper</w:t>
      </w:r>
      <w:r w:rsidRPr="00C3671E">
        <w:rPr>
          <w:lang w:val="en-GB" w:eastAsia="zh-CN"/>
        </w:rPr>
        <w:t xml:space="preserve"> utilizes data from the Survey of Health, Ageing and Retirement in Europe (SHARE). SHARE is a panel cross-national project in which data are collected by computer-assisted personal interviews </w:t>
      </w:r>
      <w:r w:rsidRPr="00C3671E">
        <w:rPr>
          <w:lang w:val="en-GB" w:eastAsia="zh-CN"/>
        </w:rPr>
        <w:fldChar w:fldCharType="begin" w:fldLock="1"/>
      </w:r>
      <w:r w:rsidR="004F5010" w:rsidRPr="00C3671E">
        <w:rPr>
          <w:lang w:val="en-GB" w:eastAsia="zh-CN"/>
        </w:rPr>
        <w:instrText>ADDIN CSL_CITATION { "citationItems" : [ { "id" : "ITEM-1", "itemData" : { "DOI" : "10.6103/SHARE.w5.600", "author" : [ { "dropping-particle" : "", "family" : "B\u00f6rsch-Supan", "given" : "Axel", "non-dropping-particle" : "", "parse-names" : false, "suffix" : "" } ], "id" : "ITEM-1", "issued" : { "date-parts" : [ [ "2017" ] ] }, "title" : "Survey of Health, Ageing and Retirement in Europe (SHARE) Wave 5. Release version: 6.0.0. SHARE-ERIC. Data set.", "type" : "article" }, "uris" : [ "http://www.mendeley.com/documents/?uuid=405d206e-dfc8-44a6-8abb-51e7bf458eb0" ] }, { "id" : "ITEM-2", "itemData" : { "DOI" : "10.1093/ije/dyt088", "ISBN" : "0300-5771", "ISSN" : "03005771", "PMID" : "23778574", "abstract" : "SHARE is a unique panel database of micro data on health, socio-economic status and social and family networks covering most of the European Union and Israel. To date, SHARE has collected three panel waves (2004, 2006, 2010) of current living circumstances and retrospective life histories (2008, SHARELIFE); 6 additional waves are planned until 2024. The more than 150 000 interviews give a broad picture of life after the age of 50 years, measuring physical and mental health, economic and non-economic activities, income and wealth, transfers of time and money within and outside the family as well as life satisfaction and well-being. The data are available to the scientific community free of charge at www.share-project.org after registration. SHARE is harmonized with the US Health and Retirement Study (HRS) and the English Longitudinal Study of Ageing (ELSA) and has become a role model for several ageing surveys worldwide. SHARE's scientific power is based on its panel design that grasps the dynamic character of the ageing process, its multidisciplinary approach that delivers the full picture of individual and societal ageing, and its cross-nationally ex-ante harmonized design that permits international comparisons of health, economic and social outcomes in Europe and the USA.", "author" : [ { "dropping-particle" : "", "family" : "B\u00f6rsch-Supan", "given" : "Axel", "non-dropping-particle" : "", "parse-names" : false, "suffix" : "" }, { "dropping-particle" : "", "family" : "Brandt", "given" : "Martina", "non-dropping-particle" : "", "parse-names" : false, "suffix" : "" }, { "dropping-particle" : "", "family" : "Hunkler", "given" : "Christian", "non-dropping-particle" : "", "parse-names" : false, "suffix" : "" }, { "dropping-particle" : "", "family" : "Kneip", "given" : "Thorsten", "non-dropping-particle" : "", "parse-names" : false, "suffix" : "" }, { "dropping-particle" : "", "family" : "Korbmacher", "given" : "Julie", "non-dropping-particle" : "", "parse-names" : false, "suffix" : "" }, { "dropping-particle" : "", "family" : "Malter", "given" : "Frederic", "non-dropping-particle" : "", "parse-names" : false, "suffix" : "" }, { "dropping-particle" : "", "family" : "Schaan", "given" : "Barbara", "non-dropping-particle" : "", "parse-names" : false, "suffix" : "" }, { "dropping-particle" : "", "family" : "Stuck", "given" : "Stephanie", "non-dropping-particle" : "", "parse-names" : false, "suffix" : "" }, { "dropping-particle" : "", "family" : "Zuber", "given" : "Sabrina", "non-dropping-particle" : "", "parse-names" : false, "suffix" : "" } ], "container-title" : "International Journal of Epidemiology", "id" : "ITEM-2", "issue" : "4", "issued" : { "date-parts" : [ [ "2013" ] ] }, "page" : "992-1001", "title" : "Data resource profile: The Survey of Health, Ageing and Retirement in Europe (SHARE)", "type" : "article-journal", "volume" : "42" }, "uris" : [ "http://www.mendeley.com/documents/?uuid=a62ea0f6-9469-4439-98a6-a5f414d5782a" ] } ], "mendeley" : { "formattedCitation" : "(B\u00f6rsch-Supan et al. 2013; B\u00f6rsch-Supan 2017d)", "plainTextFormattedCitation" : "(B\u00f6rsch-Supan et al. 2013; B\u00f6rsch-Supan 2017d)", "previouslyFormattedCitation" : "(B\u00f6rsch-Supan 2017d; B\u00f6rsch-Supan et al. 2013)" }, "properties" : { "noteIndex" : 0 }, "schema" : "https://github.com/citation-style-language/schema/raw/master/csl-citation.json" }</w:instrText>
      </w:r>
      <w:r w:rsidRPr="00C3671E">
        <w:rPr>
          <w:lang w:val="en-GB" w:eastAsia="zh-CN"/>
        </w:rPr>
        <w:fldChar w:fldCharType="separate"/>
      </w:r>
      <w:r w:rsidR="004F5010" w:rsidRPr="00C3671E">
        <w:rPr>
          <w:noProof/>
          <w:lang w:val="en-GB" w:eastAsia="zh-CN"/>
        </w:rPr>
        <w:t>(Börsch-Supan et al. 2013; Börsch-Supan 2017d)</w:t>
      </w:r>
      <w:r w:rsidRPr="00C3671E">
        <w:rPr>
          <w:lang w:val="en-GB" w:eastAsia="zh-CN"/>
        </w:rPr>
        <w:fldChar w:fldCharType="end"/>
      </w:r>
      <w:r w:rsidRPr="00C3671E">
        <w:rPr>
          <w:lang w:val="en-GB" w:eastAsia="zh-CN"/>
        </w:rPr>
        <w:t xml:space="preserve">. This paper uses data from wave 5, which enables the analysis of recent data collected from large national samples from various parts of Europe at a </w:t>
      </w:r>
      <w:r w:rsidRPr="00C3671E">
        <w:rPr>
          <w:lang w:val="en-GB"/>
        </w:rPr>
        <w:t>single</w:t>
      </w:r>
      <w:r w:rsidRPr="00C3671E">
        <w:rPr>
          <w:lang w:val="en-GB" w:eastAsia="zh-CN"/>
        </w:rPr>
        <w:t xml:space="preserve"> time point </w:t>
      </w:r>
      <w:r w:rsidRPr="00C3671E">
        <w:rPr>
          <w:lang w:val="en-GB" w:eastAsia="zh-CN"/>
        </w:rPr>
        <w:fldChar w:fldCharType="begin" w:fldLock="1"/>
      </w:r>
      <w:r w:rsidR="00AA6335" w:rsidRPr="00C3671E">
        <w:rPr>
          <w:lang w:val="en-GB" w:eastAsia="zh-CN"/>
        </w:rPr>
        <w:instrText>ADDIN CSL_CITATION { "citationItems" : [ { "id" : "ITEM-1", "itemData" : { "DOI" : "10.1080/00207659.2015.1098177", "ISSN" : "0020-7659", "author" : [ { "dropping-particle" : "", "family" : "Stolz", "given" : "Erwin", "non-dropping-particle" : "", "parse-names" : false, "suffix" : "" } ], "container-title" : "International Journal of Sociology", "id" : "ITEM-1", "issue" : "4", "issued" : { "date-parts" : [ [ "2015" ] ] }, "page" : "286-308", "title" : "Cross-National Variation in Quality of Life of Care-Dependent Elders in Europe: A Two-Step Approach Combining Multilevel Regression and Fuzzy-Set QCA", "type" : "article-journal", "volume" : "45" }, "uris" : [ "http://www.mendeley.com/documents/?uuid=0563e129-a8f9-4e9d-800a-eee65d9db6b8" ] } ], "mendeley" : { "formattedCitation" : "(Stolz 2015)", "plainTextFormattedCitation" : "(Stolz 2015)", "previouslyFormattedCitation" : "(Stolz 2015)" }, "properties" : { "noteIndex" : 0 }, "schema" : "https://github.com/citation-style-language/schema/raw/master/csl-citation.json" }</w:instrText>
      </w:r>
      <w:r w:rsidRPr="00C3671E">
        <w:rPr>
          <w:lang w:val="en-GB" w:eastAsia="zh-CN"/>
        </w:rPr>
        <w:fldChar w:fldCharType="separate"/>
      </w:r>
      <w:r w:rsidRPr="00C3671E">
        <w:rPr>
          <w:noProof/>
          <w:lang w:val="en-GB" w:eastAsia="zh-CN"/>
        </w:rPr>
        <w:t>(Stolz 2015)</w:t>
      </w:r>
      <w:r w:rsidRPr="00C3671E">
        <w:rPr>
          <w:lang w:val="en-GB" w:eastAsia="zh-CN"/>
        </w:rPr>
        <w:fldChar w:fldCharType="end"/>
      </w:r>
      <w:r w:rsidRPr="00C3671E">
        <w:rPr>
          <w:lang w:val="en-GB" w:eastAsia="zh-CN"/>
        </w:rPr>
        <w:t>. Data from all 14 European countries participating in wave 5 (Austria, Belgium, Czechia, Denmark, Estonia, France, Italy, Germany, Luxembourg, Netherlands, Slovenia, Spain, Sweden, and Switzerland) are analysed in this study.</w:t>
      </w:r>
    </w:p>
    <w:p w14:paraId="207A015C" w14:textId="7B17105A" w:rsidR="001A7940" w:rsidRPr="00C3671E" w:rsidRDefault="001A7940" w:rsidP="00F4146A">
      <w:pPr>
        <w:pStyle w:val="Newparagraph"/>
        <w:jc w:val="both"/>
        <w:rPr>
          <w:lang w:eastAsia="zh-CN"/>
        </w:rPr>
      </w:pPr>
      <w:r w:rsidRPr="00C3671E">
        <w:t>Descriptive</w:t>
      </w:r>
      <w:r w:rsidRPr="00C3671E">
        <w:rPr>
          <w:lang w:eastAsia="zh-CN"/>
        </w:rPr>
        <w:t xml:space="preserve"> statistics, including a list of the countries and their sample sizes, are included in Table </w:t>
      </w:r>
      <w:r w:rsidR="00F96318" w:rsidRPr="00C3671E">
        <w:rPr>
          <w:lang w:eastAsia="zh-CN"/>
        </w:rPr>
        <w:t>4</w:t>
      </w:r>
      <w:r w:rsidRPr="00C3671E">
        <w:rPr>
          <w:lang w:eastAsia="zh-CN"/>
        </w:rPr>
        <w:t xml:space="preserve">. Some respondents from </w:t>
      </w:r>
      <w:r w:rsidRPr="00C3671E">
        <w:t>the</w:t>
      </w:r>
      <w:r w:rsidRPr="00C3671E">
        <w:rPr>
          <w:lang w:eastAsia="zh-CN"/>
        </w:rPr>
        <w:t xml:space="preserve"> sample have been dropped due to missing values and the spouses of original respondents under the age of 50 have also been omitted from the analysis. Then, respondents aged 90+, representing approximately one percent of the sample, have been excluded to avoid a distortion by extreme values. If there are more respondents for one couple, one person called the ‘family respondent’ is defined as the respondent who was interviewed first and answered the modules about care and relatives on behalf of her/his household. Every household in this study is represented by the family respondent. Hence, people from households with more than one respondent aged 50+ are not overrepresented in the final sample.</w:t>
      </w:r>
    </w:p>
    <w:p w14:paraId="356A6AF5" w14:textId="7B5EC51D" w:rsidR="001A7940" w:rsidRPr="00C3671E" w:rsidRDefault="001A7940" w:rsidP="00F4146A">
      <w:pPr>
        <w:pStyle w:val="Newparagraph"/>
        <w:jc w:val="both"/>
        <w:rPr>
          <w:lang w:eastAsia="zh-CN"/>
        </w:rPr>
      </w:pPr>
      <w:r w:rsidRPr="00C3671E">
        <w:rPr>
          <w:lang w:eastAsia="zh-CN"/>
        </w:rPr>
        <w:t xml:space="preserve">The entire sample consists of 40,748 respondents after deletions. The sample size for each </w:t>
      </w:r>
      <w:r w:rsidRPr="00C3671E">
        <w:t>country</w:t>
      </w:r>
      <w:r w:rsidRPr="00C3671E">
        <w:rPr>
          <w:lang w:eastAsia="zh-CN"/>
        </w:rPr>
        <w:t xml:space="preserve"> can be reconstructed from the size of the overall sample and the proportions of the countries in the percentages displayed in Table </w:t>
      </w:r>
      <w:r w:rsidR="00F96318" w:rsidRPr="00C3671E">
        <w:rPr>
          <w:lang w:eastAsia="zh-CN"/>
        </w:rPr>
        <w:t>4</w:t>
      </w:r>
      <w:r w:rsidRPr="00C3671E">
        <w:rPr>
          <w:lang w:eastAsia="zh-CN"/>
        </w:rPr>
        <w:t xml:space="preserve"> – the number of respondents per country varies from 1160 respondents for Luxembourg to 3770 respondents for Belgium. Other variables have plausible distributions and quite comprehensible values. The distribution of age </w:t>
      </w:r>
      <w:r w:rsidRPr="00C3671E">
        <w:rPr>
          <w:lang w:eastAsia="zh-CN"/>
        </w:rPr>
        <w:lastRenderedPageBreak/>
        <w:t>is positively skewed among 51 and 90 years with a mean of 67 and a median of 66. Most of the independent variables are measured at the level of individuals, but one country-level variable and one cross-level interaction are also included in the analysis. Therefore, individuals and countries constitute two levels in a multilevel data structure. The only variable at the level of countries – percentage of employees in social services – has been standardized, and thus does not have comprehensible values. Nevertheless, the highest ratio of these employees is predictably in Sweden, the Netherlands, and Denmark, while Estonia, Slovenia, and Czechia have the lowest values.</w:t>
      </w:r>
    </w:p>
    <w:p w14:paraId="1B7FD7C0" w14:textId="0EA88671" w:rsidR="006C62A5" w:rsidRPr="00C3671E" w:rsidRDefault="006C62A5" w:rsidP="006C62A5">
      <w:pPr>
        <w:spacing w:before="100" w:beforeAutospacing="1"/>
        <w:jc w:val="both"/>
        <w:rPr>
          <w:b/>
          <w:lang w:val="en-GB"/>
        </w:rPr>
      </w:pPr>
      <w:bookmarkStart w:id="51" w:name="_Toc512687479"/>
      <w:r w:rsidRPr="00C3671E">
        <w:rPr>
          <w:b/>
          <w:lang w:val="en-GB"/>
        </w:rPr>
        <w:t xml:space="preserve">Table </w:t>
      </w:r>
      <w:r w:rsidRPr="00C3671E">
        <w:rPr>
          <w:b/>
          <w:lang w:val="en-GB"/>
        </w:rPr>
        <w:fldChar w:fldCharType="begin"/>
      </w:r>
      <w:r w:rsidRPr="00C3671E">
        <w:rPr>
          <w:b/>
          <w:lang w:val="en-GB"/>
        </w:rPr>
        <w:instrText xml:space="preserve"> SEQ Table \* ARABIC </w:instrText>
      </w:r>
      <w:r w:rsidRPr="00C3671E">
        <w:rPr>
          <w:b/>
          <w:lang w:val="en-GB"/>
        </w:rPr>
        <w:fldChar w:fldCharType="separate"/>
      </w:r>
      <w:r w:rsidR="00F96318" w:rsidRPr="00C3671E">
        <w:rPr>
          <w:b/>
          <w:noProof/>
          <w:lang w:val="en-GB"/>
        </w:rPr>
        <w:t>4</w:t>
      </w:r>
      <w:r w:rsidRPr="00C3671E">
        <w:rPr>
          <w:b/>
          <w:lang w:val="en-GB"/>
        </w:rPr>
        <w:fldChar w:fldCharType="end"/>
      </w:r>
      <w:r w:rsidRPr="00C3671E">
        <w:rPr>
          <w:b/>
          <w:lang w:val="en-GB"/>
        </w:rPr>
        <w:t>: Descriptive statistics of the cross-sectional sample of respondents used in an analysis</w:t>
      </w:r>
      <w:bookmarkEnd w:id="51"/>
    </w:p>
    <w:tbl>
      <w:tblPr>
        <w:tblW w:w="7655" w:type="dxa"/>
        <w:tblInd w:w="675" w:type="dxa"/>
        <w:tblLayout w:type="fixed"/>
        <w:tblLook w:val="0000" w:firstRow="0" w:lastRow="0" w:firstColumn="0" w:lastColumn="0" w:noHBand="0" w:noVBand="0"/>
      </w:tblPr>
      <w:tblGrid>
        <w:gridCol w:w="3402"/>
        <w:gridCol w:w="2268"/>
        <w:gridCol w:w="1985"/>
      </w:tblGrid>
      <w:tr w:rsidR="006C62A5" w:rsidRPr="00C3671E" w14:paraId="151CB24A" w14:textId="77777777" w:rsidTr="00AA6335">
        <w:trPr>
          <w:trHeight w:val="278"/>
        </w:trPr>
        <w:tc>
          <w:tcPr>
            <w:tcW w:w="3402" w:type="dxa"/>
            <w:tcBorders>
              <w:top w:val="single" w:sz="12" w:space="0" w:color="000000"/>
              <w:bottom w:val="single" w:sz="12" w:space="0" w:color="000000"/>
            </w:tcBorders>
            <w:vAlign w:val="center"/>
          </w:tcPr>
          <w:p w14:paraId="1284B307" w14:textId="77777777" w:rsidR="006C62A5" w:rsidRPr="00C3671E" w:rsidRDefault="006C62A5" w:rsidP="00AA6335">
            <w:pPr>
              <w:jc w:val="center"/>
              <w:rPr>
                <w:bCs/>
                <w:sz w:val="20"/>
                <w:szCs w:val="20"/>
                <w:lang w:val="en-GB"/>
              </w:rPr>
            </w:pPr>
            <w:r w:rsidRPr="00C3671E">
              <w:rPr>
                <w:bCs/>
                <w:sz w:val="20"/>
                <w:szCs w:val="20"/>
                <w:lang w:val="en-GB"/>
              </w:rPr>
              <w:t>Variable</w:t>
            </w:r>
          </w:p>
        </w:tc>
        <w:tc>
          <w:tcPr>
            <w:tcW w:w="2268" w:type="dxa"/>
            <w:tcBorders>
              <w:top w:val="single" w:sz="12" w:space="0" w:color="000000"/>
              <w:bottom w:val="single" w:sz="12" w:space="0" w:color="000000"/>
            </w:tcBorders>
            <w:vAlign w:val="center"/>
          </w:tcPr>
          <w:p w14:paraId="07D4BD18" w14:textId="77777777" w:rsidR="006C62A5" w:rsidRPr="00C3671E" w:rsidRDefault="006C62A5" w:rsidP="00AA6335">
            <w:pPr>
              <w:jc w:val="center"/>
              <w:rPr>
                <w:bCs/>
                <w:sz w:val="20"/>
                <w:szCs w:val="20"/>
                <w:lang w:val="en-GB"/>
              </w:rPr>
            </w:pPr>
            <w:r w:rsidRPr="00C3671E">
              <w:rPr>
                <w:bCs/>
                <w:sz w:val="20"/>
                <w:szCs w:val="20"/>
                <w:lang w:val="en-GB"/>
              </w:rPr>
              <w:t>Categories or range</w:t>
            </w:r>
          </w:p>
        </w:tc>
        <w:tc>
          <w:tcPr>
            <w:tcW w:w="1985" w:type="dxa"/>
            <w:tcBorders>
              <w:top w:val="single" w:sz="12" w:space="0" w:color="000000"/>
              <w:bottom w:val="single" w:sz="12" w:space="0" w:color="000000"/>
            </w:tcBorders>
            <w:vAlign w:val="center"/>
          </w:tcPr>
          <w:p w14:paraId="0766FDA1" w14:textId="77777777" w:rsidR="006C62A5" w:rsidRPr="00C3671E" w:rsidRDefault="006C62A5" w:rsidP="00AA6335">
            <w:pPr>
              <w:jc w:val="center"/>
              <w:rPr>
                <w:bCs/>
                <w:sz w:val="20"/>
                <w:szCs w:val="20"/>
                <w:lang w:val="en-GB"/>
              </w:rPr>
            </w:pPr>
            <w:r w:rsidRPr="00C3671E">
              <w:rPr>
                <w:bCs/>
                <w:sz w:val="20"/>
                <w:szCs w:val="20"/>
                <w:lang w:val="en-GB"/>
              </w:rPr>
              <w:t>Per cent or mean</w:t>
            </w:r>
          </w:p>
        </w:tc>
      </w:tr>
      <w:tr w:rsidR="006C62A5" w:rsidRPr="00C3671E" w14:paraId="7EAA1344" w14:textId="77777777" w:rsidTr="00AA6335">
        <w:trPr>
          <w:trHeight w:val="278"/>
        </w:trPr>
        <w:tc>
          <w:tcPr>
            <w:tcW w:w="3402" w:type="dxa"/>
            <w:vAlign w:val="center"/>
          </w:tcPr>
          <w:p w14:paraId="08F083D6" w14:textId="77777777" w:rsidR="006C62A5" w:rsidRPr="00C3671E" w:rsidRDefault="006C62A5" w:rsidP="00AA6335">
            <w:pPr>
              <w:rPr>
                <w:sz w:val="20"/>
                <w:szCs w:val="20"/>
                <w:lang w:val="en-GB"/>
              </w:rPr>
            </w:pPr>
            <w:r w:rsidRPr="00C3671E">
              <w:rPr>
                <w:sz w:val="20"/>
                <w:szCs w:val="20"/>
                <w:lang w:val="en-GB"/>
              </w:rPr>
              <w:t>Feelings of loneliness</w:t>
            </w:r>
          </w:p>
        </w:tc>
        <w:tc>
          <w:tcPr>
            <w:tcW w:w="2268" w:type="dxa"/>
            <w:vAlign w:val="center"/>
          </w:tcPr>
          <w:p w14:paraId="0DFE5464" w14:textId="77777777" w:rsidR="006C62A5" w:rsidRPr="00C3671E" w:rsidRDefault="006C62A5" w:rsidP="00AA6335">
            <w:pPr>
              <w:rPr>
                <w:sz w:val="20"/>
                <w:szCs w:val="20"/>
                <w:lang w:val="en-GB"/>
              </w:rPr>
            </w:pPr>
            <w:r w:rsidRPr="00C3671E">
              <w:rPr>
                <w:sz w:val="20"/>
                <w:szCs w:val="20"/>
                <w:lang w:val="en-GB"/>
              </w:rPr>
              <w:t>Hardly ever or never</w:t>
            </w:r>
          </w:p>
        </w:tc>
        <w:tc>
          <w:tcPr>
            <w:tcW w:w="1985" w:type="dxa"/>
            <w:vAlign w:val="center"/>
          </w:tcPr>
          <w:p w14:paraId="70F83F87" w14:textId="77777777" w:rsidR="006C62A5" w:rsidRPr="00C3671E" w:rsidRDefault="006C62A5" w:rsidP="00AA6335">
            <w:pPr>
              <w:tabs>
                <w:tab w:val="decimal" w:pos="801"/>
              </w:tabs>
              <w:rPr>
                <w:sz w:val="20"/>
                <w:szCs w:val="20"/>
                <w:lang w:val="en-GB"/>
              </w:rPr>
            </w:pPr>
            <w:r w:rsidRPr="00C3671E">
              <w:rPr>
                <w:sz w:val="20"/>
                <w:szCs w:val="20"/>
                <w:lang w:val="en-GB"/>
              </w:rPr>
              <w:t>73.9</w:t>
            </w:r>
          </w:p>
        </w:tc>
      </w:tr>
      <w:tr w:rsidR="006C62A5" w:rsidRPr="00C3671E" w14:paraId="32EFFBC5" w14:textId="77777777" w:rsidTr="00AA6335">
        <w:trPr>
          <w:trHeight w:val="278"/>
        </w:trPr>
        <w:tc>
          <w:tcPr>
            <w:tcW w:w="3402" w:type="dxa"/>
            <w:vAlign w:val="center"/>
          </w:tcPr>
          <w:p w14:paraId="5DB20B9E" w14:textId="77777777" w:rsidR="006C62A5" w:rsidRPr="00C3671E" w:rsidRDefault="006C62A5" w:rsidP="00AA6335">
            <w:pPr>
              <w:rPr>
                <w:sz w:val="20"/>
                <w:szCs w:val="20"/>
                <w:lang w:val="en-GB"/>
              </w:rPr>
            </w:pPr>
          </w:p>
        </w:tc>
        <w:tc>
          <w:tcPr>
            <w:tcW w:w="2268" w:type="dxa"/>
            <w:vAlign w:val="center"/>
          </w:tcPr>
          <w:p w14:paraId="1274863E" w14:textId="77777777" w:rsidR="006C62A5" w:rsidRPr="00C3671E" w:rsidRDefault="006C62A5" w:rsidP="00AA6335">
            <w:pPr>
              <w:rPr>
                <w:sz w:val="20"/>
                <w:szCs w:val="20"/>
                <w:lang w:val="en-GB"/>
              </w:rPr>
            </w:pPr>
            <w:r w:rsidRPr="00C3671E">
              <w:rPr>
                <w:sz w:val="20"/>
                <w:szCs w:val="20"/>
                <w:lang w:val="en-GB"/>
              </w:rPr>
              <w:t>Some of the time</w:t>
            </w:r>
          </w:p>
        </w:tc>
        <w:tc>
          <w:tcPr>
            <w:tcW w:w="1985" w:type="dxa"/>
            <w:vAlign w:val="center"/>
          </w:tcPr>
          <w:p w14:paraId="1B4EA3D6" w14:textId="77777777" w:rsidR="006C62A5" w:rsidRPr="00C3671E" w:rsidRDefault="006C62A5" w:rsidP="00AA6335">
            <w:pPr>
              <w:tabs>
                <w:tab w:val="decimal" w:pos="801"/>
              </w:tabs>
              <w:rPr>
                <w:sz w:val="20"/>
                <w:szCs w:val="20"/>
                <w:lang w:val="en-GB"/>
              </w:rPr>
            </w:pPr>
            <w:r w:rsidRPr="00C3671E">
              <w:rPr>
                <w:sz w:val="20"/>
                <w:szCs w:val="20"/>
                <w:lang w:val="en-GB"/>
              </w:rPr>
              <w:t>18.9</w:t>
            </w:r>
          </w:p>
        </w:tc>
      </w:tr>
      <w:tr w:rsidR="006C62A5" w:rsidRPr="00C3671E" w14:paraId="7FF6B433" w14:textId="77777777" w:rsidTr="00AA6335">
        <w:trPr>
          <w:trHeight w:val="278"/>
        </w:trPr>
        <w:tc>
          <w:tcPr>
            <w:tcW w:w="3402" w:type="dxa"/>
            <w:vAlign w:val="center"/>
          </w:tcPr>
          <w:p w14:paraId="3B9A82CB" w14:textId="77777777" w:rsidR="006C62A5" w:rsidRPr="00C3671E" w:rsidRDefault="006C62A5" w:rsidP="00AA6335">
            <w:pPr>
              <w:rPr>
                <w:sz w:val="20"/>
                <w:szCs w:val="20"/>
                <w:lang w:val="en-GB"/>
              </w:rPr>
            </w:pPr>
          </w:p>
        </w:tc>
        <w:tc>
          <w:tcPr>
            <w:tcW w:w="2268" w:type="dxa"/>
            <w:vAlign w:val="center"/>
          </w:tcPr>
          <w:p w14:paraId="31987180" w14:textId="77777777" w:rsidR="006C62A5" w:rsidRPr="00C3671E" w:rsidRDefault="006C62A5" w:rsidP="00AA6335">
            <w:pPr>
              <w:rPr>
                <w:sz w:val="20"/>
                <w:szCs w:val="20"/>
                <w:lang w:val="en-GB"/>
              </w:rPr>
            </w:pPr>
            <w:r w:rsidRPr="00C3671E">
              <w:rPr>
                <w:sz w:val="20"/>
                <w:szCs w:val="20"/>
                <w:lang w:val="en-GB"/>
              </w:rPr>
              <w:t>Often</w:t>
            </w:r>
          </w:p>
        </w:tc>
        <w:tc>
          <w:tcPr>
            <w:tcW w:w="1985" w:type="dxa"/>
            <w:vAlign w:val="center"/>
          </w:tcPr>
          <w:p w14:paraId="4047077A" w14:textId="77777777" w:rsidR="006C62A5" w:rsidRPr="00C3671E" w:rsidRDefault="006C62A5" w:rsidP="00AA6335">
            <w:pPr>
              <w:tabs>
                <w:tab w:val="decimal" w:pos="801"/>
              </w:tabs>
              <w:rPr>
                <w:sz w:val="20"/>
                <w:szCs w:val="20"/>
                <w:lang w:val="en-GB"/>
              </w:rPr>
            </w:pPr>
            <w:r w:rsidRPr="00C3671E">
              <w:rPr>
                <w:sz w:val="20"/>
                <w:szCs w:val="20"/>
                <w:lang w:val="en-GB"/>
              </w:rPr>
              <w:t>7.2</w:t>
            </w:r>
          </w:p>
        </w:tc>
      </w:tr>
      <w:tr w:rsidR="006C62A5" w:rsidRPr="00C3671E" w14:paraId="591240DB" w14:textId="77777777" w:rsidTr="00AA6335">
        <w:trPr>
          <w:trHeight w:val="278"/>
        </w:trPr>
        <w:tc>
          <w:tcPr>
            <w:tcW w:w="3402" w:type="dxa"/>
            <w:vAlign w:val="center"/>
          </w:tcPr>
          <w:p w14:paraId="366C0369" w14:textId="77777777" w:rsidR="006C62A5" w:rsidRPr="00C3671E" w:rsidRDefault="006C62A5" w:rsidP="00AA6335">
            <w:pPr>
              <w:rPr>
                <w:sz w:val="20"/>
                <w:szCs w:val="20"/>
                <w:lang w:val="en-GB"/>
              </w:rPr>
            </w:pPr>
            <w:r w:rsidRPr="00C3671E">
              <w:rPr>
                <w:sz w:val="20"/>
                <w:szCs w:val="20"/>
                <w:lang w:val="en-GB"/>
              </w:rPr>
              <w:t>Life has meaning</w:t>
            </w:r>
          </w:p>
        </w:tc>
        <w:tc>
          <w:tcPr>
            <w:tcW w:w="2268" w:type="dxa"/>
            <w:vAlign w:val="center"/>
          </w:tcPr>
          <w:p w14:paraId="68CBA8C9" w14:textId="77777777" w:rsidR="006C62A5" w:rsidRPr="00C3671E" w:rsidRDefault="006C62A5" w:rsidP="00AA6335">
            <w:pPr>
              <w:rPr>
                <w:sz w:val="20"/>
                <w:szCs w:val="20"/>
                <w:lang w:val="en-GB"/>
              </w:rPr>
            </w:pPr>
            <w:r w:rsidRPr="00C3671E">
              <w:rPr>
                <w:sz w:val="20"/>
                <w:szCs w:val="20"/>
                <w:lang w:val="en-GB"/>
              </w:rPr>
              <w:t>Never</w:t>
            </w:r>
          </w:p>
        </w:tc>
        <w:tc>
          <w:tcPr>
            <w:tcW w:w="1985" w:type="dxa"/>
            <w:vAlign w:val="center"/>
          </w:tcPr>
          <w:p w14:paraId="68171875" w14:textId="77777777" w:rsidR="006C62A5" w:rsidRPr="00C3671E" w:rsidRDefault="006C62A5" w:rsidP="00AA6335">
            <w:pPr>
              <w:tabs>
                <w:tab w:val="decimal" w:pos="801"/>
              </w:tabs>
              <w:rPr>
                <w:sz w:val="20"/>
                <w:szCs w:val="20"/>
                <w:lang w:val="en-GB"/>
              </w:rPr>
            </w:pPr>
            <w:r w:rsidRPr="00C3671E">
              <w:rPr>
                <w:sz w:val="20"/>
                <w:szCs w:val="20"/>
                <w:lang w:val="en-GB"/>
              </w:rPr>
              <w:t>2.4</w:t>
            </w:r>
          </w:p>
        </w:tc>
      </w:tr>
      <w:tr w:rsidR="006C62A5" w:rsidRPr="00C3671E" w14:paraId="26A5A45B" w14:textId="77777777" w:rsidTr="00AA6335">
        <w:trPr>
          <w:trHeight w:val="278"/>
        </w:trPr>
        <w:tc>
          <w:tcPr>
            <w:tcW w:w="3402" w:type="dxa"/>
            <w:vAlign w:val="center"/>
          </w:tcPr>
          <w:p w14:paraId="2C4EF12B" w14:textId="77777777" w:rsidR="006C62A5" w:rsidRPr="00C3671E" w:rsidRDefault="006C62A5" w:rsidP="00AA6335">
            <w:pPr>
              <w:rPr>
                <w:sz w:val="20"/>
                <w:szCs w:val="20"/>
                <w:lang w:val="en-GB"/>
              </w:rPr>
            </w:pPr>
          </w:p>
        </w:tc>
        <w:tc>
          <w:tcPr>
            <w:tcW w:w="2268" w:type="dxa"/>
            <w:vAlign w:val="center"/>
          </w:tcPr>
          <w:p w14:paraId="6B86CFC4" w14:textId="77777777" w:rsidR="006C62A5" w:rsidRPr="00C3671E" w:rsidRDefault="006C62A5" w:rsidP="00AA6335">
            <w:pPr>
              <w:rPr>
                <w:sz w:val="20"/>
                <w:szCs w:val="20"/>
                <w:lang w:val="en-GB"/>
              </w:rPr>
            </w:pPr>
            <w:r w:rsidRPr="00C3671E">
              <w:rPr>
                <w:sz w:val="20"/>
                <w:szCs w:val="20"/>
                <w:lang w:val="en-GB"/>
              </w:rPr>
              <w:t>Hardly</w:t>
            </w:r>
          </w:p>
        </w:tc>
        <w:tc>
          <w:tcPr>
            <w:tcW w:w="1985" w:type="dxa"/>
            <w:vAlign w:val="center"/>
          </w:tcPr>
          <w:p w14:paraId="2DDD878B" w14:textId="77777777" w:rsidR="006C62A5" w:rsidRPr="00C3671E" w:rsidRDefault="006C62A5" w:rsidP="00AA6335">
            <w:pPr>
              <w:tabs>
                <w:tab w:val="decimal" w:pos="801"/>
              </w:tabs>
              <w:rPr>
                <w:sz w:val="20"/>
                <w:szCs w:val="20"/>
                <w:lang w:val="en-GB"/>
              </w:rPr>
            </w:pPr>
            <w:r w:rsidRPr="00C3671E">
              <w:rPr>
                <w:sz w:val="20"/>
                <w:szCs w:val="20"/>
                <w:lang w:val="en-GB"/>
              </w:rPr>
              <w:t>6.4</w:t>
            </w:r>
          </w:p>
        </w:tc>
      </w:tr>
      <w:tr w:rsidR="006C62A5" w:rsidRPr="00C3671E" w14:paraId="0106A898" w14:textId="77777777" w:rsidTr="00AA6335">
        <w:trPr>
          <w:trHeight w:val="278"/>
        </w:trPr>
        <w:tc>
          <w:tcPr>
            <w:tcW w:w="3402" w:type="dxa"/>
            <w:vAlign w:val="center"/>
          </w:tcPr>
          <w:p w14:paraId="3B9F0E20" w14:textId="77777777" w:rsidR="006C62A5" w:rsidRPr="00C3671E" w:rsidRDefault="006C62A5" w:rsidP="00AA6335">
            <w:pPr>
              <w:rPr>
                <w:sz w:val="20"/>
                <w:szCs w:val="20"/>
                <w:lang w:val="en-GB"/>
              </w:rPr>
            </w:pPr>
          </w:p>
        </w:tc>
        <w:tc>
          <w:tcPr>
            <w:tcW w:w="2268" w:type="dxa"/>
            <w:vAlign w:val="center"/>
          </w:tcPr>
          <w:p w14:paraId="5FEDBE03" w14:textId="77777777" w:rsidR="006C62A5" w:rsidRPr="00C3671E" w:rsidRDefault="006C62A5" w:rsidP="00AA6335">
            <w:pPr>
              <w:rPr>
                <w:sz w:val="20"/>
                <w:szCs w:val="20"/>
                <w:lang w:val="en-GB"/>
              </w:rPr>
            </w:pPr>
            <w:r w:rsidRPr="00C3671E">
              <w:rPr>
                <w:sz w:val="20"/>
                <w:szCs w:val="20"/>
                <w:lang w:val="en-GB"/>
              </w:rPr>
              <w:t>Sometimes</w:t>
            </w:r>
          </w:p>
        </w:tc>
        <w:tc>
          <w:tcPr>
            <w:tcW w:w="1985" w:type="dxa"/>
            <w:vAlign w:val="center"/>
          </w:tcPr>
          <w:p w14:paraId="3E9F5181" w14:textId="77777777" w:rsidR="006C62A5" w:rsidRPr="00C3671E" w:rsidRDefault="006C62A5" w:rsidP="00AA6335">
            <w:pPr>
              <w:tabs>
                <w:tab w:val="decimal" w:pos="801"/>
              </w:tabs>
              <w:rPr>
                <w:sz w:val="20"/>
                <w:szCs w:val="20"/>
                <w:lang w:val="en-GB"/>
              </w:rPr>
            </w:pPr>
            <w:r w:rsidRPr="00C3671E">
              <w:rPr>
                <w:sz w:val="20"/>
                <w:szCs w:val="20"/>
                <w:lang w:val="en-GB"/>
              </w:rPr>
              <w:t>21.8</w:t>
            </w:r>
          </w:p>
        </w:tc>
      </w:tr>
      <w:tr w:rsidR="006C62A5" w:rsidRPr="00C3671E" w14:paraId="45AD1813" w14:textId="77777777" w:rsidTr="00AA6335">
        <w:trPr>
          <w:trHeight w:val="278"/>
        </w:trPr>
        <w:tc>
          <w:tcPr>
            <w:tcW w:w="3402" w:type="dxa"/>
            <w:vAlign w:val="center"/>
          </w:tcPr>
          <w:p w14:paraId="777E83D1" w14:textId="77777777" w:rsidR="006C62A5" w:rsidRPr="00C3671E" w:rsidRDefault="006C62A5" w:rsidP="00AA6335">
            <w:pPr>
              <w:rPr>
                <w:sz w:val="20"/>
                <w:szCs w:val="20"/>
                <w:lang w:val="en-GB"/>
              </w:rPr>
            </w:pPr>
          </w:p>
        </w:tc>
        <w:tc>
          <w:tcPr>
            <w:tcW w:w="2268" w:type="dxa"/>
            <w:vAlign w:val="center"/>
          </w:tcPr>
          <w:p w14:paraId="4B93D666" w14:textId="77777777" w:rsidR="006C62A5" w:rsidRPr="00C3671E" w:rsidRDefault="006C62A5" w:rsidP="00AA6335">
            <w:pPr>
              <w:rPr>
                <w:sz w:val="20"/>
                <w:szCs w:val="20"/>
                <w:lang w:val="en-GB"/>
              </w:rPr>
            </w:pPr>
            <w:r w:rsidRPr="00C3671E">
              <w:rPr>
                <w:sz w:val="20"/>
                <w:szCs w:val="20"/>
                <w:lang w:val="en-GB"/>
              </w:rPr>
              <w:t>Often</w:t>
            </w:r>
          </w:p>
        </w:tc>
        <w:tc>
          <w:tcPr>
            <w:tcW w:w="1985" w:type="dxa"/>
            <w:vAlign w:val="center"/>
          </w:tcPr>
          <w:p w14:paraId="0194D49C" w14:textId="77777777" w:rsidR="006C62A5" w:rsidRPr="00C3671E" w:rsidRDefault="006C62A5" w:rsidP="00AA6335">
            <w:pPr>
              <w:tabs>
                <w:tab w:val="decimal" w:pos="801"/>
              </w:tabs>
              <w:rPr>
                <w:sz w:val="20"/>
                <w:szCs w:val="20"/>
                <w:lang w:val="en-GB"/>
              </w:rPr>
            </w:pPr>
            <w:r w:rsidRPr="00C3671E">
              <w:rPr>
                <w:sz w:val="20"/>
                <w:szCs w:val="20"/>
                <w:lang w:val="en-GB"/>
              </w:rPr>
              <w:t>69.4</w:t>
            </w:r>
          </w:p>
        </w:tc>
      </w:tr>
      <w:tr w:rsidR="006C62A5" w:rsidRPr="00C3671E" w14:paraId="3090C1A0" w14:textId="77777777" w:rsidTr="00AA6335">
        <w:trPr>
          <w:trHeight w:val="278"/>
        </w:trPr>
        <w:tc>
          <w:tcPr>
            <w:tcW w:w="3402" w:type="dxa"/>
            <w:vAlign w:val="center"/>
          </w:tcPr>
          <w:p w14:paraId="1C815B9C" w14:textId="77777777" w:rsidR="006C62A5" w:rsidRPr="00C3671E" w:rsidRDefault="006C62A5" w:rsidP="00AA6335">
            <w:pPr>
              <w:rPr>
                <w:sz w:val="20"/>
                <w:szCs w:val="20"/>
                <w:lang w:val="en-GB"/>
              </w:rPr>
            </w:pPr>
            <w:r w:rsidRPr="00C3671E">
              <w:rPr>
                <w:sz w:val="20"/>
                <w:szCs w:val="20"/>
                <w:lang w:val="en-GB"/>
              </w:rPr>
              <w:t>Do the things you want to do</w:t>
            </w:r>
          </w:p>
        </w:tc>
        <w:tc>
          <w:tcPr>
            <w:tcW w:w="2268" w:type="dxa"/>
            <w:vAlign w:val="center"/>
          </w:tcPr>
          <w:p w14:paraId="29A43249" w14:textId="77777777" w:rsidR="006C62A5" w:rsidRPr="00C3671E" w:rsidRDefault="006C62A5" w:rsidP="00AA6335">
            <w:pPr>
              <w:rPr>
                <w:sz w:val="20"/>
                <w:szCs w:val="20"/>
                <w:lang w:val="en-GB"/>
              </w:rPr>
            </w:pPr>
            <w:r w:rsidRPr="00C3671E">
              <w:rPr>
                <w:sz w:val="20"/>
                <w:szCs w:val="20"/>
                <w:lang w:val="en-GB"/>
              </w:rPr>
              <w:t>Often</w:t>
            </w:r>
          </w:p>
        </w:tc>
        <w:tc>
          <w:tcPr>
            <w:tcW w:w="1985" w:type="dxa"/>
            <w:vAlign w:val="center"/>
          </w:tcPr>
          <w:p w14:paraId="1B29E05B" w14:textId="77777777" w:rsidR="006C62A5" w:rsidRPr="00C3671E" w:rsidRDefault="006C62A5" w:rsidP="00AA6335">
            <w:pPr>
              <w:tabs>
                <w:tab w:val="decimal" w:pos="801"/>
              </w:tabs>
              <w:rPr>
                <w:sz w:val="20"/>
                <w:szCs w:val="20"/>
                <w:lang w:val="en-GB"/>
              </w:rPr>
            </w:pPr>
            <w:r w:rsidRPr="00C3671E">
              <w:rPr>
                <w:sz w:val="20"/>
                <w:szCs w:val="20"/>
                <w:lang w:val="en-GB"/>
              </w:rPr>
              <w:t>51.7</w:t>
            </w:r>
          </w:p>
        </w:tc>
      </w:tr>
      <w:tr w:rsidR="006C62A5" w:rsidRPr="00C3671E" w14:paraId="4286F628" w14:textId="77777777" w:rsidTr="00AA6335">
        <w:trPr>
          <w:trHeight w:val="278"/>
        </w:trPr>
        <w:tc>
          <w:tcPr>
            <w:tcW w:w="3402" w:type="dxa"/>
            <w:vAlign w:val="center"/>
          </w:tcPr>
          <w:p w14:paraId="3C60E44D" w14:textId="77777777" w:rsidR="006C62A5" w:rsidRPr="00C3671E" w:rsidRDefault="006C62A5" w:rsidP="00AA6335">
            <w:pPr>
              <w:rPr>
                <w:sz w:val="20"/>
                <w:szCs w:val="20"/>
                <w:lang w:val="en-GB"/>
              </w:rPr>
            </w:pPr>
          </w:p>
        </w:tc>
        <w:tc>
          <w:tcPr>
            <w:tcW w:w="2268" w:type="dxa"/>
            <w:vAlign w:val="center"/>
          </w:tcPr>
          <w:p w14:paraId="6C233B42" w14:textId="77777777" w:rsidR="006C62A5" w:rsidRPr="00C3671E" w:rsidRDefault="006C62A5" w:rsidP="00AA6335">
            <w:pPr>
              <w:rPr>
                <w:sz w:val="20"/>
                <w:szCs w:val="20"/>
                <w:lang w:val="en-GB"/>
              </w:rPr>
            </w:pPr>
            <w:r w:rsidRPr="00C3671E">
              <w:rPr>
                <w:sz w:val="20"/>
                <w:szCs w:val="20"/>
                <w:lang w:val="en-GB"/>
              </w:rPr>
              <w:t>Sometimes</w:t>
            </w:r>
          </w:p>
        </w:tc>
        <w:tc>
          <w:tcPr>
            <w:tcW w:w="1985" w:type="dxa"/>
            <w:vAlign w:val="center"/>
          </w:tcPr>
          <w:p w14:paraId="1EA5324A" w14:textId="77777777" w:rsidR="006C62A5" w:rsidRPr="00C3671E" w:rsidRDefault="006C62A5" w:rsidP="00AA6335">
            <w:pPr>
              <w:tabs>
                <w:tab w:val="decimal" w:pos="801"/>
              </w:tabs>
              <w:rPr>
                <w:sz w:val="20"/>
                <w:szCs w:val="20"/>
                <w:lang w:val="en-GB"/>
              </w:rPr>
            </w:pPr>
            <w:r w:rsidRPr="00C3671E">
              <w:rPr>
                <w:sz w:val="20"/>
                <w:szCs w:val="20"/>
                <w:lang w:val="en-GB"/>
              </w:rPr>
              <w:t>28.8</w:t>
            </w:r>
          </w:p>
        </w:tc>
      </w:tr>
      <w:tr w:rsidR="006C62A5" w:rsidRPr="00C3671E" w14:paraId="356702AA" w14:textId="77777777" w:rsidTr="00AA6335">
        <w:trPr>
          <w:trHeight w:val="278"/>
        </w:trPr>
        <w:tc>
          <w:tcPr>
            <w:tcW w:w="3402" w:type="dxa"/>
            <w:vAlign w:val="center"/>
          </w:tcPr>
          <w:p w14:paraId="4E9E3BFD" w14:textId="77777777" w:rsidR="006C62A5" w:rsidRPr="00C3671E" w:rsidRDefault="006C62A5" w:rsidP="00AA6335">
            <w:pPr>
              <w:rPr>
                <w:sz w:val="20"/>
                <w:szCs w:val="20"/>
                <w:lang w:val="en-GB"/>
              </w:rPr>
            </w:pPr>
          </w:p>
        </w:tc>
        <w:tc>
          <w:tcPr>
            <w:tcW w:w="2268" w:type="dxa"/>
            <w:vAlign w:val="center"/>
          </w:tcPr>
          <w:p w14:paraId="2770427C" w14:textId="77777777" w:rsidR="006C62A5" w:rsidRPr="00C3671E" w:rsidRDefault="006C62A5" w:rsidP="00AA6335">
            <w:pPr>
              <w:rPr>
                <w:sz w:val="20"/>
                <w:szCs w:val="20"/>
                <w:lang w:val="en-GB"/>
              </w:rPr>
            </w:pPr>
            <w:r w:rsidRPr="00C3671E">
              <w:rPr>
                <w:sz w:val="20"/>
                <w:szCs w:val="20"/>
                <w:lang w:val="en-GB"/>
              </w:rPr>
              <w:t>Hardly</w:t>
            </w:r>
          </w:p>
        </w:tc>
        <w:tc>
          <w:tcPr>
            <w:tcW w:w="1985" w:type="dxa"/>
            <w:vAlign w:val="center"/>
          </w:tcPr>
          <w:p w14:paraId="18B36644" w14:textId="77777777" w:rsidR="006C62A5" w:rsidRPr="00C3671E" w:rsidRDefault="006C62A5" w:rsidP="00AA6335">
            <w:pPr>
              <w:tabs>
                <w:tab w:val="decimal" w:pos="801"/>
              </w:tabs>
              <w:rPr>
                <w:sz w:val="20"/>
                <w:szCs w:val="20"/>
                <w:lang w:val="en-GB"/>
              </w:rPr>
            </w:pPr>
            <w:r w:rsidRPr="00C3671E">
              <w:rPr>
                <w:sz w:val="20"/>
                <w:szCs w:val="20"/>
                <w:lang w:val="en-GB"/>
              </w:rPr>
              <w:t>13.3</w:t>
            </w:r>
          </w:p>
        </w:tc>
      </w:tr>
      <w:tr w:rsidR="006C62A5" w:rsidRPr="00C3671E" w14:paraId="03C99D70" w14:textId="77777777" w:rsidTr="00AA6335">
        <w:trPr>
          <w:trHeight w:val="278"/>
        </w:trPr>
        <w:tc>
          <w:tcPr>
            <w:tcW w:w="3402" w:type="dxa"/>
            <w:vAlign w:val="center"/>
          </w:tcPr>
          <w:p w14:paraId="4BDE03EE" w14:textId="77777777" w:rsidR="006C62A5" w:rsidRPr="00C3671E" w:rsidRDefault="006C62A5" w:rsidP="00AA6335">
            <w:pPr>
              <w:rPr>
                <w:sz w:val="20"/>
                <w:szCs w:val="20"/>
                <w:lang w:val="en-GB"/>
              </w:rPr>
            </w:pPr>
          </w:p>
        </w:tc>
        <w:tc>
          <w:tcPr>
            <w:tcW w:w="2268" w:type="dxa"/>
            <w:vAlign w:val="center"/>
          </w:tcPr>
          <w:p w14:paraId="1F49A8F0" w14:textId="77777777" w:rsidR="006C62A5" w:rsidRPr="00C3671E" w:rsidRDefault="006C62A5" w:rsidP="00AA6335">
            <w:pPr>
              <w:rPr>
                <w:sz w:val="20"/>
                <w:szCs w:val="20"/>
                <w:lang w:val="en-GB"/>
              </w:rPr>
            </w:pPr>
            <w:r w:rsidRPr="00C3671E">
              <w:rPr>
                <w:sz w:val="20"/>
                <w:szCs w:val="20"/>
                <w:lang w:val="en-GB"/>
              </w:rPr>
              <w:t>Never</w:t>
            </w:r>
          </w:p>
        </w:tc>
        <w:tc>
          <w:tcPr>
            <w:tcW w:w="1985" w:type="dxa"/>
            <w:vAlign w:val="center"/>
          </w:tcPr>
          <w:p w14:paraId="67E2D31B" w14:textId="77777777" w:rsidR="006C62A5" w:rsidRPr="00C3671E" w:rsidRDefault="006C62A5" w:rsidP="00AA6335">
            <w:pPr>
              <w:tabs>
                <w:tab w:val="decimal" w:pos="801"/>
              </w:tabs>
              <w:rPr>
                <w:sz w:val="20"/>
                <w:szCs w:val="20"/>
                <w:lang w:val="en-GB"/>
              </w:rPr>
            </w:pPr>
            <w:r w:rsidRPr="00C3671E">
              <w:rPr>
                <w:sz w:val="20"/>
                <w:szCs w:val="20"/>
                <w:lang w:val="en-GB"/>
              </w:rPr>
              <w:t>6.2</w:t>
            </w:r>
          </w:p>
        </w:tc>
      </w:tr>
      <w:tr w:rsidR="006C62A5" w:rsidRPr="00C3671E" w14:paraId="13F35EE1" w14:textId="77777777" w:rsidTr="00AA6335">
        <w:trPr>
          <w:trHeight w:val="278"/>
        </w:trPr>
        <w:tc>
          <w:tcPr>
            <w:tcW w:w="3402" w:type="dxa"/>
            <w:vAlign w:val="center"/>
          </w:tcPr>
          <w:p w14:paraId="68A97101" w14:textId="77777777" w:rsidR="006C62A5" w:rsidRPr="00C3671E" w:rsidRDefault="006C62A5" w:rsidP="00AA6335">
            <w:pPr>
              <w:rPr>
                <w:sz w:val="20"/>
                <w:szCs w:val="20"/>
                <w:lang w:val="en-GB"/>
              </w:rPr>
            </w:pPr>
            <w:r w:rsidRPr="00C3671E">
              <w:rPr>
                <w:sz w:val="20"/>
                <w:szCs w:val="20"/>
                <w:lang w:val="en-GB"/>
              </w:rPr>
              <w:t>Care activities – weekly or more</w:t>
            </w:r>
          </w:p>
        </w:tc>
        <w:tc>
          <w:tcPr>
            <w:tcW w:w="2268" w:type="dxa"/>
            <w:vAlign w:val="center"/>
          </w:tcPr>
          <w:p w14:paraId="476130B8" w14:textId="77777777" w:rsidR="006C62A5" w:rsidRPr="00C3671E" w:rsidRDefault="006C62A5" w:rsidP="00AA6335">
            <w:pPr>
              <w:rPr>
                <w:sz w:val="20"/>
                <w:szCs w:val="20"/>
                <w:lang w:val="en-GB"/>
              </w:rPr>
            </w:pPr>
            <w:r w:rsidRPr="00C3671E">
              <w:rPr>
                <w:sz w:val="20"/>
                <w:szCs w:val="20"/>
                <w:lang w:val="en-GB"/>
              </w:rPr>
              <w:t>0</w:t>
            </w:r>
          </w:p>
        </w:tc>
        <w:tc>
          <w:tcPr>
            <w:tcW w:w="1985" w:type="dxa"/>
            <w:vAlign w:val="center"/>
          </w:tcPr>
          <w:p w14:paraId="7696D842" w14:textId="77777777" w:rsidR="006C62A5" w:rsidRPr="00C3671E" w:rsidRDefault="006C62A5" w:rsidP="00AA6335">
            <w:pPr>
              <w:tabs>
                <w:tab w:val="decimal" w:pos="801"/>
              </w:tabs>
              <w:rPr>
                <w:sz w:val="20"/>
                <w:szCs w:val="20"/>
                <w:lang w:val="en-GB"/>
              </w:rPr>
            </w:pPr>
            <w:r w:rsidRPr="00C3671E">
              <w:rPr>
                <w:sz w:val="20"/>
                <w:szCs w:val="20"/>
                <w:lang w:val="en-GB"/>
              </w:rPr>
              <w:t>66.8</w:t>
            </w:r>
          </w:p>
        </w:tc>
      </w:tr>
      <w:tr w:rsidR="006C62A5" w:rsidRPr="00C3671E" w14:paraId="32C96B7B" w14:textId="77777777" w:rsidTr="00AA6335">
        <w:trPr>
          <w:trHeight w:val="278"/>
        </w:trPr>
        <w:tc>
          <w:tcPr>
            <w:tcW w:w="3402" w:type="dxa"/>
            <w:vAlign w:val="center"/>
          </w:tcPr>
          <w:p w14:paraId="7A8B9DCC" w14:textId="77777777" w:rsidR="006C62A5" w:rsidRPr="00C3671E" w:rsidRDefault="006C62A5" w:rsidP="00AA6335">
            <w:pPr>
              <w:rPr>
                <w:sz w:val="20"/>
                <w:szCs w:val="20"/>
                <w:lang w:val="en-GB"/>
              </w:rPr>
            </w:pPr>
          </w:p>
        </w:tc>
        <w:tc>
          <w:tcPr>
            <w:tcW w:w="2268" w:type="dxa"/>
            <w:vAlign w:val="center"/>
          </w:tcPr>
          <w:p w14:paraId="5931A6ED" w14:textId="77777777" w:rsidR="006C62A5" w:rsidRPr="00C3671E" w:rsidRDefault="006C62A5" w:rsidP="00AA6335">
            <w:pPr>
              <w:rPr>
                <w:sz w:val="20"/>
                <w:szCs w:val="20"/>
                <w:lang w:val="en-GB"/>
              </w:rPr>
            </w:pPr>
            <w:r w:rsidRPr="00C3671E">
              <w:rPr>
                <w:sz w:val="20"/>
                <w:szCs w:val="20"/>
                <w:lang w:val="en-GB"/>
              </w:rPr>
              <w:t>1</w:t>
            </w:r>
          </w:p>
        </w:tc>
        <w:tc>
          <w:tcPr>
            <w:tcW w:w="1985" w:type="dxa"/>
            <w:vAlign w:val="center"/>
          </w:tcPr>
          <w:p w14:paraId="60DDA9D6" w14:textId="77777777" w:rsidR="006C62A5" w:rsidRPr="00C3671E" w:rsidRDefault="006C62A5" w:rsidP="00AA6335">
            <w:pPr>
              <w:tabs>
                <w:tab w:val="decimal" w:pos="801"/>
              </w:tabs>
              <w:rPr>
                <w:sz w:val="20"/>
                <w:szCs w:val="20"/>
                <w:lang w:val="en-GB"/>
              </w:rPr>
            </w:pPr>
            <w:r w:rsidRPr="00C3671E">
              <w:rPr>
                <w:sz w:val="20"/>
                <w:szCs w:val="20"/>
                <w:lang w:val="en-GB"/>
              </w:rPr>
              <w:t>22.7</w:t>
            </w:r>
          </w:p>
        </w:tc>
      </w:tr>
      <w:tr w:rsidR="006C62A5" w:rsidRPr="00C3671E" w14:paraId="36C910D1" w14:textId="77777777" w:rsidTr="00AA6335">
        <w:trPr>
          <w:trHeight w:val="278"/>
        </w:trPr>
        <w:tc>
          <w:tcPr>
            <w:tcW w:w="3402" w:type="dxa"/>
            <w:vAlign w:val="center"/>
          </w:tcPr>
          <w:p w14:paraId="742D275F" w14:textId="77777777" w:rsidR="006C62A5" w:rsidRPr="00C3671E" w:rsidRDefault="006C62A5" w:rsidP="00AA6335">
            <w:pPr>
              <w:rPr>
                <w:sz w:val="20"/>
                <w:szCs w:val="20"/>
                <w:lang w:val="en-GB"/>
              </w:rPr>
            </w:pPr>
          </w:p>
        </w:tc>
        <w:tc>
          <w:tcPr>
            <w:tcW w:w="2268" w:type="dxa"/>
            <w:vAlign w:val="center"/>
          </w:tcPr>
          <w:p w14:paraId="034C519D" w14:textId="77777777" w:rsidR="006C62A5" w:rsidRPr="00C3671E" w:rsidRDefault="006C62A5" w:rsidP="00AA6335">
            <w:pPr>
              <w:rPr>
                <w:sz w:val="20"/>
                <w:szCs w:val="20"/>
                <w:lang w:val="en-GB"/>
              </w:rPr>
            </w:pPr>
            <w:r w:rsidRPr="00C3671E">
              <w:rPr>
                <w:sz w:val="20"/>
                <w:szCs w:val="20"/>
                <w:lang w:val="en-GB"/>
              </w:rPr>
              <w:t>2</w:t>
            </w:r>
          </w:p>
        </w:tc>
        <w:tc>
          <w:tcPr>
            <w:tcW w:w="1985" w:type="dxa"/>
            <w:vAlign w:val="center"/>
          </w:tcPr>
          <w:p w14:paraId="21E3AF4E" w14:textId="77777777" w:rsidR="006C62A5" w:rsidRPr="00C3671E" w:rsidRDefault="006C62A5" w:rsidP="00AA6335">
            <w:pPr>
              <w:tabs>
                <w:tab w:val="decimal" w:pos="801"/>
              </w:tabs>
              <w:rPr>
                <w:sz w:val="20"/>
                <w:szCs w:val="20"/>
                <w:lang w:val="en-GB"/>
              </w:rPr>
            </w:pPr>
            <w:r w:rsidRPr="00C3671E">
              <w:rPr>
                <w:sz w:val="20"/>
                <w:szCs w:val="20"/>
                <w:lang w:val="en-GB"/>
              </w:rPr>
              <w:t>7.7</w:t>
            </w:r>
          </w:p>
        </w:tc>
      </w:tr>
      <w:tr w:rsidR="006C62A5" w:rsidRPr="00C3671E" w14:paraId="683B99CD" w14:textId="77777777" w:rsidTr="00AA6335">
        <w:trPr>
          <w:trHeight w:val="278"/>
        </w:trPr>
        <w:tc>
          <w:tcPr>
            <w:tcW w:w="3402" w:type="dxa"/>
            <w:vAlign w:val="center"/>
          </w:tcPr>
          <w:p w14:paraId="5A96E55C" w14:textId="77777777" w:rsidR="006C62A5" w:rsidRPr="00C3671E" w:rsidRDefault="006C62A5" w:rsidP="00AA6335">
            <w:pPr>
              <w:rPr>
                <w:sz w:val="20"/>
                <w:szCs w:val="20"/>
                <w:lang w:val="en-GB"/>
              </w:rPr>
            </w:pPr>
          </w:p>
        </w:tc>
        <w:tc>
          <w:tcPr>
            <w:tcW w:w="2268" w:type="dxa"/>
            <w:vAlign w:val="center"/>
          </w:tcPr>
          <w:p w14:paraId="69E9E68B" w14:textId="77777777" w:rsidR="006C62A5" w:rsidRPr="00C3671E" w:rsidRDefault="006C62A5" w:rsidP="00AA6335">
            <w:pPr>
              <w:rPr>
                <w:sz w:val="20"/>
                <w:szCs w:val="20"/>
                <w:lang w:val="en-GB"/>
              </w:rPr>
            </w:pPr>
            <w:r w:rsidRPr="00C3671E">
              <w:rPr>
                <w:sz w:val="20"/>
                <w:szCs w:val="20"/>
                <w:lang w:val="en-GB"/>
              </w:rPr>
              <w:t>3</w:t>
            </w:r>
          </w:p>
        </w:tc>
        <w:tc>
          <w:tcPr>
            <w:tcW w:w="1985" w:type="dxa"/>
            <w:vAlign w:val="center"/>
          </w:tcPr>
          <w:p w14:paraId="4D3E4075" w14:textId="77777777" w:rsidR="006C62A5" w:rsidRPr="00C3671E" w:rsidRDefault="006C62A5" w:rsidP="00AA6335">
            <w:pPr>
              <w:tabs>
                <w:tab w:val="decimal" w:pos="801"/>
              </w:tabs>
              <w:rPr>
                <w:sz w:val="20"/>
                <w:szCs w:val="20"/>
                <w:lang w:val="en-GB"/>
              </w:rPr>
            </w:pPr>
            <w:r w:rsidRPr="00C3671E">
              <w:rPr>
                <w:sz w:val="20"/>
                <w:szCs w:val="20"/>
                <w:lang w:val="en-GB"/>
              </w:rPr>
              <w:t>2.1</w:t>
            </w:r>
          </w:p>
        </w:tc>
      </w:tr>
      <w:tr w:rsidR="006C62A5" w:rsidRPr="00C3671E" w14:paraId="7AB5589F" w14:textId="77777777" w:rsidTr="00AA6335">
        <w:trPr>
          <w:trHeight w:val="278"/>
        </w:trPr>
        <w:tc>
          <w:tcPr>
            <w:tcW w:w="3402" w:type="dxa"/>
            <w:vAlign w:val="center"/>
          </w:tcPr>
          <w:p w14:paraId="51882A62" w14:textId="77777777" w:rsidR="006C62A5" w:rsidRPr="00C3671E" w:rsidRDefault="006C62A5" w:rsidP="00AA6335">
            <w:pPr>
              <w:rPr>
                <w:sz w:val="20"/>
                <w:szCs w:val="20"/>
                <w:lang w:val="en-GB"/>
              </w:rPr>
            </w:pPr>
          </w:p>
        </w:tc>
        <w:tc>
          <w:tcPr>
            <w:tcW w:w="2268" w:type="dxa"/>
            <w:vAlign w:val="center"/>
          </w:tcPr>
          <w:p w14:paraId="6FCED46E" w14:textId="77777777" w:rsidR="006C62A5" w:rsidRPr="00C3671E" w:rsidRDefault="006C62A5" w:rsidP="00AA6335">
            <w:pPr>
              <w:rPr>
                <w:sz w:val="20"/>
                <w:szCs w:val="20"/>
                <w:lang w:val="en-GB"/>
              </w:rPr>
            </w:pPr>
            <w:r w:rsidRPr="00C3671E">
              <w:rPr>
                <w:sz w:val="20"/>
                <w:szCs w:val="20"/>
                <w:lang w:val="en-GB"/>
              </w:rPr>
              <w:t>4 and more</w:t>
            </w:r>
          </w:p>
        </w:tc>
        <w:tc>
          <w:tcPr>
            <w:tcW w:w="1985" w:type="dxa"/>
            <w:vAlign w:val="center"/>
          </w:tcPr>
          <w:p w14:paraId="6CB87033" w14:textId="77777777" w:rsidR="006C62A5" w:rsidRPr="00C3671E" w:rsidRDefault="006C62A5" w:rsidP="00AA6335">
            <w:pPr>
              <w:tabs>
                <w:tab w:val="decimal" w:pos="801"/>
              </w:tabs>
              <w:rPr>
                <w:sz w:val="20"/>
                <w:szCs w:val="20"/>
                <w:lang w:val="en-GB"/>
              </w:rPr>
            </w:pPr>
            <w:r w:rsidRPr="00C3671E">
              <w:rPr>
                <w:sz w:val="20"/>
                <w:szCs w:val="20"/>
                <w:lang w:val="en-GB"/>
              </w:rPr>
              <w:t>0.7</w:t>
            </w:r>
          </w:p>
        </w:tc>
      </w:tr>
      <w:tr w:rsidR="006C62A5" w:rsidRPr="00C3671E" w14:paraId="0A9431A7" w14:textId="77777777" w:rsidTr="00AA6335">
        <w:trPr>
          <w:trHeight w:val="278"/>
        </w:trPr>
        <w:tc>
          <w:tcPr>
            <w:tcW w:w="3402" w:type="dxa"/>
            <w:vAlign w:val="center"/>
          </w:tcPr>
          <w:p w14:paraId="1A15D4F5" w14:textId="77777777" w:rsidR="006C62A5" w:rsidRPr="00C3671E" w:rsidRDefault="006C62A5" w:rsidP="00AA6335">
            <w:pPr>
              <w:rPr>
                <w:sz w:val="20"/>
                <w:szCs w:val="20"/>
                <w:lang w:val="en-GB"/>
              </w:rPr>
            </w:pPr>
            <w:r w:rsidRPr="00C3671E">
              <w:rPr>
                <w:sz w:val="20"/>
                <w:szCs w:val="20"/>
                <w:lang w:val="en-GB"/>
              </w:rPr>
              <w:t>Care activities – daily or more</w:t>
            </w:r>
          </w:p>
        </w:tc>
        <w:tc>
          <w:tcPr>
            <w:tcW w:w="2268" w:type="dxa"/>
            <w:vAlign w:val="center"/>
          </w:tcPr>
          <w:p w14:paraId="529784F5" w14:textId="77777777" w:rsidR="006C62A5" w:rsidRPr="00C3671E" w:rsidRDefault="006C62A5" w:rsidP="00AA6335">
            <w:pPr>
              <w:rPr>
                <w:sz w:val="20"/>
                <w:szCs w:val="20"/>
                <w:lang w:val="en-GB"/>
              </w:rPr>
            </w:pPr>
            <w:r w:rsidRPr="00C3671E">
              <w:rPr>
                <w:sz w:val="20"/>
                <w:szCs w:val="20"/>
                <w:lang w:val="en-GB"/>
              </w:rPr>
              <w:t>0</w:t>
            </w:r>
          </w:p>
        </w:tc>
        <w:tc>
          <w:tcPr>
            <w:tcW w:w="1985" w:type="dxa"/>
            <w:vAlign w:val="center"/>
          </w:tcPr>
          <w:p w14:paraId="19D48F8F" w14:textId="77777777" w:rsidR="006C62A5" w:rsidRPr="00C3671E" w:rsidRDefault="006C62A5" w:rsidP="00AA6335">
            <w:pPr>
              <w:tabs>
                <w:tab w:val="decimal" w:pos="801"/>
              </w:tabs>
              <w:rPr>
                <w:sz w:val="20"/>
                <w:szCs w:val="20"/>
                <w:lang w:val="en-GB"/>
              </w:rPr>
            </w:pPr>
            <w:r w:rsidRPr="00C3671E">
              <w:rPr>
                <w:sz w:val="20"/>
                <w:szCs w:val="20"/>
                <w:lang w:val="en-GB"/>
              </w:rPr>
              <w:t>84.6</w:t>
            </w:r>
          </w:p>
        </w:tc>
      </w:tr>
      <w:tr w:rsidR="006C62A5" w:rsidRPr="00C3671E" w14:paraId="6C9BD076" w14:textId="77777777" w:rsidTr="00AA6335">
        <w:trPr>
          <w:trHeight w:val="278"/>
        </w:trPr>
        <w:tc>
          <w:tcPr>
            <w:tcW w:w="3402" w:type="dxa"/>
            <w:vAlign w:val="center"/>
          </w:tcPr>
          <w:p w14:paraId="724178D4" w14:textId="77777777" w:rsidR="006C62A5" w:rsidRPr="00C3671E" w:rsidRDefault="006C62A5" w:rsidP="00AA6335">
            <w:pPr>
              <w:rPr>
                <w:sz w:val="20"/>
                <w:szCs w:val="20"/>
                <w:lang w:val="en-GB"/>
              </w:rPr>
            </w:pPr>
          </w:p>
        </w:tc>
        <w:tc>
          <w:tcPr>
            <w:tcW w:w="2268" w:type="dxa"/>
            <w:vAlign w:val="center"/>
          </w:tcPr>
          <w:p w14:paraId="54C560D0" w14:textId="77777777" w:rsidR="006C62A5" w:rsidRPr="00C3671E" w:rsidRDefault="006C62A5" w:rsidP="00AA6335">
            <w:pPr>
              <w:rPr>
                <w:sz w:val="20"/>
                <w:szCs w:val="20"/>
                <w:lang w:val="en-GB"/>
              </w:rPr>
            </w:pPr>
            <w:r w:rsidRPr="00C3671E">
              <w:rPr>
                <w:sz w:val="20"/>
                <w:szCs w:val="20"/>
                <w:lang w:val="en-GB"/>
              </w:rPr>
              <w:t>1</w:t>
            </w:r>
          </w:p>
        </w:tc>
        <w:tc>
          <w:tcPr>
            <w:tcW w:w="1985" w:type="dxa"/>
            <w:vAlign w:val="center"/>
          </w:tcPr>
          <w:p w14:paraId="331FF8E2" w14:textId="77777777" w:rsidR="006C62A5" w:rsidRPr="00C3671E" w:rsidRDefault="006C62A5" w:rsidP="00AA6335">
            <w:pPr>
              <w:tabs>
                <w:tab w:val="decimal" w:pos="801"/>
              </w:tabs>
              <w:rPr>
                <w:sz w:val="20"/>
                <w:szCs w:val="20"/>
                <w:lang w:val="en-GB"/>
              </w:rPr>
            </w:pPr>
            <w:r w:rsidRPr="00C3671E">
              <w:rPr>
                <w:sz w:val="20"/>
                <w:szCs w:val="20"/>
                <w:lang w:val="en-GB"/>
              </w:rPr>
              <w:t>12.5</w:t>
            </w:r>
          </w:p>
        </w:tc>
      </w:tr>
      <w:tr w:rsidR="006C62A5" w:rsidRPr="00C3671E" w14:paraId="277F56EE" w14:textId="77777777" w:rsidTr="00AA6335">
        <w:trPr>
          <w:trHeight w:val="278"/>
        </w:trPr>
        <w:tc>
          <w:tcPr>
            <w:tcW w:w="3402" w:type="dxa"/>
            <w:vAlign w:val="center"/>
          </w:tcPr>
          <w:p w14:paraId="30994152" w14:textId="77777777" w:rsidR="006C62A5" w:rsidRPr="00C3671E" w:rsidRDefault="006C62A5" w:rsidP="00AA6335">
            <w:pPr>
              <w:rPr>
                <w:sz w:val="20"/>
                <w:szCs w:val="20"/>
                <w:lang w:val="en-GB"/>
              </w:rPr>
            </w:pPr>
          </w:p>
        </w:tc>
        <w:tc>
          <w:tcPr>
            <w:tcW w:w="2268" w:type="dxa"/>
            <w:vAlign w:val="center"/>
          </w:tcPr>
          <w:p w14:paraId="026BA369" w14:textId="77777777" w:rsidR="006C62A5" w:rsidRPr="00C3671E" w:rsidRDefault="006C62A5" w:rsidP="00AA6335">
            <w:pPr>
              <w:rPr>
                <w:sz w:val="20"/>
                <w:szCs w:val="20"/>
                <w:lang w:val="en-GB"/>
              </w:rPr>
            </w:pPr>
            <w:r w:rsidRPr="00C3671E">
              <w:rPr>
                <w:sz w:val="20"/>
                <w:szCs w:val="20"/>
                <w:lang w:val="en-GB"/>
              </w:rPr>
              <w:t>2</w:t>
            </w:r>
          </w:p>
        </w:tc>
        <w:tc>
          <w:tcPr>
            <w:tcW w:w="1985" w:type="dxa"/>
            <w:vAlign w:val="center"/>
          </w:tcPr>
          <w:p w14:paraId="7668A498" w14:textId="77777777" w:rsidR="006C62A5" w:rsidRPr="00C3671E" w:rsidRDefault="006C62A5" w:rsidP="00AA6335">
            <w:pPr>
              <w:tabs>
                <w:tab w:val="decimal" w:pos="801"/>
              </w:tabs>
              <w:rPr>
                <w:sz w:val="20"/>
                <w:szCs w:val="20"/>
                <w:lang w:val="en-GB"/>
              </w:rPr>
            </w:pPr>
            <w:r w:rsidRPr="00C3671E">
              <w:rPr>
                <w:sz w:val="20"/>
                <w:szCs w:val="20"/>
                <w:lang w:val="en-GB"/>
              </w:rPr>
              <w:t>2.4</w:t>
            </w:r>
          </w:p>
        </w:tc>
      </w:tr>
      <w:tr w:rsidR="006C62A5" w:rsidRPr="00C3671E" w14:paraId="476819FB" w14:textId="77777777" w:rsidTr="00AA6335">
        <w:trPr>
          <w:trHeight w:val="278"/>
        </w:trPr>
        <w:tc>
          <w:tcPr>
            <w:tcW w:w="3402" w:type="dxa"/>
            <w:vAlign w:val="center"/>
          </w:tcPr>
          <w:p w14:paraId="5B36AEAB" w14:textId="77777777" w:rsidR="006C62A5" w:rsidRPr="00C3671E" w:rsidRDefault="006C62A5" w:rsidP="00AA6335">
            <w:pPr>
              <w:rPr>
                <w:sz w:val="20"/>
                <w:szCs w:val="20"/>
                <w:lang w:val="en-GB"/>
              </w:rPr>
            </w:pPr>
          </w:p>
        </w:tc>
        <w:tc>
          <w:tcPr>
            <w:tcW w:w="2268" w:type="dxa"/>
            <w:vAlign w:val="center"/>
          </w:tcPr>
          <w:p w14:paraId="5BD7B787" w14:textId="77777777" w:rsidR="006C62A5" w:rsidRPr="00C3671E" w:rsidRDefault="006C62A5" w:rsidP="00AA6335">
            <w:pPr>
              <w:rPr>
                <w:sz w:val="20"/>
                <w:szCs w:val="20"/>
                <w:lang w:val="en-GB"/>
              </w:rPr>
            </w:pPr>
            <w:r w:rsidRPr="00C3671E">
              <w:rPr>
                <w:sz w:val="20"/>
                <w:szCs w:val="20"/>
                <w:lang w:val="en-GB"/>
              </w:rPr>
              <w:t>3 and more</w:t>
            </w:r>
          </w:p>
        </w:tc>
        <w:tc>
          <w:tcPr>
            <w:tcW w:w="1985" w:type="dxa"/>
            <w:vAlign w:val="center"/>
          </w:tcPr>
          <w:p w14:paraId="7DA894F9" w14:textId="77777777" w:rsidR="006C62A5" w:rsidRPr="00C3671E" w:rsidRDefault="006C62A5" w:rsidP="00AA6335">
            <w:pPr>
              <w:tabs>
                <w:tab w:val="decimal" w:pos="801"/>
              </w:tabs>
              <w:rPr>
                <w:sz w:val="20"/>
                <w:szCs w:val="20"/>
                <w:lang w:val="en-GB"/>
              </w:rPr>
            </w:pPr>
            <w:r w:rsidRPr="00C3671E">
              <w:rPr>
                <w:sz w:val="20"/>
                <w:szCs w:val="20"/>
                <w:lang w:val="en-GB"/>
              </w:rPr>
              <w:t>0.5</w:t>
            </w:r>
          </w:p>
        </w:tc>
      </w:tr>
      <w:tr w:rsidR="006C62A5" w:rsidRPr="00C3671E" w14:paraId="6B774704" w14:textId="77777777" w:rsidTr="00AA6335">
        <w:trPr>
          <w:trHeight w:val="278"/>
        </w:trPr>
        <w:tc>
          <w:tcPr>
            <w:tcW w:w="3402" w:type="dxa"/>
            <w:vAlign w:val="center"/>
          </w:tcPr>
          <w:p w14:paraId="7FB98008" w14:textId="77777777" w:rsidR="006C62A5" w:rsidRPr="00C3671E" w:rsidRDefault="006C62A5" w:rsidP="00AA6335">
            <w:pPr>
              <w:rPr>
                <w:sz w:val="20"/>
                <w:szCs w:val="20"/>
                <w:lang w:val="en-GB"/>
              </w:rPr>
            </w:pPr>
            <w:r w:rsidRPr="00C3671E">
              <w:rPr>
                <w:sz w:val="20"/>
                <w:szCs w:val="20"/>
                <w:lang w:val="en-GB"/>
              </w:rPr>
              <w:t>Age</w:t>
            </w:r>
          </w:p>
        </w:tc>
        <w:tc>
          <w:tcPr>
            <w:tcW w:w="2268" w:type="dxa"/>
            <w:vAlign w:val="center"/>
          </w:tcPr>
          <w:p w14:paraId="0A71A88C" w14:textId="77777777" w:rsidR="006C62A5" w:rsidRPr="00C3671E" w:rsidRDefault="006C62A5" w:rsidP="00AA6335">
            <w:pPr>
              <w:rPr>
                <w:sz w:val="20"/>
                <w:szCs w:val="20"/>
                <w:lang w:val="en-GB"/>
              </w:rPr>
            </w:pPr>
            <w:r w:rsidRPr="00C3671E">
              <w:rPr>
                <w:sz w:val="20"/>
                <w:szCs w:val="20"/>
                <w:lang w:val="en-GB"/>
              </w:rPr>
              <w:t>51 – 90</w:t>
            </w:r>
          </w:p>
        </w:tc>
        <w:tc>
          <w:tcPr>
            <w:tcW w:w="1985" w:type="dxa"/>
            <w:vAlign w:val="center"/>
          </w:tcPr>
          <w:p w14:paraId="455BBD3B" w14:textId="77777777" w:rsidR="006C62A5" w:rsidRPr="00C3671E" w:rsidRDefault="006C62A5" w:rsidP="00AA6335">
            <w:pPr>
              <w:tabs>
                <w:tab w:val="decimal" w:pos="801"/>
              </w:tabs>
              <w:rPr>
                <w:sz w:val="20"/>
                <w:szCs w:val="20"/>
                <w:lang w:val="en-GB"/>
              </w:rPr>
            </w:pPr>
            <w:r w:rsidRPr="00C3671E">
              <w:rPr>
                <w:sz w:val="20"/>
                <w:szCs w:val="20"/>
                <w:lang w:val="en-GB"/>
              </w:rPr>
              <w:t>67.0</w:t>
            </w:r>
          </w:p>
        </w:tc>
      </w:tr>
      <w:tr w:rsidR="006C62A5" w:rsidRPr="00C3671E" w14:paraId="24A55FE8" w14:textId="77777777" w:rsidTr="00AA6335">
        <w:trPr>
          <w:trHeight w:val="278"/>
        </w:trPr>
        <w:tc>
          <w:tcPr>
            <w:tcW w:w="3402" w:type="dxa"/>
            <w:vAlign w:val="center"/>
          </w:tcPr>
          <w:p w14:paraId="59EC4256" w14:textId="77777777" w:rsidR="006C62A5" w:rsidRPr="00C3671E" w:rsidRDefault="006C62A5" w:rsidP="00AA6335">
            <w:pPr>
              <w:rPr>
                <w:sz w:val="20"/>
                <w:szCs w:val="20"/>
                <w:lang w:val="en-GB"/>
              </w:rPr>
            </w:pPr>
            <w:r w:rsidRPr="00C3671E">
              <w:rPr>
                <w:sz w:val="20"/>
                <w:szCs w:val="20"/>
                <w:lang w:val="en-GB"/>
              </w:rPr>
              <w:t>Gender</w:t>
            </w:r>
          </w:p>
        </w:tc>
        <w:tc>
          <w:tcPr>
            <w:tcW w:w="2268" w:type="dxa"/>
            <w:vAlign w:val="center"/>
          </w:tcPr>
          <w:p w14:paraId="57B9CE02" w14:textId="77777777" w:rsidR="006C62A5" w:rsidRPr="00C3671E" w:rsidRDefault="006C62A5" w:rsidP="00AA6335">
            <w:pPr>
              <w:rPr>
                <w:sz w:val="20"/>
                <w:szCs w:val="20"/>
                <w:lang w:val="en-GB"/>
              </w:rPr>
            </w:pPr>
            <w:r w:rsidRPr="00C3671E">
              <w:rPr>
                <w:sz w:val="20"/>
                <w:szCs w:val="20"/>
                <w:lang w:val="en-GB"/>
              </w:rPr>
              <w:t>Male</w:t>
            </w:r>
          </w:p>
        </w:tc>
        <w:tc>
          <w:tcPr>
            <w:tcW w:w="1985" w:type="dxa"/>
            <w:vAlign w:val="center"/>
          </w:tcPr>
          <w:p w14:paraId="0E210ABB" w14:textId="77777777" w:rsidR="006C62A5" w:rsidRPr="00C3671E" w:rsidRDefault="006C62A5" w:rsidP="00AA6335">
            <w:pPr>
              <w:tabs>
                <w:tab w:val="decimal" w:pos="801"/>
              </w:tabs>
              <w:rPr>
                <w:sz w:val="20"/>
                <w:szCs w:val="20"/>
                <w:lang w:val="en-GB"/>
              </w:rPr>
            </w:pPr>
            <w:r w:rsidRPr="00C3671E">
              <w:rPr>
                <w:sz w:val="20"/>
                <w:szCs w:val="20"/>
                <w:lang w:val="en-GB"/>
              </w:rPr>
              <w:t>41.5</w:t>
            </w:r>
          </w:p>
        </w:tc>
      </w:tr>
      <w:tr w:rsidR="006C62A5" w:rsidRPr="00C3671E" w14:paraId="1A70886F" w14:textId="77777777" w:rsidTr="00AA6335">
        <w:trPr>
          <w:trHeight w:val="278"/>
        </w:trPr>
        <w:tc>
          <w:tcPr>
            <w:tcW w:w="3402" w:type="dxa"/>
            <w:vAlign w:val="center"/>
          </w:tcPr>
          <w:p w14:paraId="775D150E" w14:textId="77777777" w:rsidR="006C62A5" w:rsidRPr="00C3671E" w:rsidRDefault="006C62A5" w:rsidP="00AA6335">
            <w:pPr>
              <w:rPr>
                <w:sz w:val="20"/>
                <w:szCs w:val="20"/>
                <w:lang w:val="en-GB"/>
              </w:rPr>
            </w:pPr>
          </w:p>
        </w:tc>
        <w:tc>
          <w:tcPr>
            <w:tcW w:w="2268" w:type="dxa"/>
            <w:vAlign w:val="center"/>
          </w:tcPr>
          <w:p w14:paraId="48FDA8C1" w14:textId="77777777" w:rsidR="006C62A5" w:rsidRPr="00C3671E" w:rsidRDefault="006C62A5" w:rsidP="00AA6335">
            <w:pPr>
              <w:rPr>
                <w:sz w:val="20"/>
                <w:szCs w:val="20"/>
                <w:lang w:val="en-GB"/>
              </w:rPr>
            </w:pPr>
            <w:r w:rsidRPr="00C3671E">
              <w:rPr>
                <w:sz w:val="20"/>
                <w:szCs w:val="20"/>
                <w:lang w:val="en-GB"/>
              </w:rPr>
              <w:t>Female</w:t>
            </w:r>
          </w:p>
        </w:tc>
        <w:tc>
          <w:tcPr>
            <w:tcW w:w="1985" w:type="dxa"/>
            <w:vAlign w:val="center"/>
          </w:tcPr>
          <w:p w14:paraId="463FD8E4" w14:textId="77777777" w:rsidR="006C62A5" w:rsidRPr="00C3671E" w:rsidRDefault="006C62A5" w:rsidP="00AA6335">
            <w:pPr>
              <w:tabs>
                <w:tab w:val="decimal" w:pos="801"/>
              </w:tabs>
              <w:rPr>
                <w:sz w:val="20"/>
                <w:szCs w:val="20"/>
                <w:lang w:val="en-GB"/>
              </w:rPr>
            </w:pPr>
            <w:r w:rsidRPr="00C3671E">
              <w:rPr>
                <w:sz w:val="20"/>
                <w:szCs w:val="20"/>
                <w:lang w:val="en-GB"/>
              </w:rPr>
              <w:t>58.5</w:t>
            </w:r>
          </w:p>
        </w:tc>
      </w:tr>
      <w:tr w:rsidR="006C62A5" w:rsidRPr="00C3671E" w14:paraId="7BD6F83B" w14:textId="77777777" w:rsidTr="00AA6335">
        <w:trPr>
          <w:trHeight w:val="278"/>
        </w:trPr>
        <w:tc>
          <w:tcPr>
            <w:tcW w:w="3402" w:type="dxa"/>
            <w:vAlign w:val="center"/>
          </w:tcPr>
          <w:p w14:paraId="6A2EC97D" w14:textId="77777777" w:rsidR="006C62A5" w:rsidRPr="00C3671E" w:rsidRDefault="006C62A5" w:rsidP="00AA6335">
            <w:pPr>
              <w:rPr>
                <w:sz w:val="20"/>
                <w:szCs w:val="20"/>
                <w:lang w:val="en-GB"/>
              </w:rPr>
            </w:pPr>
            <w:r w:rsidRPr="00C3671E">
              <w:rPr>
                <w:sz w:val="20"/>
                <w:szCs w:val="20"/>
                <w:lang w:val="en-GB"/>
              </w:rPr>
              <w:t>Health</w:t>
            </w:r>
          </w:p>
        </w:tc>
        <w:tc>
          <w:tcPr>
            <w:tcW w:w="2268" w:type="dxa"/>
            <w:vAlign w:val="center"/>
          </w:tcPr>
          <w:p w14:paraId="1FF49EF9" w14:textId="77777777" w:rsidR="006C62A5" w:rsidRPr="00C3671E" w:rsidRDefault="006C62A5" w:rsidP="00AA6335">
            <w:pPr>
              <w:rPr>
                <w:sz w:val="20"/>
                <w:szCs w:val="20"/>
                <w:lang w:val="en-GB"/>
              </w:rPr>
            </w:pPr>
            <w:r w:rsidRPr="00C3671E">
              <w:rPr>
                <w:sz w:val="20"/>
                <w:szCs w:val="20"/>
                <w:lang w:val="en-GB"/>
              </w:rPr>
              <w:t>Unhealthy</w:t>
            </w:r>
          </w:p>
        </w:tc>
        <w:tc>
          <w:tcPr>
            <w:tcW w:w="1985" w:type="dxa"/>
            <w:vAlign w:val="center"/>
          </w:tcPr>
          <w:p w14:paraId="068372C7" w14:textId="77777777" w:rsidR="006C62A5" w:rsidRPr="00C3671E" w:rsidRDefault="006C62A5" w:rsidP="00AA6335">
            <w:pPr>
              <w:tabs>
                <w:tab w:val="decimal" w:pos="801"/>
              </w:tabs>
              <w:rPr>
                <w:sz w:val="20"/>
                <w:szCs w:val="20"/>
                <w:lang w:val="en-GB"/>
              </w:rPr>
            </w:pPr>
            <w:r w:rsidRPr="00C3671E">
              <w:rPr>
                <w:sz w:val="20"/>
                <w:szCs w:val="20"/>
                <w:lang w:val="en-GB"/>
              </w:rPr>
              <w:t>37.2</w:t>
            </w:r>
          </w:p>
        </w:tc>
      </w:tr>
      <w:tr w:rsidR="006C62A5" w:rsidRPr="00C3671E" w14:paraId="63ABD79E" w14:textId="77777777" w:rsidTr="00AA6335">
        <w:trPr>
          <w:trHeight w:val="278"/>
        </w:trPr>
        <w:tc>
          <w:tcPr>
            <w:tcW w:w="3402" w:type="dxa"/>
            <w:vAlign w:val="center"/>
          </w:tcPr>
          <w:p w14:paraId="00FDFBA1" w14:textId="77777777" w:rsidR="006C62A5" w:rsidRPr="00C3671E" w:rsidRDefault="006C62A5" w:rsidP="00AA6335">
            <w:pPr>
              <w:rPr>
                <w:sz w:val="20"/>
                <w:szCs w:val="20"/>
                <w:lang w:val="en-GB"/>
              </w:rPr>
            </w:pPr>
          </w:p>
        </w:tc>
        <w:tc>
          <w:tcPr>
            <w:tcW w:w="2268" w:type="dxa"/>
            <w:vAlign w:val="center"/>
          </w:tcPr>
          <w:p w14:paraId="2AAAFD45" w14:textId="77777777" w:rsidR="006C62A5" w:rsidRPr="00C3671E" w:rsidRDefault="006C62A5" w:rsidP="00AA6335">
            <w:pPr>
              <w:rPr>
                <w:sz w:val="20"/>
                <w:szCs w:val="20"/>
                <w:lang w:val="en-GB"/>
              </w:rPr>
            </w:pPr>
            <w:r w:rsidRPr="00C3671E">
              <w:rPr>
                <w:sz w:val="20"/>
                <w:szCs w:val="20"/>
                <w:lang w:val="en-GB"/>
              </w:rPr>
              <w:t>Healthy</w:t>
            </w:r>
          </w:p>
        </w:tc>
        <w:tc>
          <w:tcPr>
            <w:tcW w:w="1985" w:type="dxa"/>
            <w:vAlign w:val="center"/>
          </w:tcPr>
          <w:p w14:paraId="7CC3193B" w14:textId="77777777" w:rsidR="006C62A5" w:rsidRPr="00C3671E" w:rsidRDefault="006C62A5" w:rsidP="00AA6335">
            <w:pPr>
              <w:tabs>
                <w:tab w:val="decimal" w:pos="801"/>
              </w:tabs>
              <w:rPr>
                <w:sz w:val="20"/>
                <w:szCs w:val="20"/>
                <w:lang w:val="en-GB"/>
              </w:rPr>
            </w:pPr>
            <w:r w:rsidRPr="00C3671E">
              <w:rPr>
                <w:sz w:val="20"/>
                <w:szCs w:val="20"/>
                <w:lang w:val="en-GB"/>
              </w:rPr>
              <w:t>62.8</w:t>
            </w:r>
          </w:p>
        </w:tc>
      </w:tr>
      <w:tr w:rsidR="006C62A5" w:rsidRPr="00C3671E" w14:paraId="5B7C9225" w14:textId="77777777" w:rsidTr="00AA6335">
        <w:trPr>
          <w:trHeight w:val="278"/>
        </w:trPr>
        <w:tc>
          <w:tcPr>
            <w:tcW w:w="3402" w:type="dxa"/>
            <w:vAlign w:val="center"/>
          </w:tcPr>
          <w:p w14:paraId="527BAF46" w14:textId="77777777" w:rsidR="006C62A5" w:rsidRPr="00C3671E" w:rsidRDefault="006C62A5" w:rsidP="00AA6335">
            <w:pPr>
              <w:rPr>
                <w:sz w:val="20"/>
                <w:szCs w:val="20"/>
                <w:lang w:val="en-GB"/>
              </w:rPr>
            </w:pPr>
            <w:r w:rsidRPr="00C3671E">
              <w:rPr>
                <w:sz w:val="20"/>
                <w:szCs w:val="20"/>
                <w:lang w:val="en-GB"/>
              </w:rPr>
              <w:t>Employment status</w:t>
            </w:r>
          </w:p>
        </w:tc>
        <w:tc>
          <w:tcPr>
            <w:tcW w:w="2268" w:type="dxa"/>
            <w:vAlign w:val="center"/>
          </w:tcPr>
          <w:p w14:paraId="6DFFF954" w14:textId="77777777" w:rsidR="006C62A5" w:rsidRPr="00C3671E" w:rsidRDefault="006C62A5" w:rsidP="00AA6335">
            <w:pPr>
              <w:rPr>
                <w:sz w:val="20"/>
                <w:szCs w:val="20"/>
                <w:lang w:val="en-GB"/>
              </w:rPr>
            </w:pPr>
            <w:r w:rsidRPr="00C3671E">
              <w:rPr>
                <w:sz w:val="20"/>
                <w:szCs w:val="20"/>
                <w:lang w:val="en-GB"/>
              </w:rPr>
              <w:t>not working</w:t>
            </w:r>
          </w:p>
        </w:tc>
        <w:tc>
          <w:tcPr>
            <w:tcW w:w="1985" w:type="dxa"/>
            <w:vAlign w:val="center"/>
          </w:tcPr>
          <w:p w14:paraId="100CF0BF" w14:textId="77777777" w:rsidR="006C62A5" w:rsidRPr="00C3671E" w:rsidRDefault="006C62A5" w:rsidP="00AA6335">
            <w:pPr>
              <w:tabs>
                <w:tab w:val="decimal" w:pos="801"/>
              </w:tabs>
              <w:rPr>
                <w:sz w:val="20"/>
                <w:szCs w:val="20"/>
                <w:lang w:val="en-GB"/>
              </w:rPr>
            </w:pPr>
            <w:r w:rsidRPr="00C3671E">
              <w:rPr>
                <w:sz w:val="20"/>
                <w:szCs w:val="20"/>
                <w:lang w:val="en-GB"/>
              </w:rPr>
              <w:t>69.0</w:t>
            </w:r>
          </w:p>
        </w:tc>
      </w:tr>
      <w:tr w:rsidR="006C62A5" w:rsidRPr="00C3671E" w14:paraId="33EDAF66" w14:textId="77777777" w:rsidTr="00AA6335">
        <w:trPr>
          <w:trHeight w:val="278"/>
        </w:trPr>
        <w:tc>
          <w:tcPr>
            <w:tcW w:w="3402" w:type="dxa"/>
            <w:vAlign w:val="center"/>
          </w:tcPr>
          <w:p w14:paraId="54FF8F93" w14:textId="77777777" w:rsidR="006C62A5" w:rsidRPr="00C3671E" w:rsidRDefault="006C62A5" w:rsidP="00AA6335">
            <w:pPr>
              <w:rPr>
                <w:sz w:val="20"/>
                <w:szCs w:val="20"/>
                <w:lang w:val="en-GB"/>
              </w:rPr>
            </w:pPr>
          </w:p>
        </w:tc>
        <w:tc>
          <w:tcPr>
            <w:tcW w:w="2268" w:type="dxa"/>
            <w:vAlign w:val="center"/>
          </w:tcPr>
          <w:p w14:paraId="6B33D716" w14:textId="77777777" w:rsidR="006C62A5" w:rsidRPr="00C3671E" w:rsidRDefault="006C62A5" w:rsidP="00AA6335">
            <w:pPr>
              <w:rPr>
                <w:sz w:val="20"/>
                <w:szCs w:val="20"/>
                <w:lang w:val="en-GB"/>
              </w:rPr>
            </w:pPr>
            <w:r w:rsidRPr="00C3671E">
              <w:rPr>
                <w:sz w:val="20"/>
                <w:szCs w:val="20"/>
                <w:lang w:val="en-GB"/>
              </w:rPr>
              <w:t>part-time</w:t>
            </w:r>
          </w:p>
        </w:tc>
        <w:tc>
          <w:tcPr>
            <w:tcW w:w="1985" w:type="dxa"/>
            <w:vAlign w:val="center"/>
          </w:tcPr>
          <w:p w14:paraId="3ECF5B48" w14:textId="77777777" w:rsidR="006C62A5" w:rsidRPr="00C3671E" w:rsidRDefault="006C62A5" w:rsidP="00AA6335">
            <w:pPr>
              <w:tabs>
                <w:tab w:val="decimal" w:pos="801"/>
              </w:tabs>
              <w:rPr>
                <w:sz w:val="20"/>
                <w:szCs w:val="20"/>
                <w:lang w:val="en-GB"/>
              </w:rPr>
            </w:pPr>
            <w:r w:rsidRPr="00C3671E">
              <w:rPr>
                <w:sz w:val="20"/>
                <w:szCs w:val="20"/>
                <w:lang w:val="en-GB"/>
              </w:rPr>
              <w:t>10.3</w:t>
            </w:r>
          </w:p>
        </w:tc>
      </w:tr>
      <w:tr w:rsidR="006C62A5" w:rsidRPr="00C3671E" w14:paraId="319FA82C" w14:textId="77777777" w:rsidTr="00AA6335">
        <w:trPr>
          <w:trHeight w:val="278"/>
        </w:trPr>
        <w:tc>
          <w:tcPr>
            <w:tcW w:w="3402" w:type="dxa"/>
            <w:vAlign w:val="center"/>
          </w:tcPr>
          <w:p w14:paraId="406EB884" w14:textId="77777777" w:rsidR="006C62A5" w:rsidRPr="00C3671E" w:rsidRDefault="006C62A5" w:rsidP="00AA6335">
            <w:pPr>
              <w:rPr>
                <w:sz w:val="20"/>
                <w:szCs w:val="20"/>
                <w:lang w:val="en-GB"/>
              </w:rPr>
            </w:pPr>
          </w:p>
        </w:tc>
        <w:tc>
          <w:tcPr>
            <w:tcW w:w="2268" w:type="dxa"/>
            <w:vAlign w:val="center"/>
          </w:tcPr>
          <w:p w14:paraId="72A97F56" w14:textId="77777777" w:rsidR="006C62A5" w:rsidRPr="00C3671E" w:rsidRDefault="006C62A5" w:rsidP="00AA6335">
            <w:pPr>
              <w:rPr>
                <w:sz w:val="20"/>
                <w:szCs w:val="20"/>
                <w:lang w:val="en-GB"/>
              </w:rPr>
            </w:pPr>
            <w:r w:rsidRPr="00C3671E">
              <w:rPr>
                <w:sz w:val="20"/>
                <w:szCs w:val="20"/>
                <w:lang w:val="en-GB"/>
              </w:rPr>
              <w:t>full-time</w:t>
            </w:r>
          </w:p>
        </w:tc>
        <w:tc>
          <w:tcPr>
            <w:tcW w:w="1985" w:type="dxa"/>
            <w:vAlign w:val="center"/>
          </w:tcPr>
          <w:p w14:paraId="6B86E8D8" w14:textId="77777777" w:rsidR="006C62A5" w:rsidRPr="00C3671E" w:rsidRDefault="006C62A5" w:rsidP="00AA6335">
            <w:pPr>
              <w:tabs>
                <w:tab w:val="decimal" w:pos="801"/>
              </w:tabs>
              <w:rPr>
                <w:sz w:val="20"/>
                <w:szCs w:val="20"/>
                <w:lang w:val="en-GB"/>
              </w:rPr>
            </w:pPr>
            <w:r w:rsidRPr="00C3671E">
              <w:rPr>
                <w:sz w:val="20"/>
                <w:szCs w:val="20"/>
                <w:lang w:val="en-GB"/>
              </w:rPr>
              <w:t>20.7</w:t>
            </w:r>
          </w:p>
        </w:tc>
      </w:tr>
      <w:tr w:rsidR="006C62A5" w:rsidRPr="00C3671E" w14:paraId="3317B8C7" w14:textId="77777777" w:rsidTr="00AA6335">
        <w:trPr>
          <w:trHeight w:val="278"/>
        </w:trPr>
        <w:tc>
          <w:tcPr>
            <w:tcW w:w="3402" w:type="dxa"/>
            <w:vAlign w:val="center"/>
          </w:tcPr>
          <w:p w14:paraId="550363A5" w14:textId="77777777" w:rsidR="006C62A5" w:rsidRPr="00C3671E" w:rsidRDefault="006C62A5" w:rsidP="00AA6335">
            <w:pPr>
              <w:rPr>
                <w:sz w:val="20"/>
                <w:szCs w:val="20"/>
                <w:lang w:val="en-GB"/>
              </w:rPr>
            </w:pPr>
            <w:r w:rsidRPr="00C3671E">
              <w:rPr>
                <w:sz w:val="20"/>
                <w:szCs w:val="20"/>
                <w:lang w:val="en-GB"/>
              </w:rPr>
              <w:t>Education (ISCED)</w:t>
            </w:r>
          </w:p>
        </w:tc>
        <w:tc>
          <w:tcPr>
            <w:tcW w:w="2268" w:type="dxa"/>
            <w:vAlign w:val="center"/>
          </w:tcPr>
          <w:p w14:paraId="7E128B9A" w14:textId="77777777" w:rsidR="006C62A5" w:rsidRPr="00C3671E" w:rsidRDefault="006C62A5" w:rsidP="00AA6335">
            <w:pPr>
              <w:rPr>
                <w:sz w:val="20"/>
                <w:szCs w:val="20"/>
                <w:lang w:val="en-GB"/>
              </w:rPr>
            </w:pPr>
            <w:r w:rsidRPr="00C3671E">
              <w:rPr>
                <w:sz w:val="20"/>
                <w:szCs w:val="20"/>
                <w:lang w:val="en-GB"/>
              </w:rPr>
              <w:t>ISCED 0,1</w:t>
            </w:r>
          </w:p>
        </w:tc>
        <w:tc>
          <w:tcPr>
            <w:tcW w:w="1985" w:type="dxa"/>
            <w:vAlign w:val="center"/>
          </w:tcPr>
          <w:p w14:paraId="28828AE8" w14:textId="77777777" w:rsidR="006C62A5" w:rsidRPr="00C3671E" w:rsidRDefault="006C62A5" w:rsidP="00AA6335">
            <w:pPr>
              <w:tabs>
                <w:tab w:val="decimal" w:pos="801"/>
              </w:tabs>
              <w:rPr>
                <w:sz w:val="20"/>
                <w:szCs w:val="20"/>
                <w:lang w:val="en-GB"/>
              </w:rPr>
            </w:pPr>
            <w:r w:rsidRPr="00C3671E">
              <w:rPr>
                <w:sz w:val="20"/>
                <w:szCs w:val="20"/>
                <w:lang w:val="en-GB"/>
              </w:rPr>
              <w:t>20.3</w:t>
            </w:r>
          </w:p>
        </w:tc>
      </w:tr>
      <w:tr w:rsidR="006C62A5" w:rsidRPr="00C3671E" w14:paraId="56D22ED8" w14:textId="77777777" w:rsidTr="00AA6335">
        <w:trPr>
          <w:trHeight w:val="278"/>
        </w:trPr>
        <w:tc>
          <w:tcPr>
            <w:tcW w:w="3402" w:type="dxa"/>
            <w:vAlign w:val="center"/>
          </w:tcPr>
          <w:p w14:paraId="3018839C" w14:textId="77777777" w:rsidR="006C62A5" w:rsidRPr="00C3671E" w:rsidRDefault="006C62A5" w:rsidP="00AA6335">
            <w:pPr>
              <w:rPr>
                <w:sz w:val="20"/>
                <w:szCs w:val="20"/>
                <w:lang w:val="en-GB"/>
              </w:rPr>
            </w:pPr>
          </w:p>
        </w:tc>
        <w:tc>
          <w:tcPr>
            <w:tcW w:w="2268" w:type="dxa"/>
            <w:vAlign w:val="center"/>
          </w:tcPr>
          <w:p w14:paraId="377DBEEE" w14:textId="77777777" w:rsidR="006C62A5" w:rsidRPr="00C3671E" w:rsidRDefault="006C62A5" w:rsidP="00AA6335">
            <w:pPr>
              <w:rPr>
                <w:sz w:val="20"/>
                <w:szCs w:val="20"/>
                <w:lang w:val="en-GB"/>
              </w:rPr>
            </w:pPr>
            <w:r w:rsidRPr="00C3671E">
              <w:rPr>
                <w:sz w:val="20"/>
                <w:szCs w:val="20"/>
                <w:lang w:val="en-GB"/>
              </w:rPr>
              <w:t>ISCED 2-4</w:t>
            </w:r>
          </w:p>
        </w:tc>
        <w:tc>
          <w:tcPr>
            <w:tcW w:w="1985" w:type="dxa"/>
            <w:vAlign w:val="center"/>
          </w:tcPr>
          <w:p w14:paraId="6E128055" w14:textId="77777777" w:rsidR="006C62A5" w:rsidRPr="00C3671E" w:rsidRDefault="006C62A5" w:rsidP="00AA6335">
            <w:pPr>
              <w:tabs>
                <w:tab w:val="decimal" w:pos="801"/>
              </w:tabs>
              <w:rPr>
                <w:sz w:val="20"/>
                <w:szCs w:val="20"/>
                <w:lang w:val="en-GB"/>
              </w:rPr>
            </w:pPr>
            <w:r w:rsidRPr="00C3671E">
              <w:rPr>
                <w:sz w:val="20"/>
                <w:szCs w:val="20"/>
                <w:lang w:val="en-GB"/>
              </w:rPr>
              <w:t>56.4</w:t>
            </w:r>
          </w:p>
        </w:tc>
      </w:tr>
      <w:tr w:rsidR="006C62A5" w:rsidRPr="00C3671E" w14:paraId="559817EF" w14:textId="77777777" w:rsidTr="00AA6335">
        <w:trPr>
          <w:trHeight w:val="278"/>
        </w:trPr>
        <w:tc>
          <w:tcPr>
            <w:tcW w:w="3402" w:type="dxa"/>
            <w:vAlign w:val="center"/>
          </w:tcPr>
          <w:p w14:paraId="585BF8F2" w14:textId="77777777" w:rsidR="006C62A5" w:rsidRPr="00C3671E" w:rsidRDefault="006C62A5" w:rsidP="00AA6335">
            <w:pPr>
              <w:rPr>
                <w:sz w:val="20"/>
                <w:szCs w:val="20"/>
                <w:lang w:val="en-GB"/>
              </w:rPr>
            </w:pPr>
          </w:p>
        </w:tc>
        <w:tc>
          <w:tcPr>
            <w:tcW w:w="2268" w:type="dxa"/>
            <w:vAlign w:val="center"/>
          </w:tcPr>
          <w:p w14:paraId="5B6A4C01" w14:textId="77777777" w:rsidR="006C62A5" w:rsidRPr="00C3671E" w:rsidRDefault="006C62A5" w:rsidP="00AA6335">
            <w:pPr>
              <w:rPr>
                <w:sz w:val="20"/>
                <w:szCs w:val="20"/>
                <w:lang w:val="en-GB"/>
              </w:rPr>
            </w:pPr>
            <w:r w:rsidRPr="00C3671E">
              <w:rPr>
                <w:sz w:val="20"/>
                <w:szCs w:val="20"/>
                <w:lang w:val="en-GB"/>
              </w:rPr>
              <w:t>ISCED 5,6</w:t>
            </w:r>
          </w:p>
        </w:tc>
        <w:tc>
          <w:tcPr>
            <w:tcW w:w="1985" w:type="dxa"/>
            <w:vAlign w:val="center"/>
          </w:tcPr>
          <w:p w14:paraId="17F2B861" w14:textId="77777777" w:rsidR="006C62A5" w:rsidRPr="00C3671E" w:rsidRDefault="006C62A5" w:rsidP="00AA6335">
            <w:pPr>
              <w:tabs>
                <w:tab w:val="decimal" w:pos="801"/>
              </w:tabs>
              <w:rPr>
                <w:sz w:val="20"/>
                <w:szCs w:val="20"/>
                <w:lang w:val="en-GB"/>
              </w:rPr>
            </w:pPr>
            <w:r w:rsidRPr="00C3671E">
              <w:rPr>
                <w:sz w:val="20"/>
                <w:szCs w:val="20"/>
                <w:lang w:val="en-GB"/>
              </w:rPr>
              <w:t>23.3</w:t>
            </w:r>
          </w:p>
        </w:tc>
      </w:tr>
      <w:tr w:rsidR="006C62A5" w:rsidRPr="00C3671E" w14:paraId="693705F7" w14:textId="77777777" w:rsidTr="00AA6335">
        <w:trPr>
          <w:trHeight w:val="278"/>
        </w:trPr>
        <w:tc>
          <w:tcPr>
            <w:tcW w:w="3402" w:type="dxa"/>
            <w:vAlign w:val="center"/>
          </w:tcPr>
          <w:p w14:paraId="46DB1C97" w14:textId="77777777" w:rsidR="006C62A5" w:rsidRPr="00C3671E" w:rsidRDefault="006C62A5" w:rsidP="00AA6335">
            <w:pPr>
              <w:rPr>
                <w:sz w:val="20"/>
                <w:szCs w:val="20"/>
                <w:lang w:val="en-GB"/>
              </w:rPr>
            </w:pPr>
            <w:r w:rsidRPr="00C3671E">
              <w:rPr>
                <w:sz w:val="20"/>
                <w:szCs w:val="20"/>
                <w:lang w:val="en-GB"/>
              </w:rPr>
              <w:t>Partner in the household</w:t>
            </w:r>
          </w:p>
        </w:tc>
        <w:tc>
          <w:tcPr>
            <w:tcW w:w="2268" w:type="dxa"/>
            <w:vAlign w:val="center"/>
          </w:tcPr>
          <w:p w14:paraId="5EE4B4DB" w14:textId="77777777" w:rsidR="006C62A5" w:rsidRPr="00C3671E" w:rsidRDefault="006C62A5" w:rsidP="00AA6335">
            <w:pPr>
              <w:rPr>
                <w:sz w:val="20"/>
                <w:szCs w:val="20"/>
                <w:lang w:val="en-GB"/>
              </w:rPr>
            </w:pPr>
            <w:r w:rsidRPr="00C3671E">
              <w:rPr>
                <w:sz w:val="20"/>
                <w:szCs w:val="20"/>
                <w:lang w:val="en-GB"/>
              </w:rPr>
              <w:t>No</w:t>
            </w:r>
          </w:p>
        </w:tc>
        <w:tc>
          <w:tcPr>
            <w:tcW w:w="1985" w:type="dxa"/>
            <w:vAlign w:val="center"/>
          </w:tcPr>
          <w:p w14:paraId="06FB13E6" w14:textId="77777777" w:rsidR="006C62A5" w:rsidRPr="00C3671E" w:rsidRDefault="006C62A5" w:rsidP="00AA6335">
            <w:pPr>
              <w:tabs>
                <w:tab w:val="decimal" w:pos="801"/>
              </w:tabs>
              <w:rPr>
                <w:sz w:val="20"/>
                <w:szCs w:val="20"/>
                <w:lang w:val="en-GB"/>
              </w:rPr>
            </w:pPr>
            <w:r w:rsidRPr="00C3671E">
              <w:rPr>
                <w:sz w:val="20"/>
                <w:szCs w:val="20"/>
                <w:lang w:val="en-GB"/>
              </w:rPr>
              <w:t>38.0</w:t>
            </w:r>
          </w:p>
        </w:tc>
      </w:tr>
      <w:tr w:rsidR="006C62A5" w:rsidRPr="00C3671E" w14:paraId="0863CCD3" w14:textId="77777777" w:rsidTr="00AA6335">
        <w:trPr>
          <w:trHeight w:val="278"/>
        </w:trPr>
        <w:tc>
          <w:tcPr>
            <w:tcW w:w="3402" w:type="dxa"/>
            <w:vAlign w:val="center"/>
          </w:tcPr>
          <w:p w14:paraId="7EECC365" w14:textId="77777777" w:rsidR="006C62A5" w:rsidRPr="00C3671E" w:rsidRDefault="006C62A5" w:rsidP="00AA6335">
            <w:pPr>
              <w:rPr>
                <w:sz w:val="20"/>
                <w:szCs w:val="20"/>
                <w:lang w:val="en-GB"/>
              </w:rPr>
            </w:pPr>
          </w:p>
        </w:tc>
        <w:tc>
          <w:tcPr>
            <w:tcW w:w="2268" w:type="dxa"/>
            <w:vAlign w:val="center"/>
          </w:tcPr>
          <w:p w14:paraId="5C1104C2" w14:textId="77777777" w:rsidR="006C62A5" w:rsidRPr="00C3671E" w:rsidRDefault="006C62A5" w:rsidP="00AA6335">
            <w:pPr>
              <w:rPr>
                <w:sz w:val="20"/>
                <w:szCs w:val="20"/>
                <w:lang w:val="en-GB"/>
              </w:rPr>
            </w:pPr>
            <w:r w:rsidRPr="00C3671E">
              <w:rPr>
                <w:sz w:val="20"/>
                <w:szCs w:val="20"/>
                <w:lang w:val="en-GB"/>
              </w:rPr>
              <w:t>Yes</w:t>
            </w:r>
          </w:p>
        </w:tc>
        <w:tc>
          <w:tcPr>
            <w:tcW w:w="1985" w:type="dxa"/>
            <w:vAlign w:val="center"/>
          </w:tcPr>
          <w:p w14:paraId="13F0651D" w14:textId="77777777" w:rsidR="006C62A5" w:rsidRPr="00C3671E" w:rsidRDefault="006C62A5" w:rsidP="00AA6335">
            <w:pPr>
              <w:tabs>
                <w:tab w:val="decimal" w:pos="801"/>
              </w:tabs>
              <w:rPr>
                <w:sz w:val="20"/>
                <w:szCs w:val="20"/>
                <w:lang w:val="en-GB"/>
              </w:rPr>
            </w:pPr>
            <w:r w:rsidRPr="00C3671E">
              <w:rPr>
                <w:sz w:val="20"/>
                <w:szCs w:val="20"/>
                <w:lang w:val="en-GB"/>
              </w:rPr>
              <w:t>62.0</w:t>
            </w:r>
          </w:p>
        </w:tc>
      </w:tr>
      <w:tr w:rsidR="006C62A5" w:rsidRPr="00C3671E" w14:paraId="7B3F5600" w14:textId="77777777" w:rsidTr="00AA6335">
        <w:trPr>
          <w:trHeight w:val="278"/>
        </w:trPr>
        <w:tc>
          <w:tcPr>
            <w:tcW w:w="3402" w:type="dxa"/>
            <w:vAlign w:val="center"/>
          </w:tcPr>
          <w:p w14:paraId="77B57279" w14:textId="77777777" w:rsidR="006C62A5" w:rsidRPr="00C3671E" w:rsidRDefault="006C62A5" w:rsidP="00AA6335">
            <w:pPr>
              <w:rPr>
                <w:sz w:val="20"/>
                <w:szCs w:val="20"/>
                <w:lang w:val="en-GB"/>
              </w:rPr>
            </w:pPr>
            <w:r w:rsidRPr="00C3671E">
              <w:rPr>
                <w:sz w:val="20"/>
                <w:szCs w:val="20"/>
                <w:lang w:val="en-GB"/>
              </w:rPr>
              <w:t>Number of surviving parents</w:t>
            </w:r>
          </w:p>
        </w:tc>
        <w:tc>
          <w:tcPr>
            <w:tcW w:w="2268" w:type="dxa"/>
            <w:vAlign w:val="center"/>
          </w:tcPr>
          <w:p w14:paraId="06F5722A" w14:textId="77777777" w:rsidR="006C62A5" w:rsidRPr="00C3671E" w:rsidRDefault="006C62A5" w:rsidP="00AA6335">
            <w:pPr>
              <w:rPr>
                <w:sz w:val="20"/>
                <w:szCs w:val="20"/>
                <w:lang w:val="en-GB"/>
              </w:rPr>
            </w:pPr>
            <w:r w:rsidRPr="00C3671E">
              <w:rPr>
                <w:sz w:val="20"/>
                <w:szCs w:val="20"/>
                <w:lang w:val="en-GB"/>
              </w:rPr>
              <w:t>0 – 2</w:t>
            </w:r>
          </w:p>
        </w:tc>
        <w:tc>
          <w:tcPr>
            <w:tcW w:w="1985" w:type="dxa"/>
            <w:vAlign w:val="center"/>
          </w:tcPr>
          <w:p w14:paraId="11295F72" w14:textId="77777777" w:rsidR="006C62A5" w:rsidRPr="00C3671E" w:rsidRDefault="006C62A5" w:rsidP="00AA6335">
            <w:pPr>
              <w:tabs>
                <w:tab w:val="decimal" w:pos="801"/>
              </w:tabs>
              <w:rPr>
                <w:sz w:val="20"/>
                <w:szCs w:val="20"/>
                <w:lang w:val="en-GB"/>
              </w:rPr>
            </w:pPr>
            <w:r w:rsidRPr="00C3671E">
              <w:rPr>
                <w:sz w:val="20"/>
                <w:szCs w:val="20"/>
                <w:lang w:val="en-GB"/>
              </w:rPr>
              <w:t>0.3</w:t>
            </w:r>
          </w:p>
        </w:tc>
      </w:tr>
      <w:tr w:rsidR="006C62A5" w:rsidRPr="00C3671E" w14:paraId="7221FC8A" w14:textId="77777777" w:rsidTr="00AA6335">
        <w:trPr>
          <w:trHeight w:val="278"/>
        </w:trPr>
        <w:tc>
          <w:tcPr>
            <w:tcW w:w="3402" w:type="dxa"/>
            <w:vAlign w:val="center"/>
          </w:tcPr>
          <w:p w14:paraId="47D34A0A" w14:textId="77777777" w:rsidR="006C62A5" w:rsidRPr="00C3671E" w:rsidRDefault="006C62A5" w:rsidP="00AA6335">
            <w:pPr>
              <w:rPr>
                <w:sz w:val="20"/>
                <w:szCs w:val="20"/>
                <w:lang w:val="en-GB"/>
              </w:rPr>
            </w:pPr>
            <w:r w:rsidRPr="00C3671E">
              <w:rPr>
                <w:sz w:val="20"/>
                <w:szCs w:val="20"/>
                <w:lang w:val="en-GB"/>
              </w:rPr>
              <w:t>Number of siblings</w:t>
            </w:r>
          </w:p>
        </w:tc>
        <w:tc>
          <w:tcPr>
            <w:tcW w:w="2268" w:type="dxa"/>
            <w:vAlign w:val="center"/>
          </w:tcPr>
          <w:p w14:paraId="0FCC4E35" w14:textId="77777777" w:rsidR="006C62A5" w:rsidRPr="00C3671E" w:rsidRDefault="006C62A5" w:rsidP="00AA6335">
            <w:pPr>
              <w:rPr>
                <w:sz w:val="20"/>
                <w:szCs w:val="20"/>
                <w:lang w:val="en-GB"/>
              </w:rPr>
            </w:pPr>
            <w:r w:rsidRPr="00C3671E">
              <w:rPr>
                <w:sz w:val="20"/>
                <w:szCs w:val="20"/>
                <w:lang w:val="en-GB"/>
              </w:rPr>
              <w:t>0 – 9</w:t>
            </w:r>
          </w:p>
        </w:tc>
        <w:tc>
          <w:tcPr>
            <w:tcW w:w="1985" w:type="dxa"/>
            <w:vAlign w:val="center"/>
          </w:tcPr>
          <w:p w14:paraId="2BE1024D" w14:textId="77777777" w:rsidR="006C62A5" w:rsidRPr="00C3671E" w:rsidRDefault="006C62A5" w:rsidP="00AA6335">
            <w:pPr>
              <w:tabs>
                <w:tab w:val="decimal" w:pos="801"/>
              </w:tabs>
              <w:rPr>
                <w:sz w:val="20"/>
                <w:szCs w:val="20"/>
                <w:lang w:val="en-GB"/>
              </w:rPr>
            </w:pPr>
            <w:r w:rsidRPr="00C3671E">
              <w:rPr>
                <w:sz w:val="20"/>
                <w:szCs w:val="20"/>
                <w:lang w:val="en-GB"/>
              </w:rPr>
              <w:t>1.9</w:t>
            </w:r>
          </w:p>
        </w:tc>
      </w:tr>
      <w:tr w:rsidR="006C62A5" w:rsidRPr="00C3671E" w14:paraId="07C4A176" w14:textId="77777777" w:rsidTr="00AA6335">
        <w:trPr>
          <w:trHeight w:val="278"/>
        </w:trPr>
        <w:tc>
          <w:tcPr>
            <w:tcW w:w="3402" w:type="dxa"/>
            <w:vAlign w:val="center"/>
          </w:tcPr>
          <w:p w14:paraId="1CE23FA8" w14:textId="77777777" w:rsidR="006C62A5" w:rsidRPr="00C3671E" w:rsidRDefault="006C62A5" w:rsidP="00AA6335">
            <w:pPr>
              <w:rPr>
                <w:sz w:val="20"/>
                <w:szCs w:val="20"/>
                <w:lang w:val="en-GB"/>
              </w:rPr>
            </w:pPr>
            <w:r w:rsidRPr="00C3671E">
              <w:rPr>
                <w:sz w:val="20"/>
                <w:szCs w:val="20"/>
                <w:lang w:val="en-GB"/>
              </w:rPr>
              <w:t>Number of children</w:t>
            </w:r>
          </w:p>
        </w:tc>
        <w:tc>
          <w:tcPr>
            <w:tcW w:w="2268" w:type="dxa"/>
            <w:vAlign w:val="center"/>
          </w:tcPr>
          <w:p w14:paraId="2EB0DDE2" w14:textId="77777777" w:rsidR="006C62A5" w:rsidRPr="00C3671E" w:rsidRDefault="006C62A5" w:rsidP="00AA6335">
            <w:pPr>
              <w:rPr>
                <w:sz w:val="20"/>
                <w:szCs w:val="20"/>
                <w:lang w:val="en-GB"/>
              </w:rPr>
            </w:pPr>
            <w:r w:rsidRPr="00C3671E">
              <w:rPr>
                <w:sz w:val="20"/>
                <w:szCs w:val="20"/>
                <w:lang w:val="en-GB"/>
              </w:rPr>
              <w:t>0 – 7</w:t>
            </w:r>
          </w:p>
        </w:tc>
        <w:tc>
          <w:tcPr>
            <w:tcW w:w="1985" w:type="dxa"/>
            <w:vAlign w:val="center"/>
          </w:tcPr>
          <w:p w14:paraId="523CF660" w14:textId="77777777" w:rsidR="006C62A5" w:rsidRPr="00C3671E" w:rsidRDefault="006C62A5" w:rsidP="00AA6335">
            <w:pPr>
              <w:tabs>
                <w:tab w:val="decimal" w:pos="801"/>
              </w:tabs>
              <w:rPr>
                <w:sz w:val="20"/>
                <w:szCs w:val="20"/>
                <w:lang w:val="en-GB"/>
              </w:rPr>
            </w:pPr>
            <w:r w:rsidRPr="00C3671E">
              <w:rPr>
                <w:sz w:val="20"/>
                <w:szCs w:val="20"/>
                <w:lang w:val="en-GB"/>
              </w:rPr>
              <w:t>2.1</w:t>
            </w:r>
          </w:p>
        </w:tc>
      </w:tr>
      <w:tr w:rsidR="006C62A5" w:rsidRPr="00C3671E" w14:paraId="4101F64F" w14:textId="77777777" w:rsidTr="00AA6335">
        <w:trPr>
          <w:trHeight w:val="278"/>
        </w:trPr>
        <w:tc>
          <w:tcPr>
            <w:tcW w:w="3402" w:type="dxa"/>
            <w:vAlign w:val="center"/>
          </w:tcPr>
          <w:p w14:paraId="1D72E484" w14:textId="77777777" w:rsidR="006C62A5" w:rsidRPr="00C3671E" w:rsidRDefault="006C62A5" w:rsidP="00AA6335">
            <w:pPr>
              <w:rPr>
                <w:sz w:val="20"/>
                <w:szCs w:val="20"/>
                <w:lang w:val="en-GB"/>
              </w:rPr>
            </w:pPr>
            <w:r w:rsidRPr="00C3671E">
              <w:rPr>
                <w:sz w:val="20"/>
                <w:szCs w:val="20"/>
                <w:lang w:val="en-GB"/>
              </w:rPr>
              <w:t>Number of grandchildren</w:t>
            </w:r>
          </w:p>
        </w:tc>
        <w:tc>
          <w:tcPr>
            <w:tcW w:w="2268" w:type="dxa"/>
            <w:vAlign w:val="center"/>
          </w:tcPr>
          <w:p w14:paraId="5BB55BB7" w14:textId="77777777" w:rsidR="006C62A5" w:rsidRPr="00C3671E" w:rsidRDefault="006C62A5" w:rsidP="00AA6335">
            <w:pPr>
              <w:rPr>
                <w:sz w:val="20"/>
                <w:szCs w:val="20"/>
                <w:lang w:val="en-GB"/>
              </w:rPr>
            </w:pPr>
            <w:r w:rsidRPr="00C3671E">
              <w:rPr>
                <w:sz w:val="20"/>
                <w:szCs w:val="20"/>
                <w:lang w:val="en-GB"/>
              </w:rPr>
              <w:t>0 – 13</w:t>
            </w:r>
          </w:p>
        </w:tc>
        <w:tc>
          <w:tcPr>
            <w:tcW w:w="1985" w:type="dxa"/>
            <w:vAlign w:val="center"/>
          </w:tcPr>
          <w:p w14:paraId="578C6B6C" w14:textId="77777777" w:rsidR="006C62A5" w:rsidRPr="00C3671E" w:rsidRDefault="006C62A5" w:rsidP="00AA6335">
            <w:pPr>
              <w:tabs>
                <w:tab w:val="decimal" w:pos="801"/>
              </w:tabs>
              <w:rPr>
                <w:sz w:val="20"/>
                <w:szCs w:val="20"/>
                <w:lang w:val="en-GB"/>
              </w:rPr>
            </w:pPr>
            <w:r w:rsidRPr="00C3671E">
              <w:rPr>
                <w:sz w:val="20"/>
                <w:szCs w:val="20"/>
                <w:lang w:val="en-GB"/>
              </w:rPr>
              <w:t>2.5</w:t>
            </w:r>
          </w:p>
        </w:tc>
      </w:tr>
      <w:tr w:rsidR="006C62A5" w:rsidRPr="00C3671E" w14:paraId="36825A53" w14:textId="77777777" w:rsidTr="00AA6335">
        <w:trPr>
          <w:trHeight w:val="278"/>
        </w:trPr>
        <w:tc>
          <w:tcPr>
            <w:tcW w:w="3402" w:type="dxa"/>
            <w:vAlign w:val="center"/>
          </w:tcPr>
          <w:p w14:paraId="03531A02" w14:textId="77777777" w:rsidR="006C62A5" w:rsidRPr="00C3671E" w:rsidRDefault="006C62A5" w:rsidP="00AA6335">
            <w:pPr>
              <w:rPr>
                <w:sz w:val="20"/>
                <w:szCs w:val="20"/>
                <w:lang w:val="en-GB"/>
              </w:rPr>
            </w:pPr>
            <w:r w:rsidRPr="00C3671E">
              <w:rPr>
                <w:sz w:val="20"/>
                <w:szCs w:val="20"/>
                <w:lang w:val="en-GB"/>
              </w:rPr>
              <w:t>Standardized proportion of employees in social services</w:t>
            </w:r>
          </w:p>
        </w:tc>
        <w:tc>
          <w:tcPr>
            <w:tcW w:w="2268" w:type="dxa"/>
            <w:vAlign w:val="center"/>
          </w:tcPr>
          <w:p w14:paraId="26196205" w14:textId="77777777" w:rsidR="006C62A5" w:rsidRPr="00C3671E" w:rsidRDefault="006C62A5" w:rsidP="00AA6335">
            <w:pPr>
              <w:rPr>
                <w:sz w:val="20"/>
                <w:szCs w:val="20"/>
                <w:lang w:val="en-GB"/>
              </w:rPr>
            </w:pPr>
            <w:r w:rsidRPr="00C3671E">
              <w:rPr>
                <w:sz w:val="20"/>
                <w:szCs w:val="20"/>
                <w:lang w:val="en-GB"/>
              </w:rPr>
              <w:t>-1.33 – 1.99</w:t>
            </w:r>
          </w:p>
        </w:tc>
        <w:tc>
          <w:tcPr>
            <w:tcW w:w="1985" w:type="dxa"/>
            <w:vAlign w:val="center"/>
          </w:tcPr>
          <w:p w14:paraId="36D22280" w14:textId="77777777" w:rsidR="006C62A5" w:rsidRPr="00C3671E" w:rsidRDefault="006C62A5" w:rsidP="00AA6335">
            <w:pPr>
              <w:tabs>
                <w:tab w:val="decimal" w:pos="801"/>
              </w:tabs>
              <w:rPr>
                <w:sz w:val="20"/>
                <w:szCs w:val="20"/>
                <w:lang w:val="en-GB"/>
              </w:rPr>
            </w:pPr>
            <w:r w:rsidRPr="00C3671E">
              <w:rPr>
                <w:sz w:val="20"/>
                <w:szCs w:val="20"/>
                <w:lang w:val="en-GB"/>
              </w:rPr>
              <w:t>0.00</w:t>
            </w:r>
          </w:p>
        </w:tc>
      </w:tr>
      <w:tr w:rsidR="006C62A5" w:rsidRPr="00C3671E" w14:paraId="6F7D943D" w14:textId="77777777" w:rsidTr="00AA6335">
        <w:trPr>
          <w:trHeight w:val="278"/>
        </w:trPr>
        <w:tc>
          <w:tcPr>
            <w:tcW w:w="3402" w:type="dxa"/>
            <w:vAlign w:val="center"/>
          </w:tcPr>
          <w:p w14:paraId="41CFE31E" w14:textId="77777777" w:rsidR="006C62A5" w:rsidRPr="00C3671E" w:rsidRDefault="006C62A5" w:rsidP="00AA6335">
            <w:pPr>
              <w:rPr>
                <w:sz w:val="20"/>
                <w:szCs w:val="20"/>
                <w:lang w:val="en-GB"/>
              </w:rPr>
            </w:pPr>
            <w:r w:rsidRPr="00C3671E">
              <w:rPr>
                <w:sz w:val="20"/>
                <w:szCs w:val="20"/>
                <w:lang w:val="en-GB"/>
              </w:rPr>
              <w:t>Country of residence</w:t>
            </w:r>
          </w:p>
        </w:tc>
        <w:tc>
          <w:tcPr>
            <w:tcW w:w="2268" w:type="dxa"/>
            <w:vAlign w:val="center"/>
          </w:tcPr>
          <w:p w14:paraId="5F48BBE1" w14:textId="77777777" w:rsidR="006C62A5" w:rsidRPr="00C3671E" w:rsidRDefault="006C62A5" w:rsidP="00AA6335">
            <w:pPr>
              <w:rPr>
                <w:sz w:val="20"/>
                <w:szCs w:val="20"/>
                <w:lang w:val="en-GB"/>
              </w:rPr>
            </w:pPr>
            <w:r w:rsidRPr="00C3671E">
              <w:rPr>
                <w:sz w:val="20"/>
                <w:szCs w:val="20"/>
                <w:lang w:val="en-GB"/>
              </w:rPr>
              <w:t>Austria</w:t>
            </w:r>
          </w:p>
        </w:tc>
        <w:tc>
          <w:tcPr>
            <w:tcW w:w="1985" w:type="dxa"/>
            <w:vAlign w:val="center"/>
          </w:tcPr>
          <w:p w14:paraId="045C999B" w14:textId="77777777" w:rsidR="006C62A5" w:rsidRPr="00C3671E" w:rsidRDefault="006C62A5" w:rsidP="00AA6335">
            <w:pPr>
              <w:tabs>
                <w:tab w:val="decimal" w:pos="801"/>
              </w:tabs>
              <w:rPr>
                <w:sz w:val="20"/>
                <w:szCs w:val="20"/>
                <w:lang w:val="en-GB"/>
              </w:rPr>
            </w:pPr>
            <w:r w:rsidRPr="00C3671E">
              <w:rPr>
                <w:sz w:val="20"/>
                <w:szCs w:val="20"/>
                <w:lang w:val="en-GB"/>
              </w:rPr>
              <w:t>6.9</w:t>
            </w:r>
          </w:p>
        </w:tc>
      </w:tr>
      <w:tr w:rsidR="006C62A5" w:rsidRPr="00C3671E" w14:paraId="31B562AA" w14:textId="77777777" w:rsidTr="00AA6335">
        <w:trPr>
          <w:trHeight w:val="278"/>
        </w:trPr>
        <w:tc>
          <w:tcPr>
            <w:tcW w:w="3402" w:type="dxa"/>
            <w:vAlign w:val="center"/>
          </w:tcPr>
          <w:p w14:paraId="3FACEC8F" w14:textId="77777777" w:rsidR="006C62A5" w:rsidRPr="00C3671E" w:rsidRDefault="006C62A5" w:rsidP="00AA6335">
            <w:pPr>
              <w:rPr>
                <w:sz w:val="20"/>
                <w:szCs w:val="20"/>
                <w:lang w:val="en-GB"/>
              </w:rPr>
            </w:pPr>
          </w:p>
        </w:tc>
        <w:tc>
          <w:tcPr>
            <w:tcW w:w="2268" w:type="dxa"/>
            <w:vAlign w:val="center"/>
          </w:tcPr>
          <w:p w14:paraId="67FC024A" w14:textId="77777777" w:rsidR="006C62A5" w:rsidRPr="00C3671E" w:rsidRDefault="006C62A5" w:rsidP="00AA6335">
            <w:pPr>
              <w:rPr>
                <w:sz w:val="20"/>
                <w:szCs w:val="20"/>
                <w:lang w:val="en-GB"/>
              </w:rPr>
            </w:pPr>
            <w:r w:rsidRPr="00C3671E">
              <w:rPr>
                <w:sz w:val="20"/>
                <w:szCs w:val="20"/>
                <w:lang w:val="en-GB"/>
              </w:rPr>
              <w:t>Belgium</w:t>
            </w:r>
          </w:p>
        </w:tc>
        <w:tc>
          <w:tcPr>
            <w:tcW w:w="1985" w:type="dxa"/>
            <w:vAlign w:val="center"/>
          </w:tcPr>
          <w:p w14:paraId="49F0B0A4" w14:textId="77777777" w:rsidR="006C62A5" w:rsidRPr="00C3671E" w:rsidRDefault="006C62A5" w:rsidP="00AA6335">
            <w:pPr>
              <w:tabs>
                <w:tab w:val="decimal" w:pos="801"/>
              </w:tabs>
              <w:rPr>
                <w:sz w:val="20"/>
                <w:szCs w:val="20"/>
                <w:lang w:val="en-GB"/>
              </w:rPr>
            </w:pPr>
            <w:r w:rsidRPr="00C3671E">
              <w:rPr>
                <w:sz w:val="20"/>
                <w:szCs w:val="20"/>
                <w:lang w:val="en-GB"/>
              </w:rPr>
              <w:t>9.2</w:t>
            </w:r>
          </w:p>
        </w:tc>
      </w:tr>
      <w:tr w:rsidR="006C62A5" w:rsidRPr="00C3671E" w14:paraId="68D683E1" w14:textId="77777777" w:rsidTr="00AA6335">
        <w:trPr>
          <w:trHeight w:val="278"/>
        </w:trPr>
        <w:tc>
          <w:tcPr>
            <w:tcW w:w="3402" w:type="dxa"/>
            <w:vAlign w:val="center"/>
          </w:tcPr>
          <w:p w14:paraId="1696DA7E" w14:textId="77777777" w:rsidR="006C62A5" w:rsidRPr="00C3671E" w:rsidRDefault="006C62A5" w:rsidP="00AA6335">
            <w:pPr>
              <w:rPr>
                <w:sz w:val="20"/>
                <w:szCs w:val="20"/>
                <w:lang w:val="en-GB"/>
              </w:rPr>
            </w:pPr>
          </w:p>
        </w:tc>
        <w:tc>
          <w:tcPr>
            <w:tcW w:w="2268" w:type="dxa"/>
            <w:vAlign w:val="center"/>
          </w:tcPr>
          <w:p w14:paraId="3448D93C" w14:textId="77777777" w:rsidR="006C62A5" w:rsidRPr="00C3671E" w:rsidRDefault="006C62A5" w:rsidP="00AA6335">
            <w:pPr>
              <w:rPr>
                <w:sz w:val="20"/>
                <w:szCs w:val="20"/>
                <w:lang w:val="en-GB"/>
              </w:rPr>
            </w:pPr>
            <w:r w:rsidRPr="00C3671E">
              <w:rPr>
                <w:sz w:val="20"/>
                <w:szCs w:val="20"/>
                <w:lang w:val="en-GB"/>
              </w:rPr>
              <w:t>Czechia</w:t>
            </w:r>
          </w:p>
        </w:tc>
        <w:tc>
          <w:tcPr>
            <w:tcW w:w="1985" w:type="dxa"/>
            <w:vAlign w:val="center"/>
          </w:tcPr>
          <w:p w14:paraId="69C294E2" w14:textId="77777777" w:rsidR="006C62A5" w:rsidRPr="00C3671E" w:rsidRDefault="006C62A5" w:rsidP="00AA6335">
            <w:pPr>
              <w:tabs>
                <w:tab w:val="decimal" w:pos="801"/>
              </w:tabs>
              <w:rPr>
                <w:sz w:val="20"/>
                <w:szCs w:val="20"/>
                <w:lang w:val="en-GB"/>
              </w:rPr>
            </w:pPr>
            <w:r w:rsidRPr="00C3671E">
              <w:rPr>
                <w:sz w:val="20"/>
                <w:szCs w:val="20"/>
                <w:lang w:val="en-GB"/>
              </w:rPr>
              <w:t>9.0</w:t>
            </w:r>
          </w:p>
        </w:tc>
      </w:tr>
      <w:tr w:rsidR="006C62A5" w:rsidRPr="00C3671E" w14:paraId="5086A291" w14:textId="77777777" w:rsidTr="00AA6335">
        <w:trPr>
          <w:trHeight w:val="278"/>
        </w:trPr>
        <w:tc>
          <w:tcPr>
            <w:tcW w:w="3402" w:type="dxa"/>
            <w:vAlign w:val="center"/>
          </w:tcPr>
          <w:p w14:paraId="088E5085" w14:textId="77777777" w:rsidR="006C62A5" w:rsidRPr="00C3671E" w:rsidRDefault="006C62A5" w:rsidP="00AA6335">
            <w:pPr>
              <w:rPr>
                <w:sz w:val="20"/>
                <w:szCs w:val="20"/>
                <w:lang w:val="en-GB"/>
              </w:rPr>
            </w:pPr>
          </w:p>
        </w:tc>
        <w:tc>
          <w:tcPr>
            <w:tcW w:w="2268" w:type="dxa"/>
            <w:vAlign w:val="center"/>
          </w:tcPr>
          <w:p w14:paraId="56B3A281" w14:textId="77777777" w:rsidR="006C62A5" w:rsidRPr="00C3671E" w:rsidRDefault="006C62A5" w:rsidP="00AA6335">
            <w:pPr>
              <w:rPr>
                <w:sz w:val="20"/>
                <w:szCs w:val="20"/>
                <w:lang w:val="en-GB"/>
              </w:rPr>
            </w:pPr>
            <w:r w:rsidRPr="00C3671E">
              <w:rPr>
                <w:sz w:val="20"/>
                <w:szCs w:val="20"/>
                <w:lang w:val="en-GB"/>
              </w:rPr>
              <w:t>Denmark</w:t>
            </w:r>
          </w:p>
        </w:tc>
        <w:tc>
          <w:tcPr>
            <w:tcW w:w="1985" w:type="dxa"/>
            <w:vAlign w:val="center"/>
          </w:tcPr>
          <w:p w14:paraId="446E24CD" w14:textId="77777777" w:rsidR="006C62A5" w:rsidRPr="00C3671E" w:rsidRDefault="006C62A5" w:rsidP="00AA6335">
            <w:pPr>
              <w:tabs>
                <w:tab w:val="decimal" w:pos="801"/>
              </w:tabs>
              <w:rPr>
                <w:sz w:val="20"/>
                <w:szCs w:val="20"/>
                <w:lang w:val="en-GB"/>
              </w:rPr>
            </w:pPr>
            <w:r w:rsidRPr="00C3671E">
              <w:rPr>
                <w:sz w:val="20"/>
                <w:szCs w:val="20"/>
                <w:lang w:val="en-GB"/>
              </w:rPr>
              <w:t>6.6</w:t>
            </w:r>
          </w:p>
        </w:tc>
      </w:tr>
      <w:tr w:rsidR="006C62A5" w:rsidRPr="00C3671E" w14:paraId="31C23590" w14:textId="77777777" w:rsidTr="00AA6335">
        <w:trPr>
          <w:trHeight w:val="278"/>
        </w:trPr>
        <w:tc>
          <w:tcPr>
            <w:tcW w:w="3402" w:type="dxa"/>
            <w:vAlign w:val="center"/>
          </w:tcPr>
          <w:p w14:paraId="58176333" w14:textId="77777777" w:rsidR="006C62A5" w:rsidRPr="00C3671E" w:rsidRDefault="006C62A5" w:rsidP="00AA6335">
            <w:pPr>
              <w:rPr>
                <w:sz w:val="20"/>
                <w:szCs w:val="20"/>
                <w:lang w:val="en-GB"/>
              </w:rPr>
            </w:pPr>
          </w:p>
        </w:tc>
        <w:tc>
          <w:tcPr>
            <w:tcW w:w="2268" w:type="dxa"/>
            <w:vAlign w:val="center"/>
          </w:tcPr>
          <w:p w14:paraId="14458328" w14:textId="77777777" w:rsidR="006C62A5" w:rsidRPr="00C3671E" w:rsidRDefault="006C62A5" w:rsidP="00AA6335">
            <w:pPr>
              <w:rPr>
                <w:sz w:val="20"/>
                <w:szCs w:val="20"/>
                <w:lang w:val="en-GB"/>
              </w:rPr>
            </w:pPr>
            <w:r w:rsidRPr="00C3671E">
              <w:rPr>
                <w:sz w:val="20"/>
                <w:szCs w:val="20"/>
                <w:lang w:val="en-GB"/>
              </w:rPr>
              <w:t>Estonia</w:t>
            </w:r>
          </w:p>
        </w:tc>
        <w:tc>
          <w:tcPr>
            <w:tcW w:w="1985" w:type="dxa"/>
            <w:vAlign w:val="center"/>
          </w:tcPr>
          <w:p w14:paraId="49C55106" w14:textId="77777777" w:rsidR="006C62A5" w:rsidRPr="00C3671E" w:rsidRDefault="006C62A5" w:rsidP="00AA6335">
            <w:pPr>
              <w:tabs>
                <w:tab w:val="decimal" w:pos="801"/>
              </w:tabs>
              <w:rPr>
                <w:sz w:val="20"/>
                <w:szCs w:val="20"/>
                <w:lang w:val="en-GB"/>
              </w:rPr>
            </w:pPr>
            <w:r w:rsidRPr="00C3671E">
              <w:rPr>
                <w:sz w:val="20"/>
                <w:szCs w:val="20"/>
                <w:lang w:val="en-GB"/>
              </w:rPr>
              <w:t>9.0</w:t>
            </w:r>
          </w:p>
        </w:tc>
      </w:tr>
      <w:tr w:rsidR="006C62A5" w:rsidRPr="00C3671E" w14:paraId="6EB811D9" w14:textId="77777777" w:rsidTr="00AA6335">
        <w:trPr>
          <w:trHeight w:val="278"/>
        </w:trPr>
        <w:tc>
          <w:tcPr>
            <w:tcW w:w="3402" w:type="dxa"/>
            <w:vAlign w:val="center"/>
          </w:tcPr>
          <w:p w14:paraId="028D9BC0" w14:textId="77777777" w:rsidR="006C62A5" w:rsidRPr="00C3671E" w:rsidRDefault="006C62A5" w:rsidP="00AA6335">
            <w:pPr>
              <w:rPr>
                <w:sz w:val="20"/>
                <w:szCs w:val="20"/>
                <w:lang w:val="en-GB"/>
              </w:rPr>
            </w:pPr>
          </w:p>
        </w:tc>
        <w:tc>
          <w:tcPr>
            <w:tcW w:w="2268" w:type="dxa"/>
            <w:vAlign w:val="center"/>
          </w:tcPr>
          <w:p w14:paraId="0D9CBE57" w14:textId="77777777" w:rsidR="006C62A5" w:rsidRPr="00C3671E" w:rsidRDefault="006C62A5" w:rsidP="00AA6335">
            <w:pPr>
              <w:rPr>
                <w:sz w:val="20"/>
                <w:szCs w:val="20"/>
                <w:lang w:val="en-GB"/>
              </w:rPr>
            </w:pPr>
            <w:r w:rsidRPr="00C3671E">
              <w:rPr>
                <w:sz w:val="20"/>
                <w:szCs w:val="20"/>
                <w:lang w:val="en-GB"/>
              </w:rPr>
              <w:t>France</w:t>
            </w:r>
          </w:p>
        </w:tc>
        <w:tc>
          <w:tcPr>
            <w:tcW w:w="1985" w:type="dxa"/>
            <w:vAlign w:val="center"/>
          </w:tcPr>
          <w:p w14:paraId="513EBBD1" w14:textId="77777777" w:rsidR="006C62A5" w:rsidRPr="00C3671E" w:rsidRDefault="006C62A5" w:rsidP="00AA6335">
            <w:pPr>
              <w:tabs>
                <w:tab w:val="decimal" w:pos="801"/>
              </w:tabs>
              <w:rPr>
                <w:sz w:val="20"/>
                <w:szCs w:val="20"/>
                <w:lang w:val="en-GB"/>
              </w:rPr>
            </w:pPr>
            <w:r w:rsidRPr="00C3671E">
              <w:rPr>
                <w:sz w:val="20"/>
                <w:szCs w:val="20"/>
                <w:lang w:val="en-GB"/>
              </w:rPr>
              <w:t>7.3</w:t>
            </w:r>
          </w:p>
        </w:tc>
      </w:tr>
      <w:tr w:rsidR="006C62A5" w:rsidRPr="00C3671E" w14:paraId="0B6951B2" w14:textId="77777777" w:rsidTr="00AA6335">
        <w:trPr>
          <w:trHeight w:val="278"/>
        </w:trPr>
        <w:tc>
          <w:tcPr>
            <w:tcW w:w="3402" w:type="dxa"/>
            <w:vAlign w:val="center"/>
          </w:tcPr>
          <w:p w14:paraId="26919244" w14:textId="77777777" w:rsidR="006C62A5" w:rsidRPr="00C3671E" w:rsidRDefault="006C62A5" w:rsidP="00AA6335">
            <w:pPr>
              <w:rPr>
                <w:sz w:val="20"/>
                <w:szCs w:val="20"/>
                <w:lang w:val="en-GB"/>
              </w:rPr>
            </w:pPr>
          </w:p>
        </w:tc>
        <w:tc>
          <w:tcPr>
            <w:tcW w:w="2268" w:type="dxa"/>
            <w:vAlign w:val="center"/>
          </w:tcPr>
          <w:p w14:paraId="39A50BDA" w14:textId="77777777" w:rsidR="006C62A5" w:rsidRPr="00C3671E" w:rsidRDefault="006C62A5" w:rsidP="00AA6335">
            <w:pPr>
              <w:rPr>
                <w:sz w:val="20"/>
                <w:szCs w:val="20"/>
                <w:lang w:val="en-GB"/>
              </w:rPr>
            </w:pPr>
            <w:r w:rsidRPr="00C3671E">
              <w:rPr>
                <w:sz w:val="20"/>
                <w:szCs w:val="20"/>
                <w:lang w:val="en-GB"/>
              </w:rPr>
              <w:t>Germany</w:t>
            </w:r>
          </w:p>
        </w:tc>
        <w:tc>
          <w:tcPr>
            <w:tcW w:w="1985" w:type="dxa"/>
            <w:vAlign w:val="center"/>
          </w:tcPr>
          <w:p w14:paraId="0BC4792C" w14:textId="77777777" w:rsidR="006C62A5" w:rsidRPr="00C3671E" w:rsidRDefault="006C62A5" w:rsidP="00AA6335">
            <w:pPr>
              <w:tabs>
                <w:tab w:val="decimal" w:pos="801"/>
              </w:tabs>
              <w:rPr>
                <w:sz w:val="20"/>
                <w:szCs w:val="20"/>
                <w:lang w:val="en-GB"/>
              </w:rPr>
            </w:pPr>
            <w:r w:rsidRPr="00C3671E">
              <w:rPr>
                <w:sz w:val="20"/>
                <w:szCs w:val="20"/>
                <w:lang w:val="en-GB"/>
              </w:rPr>
              <w:t>8.9</w:t>
            </w:r>
          </w:p>
        </w:tc>
      </w:tr>
      <w:tr w:rsidR="006C62A5" w:rsidRPr="00C3671E" w14:paraId="1872E80E" w14:textId="77777777" w:rsidTr="00AA6335">
        <w:trPr>
          <w:trHeight w:val="278"/>
        </w:trPr>
        <w:tc>
          <w:tcPr>
            <w:tcW w:w="3402" w:type="dxa"/>
            <w:vAlign w:val="center"/>
          </w:tcPr>
          <w:p w14:paraId="626FE2CB" w14:textId="77777777" w:rsidR="006C62A5" w:rsidRPr="00C3671E" w:rsidRDefault="006C62A5" w:rsidP="00AA6335">
            <w:pPr>
              <w:rPr>
                <w:sz w:val="20"/>
                <w:szCs w:val="20"/>
                <w:lang w:val="en-GB"/>
              </w:rPr>
            </w:pPr>
          </w:p>
        </w:tc>
        <w:tc>
          <w:tcPr>
            <w:tcW w:w="2268" w:type="dxa"/>
            <w:vAlign w:val="center"/>
          </w:tcPr>
          <w:p w14:paraId="795C6A5F" w14:textId="77777777" w:rsidR="006C62A5" w:rsidRPr="00C3671E" w:rsidRDefault="006C62A5" w:rsidP="00AA6335">
            <w:pPr>
              <w:rPr>
                <w:sz w:val="20"/>
                <w:szCs w:val="20"/>
                <w:lang w:val="en-GB"/>
              </w:rPr>
            </w:pPr>
            <w:r w:rsidRPr="00C3671E">
              <w:rPr>
                <w:sz w:val="20"/>
                <w:szCs w:val="20"/>
                <w:lang w:val="en-GB"/>
              </w:rPr>
              <w:t>Italy</w:t>
            </w:r>
          </w:p>
        </w:tc>
        <w:tc>
          <w:tcPr>
            <w:tcW w:w="1985" w:type="dxa"/>
            <w:vAlign w:val="center"/>
          </w:tcPr>
          <w:p w14:paraId="6969BC8A" w14:textId="77777777" w:rsidR="006C62A5" w:rsidRPr="00C3671E" w:rsidRDefault="006C62A5" w:rsidP="00AA6335">
            <w:pPr>
              <w:tabs>
                <w:tab w:val="decimal" w:pos="801"/>
              </w:tabs>
              <w:rPr>
                <w:sz w:val="20"/>
                <w:szCs w:val="20"/>
                <w:lang w:val="en-GB"/>
              </w:rPr>
            </w:pPr>
            <w:r w:rsidRPr="00C3671E">
              <w:rPr>
                <w:sz w:val="20"/>
                <w:szCs w:val="20"/>
                <w:lang w:val="en-GB"/>
              </w:rPr>
              <w:t>7.0</w:t>
            </w:r>
          </w:p>
        </w:tc>
      </w:tr>
      <w:tr w:rsidR="006C62A5" w:rsidRPr="00C3671E" w14:paraId="0D5E02E1" w14:textId="77777777" w:rsidTr="00AA6335">
        <w:trPr>
          <w:trHeight w:val="278"/>
        </w:trPr>
        <w:tc>
          <w:tcPr>
            <w:tcW w:w="3402" w:type="dxa"/>
            <w:vAlign w:val="center"/>
          </w:tcPr>
          <w:p w14:paraId="0B3D2679" w14:textId="77777777" w:rsidR="006C62A5" w:rsidRPr="00C3671E" w:rsidRDefault="006C62A5" w:rsidP="00AA6335">
            <w:pPr>
              <w:rPr>
                <w:sz w:val="20"/>
                <w:szCs w:val="20"/>
                <w:lang w:val="en-GB"/>
              </w:rPr>
            </w:pPr>
          </w:p>
        </w:tc>
        <w:tc>
          <w:tcPr>
            <w:tcW w:w="2268" w:type="dxa"/>
            <w:vAlign w:val="center"/>
          </w:tcPr>
          <w:p w14:paraId="43F9AB13" w14:textId="77777777" w:rsidR="006C62A5" w:rsidRPr="00C3671E" w:rsidRDefault="006C62A5" w:rsidP="00AA6335">
            <w:pPr>
              <w:rPr>
                <w:sz w:val="20"/>
                <w:szCs w:val="20"/>
                <w:lang w:val="en-GB"/>
              </w:rPr>
            </w:pPr>
            <w:r w:rsidRPr="00C3671E">
              <w:rPr>
                <w:sz w:val="20"/>
                <w:szCs w:val="20"/>
                <w:lang w:val="en-GB"/>
              </w:rPr>
              <w:t>Luxembourg</w:t>
            </w:r>
          </w:p>
        </w:tc>
        <w:tc>
          <w:tcPr>
            <w:tcW w:w="1985" w:type="dxa"/>
            <w:vAlign w:val="center"/>
          </w:tcPr>
          <w:p w14:paraId="5C24DDCE" w14:textId="77777777" w:rsidR="006C62A5" w:rsidRPr="00C3671E" w:rsidRDefault="006C62A5" w:rsidP="00AA6335">
            <w:pPr>
              <w:tabs>
                <w:tab w:val="decimal" w:pos="801"/>
              </w:tabs>
              <w:rPr>
                <w:sz w:val="20"/>
                <w:szCs w:val="20"/>
                <w:lang w:val="en-GB"/>
              </w:rPr>
            </w:pPr>
            <w:r w:rsidRPr="00C3671E">
              <w:rPr>
                <w:sz w:val="20"/>
                <w:szCs w:val="20"/>
                <w:lang w:val="en-GB"/>
              </w:rPr>
              <w:t>2.8</w:t>
            </w:r>
          </w:p>
        </w:tc>
      </w:tr>
      <w:tr w:rsidR="006C62A5" w:rsidRPr="00C3671E" w14:paraId="0AEDBDD8" w14:textId="77777777" w:rsidTr="00AA6335">
        <w:trPr>
          <w:trHeight w:val="278"/>
        </w:trPr>
        <w:tc>
          <w:tcPr>
            <w:tcW w:w="3402" w:type="dxa"/>
            <w:vAlign w:val="center"/>
          </w:tcPr>
          <w:p w14:paraId="6AA11973" w14:textId="77777777" w:rsidR="006C62A5" w:rsidRPr="00C3671E" w:rsidRDefault="006C62A5" w:rsidP="00AA6335">
            <w:pPr>
              <w:rPr>
                <w:sz w:val="20"/>
                <w:szCs w:val="20"/>
                <w:lang w:val="en-GB"/>
              </w:rPr>
            </w:pPr>
          </w:p>
        </w:tc>
        <w:tc>
          <w:tcPr>
            <w:tcW w:w="2268" w:type="dxa"/>
            <w:vAlign w:val="center"/>
          </w:tcPr>
          <w:p w14:paraId="415A34F5" w14:textId="77777777" w:rsidR="006C62A5" w:rsidRPr="00C3671E" w:rsidRDefault="006C62A5" w:rsidP="00AA6335">
            <w:pPr>
              <w:rPr>
                <w:sz w:val="20"/>
                <w:szCs w:val="20"/>
                <w:lang w:val="en-GB"/>
              </w:rPr>
            </w:pPr>
            <w:r w:rsidRPr="00C3671E">
              <w:rPr>
                <w:sz w:val="20"/>
                <w:szCs w:val="20"/>
                <w:lang w:val="en-GB"/>
              </w:rPr>
              <w:t>Netherlands</w:t>
            </w:r>
          </w:p>
        </w:tc>
        <w:tc>
          <w:tcPr>
            <w:tcW w:w="1985" w:type="dxa"/>
            <w:vAlign w:val="center"/>
          </w:tcPr>
          <w:p w14:paraId="3CAE6F39" w14:textId="77777777" w:rsidR="006C62A5" w:rsidRPr="00C3671E" w:rsidRDefault="006C62A5" w:rsidP="00AA6335">
            <w:pPr>
              <w:tabs>
                <w:tab w:val="decimal" w:pos="801"/>
              </w:tabs>
              <w:rPr>
                <w:sz w:val="20"/>
                <w:szCs w:val="20"/>
                <w:lang w:val="en-GB"/>
              </w:rPr>
            </w:pPr>
            <w:r w:rsidRPr="00C3671E">
              <w:rPr>
                <w:sz w:val="20"/>
                <w:szCs w:val="20"/>
                <w:lang w:val="en-GB"/>
              </w:rPr>
              <w:t>6.8</w:t>
            </w:r>
          </w:p>
        </w:tc>
      </w:tr>
      <w:tr w:rsidR="006C62A5" w:rsidRPr="00C3671E" w14:paraId="358726FE" w14:textId="77777777" w:rsidTr="00AA6335">
        <w:trPr>
          <w:trHeight w:val="278"/>
        </w:trPr>
        <w:tc>
          <w:tcPr>
            <w:tcW w:w="3402" w:type="dxa"/>
            <w:vAlign w:val="center"/>
          </w:tcPr>
          <w:p w14:paraId="5D98BCAB" w14:textId="77777777" w:rsidR="006C62A5" w:rsidRPr="00C3671E" w:rsidRDefault="006C62A5" w:rsidP="00AA6335">
            <w:pPr>
              <w:rPr>
                <w:sz w:val="20"/>
                <w:szCs w:val="20"/>
                <w:lang w:val="en-GB"/>
              </w:rPr>
            </w:pPr>
          </w:p>
        </w:tc>
        <w:tc>
          <w:tcPr>
            <w:tcW w:w="2268" w:type="dxa"/>
            <w:vAlign w:val="center"/>
          </w:tcPr>
          <w:p w14:paraId="478AC49C" w14:textId="77777777" w:rsidR="006C62A5" w:rsidRPr="00C3671E" w:rsidRDefault="006C62A5" w:rsidP="00AA6335">
            <w:pPr>
              <w:rPr>
                <w:sz w:val="20"/>
                <w:szCs w:val="20"/>
                <w:lang w:val="en-GB"/>
              </w:rPr>
            </w:pPr>
            <w:r w:rsidRPr="00C3671E">
              <w:rPr>
                <w:sz w:val="20"/>
                <w:szCs w:val="20"/>
                <w:lang w:val="en-GB"/>
              </w:rPr>
              <w:t>Slovenia</w:t>
            </w:r>
          </w:p>
        </w:tc>
        <w:tc>
          <w:tcPr>
            <w:tcW w:w="1985" w:type="dxa"/>
            <w:vAlign w:val="center"/>
          </w:tcPr>
          <w:p w14:paraId="31A5825E" w14:textId="77777777" w:rsidR="006C62A5" w:rsidRPr="00C3671E" w:rsidRDefault="006C62A5" w:rsidP="00AA6335">
            <w:pPr>
              <w:tabs>
                <w:tab w:val="decimal" w:pos="801"/>
              </w:tabs>
              <w:rPr>
                <w:sz w:val="20"/>
                <w:szCs w:val="20"/>
                <w:lang w:val="en-GB"/>
              </w:rPr>
            </w:pPr>
            <w:r w:rsidRPr="00C3671E">
              <w:rPr>
                <w:sz w:val="20"/>
                <w:szCs w:val="20"/>
                <w:lang w:val="en-GB"/>
              </w:rPr>
              <w:t>5.1</w:t>
            </w:r>
          </w:p>
        </w:tc>
      </w:tr>
      <w:tr w:rsidR="006C62A5" w:rsidRPr="00C3671E" w14:paraId="2290BA7E" w14:textId="77777777" w:rsidTr="00AA6335">
        <w:trPr>
          <w:trHeight w:val="278"/>
        </w:trPr>
        <w:tc>
          <w:tcPr>
            <w:tcW w:w="3402" w:type="dxa"/>
            <w:vAlign w:val="center"/>
          </w:tcPr>
          <w:p w14:paraId="1CEFA5C2" w14:textId="77777777" w:rsidR="006C62A5" w:rsidRPr="00C3671E" w:rsidRDefault="006C62A5" w:rsidP="00AA6335">
            <w:pPr>
              <w:rPr>
                <w:sz w:val="20"/>
                <w:szCs w:val="20"/>
                <w:lang w:val="en-GB"/>
              </w:rPr>
            </w:pPr>
          </w:p>
        </w:tc>
        <w:tc>
          <w:tcPr>
            <w:tcW w:w="2268" w:type="dxa"/>
            <w:vAlign w:val="center"/>
          </w:tcPr>
          <w:p w14:paraId="30B6C1E5" w14:textId="77777777" w:rsidR="006C62A5" w:rsidRPr="00C3671E" w:rsidRDefault="006C62A5" w:rsidP="00AA6335">
            <w:pPr>
              <w:rPr>
                <w:sz w:val="20"/>
                <w:szCs w:val="20"/>
                <w:lang w:val="en-GB"/>
              </w:rPr>
            </w:pPr>
            <w:r w:rsidRPr="00C3671E">
              <w:rPr>
                <w:sz w:val="20"/>
                <w:szCs w:val="20"/>
                <w:lang w:val="en-GB"/>
              </w:rPr>
              <w:t>Spain</w:t>
            </w:r>
          </w:p>
        </w:tc>
        <w:tc>
          <w:tcPr>
            <w:tcW w:w="1985" w:type="dxa"/>
            <w:vAlign w:val="center"/>
          </w:tcPr>
          <w:p w14:paraId="6E392D6E" w14:textId="77777777" w:rsidR="006C62A5" w:rsidRPr="00C3671E" w:rsidRDefault="006C62A5" w:rsidP="00AA6335">
            <w:pPr>
              <w:tabs>
                <w:tab w:val="decimal" w:pos="801"/>
              </w:tabs>
              <w:rPr>
                <w:sz w:val="20"/>
                <w:szCs w:val="20"/>
                <w:lang w:val="en-GB"/>
              </w:rPr>
            </w:pPr>
            <w:r w:rsidRPr="00C3671E">
              <w:rPr>
                <w:sz w:val="20"/>
                <w:szCs w:val="20"/>
                <w:lang w:val="en-GB"/>
              </w:rPr>
              <w:t>8.9</w:t>
            </w:r>
          </w:p>
        </w:tc>
      </w:tr>
      <w:tr w:rsidR="006C62A5" w:rsidRPr="00C3671E" w14:paraId="14370CD5" w14:textId="77777777" w:rsidTr="00AA6335">
        <w:trPr>
          <w:trHeight w:val="278"/>
        </w:trPr>
        <w:tc>
          <w:tcPr>
            <w:tcW w:w="3402" w:type="dxa"/>
            <w:vAlign w:val="center"/>
          </w:tcPr>
          <w:p w14:paraId="254F2C0C" w14:textId="77777777" w:rsidR="006C62A5" w:rsidRPr="00C3671E" w:rsidRDefault="006C62A5" w:rsidP="00AA6335">
            <w:pPr>
              <w:rPr>
                <w:sz w:val="20"/>
                <w:szCs w:val="20"/>
                <w:lang w:val="en-GB"/>
              </w:rPr>
            </w:pPr>
          </w:p>
        </w:tc>
        <w:tc>
          <w:tcPr>
            <w:tcW w:w="2268" w:type="dxa"/>
            <w:vAlign w:val="center"/>
          </w:tcPr>
          <w:p w14:paraId="69598BA5" w14:textId="77777777" w:rsidR="006C62A5" w:rsidRPr="00C3671E" w:rsidRDefault="006C62A5" w:rsidP="00AA6335">
            <w:pPr>
              <w:rPr>
                <w:sz w:val="20"/>
                <w:szCs w:val="20"/>
                <w:lang w:val="en-GB"/>
              </w:rPr>
            </w:pPr>
            <w:r w:rsidRPr="00C3671E">
              <w:rPr>
                <w:sz w:val="20"/>
                <w:szCs w:val="20"/>
                <w:lang w:val="en-GB"/>
              </w:rPr>
              <w:t>Sweden</w:t>
            </w:r>
          </w:p>
        </w:tc>
        <w:tc>
          <w:tcPr>
            <w:tcW w:w="1985" w:type="dxa"/>
            <w:vAlign w:val="center"/>
          </w:tcPr>
          <w:p w14:paraId="2B4F1721" w14:textId="77777777" w:rsidR="006C62A5" w:rsidRPr="00C3671E" w:rsidRDefault="006C62A5" w:rsidP="00AA6335">
            <w:pPr>
              <w:tabs>
                <w:tab w:val="decimal" w:pos="801"/>
              </w:tabs>
              <w:rPr>
                <w:sz w:val="20"/>
                <w:szCs w:val="20"/>
                <w:lang w:val="en-GB"/>
              </w:rPr>
            </w:pPr>
            <w:r w:rsidRPr="00C3671E">
              <w:rPr>
                <w:sz w:val="20"/>
                <w:szCs w:val="20"/>
                <w:lang w:val="en-GB"/>
              </w:rPr>
              <w:t>7.5</w:t>
            </w:r>
          </w:p>
        </w:tc>
      </w:tr>
      <w:tr w:rsidR="006C62A5" w:rsidRPr="00C3671E" w14:paraId="7A7660BB" w14:textId="77777777" w:rsidTr="00AA6335">
        <w:trPr>
          <w:trHeight w:val="278"/>
        </w:trPr>
        <w:tc>
          <w:tcPr>
            <w:tcW w:w="3402" w:type="dxa"/>
            <w:tcBorders>
              <w:bottom w:val="single" w:sz="12" w:space="0" w:color="auto"/>
            </w:tcBorders>
            <w:vAlign w:val="center"/>
          </w:tcPr>
          <w:p w14:paraId="1EF3F191" w14:textId="77777777" w:rsidR="006C62A5" w:rsidRPr="00C3671E" w:rsidRDefault="006C62A5" w:rsidP="00AA6335">
            <w:pPr>
              <w:rPr>
                <w:sz w:val="20"/>
                <w:szCs w:val="20"/>
                <w:lang w:val="en-GB"/>
              </w:rPr>
            </w:pPr>
          </w:p>
        </w:tc>
        <w:tc>
          <w:tcPr>
            <w:tcW w:w="2268" w:type="dxa"/>
            <w:tcBorders>
              <w:bottom w:val="single" w:sz="12" w:space="0" w:color="auto"/>
            </w:tcBorders>
            <w:vAlign w:val="center"/>
          </w:tcPr>
          <w:p w14:paraId="0F870545" w14:textId="77777777" w:rsidR="006C62A5" w:rsidRPr="00C3671E" w:rsidRDefault="006C62A5" w:rsidP="00AA6335">
            <w:pPr>
              <w:rPr>
                <w:sz w:val="20"/>
                <w:szCs w:val="20"/>
                <w:lang w:val="en-GB"/>
              </w:rPr>
            </w:pPr>
            <w:r w:rsidRPr="00C3671E">
              <w:rPr>
                <w:sz w:val="20"/>
                <w:szCs w:val="20"/>
                <w:lang w:val="en-GB"/>
              </w:rPr>
              <w:t>Switzerland</w:t>
            </w:r>
          </w:p>
        </w:tc>
        <w:tc>
          <w:tcPr>
            <w:tcW w:w="1985" w:type="dxa"/>
            <w:tcBorders>
              <w:bottom w:val="single" w:sz="12" w:space="0" w:color="auto"/>
            </w:tcBorders>
            <w:vAlign w:val="center"/>
          </w:tcPr>
          <w:p w14:paraId="49E1E761" w14:textId="77777777" w:rsidR="006C62A5" w:rsidRPr="00C3671E" w:rsidRDefault="006C62A5" w:rsidP="00AA6335">
            <w:pPr>
              <w:tabs>
                <w:tab w:val="decimal" w:pos="801"/>
              </w:tabs>
              <w:rPr>
                <w:sz w:val="20"/>
                <w:szCs w:val="20"/>
                <w:lang w:val="en-GB"/>
              </w:rPr>
            </w:pPr>
            <w:r w:rsidRPr="00C3671E">
              <w:rPr>
                <w:sz w:val="20"/>
                <w:szCs w:val="20"/>
                <w:lang w:val="en-GB"/>
              </w:rPr>
              <w:t>5.0</w:t>
            </w:r>
          </w:p>
        </w:tc>
      </w:tr>
    </w:tbl>
    <w:p w14:paraId="2A69E6BD" w14:textId="77777777" w:rsidR="006C62A5" w:rsidRPr="00C3671E" w:rsidRDefault="006C62A5" w:rsidP="006C62A5">
      <w:pPr>
        <w:ind w:left="426"/>
        <w:rPr>
          <w:sz w:val="20"/>
          <w:szCs w:val="20"/>
          <w:lang w:val="en-GB"/>
        </w:rPr>
      </w:pPr>
      <w:r w:rsidRPr="00C3671E">
        <w:rPr>
          <w:i/>
          <w:sz w:val="20"/>
          <w:szCs w:val="20"/>
          <w:lang w:val="en-GB"/>
        </w:rPr>
        <w:t xml:space="preserve">Notes: </w:t>
      </w:r>
      <w:r w:rsidRPr="00C3671E">
        <w:rPr>
          <w:sz w:val="20"/>
          <w:szCs w:val="20"/>
          <w:lang w:val="en-GB"/>
        </w:rPr>
        <w:t>These calculations use data from SHARE, wave 5. N=40,748.</w:t>
      </w:r>
    </w:p>
    <w:p w14:paraId="6E43DB4D" w14:textId="77777777" w:rsidR="001A7940" w:rsidRPr="00C3671E" w:rsidRDefault="001A7940" w:rsidP="001A7940">
      <w:pPr>
        <w:suppressAutoHyphens/>
        <w:spacing w:line="480" w:lineRule="auto"/>
        <w:ind w:firstLine="397"/>
        <w:jc w:val="both"/>
        <w:rPr>
          <w:lang w:val="en-GB" w:eastAsia="zh-CN"/>
        </w:rPr>
      </w:pPr>
    </w:p>
    <w:p w14:paraId="3C411774" w14:textId="77777777" w:rsidR="001A7940" w:rsidRPr="00C3671E" w:rsidRDefault="001A7940" w:rsidP="007E6D8E">
      <w:pPr>
        <w:pStyle w:val="Nadpis3"/>
        <w:spacing w:line="480" w:lineRule="auto"/>
        <w:rPr>
          <w:rFonts w:ascii="Times New Roman" w:hAnsi="Times New Roman" w:cs="Times New Roman"/>
          <w:b w:val="0"/>
          <w:i/>
          <w:lang w:val="en-GB" w:eastAsia="zh-CN"/>
        </w:rPr>
      </w:pPr>
      <w:bookmarkStart w:id="52" w:name="_Toc512687758"/>
      <w:r w:rsidRPr="00C3671E">
        <w:rPr>
          <w:rFonts w:ascii="Times New Roman" w:hAnsi="Times New Roman" w:cs="Times New Roman"/>
          <w:b w:val="0"/>
          <w:i/>
          <w:lang w:val="en-GB" w:eastAsia="zh-CN"/>
        </w:rPr>
        <w:t>Dependent Variables</w:t>
      </w:r>
      <w:bookmarkEnd w:id="52"/>
    </w:p>
    <w:p w14:paraId="282D87FF" w14:textId="57D9FC04" w:rsidR="001A7940" w:rsidRPr="00C3671E" w:rsidRDefault="001A7940" w:rsidP="00F4146A">
      <w:pPr>
        <w:suppressAutoHyphens/>
        <w:spacing w:line="480" w:lineRule="auto"/>
        <w:jc w:val="both"/>
        <w:rPr>
          <w:lang w:val="en-GB" w:eastAsia="zh-CN"/>
        </w:rPr>
      </w:pPr>
      <w:r w:rsidRPr="00C3671E">
        <w:rPr>
          <w:lang w:val="en-GB" w:eastAsia="zh-CN"/>
        </w:rPr>
        <w:t xml:space="preserve">Three </w:t>
      </w:r>
      <w:r w:rsidRPr="00F4146A">
        <w:rPr>
          <w:rFonts w:eastAsia="Calibri"/>
          <w:lang w:val="en-GB" w:eastAsia="en-US"/>
        </w:rPr>
        <w:t>single</w:t>
      </w:r>
      <w:r w:rsidRPr="00C3671E">
        <w:rPr>
          <w:lang w:val="en-GB" w:eastAsia="zh-CN"/>
        </w:rPr>
        <w:t xml:space="preserve">-item variables are employed to indicate the three selected dimensions of subjective QoL. Loneliness is measured by the question ‘How much of the time do you feel lonely? Often/Some of the time/Hardly ever or never’. This single-item measurement of loneliness is a valid measurement of loneliness, which highly correlates with the 20-item original UCLA scale of loneliness </w:t>
      </w:r>
      <w:r w:rsidRPr="00C3671E">
        <w:rPr>
          <w:lang w:val="en-GB" w:eastAsia="zh-CN"/>
        </w:rPr>
        <w:fldChar w:fldCharType="begin" w:fldLock="1"/>
      </w:r>
      <w:r w:rsidR="001257AA" w:rsidRPr="00C3671E">
        <w:rPr>
          <w:lang w:val="en-GB" w:eastAsia="zh-CN"/>
        </w:rPr>
        <w:instrText>ADDIN CSL_CITATION { "citationItems" : [ { "id" : "ITEM-1", "itemData" : { "DOI" : "10.1007/s10433-011-0175-7", "ISBN" : "1613-9380 (Electronic)\\r1613-9372 (Linking)", "ISSN" : "16139372", "PMID" : "21475393", "abstract" : "The goal of this research is to test whether often observed correlates of loneliness in older age are related to onset of loneliness longitudinally. Despite the increasing number of longitudinal studies, the investigation of factors that are related to onset of loneliness is still limited. Analyses are based on data of the TamELSA study, which is a population-based prospective study in Tampere, Finland and started in 1979. For the present study 469 older adults aged between 60 and 86 years at baseline, who were not lonely at baseline, were selected and followed-up in 1989, 1999 and 2006. During the 28 years of follow-up approximately one third (N = 178) of the study population developed feelings of loneliness. Logistic regression analyses indicated that losing a partner, reduced social activities, increased physical disabilities, increased feelings of low mood, uselessness and nervousness, rather than baseline characteristics, are related to enhanced feelings of loneliness at follow-up. The higher incidence of loneliness among women can be fully explained by the unequal distribution of risk factors among men and women (e.g., women more often become widowed). Our results are in line with the cognitive approach that conceptualizes loneliness as an unpleasant feeling due to a perceived discrepancy between the desired and the achieved level of social and personal resources.", "author" : [ { "dropping-particle" : "", "family" : "Aartsen", "given" : "Marja", "non-dropping-particle" : "", "parse-names" : false, "suffix" : "" }, { "dropping-particle" : "", "family" : "Jylh\u00e4", "given" : "Marja", "non-dropping-particle" : "", "parse-names" : false, "suffix" : "" } ], "container-title" : "European Journal of Ageing", "id" : "ITEM-1", "issue" : "1", "issued" : { "date-parts" : [ [ "2011" ] ] }, "page" : "31-38", "title" : "Onset of loneliness in older adults: Results of a 28 year prospective study", "type" : "article-journal", "volume" : "8" }, "uris" : [ "http://www.mendeley.com/documents/?uuid=21400e32-8d6f-4444-87c0-065ead369c7e" ] }, { "id" : "ITEM-2", "itemData" : { "DOI" : "10.1093/geronb/gbs062.", "author" : [ { "dropping-particle" : "", "family" : "Park", "given" : "Nan Sook", "non-dropping-particle" : "", "parse-names" : false, "suffix" : "" }, { "dropping-particle" : "", "family" : "Jang", "given" : "Yuri", "non-dropping-particle" : "", "parse-names" : false, "suffix" : "" }, { "dropping-particle" : "", "family" : "Lee", "given" : "Beom S.", "non-dropping-particle" : "", "parse-names" : false, "suffix" : "" }, { "dropping-particle" : "", "family" : "Haley", "given" : "William E.", "non-dropping-particle" : "", "parse-names" : false, "suffix" : "" }, { "dropping-particle" : "", "family" : "Chiriboga", "given" : "David A.", "non-dropping-particle" : "", "parse-names" : false, "suffix" : "" } ], "container-title" : "The Jornal of Gerontology, Psychological Sciences and Social Sciences.", "id" : "ITEM-2", "issue" : "2", "issued" : { "date-parts" : [ [ "2013" ] ] }, "page" : "193-201", "title" : "The mediating role of loneliness in the relation between social engagement and depressive symptoms among older Korean Americans", "type" : "article-journal", "volume" : "68" }, "uris" : [ "http://www.mendeley.com/documents/?uuid=a6dd5144-2ffb-4cac-a8f5-a8518ef91039" ] }, { "id" : "ITEM-3", "itemData" : { "DOI" : "10.1016/j.apnu.2008.11.002", "ISBN" : "1532-8228", "ISSN" : "08839417", "PMID" : "19766930", "abstract" : "The purpose of this study was to examine sociodemographic and health-related risks for loneliness among older adults using Health and Retirement Study Data. Overall prevalence of loneliness was 19.3%. Marital status, self-report of health, number of chronic illnesses, gross motor impairment, fine motor impairment, and living alone were predictors of loneliness. Age, female gender, use of home care, and frequency of healthcare visits were not predictive. Loneliness is a prevalent problem for older adults in the United States with its own health-related risks. Future research of interventions targeting identified risks would enhance the evidence base for nursing and the problem of loneliness. \u00a9 2009 Elsevier Inc. All rights reserved.", "author" : [ { "dropping-particle" : "", "family" : "Theeke", "given" : "Laurie A.", "non-dropping-particle" : "", "parse-names" : false, "suffix" : "" } ], "container-title" : "Archives of Psychiatric Nursing", "id" : "ITEM-3", "issue" : "5", "issued" : { "date-parts" : [ [ "2009" ] ] }, "page" : "387-396", "publisher" : "Elsevier Inc.", "title" : "Predictors of Loneliness in U.S. Adults Over Age Sixty-Five", "type" : "article-journal", "volume" : "23" }, "uris" : [ "http://www.mendeley.com/documents/?uuid=5df263ed-90e8-4f5a-8f27-a18b05fba72e" ] } ], "mendeley" : { "formattedCitation" : "(Aartsen and Jylh\u00e4 2011; Park et al. 2013; Theeke 2009)", "plainTextFormattedCitation" : "(Aartsen and Jylh\u00e4 2011; Park et al. 2013; Theeke 2009)", "previouslyFormattedCitation" : "(Aartsen and Jylh\u00e4 2011; Park et al. 2013; Theeke 2009)" }, "properties" : { "noteIndex" : 0 }, "schema" : "https://github.com/citation-style-language/schema/raw/master/csl-citation.json" }</w:instrText>
      </w:r>
      <w:r w:rsidRPr="00C3671E">
        <w:rPr>
          <w:lang w:val="en-GB" w:eastAsia="zh-CN"/>
        </w:rPr>
        <w:fldChar w:fldCharType="separate"/>
      </w:r>
      <w:r w:rsidR="00A91559" w:rsidRPr="00C3671E">
        <w:rPr>
          <w:noProof/>
          <w:lang w:val="en-GB" w:eastAsia="zh-CN"/>
        </w:rPr>
        <w:t>(Aartsen and Jylhä 2011; Park et al. 2013; Theeke 2009)</w:t>
      </w:r>
      <w:r w:rsidRPr="00C3671E">
        <w:rPr>
          <w:lang w:val="en-GB" w:eastAsia="zh-CN"/>
        </w:rPr>
        <w:fldChar w:fldCharType="end"/>
      </w:r>
      <w:r w:rsidRPr="00C3671E">
        <w:rPr>
          <w:lang w:val="en-GB" w:eastAsia="zh-CN"/>
        </w:rPr>
        <w:t xml:space="preserve">. Questions about the </w:t>
      </w:r>
      <w:r w:rsidRPr="00C3671E">
        <w:rPr>
          <w:lang w:val="en-GB"/>
        </w:rPr>
        <w:t>meaningfulness</w:t>
      </w:r>
      <w:r w:rsidRPr="00C3671E">
        <w:rPr>
          <w:lang w:val="en-GB" w:eastAsia="zh-CN"/>
        </w:rPr>
        <w:t xml:space="preserve"> of life and overload are originally items from the CASP-12 scale measuring subjective QoL at older ages; items from this scale have been used repeatedly as indicators of specific concepts </w:t>
      </w:r>
      <w:r w:rsidRPr="00C3671E">
        <w:rPr>
          <w:lang w:val="en-GB" w:eastAsia="zh-CN"/>
        </w:rPr>
        <w:fldChar w:fldCharType="begin" w:fldLock="1"/>
      </w:r>
      <w:r w:rsidR="001257AA" w:rsidRPr="00C3671E">
        <w:rPr>
          <w:lang w:val="en-GB" w:eastAsia="zh-CN"/>
        </w:rPr>
        <w:instrText>ADDIN CSL_CITATION { "citationItems" : [ { "id" : "ITEM-1", "itemData" : { "DOI" : "10.1186/1471-2369-11-35", "ISBN" : "1471-2369 (Electronic)\\r1471-2369 (Linking)", "ISSN" : "1471-2369", "PMID" : "21138597", "abstract" : "Background\\nCompared to healthy people, patients with chronic kidney disease (CKD) participate less in paid jobs and social activities. The aim of the study was to examine a) the perceived autonomy, self-esteem and labor participation of patients in the pre-dialysis phase, b) pre-dialysis patients' illness perceptions and treatment perceptions, and c) the association of these perceptions with autonomy, self-esteem and labor participation.\\n\\nMethods\\nPatients (N = 109) completed questionnaires at home. Data were analysed using bivariate and multivariate analyses.\\n\\nResults\\nThe results showed that the average autonomy levels were not very high, but the average level of self-esteem was rather high, and that drop out of the labor market already occurs during the pre-dialysis phase. Positive illness and treatment beliefs were associated with higher autonomy and self-esteem levels, but not with employment. Multiple regression analyses revealed that illness and treatment perceptions explained a substantial amount of variance in autonomy (17%) and self-esteem (26%). The perception of less treatment disruption was an important predictor.\\n\\nConclusions\\nPatient education on possibilities to combine CKD and its treatment with activities, including paid work, might stimulate positive (realistic) beliefs and prevent or challenge negative beliefs. Interventions focusing on these aspects may assist patients to adjust to CKD, and ultimately prevent unnecessary drop out of the labor market.", "author" : [ { "dropping-particle" : "", "family" : "Jansen", "given" : "Daphne L", "non-dropping-particle" : "", "parse-names" : false, "suffix" : "" }, { "dropping-particle" : "", "family" : "Grootendorst", "given" : "Diana C", "non-dropping-particle" : "", "parse-names" : false, "suffix" : "" }, { "dropping-particle" : "", "family" : "Rijken", "given" : "Mieke", "non-dropping-particle" : "", "parse-names" : false, "suffix" : "" }, { "dropping-particle" : "", "family" : "Heijmans", "given" : "Monique", "non-dropping-particle" : "", "parse-names" : false, "suffix" : "" }, { "dropping-particle" : "", "family" : "Kaptein", "given" : "Ad A", "non-dropping-particle" : "", "parse-names" : false, "suffix" : "" }, { "dropping-particle" : "", "family" : "Boeschoten", "given" : "Elisabeth W", "non-dropping-particle" : "", "parse-names" : false, "suffix" : "" }, { "dropping-particle" : "", "family" : "Dekker", "given" : "Friedo W", "non-dropping-particle" : "", "parse-names" : false, "suffix" : "" } ], "container-title" : "BMC Nephrology", "id" : "ITEM-1", "issue" : "1", "issued" : { "date-parts" : [ [ "2010" ] ] }, "page" : "35", "publisher" : "BioMed Central Ltd", "title" : "Pre-dialysis patients' perceived autonomy, self-esteem and labor participation: associations with illness perceptions and treatment perceptions. A cross-sectional study", "type" : "article-journal", "volume" : "11" }, "uris" : [ "http://www.mendeley.com/documents/?uuid=e0433282-bb46-44df-a15a-6eca7dbe60b3" ] }, { "id" : "ITEM-2", "itemData" : { "DOI" : "10.1007/s11136-014-0756-y", "ISBN" : "1573-2649\\r0962-9343", "ISSN" : "15732649", "PMID" : "25027668", "abstract" : "PURPOSE: We assessed whether the original three-factor structure of the older adult CASP-12 Quality of Life (QOL) scale was stable for both indigenous and non-indigenous older adult populations in the same non-European country (i.e. New Zealand). METHOD: A total of 3076 New Zealanders aged 50-84 (Maori = 1,130; non-Maori sample = 1,946) completed a postal survey for the first data collection wave of the New Zealand Longitudinal Study of Ageing in 2010. The survey included the CASP-12, a chronic health conditions checklist, CES-D-10, de Jong Gierveld loneliness scale, and the WHOQOL single-item QOL indicator. RESULTS: Exploratory factor analysis revealed that the CASP-12 responses resulted in a revised two-factor structure for both Maori and non-Maori we called the NZCASP-11, which included a new three-item global indicator of QOL (CASP-3) that consistently cross-loaded on both factors. Confirmatory factor analysis supported the NZCASP-11 factor structure over the original CASP-12 model, and further assessment validated both the utility of the NZCASP-11 as an indicator of QOL in New Zealand and illustrated the utility of the CASP-3 as a brief screen for global QOL. CONCLUSION: While CASP items coalesce to provide a robust QOL indicator of indigenous and non-indigenous QOL in a single-country setting, the actual factor structure underpinning this CASP indicator (i.e. the NZCASP-11) is not entirely reflective of that found in the United Kingdom. Furthermore, we revealed that three CASP items (i.e. the CASP-3) may reflect a stable brief indicator of QOL applicable for assessing QOL across cultures within a single setting.", "author" : [ { "dropping-particle" : "", "family" : "Towers", "given" : "Andy", "non-dropping-particle" : "", "parse-names" : false, "suffix" : "" }, { "dropping-particle" : "", "family" : "Yeung", "given" : "Polly", "non-dropping-particle" : "", "parse-names" : false, "suffix" : "" }, { "dropping-particle" : "", "family" : "Stevenson", "given" : "Brendan", "non-dropping-particle" : "", "parse-names" : false, "suffix" : "" }, { "dropping-particle" : "", "family" : "Stephens", "given" : "Christine", "non-dropping-particle" : "", "parse-names" : false, "suffix" : "" }, { "dropping-particle" : "", "family" : "Alpass", "given" : "Fiona", "non-dropping-particle" : "", "parse-names" : false, "suffix" : "" } ], "container-title" : "Quality of Life Research", "id" : "ITEM-2", "issue" : "1", "issued" : { "date-parts" : [ [ "2015" ] ] }, "page" : "193-203", "title" : "Quality of life in indigenous and non-indigenous older adults: assessing the CASP-12 factor structure and identifying a brief CASP-3", "type" : "article-journal", "volume" : "24" }, "uris" : [ "http://www.mendeley.com/documents/?uuid=e9843919-91c0-4ec9-9c4a-134ad0431d16" ] } ], "mendeley" : { "formattedCitation" : "(Jansen et al. 2010; Towers et al. 2015)", "plainTextFormattedCitation" : "(Jansen et al. 2010; Towers et al. 2015)", "previouslyFormattedCitation" : "(Jansen et al. 2010; Towers et al. 2015)" }, "properties" : { "noteIndex" : 0 }, "schema" : "https://github.com/citation-style-language/schema/raw/master/csl-citation.json" }</w:instrText>
      </w:r>
      <w:r w:rsidRPr="00C3671E">
        <w:rPr>
          <w:lang w:val="en-GB" w:eastAsia="zh-CN"/>
        </w:rPr>
        <w:fldChar w:fldCharType="separate"/>
      </w:r>
      <w:r w:rsidR="00A91559" w:rsidRPr="00C3671E">
        <w:rPr>
          <w:noProof/>
          <w:lang w:val="en-GB" w:eastAsia="zh-CN"/>
        </w:rPr>
        <w:t>(Jansen et al. 2010; Towers et al. 2015)</w:t>
      </w:r>
      <w:r w:rsidRPr="00C3671E">
        <w:rPr>
          <w:lang w:val="en-GB" w:eastAsia="zh-CN"/>
        </w:rPr>
        <w:fldChar w:fldCharType="end"/>
      </w:r>
      <w:r w:rsidRPr="00C3671E">
        <w:rPr>
          <w:lang w:val="en-GB" w:eastAsia="zh-CN"/>
        </w:rPr>
        <w:t xml:space="preserve">. The item ‘I feel that my life has meaning’ indicates meaningfulness of life and a negative evaluation of the item ‘I can do the things that I want to do’ indicates overload in the analysis. Both items have options ‘Often/Sometimes/Not often/Never’. The original scales for indicators of loneliness and </w:t>
      </w:r>
      <w:r w:rsidRPr="00C3671E">
        <w:rPr>
          <w:lang w:val="en-GB" w:eastAsia="zh-CN"/>
        </w:rPr>
        <w:lastRenderedPageBreak/>
        <w:t>meaningfulness have been reversed, so higher values indicate higher loneliness, higher meaningfulness, and higher overload in the analysis.</w:t>
      </w:r>
    </w:p>
    <w:p w14:paraId="75C706B8" w14:textId="77777777" w:rsidR="001A7940" w:rsidRPr="00C3671E" w:rsidRDefault="001A7940" w:rsidP="007E6D8E">
      <w:pPr>
        <w:pStyle w:val="Nadpis3"/>
        <w:spacing w:line="480" w:lineRule="auto"/>
        <w:rPr>
          <w:rFonts w:ascii="Times New Roman" w:hAnsi="Times New Roman" w:cs="Times New Roman"/>
          <w:b w:val="0"/>
          <w:i/>
          <w:lang w:val="en-GB" w:eastAsia="zh-CN"/>
        </w:rPr>
      </w:pPr>
      <w:bookmarkStart w:id="53" w:name="_Toc512687759"/>
      <w:r w:rsidRPr="00C3671E">
        <w:rPr>
          <w:rFonts w:ascii="Times New Roman" w:hAnsi="Times New Roman" w:cs="Times New Roman"/>
          <w:b w:val="0"/>
          <w:i/>
          <w:lang w:val="en-GB" w:eastAsia="zh-CN"/>
        </w:rPr>
        <w:t>Main Explanatory Variables</w:t>
      </w:r>
      <w:bookmarkEnd w:id="53"/>
    </w:p>
    <w:p w14:paraId="6F59ACD0" w14:textId="77777777" w:rsidR="001A7940" w:rsidRPr="00C3671E" w:rsidRDefault="001A7940" w:rsidP="00466C1F">
      <w:pPr>
        <w:suppressAutoHyphens/>
        <w:spacing w:line="480" w:lineRule="auto"/>
        <w:jc w:val="both"/>
        <w:rPr>
          <w:lang w:eastAsia="zh-CN"/>
        </w:rPr>
      </w:pPr>
      <w:r w:rsidRPr="00C3671E">
        <w:rPr>
          <w:lang w:eastAsia="zh-CN"/>
        </w:rPr>
        <w:t xml:space="preserve">The provision of care is measured by two different variables, which have been constructed from the SHARE module ‘Social support’, which examines the provision and intensity of caregiving to parents and parents-in-law, spouses, children, grandchildren, and many other relatives, as well as to friends and other nonrelatives. Three questions on caregiving are used to construct this broadly defined indicator of care provision: 1. ‘Which family member from outside the household, friend or neighbour have you helped in the last twelve months’; 2. ‘Which of your children is the parent of the grandchild you have looked after’; and 3. ‘Is there someone living in this household whom you have helped regularly during the last twelve months with personal care (…)’? Each of </w:t>
      </w:r>
      <w:r w:rsidRPr="00C3671E">
        <w:t>these</w:t>
      </w:r>
      <w:r w:rsidRPr="00C3671E">
        <w:rPr>
          <w:lang w:eastAsia="zh-CN"/>
        </w:rPr>
        <w:t xml:space="preserve"> questions is preceded by a general question on a given type of care and followed by a request to specify the intensity of activity. These questions measuring the number and intensity of caregiving relationships have been converted to an indicator of care provided almost weekly or more often (values are 0, 1, 2, 3, or 4 and more caregiving relationships of this intensity) and care provided almost daily or more often (values 0, 1, 2, or 3 and more caregiving relationships). These two explanatory variables directly determine the effect of care multiplicity by their values and indirectly obtain the effect of intensity of care by comparing their coefficients.</w:t>
      </w:r>
    </w:p>
    <w:p w14:paraId="5E479E06" w14:textId="0898841B" w:rsidR="001A7940" w:rsidRPr="00C3671E" w:rsidRDefault="001A7940" w:rsidP="00466C1F">
      <w:pPr>
        <w:pStyle w:val="Newparagraph"/>
        <w:jc w:val="both"/>
        <w:rPr>
          <w:lang w:eastAsia="zh-CN"/>
        </w:rPr>
      </w:pPr>
      <w:r w:rsidRPr="00C3671E">
        <w:rPr>
          <w:lang w:eastAsia="zh-CN"/>
        </w:rPr>
        <w:t xml:space="preserve">The two variables of caregiving described above indicate the frequency and multiplicity of care, while the percentage of employees in health and social services indicating the availability of formal care at the national level </w:t>
      </w:r>
      <w:r w:rsidRPr="00C3671E">
        <w:rPr>
          <w:lang w:eastAsia="zh-CN"/>
        </w:rPr>
        <w:fldChar w:fldCharType="begin" w:fldLock="1"/>
      </w:r>
      <w:r w:rsidR="00AA6335" w:rsidRPr="00C3671E">
        <w:rPr>
          <w:lang w:eastAsia="zh-CN"/>
        </w:rPr>
        <w:instrText>ADDIN CSL_CITATION { "citationItems" : [ { "id" : "ITEM-1", "itemData" : { "URL" : "http://stats.oecd.org/Index.aspx?datasetcode=SOCX_AGG", "accessed" : { "date-parts" : [ [ "2017", "11", "23" ] ] }, "author" : [ { "dropping-particle" : "", "family" : "OECD", "given" : "", "non-dropping-particle" : "", "parse-names" : false, "suffix" : "" } ], "id" : "ITEM-1", "issued" : { "date-parts" : [ [ "2017" ] ] }, "title" : "Social Expenditure \u2013 Aggregated data", "type" : "webpage" }, "uris" : [ "http://www.mendeley.com/documents/?uuid=5cbcc61e-6a2b-4d8f-9138-b3c865ed3831" ] } ], "mendeley" : { "formattedCitation" : "(OECD 2017)", "plainTextFormattedCitation" : "(OECD 2017)", "previouslyFormattedCitation" : "(OECD 2017)" }, "properties" : { "noteIndex" : 0 }, "schema" : "https://github.com/citation-style-language/schema/raw/master/csl-citation.json" }</w:instrText>
      </w:r>
      <w:r w:rsidRPr="00C3671E">
        <w:rPr>
          <w:lang w:eastAsia="zh-CN"/>
        </w:rPr>
        <w:fldChar w:fldCharType="separate"/>
      </w:r>
      <w:r w:rsidRPr="00C3671E">
        <w:rPr>
          <w:noProof/>
          <w:lang w:eastAsia="zh-CN"/>
        </w:rPr>
        <w:t>(OECD 2017)</w:t>
      </w:r>
      <w:r w:rsidRPr="00C3671E">
        <w:rPr>
          <w:lang w:eastAsia="zh-CN"/>
        </w:rPr>
        <w:fldChar w:fldCharType="end"/>
      </w:r>
      <w:r w:rsidRPr="00C3671E">
        <w:rPr>
          <w:lang w:eastAsia="zh-CN"/>
        </w:rPr>
        <w:t xml:space="preserve"> indirectly indicates the voluntariness of care on the </w:t>
      </w:r>
      <w:r w:rsidRPr="00C3671E">
        <w:t>individual</w:t>
      </w:r>
      <w:r w:rsidRPr="00C3671E">
        <w:rPr>
          <w:lang w:eastAsia="zh-CN"/>
        </w:rPr>
        <w:t xml:space="preserve"> level. This variable is ‘the best measurable public substitute for practical support between generations’ </w:t>
      </w:r>
      <w:r w:rsidRPr="00C3671E">
        <w:rPr>
          <w:noProof/>
          <w:lang w:eastAsia="zh-CN"/>
        </w:rPr>
        <w:t>(</w:t>
      </w:r>
      <w:r w:rsidRPr="00C3671E">
        <w:rPr>
          <w:lang w:eastAsia="zh-CN"/>
        </w:rPr>
        <w:fldChar w:fldCharType="begin" w:fldLock="1"/>
      </w:r>
      <w:r w:rsidR="00AA6335" w:rsidRPr="00C3671E">
        <w:rPr>
          <w:lang w:eastAsia="zh-CN"/>
        </w:rPr>
        <w:instrText>ADDIN CSL_CITATION { "citationItems" : [ { "id" : "ITEM-1", "itemData" : { "DOI" : "10.1111/j.1741-3737.2012.01028.x", "ISBN" : "0022-2445\\r1741-3737", "ISSN" : "00222445", "abstract" : "Understanding the role of social policies in intergenerational transfers from old to young people is especially important in times of population aging. This paper focuses on the influences of social expenditures and social services on financial support and on practical help from older parents to their adult children based on the first two waves from the Survey of Health, Ageing and Retirement in Europe (SHARE, N = 60,250 dyads from 13 European countries). Multilevel models showed that social policy plays an important role for intergenerational transfer patterns: The more public assistance was provided to citizens, the more likely parents supported their adult children financially and practically, but this support was less intense in terms of money and time given. Thus, the analyses support the specialization hypothesis that posits a division of labor between family and state for downward intergenerational transfers. (PsycINFO Database Record (c) 2013 APA, all rights reserved) (journal abstract).", "author" : [ { "dropping-particle" : "", "family" : "Brandt", "given" : "Martina", "non-dropping-particle" : "", "parse-names" : false, "suffix" : "" }, { "dropping-particle" : "", "family" : "Deindl", "given" : "Christian", "non-dropping-particle" : "", "parse-names" : false, "suffix" : "" } ], "container-title" : "Journal of Marriage and Family", "id" : "ITEM-1", "issue" : "1", "issued" : { "date-parts" : [ [ "2013" ] ] }, "page" : "235-251", "title" : "Intergenerational Transfers to Adult Children in Europe: Do Social Policies Matter?", "type" : "article-journal", "volume" : "75" }, "uris" : [ "http://www.mendeley.com/documents/?uuid=fd2790ce-b5c5-445d-a03a-064b9bdbc16f" ] } ], "mendeley" : { "formattedCitation" : "(Brandt and Deindl 2013)", "manualFormatting" : "Brandt and Deindl 2013", "plainTextFormattedCitation" : "(Brandt and Deindl 2013)", "previouslyFormattedCitation" : "(Brandt and Deindl 2013)" }, "properties" : { "noteIndex" : 0 }, "schema" : "https://github.com/citation-style-language/schema/raw/master/csl-citation.json" }</w:instrText>
      </w:r>
      <w:r w:rsidRPr="00C3671E">
        <w:rPr>
          <w:lang w:eastAsia="zh-CN"/>
        </w:rPr>
        <w:fldChar w:fldCharType="separate"/>
      </w:r>
      <w:r w:rsidRPr="00C3671E">
        <w:rPr>
          <w:noProof/>
          <w:lang w:eastAsia="zh-CN"/>
        </w:rPr>
        <w:t>Brandt and Deindl 2013</w:t>
      </w:r>
      <w:r w:rsidRPr="00C3671E">
        <w:rPr>
          <w:lang w:eastAsia="zh-CN"/>
        </w:rPr>
        <w:fldChar w:fldCharType="end"/>
      </w:r>
      <w:r w:rsidRPr="00C3671E">
        <w:rPr>
          <w:lang w:eastAsia="zh-CN"/>
        </w:rPr>
        <w:t xml:space="preserve">: 240) and apparently also the most frequently used one </w:t>
      </w:r>
      <w:r w:rsidRPr="00C3671E">
        <w:rPr>
          <w:lang w:eastAsia="zh-CN"/>
        </w:rPr>
        <w:fldChar w:fldCharType="begin" w:fldLock="1"/>
      </w:r>
      <w:r w:rsidR="001257AA" w:rsidRPr="00C3671E">
        <w:rPr>
          <w:lang w:eastAsia="zh-CN"/>
        </w:rPr>
        <w:instrText>ADDIN CSL_CITATION { "citationItems" : [ { "id" : "ITEM-1", "itemData" : { "DOI" : "10.1111/j.1741-3737.2012.01028.x", "ISBN" : "0022-2445\\r1741-3737", "ISSN" : "00222445", "abstract" : "Understanding the role of social policies in intergenerational transfers from old to young people is especially important in times of population aging. This paper focuses on the influences of social expenditures and social services on financial support and on practical help from older parents to their adult children based on the first two waves from the Survey of Health, Ageing and Retirement in Europe (SHARE, N = 60,250 dyads from 13 European countries). Multilevel models showed that social policy plays an important role for intergenerational transfer patterns: The more public assistance was provided to citizens, the more likely parents supported their adult children financially and practically, but this support was less intense in terms of money and time given. Thus, the analyses support the specialization hypothesis that posits a division of labor between family and state for downward intergenerational transfers. (PsycINFO Database Record (c) 2013 APA, all rights reserved) (journal abstract).", "author" : [ { "dropping-particle" : "", "family" : "Brandt", "given" : "Martina", "non-dropping-particle" : "", "parse-names" : false, "suffix" : "" }, { "dropping-particle" : "", "family" : "Deindl", "given" : "Christian", "non-dropping-particle" : "", "parse-names" : false, "suffix" : "" } ], "container-title" : "Journal of Marriage and Family", "id" : "ITEM-1", "issue" : "1", "issued" : { "date-parts" : [ [ "2013" ] ] }, "page" : "235-251", "title" : "Intergenerational Transfers to Adult Children in Europe: Do Social Policies Matter?", "type" : "article-journal", "volume" : "75" }, "uris" : [ "http://www.mendeley.com/documents/?uuid=fd2790ce-b5c5-445d-a03a-064b9bdbc16f" ] }, { "id" : "ITEM-2", "itemData" : { "ISSN" : "00472328", "abstract" : "Intergenerational time transfers can be differentiated and divided\\ninto two support forms: help and care activities. Adult children\\nsupport their elderly parents with more or less intensive and widely\\ndiffering transfers ranging from help with household chores and paperwork\\nto personal care. However, elderly people are also an important source\\nof intergenerational support, as they help their children by looking\\nafter the grandchildren for example. In general intergenerational\\nsolidarity patterns are influenced by opportunity, need, family and\\ncultural-contextual structures, which have differing impacts on help\\nand care: Care is mainly depending on the need structures of the\\nreceiver while help activities to parents and children are primarily\\ninfluenced by the opportunity structures of the giver. Additionally,\\nusing the SHARE data, logistic multilevel modeling allows national\\nhelp and care levels to be traced back to the provision of public\\nservices. The empirical findings support the ``specialization hypothesis{''}:\\nA higher national level of social services coincides with less intensive\\nhelp and more demanding care. Well-developed welfare states thus\\nlower the risk of an overburdening of the family and secure the overall\\nsupport of older people and young families through efficient collaboration\\nbetween family and state.", "author" : [ { "dropping-particle" : "", "family" : "Igel", "given" : "Corinne", "non-dropping-particle" : "", "parse-names" : false, "suffix" : "" }, { "dropping-particle" : "", "family" : "Brandt", "given" : "Martina", "non-dropping-particle" : "", "parse-names" : false, "suffix" : "" }, { "dropping-particle" : "", "family" : "Haberkern", "given" : "Klaus", "non-dropping-particle" : "", "parse-names" : false, "suffix" : "" }, { "dropping-particle" : "", "family" : "Szydlik", "given" : "Marc", "non-dropping-particle" : "", "parse-names" : false, "suffix" : "" } ], "container-title" : "Journal of Comparative Family Studies", "id" : "ITEM-2", "issue" : "2", "issued" : { "date-parts" : [ [ "2009" ] ] }, "page" : "203-224", "title" : "Specialization between family and state intergenerational time transfers in Western Europe", "type" : "article-journal", "volume" : "40" }, "uris" : [ "http://www.mendeley.com/documents/?uuid=6a7ba839-ceb4-4cec-83cd-d7e5b4c92ae4" ] }, { "id" : "ITEM-3", "itemData" : { "DOI" : "10.1007/s10433-011-0197-1", "ISBN" : "1613-9372\\r1613-9380", "ISSN" : "16139372", "abstract" : "The aim of this study is to examine the association of welfare state policies and the gendered organisation of intergenerational support (instrumental help and personal care) to older parents. The study distinguishes between support to older parents provided at least weekly, i.e. time-intensive and often burdening support, and sup- plemental sporadic support. Three policy instruments were expected to be associated with daughters\u2019 and sons\u2019 support or gender inequality in intergenerational support respec- tively: (1) professional social services, (2) cash-for-care payments and (3) legal obligations to provide or co-finance care for parents. The analyses based on the Survey of Health, Ageing and Retirement in Europe showed that daughters provided somewhat more sporadic and much more intensive support than sons throughout Europe. While about half of all children who sporadically supported a parent were men, this applied to only one out of four children who provided intensive support. Logistic multi- level models revealed that legal obligations were positively associated with daughters\u2019 likelihood of giving intensive support to parents but did not affect the likelihood of sons doing so. Legal obligations thus stimulate support in a gender-specific way. Both legal obligations and cash-for- care schemes were also accompanied by a more unequal", "author" : [ { "dropping-particle" : "", "family" : "Schmid", "given" : "Tina", "non-dropping-particle" : "", "parse-names" : false, "suffix" : "" }, { "dropping-particle" : "", "family" : "Brandt", "given" : "Martina", "non-dropping-particle" : "", "parse-names" : false, "suffix" : "" }, { "dropping-particle" : "", "family" : "Haberkern", "given" : "Klaus", "non-dropping-particle" : "", "parse-names" : false, "suffix" : "" } ], "container-title" : "European Journal of Ageing", "id" : "ITEM-3", "issue" : "1", "issued" : { "date-parts" : [ [ "2012" ] ] }, "page" : "39-50", "title" : "Gendered support to older parents: Do welfare states matter?", "type" : "article-journal", "volume" : "9" }, "uris" : [ "http://www.mendeley.com/documents/?uuid=2009c023-098b-416f-9c08-298f42eb27c7" ] } ], "mendeley" : { "formattedCitation" : "(Brandt and Deindl 2013; Igel et al. 2009; Schmid et al. 2012)", "plainTextFormattedCitation" : "(Brandt and Deindl 2013; Igel et al. 2009; Schmid et al. 2012)", "previouslyFormattedCitation" : "(Brandt and Deindl 2013; Igel et al. 2009; Schmid et al. 2012)" }, "properties" : { "noteIndex" : 0 }, "schema" : "https://github.com/citation-style-language/schema/raw/master/csl-citation.json" }</w:instrText>
      </w:r>
      <w:r w:rsidRPr="00C3671E">
        <w:rPr>
          <w:lang w:eastAsia="zh-CN"/>
        </w:rPr>
        <w:fldChar w:fldCharType="separate"/>
      </w:r>
      <w:r w:rsidR="00A91559" w:rsidRPr="00C3671E">
        <w:rPr>
          <w:noProof/>
          <w:lang w:eastAsia="zh-CN"/>
        </w:rPr>
        <w:t xml:space="preserve">(Brandt and Deindl 2013; Igel et al. 2009; Schmid </w:t>
      </w:r>
      <w:r w:rsidR="00A91559" w:rsidRPr="00C3671E">
        <w:rPr>
          <w:noProof/>
          <w:lang w:eastAsia="zh-CN"/>
        </w:rPr>
        <w:lastRenderedPageBreak/>
        <w:t>et al. 2012)</w:t>
      </w:r>
      <w:r w:rsidRPr="00C3671E">
        <w:rPr>
          <w:lang w:eastAsia="zh-CN"/>
        </w:rPr>
        <w:fldChar w:fldCharType="end"/>
      </w:r>
      <w:r w:rsidRPr="00C3671E">
        <w:rPr>
          <w:lang w:eastAsia="zh-CN"/>
        </w:rPr>
        <w:t>, as it focuses on time transfers instead of financial ones. The only macro-level variable has been standardized to make fixed effects more easily interpretable.</w:t>
      </w:r>
    </w:p>
    <w:p w14:paraId="7C862CC2" w14:textId="0C6601A4" w:rsidR="001A7940" w:rsidRPr="00C3671E" w:rsidRDefault="001A7940" w:rsidP="00466C1F">
      <w:pPr>
        <w:pStyle w:val="Newparagraph"/>
        <w:jc w:val="both"/>
        <w:rPr>
          <w:lang w:eastAsia="zh-CN"/>
        </w:rPr>
      </w:pPr>
      <w:r w:rsidRPr="00C3671E">
        <w:rPr>
          <w:lang w:eastAsia="zh-CN"/>
        </w:rPr>
        <w:t xml:space="preserve">All of the models in the analysis contain the cross-level interaction between the availability of formal care and the care provided by respondents to find the differences in the effect </w:t>
      </w:r>
      <w:r w:rsidRPr="00C3671E">
        <w:t>of</w:t>
      </w:r>
      <w:r w:rsidRPr="00C3671E">
        <w:rPr>
          <w:lang w:eastAsia="zh-CN"/>
        </w:rPr>
        <w:t xml:space="preserve"> caregiving by the availability of formal care. The provision of care in the interaction is treated as a continuous variable, even though the main effect is treated as categorical. The linearity of the interaction has been </w:t>
      </w:r>
      <w:r w:rsidRPr="00C3671E">
        <w:t>checked</w:t>
      </w:r>
      <w:r w:rsidRPr="00C3671E">
        <w:rPr>
          <w:lang w:eastAsia="zh-CN"/>
        </w:rPr>
        <w:t xml:space="preserve">. This step makes the results easily interpretable and more appropriate for testing the hypotheses without disadvantaging the models </w:t>
      </w:r>
      <w:r w:rsidRPr="00C3671E">
        <w:rPr>
          <w:lang w:eastAsia="zh-CN"/>
        </w:rPr>
        <w:fldChar w:fldCharType="begin" w:fldLock="1"/>
      </w:r>
      <w:r w:rsidR="001257AA" w:rsidRPr="00C3671E">
        <w:rPr>
          <w:lang w:eastAsia="zh-CN"/>
        </w:rPr>
        <w:instrText>ADDIN CSL_CITATION { "citationItems" : [ { "id" : "ITEM-1", "itemData" : { "DOI" : "10.1504/IJSSS.2011.038937", "author" : [ { "dropping-particle" : "", "family" : "Pasta", "given" : "David J.", "non-dropping-particle" : "", "parse-names" : false, "suffix" : "" } ], "container-title" : "SAS Global Forum 2013: Statistics and Data Analysis", "id" : "ITEM-1", "issue" : "Paper 422-2013", "issued" : { "date-parts" : [ [ "2013" ] ] }, "publisher-place" : "San Francisco", "title" : "Being Continuously Discrete (or Discretely Continuous): Understanding Models with Continuous and Discrete Predictors and Testing Associated Hypotheses", "type" : "paper-conference" }, "uris" : [ "http://www.mendeley.com/documents/?uuid=4ff8fdcb-d224-4c3a-b119-73bef183bfab" ] }, { "id" : "ITEM-2", "itemData" : { "DOI" : "10.1504/IJSSS.2011.038937", "author" : [ { "dropping-particle" : "", "family" : "Francoeur", "given" : "Richard B", "non-dropping-particle" : "", "parse-names" : false, "suffix" : "" } ], "container-title" : "International Journal of Society Systems Science", "id" : "ITEM-2", "issue" : "1-2", "issued" : { "date-parts" : [ [ "2011" ] ] }, "page" : "137-158", "title" : "Interpreting interactions of ordinal or continuous variables in moderated regression using the zero slope comparison: tutorial, new extensions, and cancer symptom applications", "type" : "article-journal", "volume" : "3" }, "uris" : [ "http://www.mendeley.com/documents/?uuid=1b28d016-560a-4aac-912c-6dfb25ae8828" ] } ], "mendeley" : { "formattedCitation" : "(Francoeur 2011; Pasta 2013)", "plainTextFormattedCitation" : "(Francoeur 2011; Pasta 2013)", "previouslyFormattedCitation" : "(Francoeur 2011; Pasta 2013)" }, "properties" : { "noteIndex" : 0 }, "schema" : "https://github.com/citation-style-language/schema/raw/master/csl-citation.json" }</w:instrText>
      </w:r>
      <w:r w:rsidRPr="00C3671E">
        <w:rPr>
          <w:lang w:eastAsia="zh-CN"/>
        </w:rPr>
        <w:fldChar w:fldCharType="separate"/>
      </w:r>
      <w:r w:rsidR="00A91559" w:rsidRPr="00C3671E">
        <w:rPr>
          <w:noProof/>
          <w:lang w:eastAsia="zh-CN"/>
        </w:rPr>
        <w:t>(Francoeur 2011; Pasta 2013)</w:t>
      </w:r>
      <w:r w:rsidRPr="00C3671E">
        <w:rPr>
          <w:lang w:eastAsia="zh-CN"/>
        </w:rPr>
        <w:fldChar w:fldCharType="end"/>
      </w:r>
      <w:r w:rsidRPr="00C3671E">
        <w:rPr>
          <w:lang w:eastAsia="zh-CN"/>
        </w:rPr>
        <w:t>.</w:t>
      </w:r>
    </w:p>
    <w:p w14:paraId="427013D9" w14:textId="77777777" w:rsidR="001A7940" w:rsidRPr="00C3671E" w:rsidRDefault="001A7940" w:rsidP="007E6D8E">
      <w:pPr>
        <w:pStyle w:val="Nadpis3"/>
        <w:spacing w:line="480" w:lineRule="auto"/>
        <w:rPr>
          <w:rFonts w:ascii="Times New Roman" w:hAnsi="Times New Roman" w:cs="Times New Roman"/>
          <w:b w:val="0"/>
          <w:i/>
          <w:lang w:val="en-GB" w:eastAsia="zh-CN"/>
        </w:rPr>
      </w:pPr>
      <w:bookmarkStart w:id="54" w:name="_Toc512687760"/>
      <w:r w:rsidRPr="00C3671E">
        <w:rPr>
          <w:rFonts w:ascii="Times New Roman" w:hAnsi="Times New Roman" w:cs="Times New Roman"/>
          <w:b w:val="0"/>
          <w:i/>
          <w:lang w:val="en-GB" w:eastAsia="zh-CN"/>
        </w:rPr>
        <w:t>Control Variables</w:t>
      </w:r>
      <w:bookmarkEnd w:id="54"/>
    </w:p>
    <w:p w14:paraId="60B651F5" w14:textId="19FE932A" w:rsidR="001A7940" w:rsidRPr="00C3671E" w:rsidRDefault="001A7940" w:rsidP="00466C1F">
      <w:pPr>
        <w:suppressAutoHyphens/>
        <w:spacing w:line="480" w:lineRule="auto"/>
        <w:jc w:val="both"/>
        <w:rPr>
          <w:lang w:eastAsia="zh-CN"/>
        </w:rPr>
      </w:pPr>
      <w:r w:rsidRPr="00C3671E">
        <w:rPr>
          <w:lang w:eastAsia="zh-CN"/>
        </w:rPr>
        <w:t xml:space="preserve">Various continuous and categorical control variables are used in the analysis, and almost all of them are characteristics of respondents measured at the first level of the data structure. Most of the </w:t>
      </w:r>
      <w:r w:rsidRPr="00466C1F">
        <w:rPr>
          <w:rFonts w:eastAsia="Calibri"/>
          <w:lang w:val="en-GB" w:eastAsia="en-US"/>
        </w:rPr>
        <w:t>continuous</w:t>
      </w:r>
      <w:r w:rsidRPr="00C3671E">
        <w:rPr>
          <w:lang w:eastAsia="zh-CN"/>
        </w:rPr>
        <w:t xml:space="preserve"> controls are </w:t>
      </w:r>
      <w:r w:rsidRPr="00C3671E">
        <w:t>measures</w:t>
      </w:r>
      <w:r w:rsidRPr="00C3671E">
        <w:rPr>
          <w:lang w:eastAsia="zh-CN"/>
        </w:rPr>
        <w:t xml:space="preserve"> of family structure: number of surviving parents, number of siblings, number of children, and number of grandchildren. These four variables are topcoded – approximately one percent of the highest and rarest values are merged into one category to eliminate outliers. The last measure of family structure is a binary variable: ‘partner lives in the same household’ (yes/no). Family members can increase the demands of caregiving, but they can also lower the care burden for the respondent through their own provision of care </w:t>
      </w:r>
      <w:r w:rsidRPr="00C3671E">
        <w:rPr>
          <w:lang w:eastAsia="zh-CN"/>
        </w:rPr>
        <w:fldChar w:fldCharType="begin" w:fldLock="1"/>
      </w:r>
      <w:r w:rsidR="001257AA" w:rsidRPr="00C3671E">
        <w:rPr>
          <w:lang w:eastAsia="zh-CN"/>
        </w:rPr>
        <w:instrText>ADDIN CSL_CITATION { "citationItems" : [ { "id" : "ITEM-1", "itemData" : { "DOI" : "10.1007/s10680-014-9336-7", "ISBN" : "1068001493367", "ISSN" : "15729885", "abstract" : "We analyse the impact of the provision of care on the health and quality of life (QoL) of adult female informal caregivers using a representative sample drawn from the survey of health, ageing and retirement in Europe (SHARE). We match each informal caregiver with a non-carer using propensity score matching and test whether matched individuals differ on self-assessed health and a functional indicator of QoL and whether this relationship differs across European regions. We find a North-South gradient both for self-assessed health and QoL, and our results show that the provision of caregiving to close relatives in Europe impacts on the caregivers' QoL and health in a way that depends on their geographical location, the degree of formal care and specific cultural and social factors of the area. We find that informal caregiving is a complex phenomenon which may bring both psychological rewards and distress to providers of care and this complexity, along with the geographical gradient highlight the importance of ensuring that policies match the needs of individual carers in their own geographical areas and cultural contexts. [ABSTRACT FROM AUTHOR] Copyright of European Journal of Population is the property of Springer Science &amp; Business Media B.V.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"Novi", "given" : "Cinzia", "non-dropping-particle" : "Di", "parse-names" : false, "suffix" : "" }, { "dropping-particle" : "", "family" : "Jacobs", "given" : "Rowena", "non-dropping-particle" : "", "parse-names" : false, "suffix" : "" }, { "dropping-particle" : "", "family" : "Migheli", "given" : "Matteo", "non-dropping-particle" : "", "parse-names" : false, "suffix" : "" } ], "container-title" : "European Journal of Population", "id" : "ITEM-1", "issue" : "3", "issued" : { "date-parts" : [ [ "2015" ] ] }, "page" : "309-333", "publisher" : "Springer Netherlands", "title" : "The Quality of Life of Female Informal Caregivers: From Scandinavia to the Mediterranean Sea", "type" : "article-journal", "volume" : "31" }, "uris" : [ "http://www.mendeley.com/documents/?uuid=1ccc65b6-fa56-4844-8194-2bfe00ef56d5" ] } ], "mendeley" : { "formattedCitation" : "(Di Novi et al. 2015)", "plainTextFormattedCitation" : "(Di Novi et al. 2015)", "previouslyFormattedCitation" : "(Di Novi et al. 2015)" }, "properties" : { "noteIndex" : 0 }, "schema" : "https://github.com/citation-style-language/schema/raw/master/csl-citation.json" }</w:instrText>
      </w:r>
      <w:r w:rsidRPr="00C3671E">
        <w:rPr>
          <w:lang w:eastAsia="zh-CN"/>
        </w:rPr>
        <w:fldChar w:fldCharType="separate"/>
      </w:r>
      <w:r w:rsidRPr="00C3671E">
        <w:rPr>
          <w:noProof/>
          <w:lang w:eastAsia="zh-CN"/>
        </w:rPr>
        <w:t>(Di Novi et al. 2015)</w:t>
      </w:r>
      <w:r w:rsidRPr="00C3671E">
        <w:rPr>
          <w:lang w:eastAsia="zh-CN"/>
        </w:rPr>
        <w:fldChar w:fldCharType="end"/>
      </w:r>
      <w:r w:rsidRPr="00C3671E">
        <w:rPr>
          <w:lang w:eastAsia="zh-CN"/>
        </w:rPr>
        <w:t>. Just two other continuous control variables remain on the list: age and age squared of the respondent. All continuous variables have been centred on their mean to make the results easily interpretable.</w:t>
      </w:r>
    </w:p>
    <w:p w14:paraId="4D7313F2" w14:textId="0CEE1C76" w:rsidR="001A7940" w:rsidRPr="00C3671E" w:rsidRDefault="001A7940" w:rsidP="00466C1F">
      <w:pPr>
        <w:pStyle w:val="Newparagraph"/>
        <w:jc w:val="both"/>
        <w:rPr>
          <w:lang w:eastAsia="zh-CN"/>
        </w:rPr>
      </w:pPr>
      <w:r w:rsidRPr="00C3671E">
        <w:rPr>
          <w:lang w:eastAsia="zh-CN"/>
        </w:rPr>
        <w:t xml:space="preserve">The remaining categorical controls are the </w:t>
      </w:r>
      <w:r w:rsidRPr="00C3671E">
        <w:t>following</w:t>
      </w:r>
      <w:r w:rsidRPr="00C3671E">
        <w:rPr>
          <w:lang w:eastAsia="zh-CN"/>
        </w:rPr>
        <w:t xml:space="preserve"> characteristics of the respondent: </w:t>
      </w:r>
      <w:r w:rsidRPr="00C3671E">
        <w:rPr>
          <w:i/>
          <w:lang w:eastAsia="zh-CN"/>
        </w:rPr>
        <w:t xml:space="preserve">sex </w:t>
      </w:r>
      <w:r w:rsidRPr="00C3671E">
        <w:rPr>
          <w:lang w:eastAsia="zh-CN"/>
        </w:rPr>
        <w:t xml:space="preserve">(male/female), </w:t>
      </w:r>
      <w:r w:rsidRPr="00C3671E">
        <w:rPr>
          <w:i/>
          <w:lang w:eastAsia="zh-CN"/>
        </w:rPr>
        <w:t>subjective health status</w:t>
      </w:r>
      <w:r w:rsidRPr="00C3671E">
        <w:rPr>
          <w:lang w:eastAsia="zh-CN"/>
        </w:rPr>
        <w:t xml:space="preserve"> (the category ‘unhealthy’ consists of the categories </w:t>
      </w:r>
      <w:r w:rsidRPr="00C3671E">
        <w:rPr>
          <w:i/>
          <w:lang w:eastAsia="zh-CN"/>
        </w:rPr>
        <w:t xml:space="preserve">poor </w:t>
      </w:r>
      <w:r w:rsidRPr="00C3671E">
        <w:rPr>
          <w:lang w:eastAsia="zh-CN"/>
        </w:rPr>
        <w:t>and</w:t>
      </w:r>
      <w:r w:rsidRPr="00C3671E">
        <w:rPr>
          <w:i/>
          <w:lang w:eastAsia="zh-CN"/>
        </w:rPr>
        <w:t xml:space="preserve"> fair</w:t>
      </w:r>
      <w:r w:rsidRPr="00C3671E">
        <w:rPr>
          <w:lang w:eastAsia="zh-CN"/>
        </w:rPr>
        <w:t xml:space="preserve">, the category ‘healthy’ from the options </w:t>
      </w:r>
      <w:r w:rsidRPr="00C3671E">
        <w:rPr>
          <w:i/>
          <w:lang w:eastAsia="zh-CN"/>
        </w:rPr>
        <w:t>good</w:t>
      </w:r>
      <w:r w:rsidRPr="00C3671E">
        <w:rPr>
          <w:lang w:eastAsia="zh-CN"/>
        </w:rPr>
        <w:t xml:space="preserve">, </w:t>
      </w:r>
      <w:r w:rsidRPr="00C3671E">
        <w:rPr>
          <w:i/>
          <w:lang w:eastAsia="zh-CN"/>
        </w:rPr>
        <w:t>very good</w:t>
      </w:r>
      <w:r w:rsidRPr="00C3671E">
        <w:rPr>
          <w:lang w:eastAsia="zh-CN"/>
        </w:rPr>
        <w:t xml:space="preserve">, and </w:t>
      </w:r>
      <w:r w:rsidRPr="00C3671E">
        <w:rPr>
          <w:i/>
          <w:lang w:eastAsia="zh-CN"/>
        </w:rPr>
        <w:t>excellent</w:t>
      </w:r>
      <w:r w:rsidRPr="00C3671E">
        <w:rPr>
          <w:lang w:eastAsia="zh-CN"/>
        </w:rPr>
        <w:t xml:space="preserve">; this dichotomization is widely used and does not affect results, see e.g. </w:t>
      </w:r>
      <w:r w:rsidRPr="00C3671E">
        <w:rPr>
          <w:lang w:eastAsia="zh-CN"/>
        </w:rPr>
        <w:fldChar w:fldCharType="begin" w:fldLock="1"/>
      </w:r>
      <w:r w:rsidR="001257AA" w:rsidRPr="00C3671E">
        <w:rPr>
          <w:lang w:eastAsia="zh-CN"/>
        </w:rPr>
        <w:instrText>ADDIN CSL_CITATION { "citationItems" : [ { "id" : "ITEM-1", "itemData" : { "DOI" : "10.1007/s00431-006-0311-0", "ISBN" : "0340-6199 (Print)\\r0340-6199", "ISSN" : "03406199", "PMID" : "17120041", "abstract" : "Since adolescents' psychosocial health problems may have major implications for adult morbidity and mortality, investigating their self-perceived health deserves priority. In the lack of limiting illness, psychosocial health variables, e.g., psychosomatic health complaints or health behaviors, play a decisive role in determining adolescents' self-perceived health. Using data on adolescents from Szeged, Hungary (n = 1,114), we examined the relationship between adolescents' self-perceived health and a set of psychosocial health status measurements. Findings show that psychosomatic and depressive symptoms contributed significantly to adolescents' poor/fair perceptions of health. Findings also support the relationship between health behaviors and adolescents' self-perceived health. Among boys, drug use and the lack of physical activity are significant predictors. Among girls, smoking may act in a similar way. Diet control is significant in both cases. Besides academic achievement, SES self-assessment and non-intact family status are strong contributes to health perception. Overall, findings show that psychosocial health variables are important influences on adolescents' self-perceived health.", "author" : [ { "dropping-particle" : "", "family" : "Piko", "given" : "Bettina F.", "non-dropping-particle" : "", "parse-names" : false, "suffix" : "" } ], "container-title" : "European Journal of Pediatrics", "id" : "ITEM-1", "issue" : "7", "issued" : { "date-parts" : [ [ "2007" ] ] }, "page" : "701-708", "title" : "Self-perceived health among adolescents: The role of gender and psychosocial factors", "type" : "article-journal", "volume" : "166" }, "uris" : [ "http://www.mendeley.com/documents/?uuid=542166de-94cb-4a10-b95c-e92f4dcc88c1" ] }, { "id" : "ITEM-2", "itemData" : { "DOI" : "10.1016/j.jhealeco.2004.02.001", "ISBN" : "1905546521", "ISSN" : "01676296", "PMID" : "15353189", "abstract" : "The role of lifestyle in mediating the relationship between socio-economic characteristics and health has been discussed extensively in the epidemiological and economic literatures. Previous analyses have not considered a formal framework incorporating unobservable heterogeneity. In this paper, we develop a simple economic model in which health is determined (partially) by lifestyle, which depends on preferences, budget and time constraints and unobservable characteristics. We estimate a recursive empirical specification consisting of a health production function and reduced forms for the lifestyle equations using Maximum Simulated Likelihood (MSL) for a multivariate probit (MVP) model with discrete indicators of lifestyle choices and self-assessed health (SAH) on British panel data from the 1984 and 1991 Health and Lifestyle Survey (HALS). We find that sleeping well, exercising, and not smoking in 1984 have dramatic positive effects on the probability of reporting excellent or good SAH in 1991, and that these effects are much larger having accounted for endogeneity. The failure of epidemiological analyses to account for unobserved heterogeneity can explain their low estimates of the relevance of lifestyle in the socio-economic status-health relationship. Indicators for prudent alcohol consumption and eating breakfast in 1984 are not found to be statistically significant determinants of SAH in 1991. \u00a9 2004 Elsevier B.V. All rights reserved.", "author" : [ { "dropping-particle" : "", "family" : "Contoyannis", "given" : "Paul", "non-dropping-particle" : "", "parse-names" : false, "suffix" : "" }, { "dropping-particle" : "", "family" : "Jones", "given" : "Andrew M.", "non-dropping-particle" : "", "parse-names" : false, "suffix" : "" } ], "container-title" : "Journal of Health Economics", "id" : "ITEM-2", "issue" : "5", "issued" : { "date-parts" : [ [ "2004" ] ] }, "number-of-pages" : "965-995", "title" : "Socio-economic status, health and lifestyle", "type" : "book", "volume" : "23" }, "uris" : [ "http://www.mendeley.com/documents/?uuid=edc6c0ad-3129-47c5-ab0b-1d33d3de17c1" ] }, { "id" : "ITEM-3", "itemData" : { "DOI" : "10.1007/s10680-014-9336-7", "ISBN" : "1068001493367", "ISSN" : "15729885", "abstract" : "We analyse the impact of the provision of care on the health and quality of life (QoL) of adult female informal caregivers using a representative sample drawn from the survey of health, ageing and retirement in Europe (SHARE). We match each informal caregiver with a non-carer using propensity score matching and test whether matched individuals differ on self-assessed health and a functional indicator of QoL and whether this relationship differs across European regions. We find a North-South gradient both for self-assessed health and QoL, and our results show that the provision of caregiving to close relatives in Europe impacts on the caregivers' QoL and health in a way that depends on their geographical location, the degree of formal care and specific cultural and social factors of the area. We find that informal caregiving is a complex phenomenon which may bring both psychological rewards and distress to providers of care and this complexity, along with the geographical gradient highlight the importance of ensuring that policies match the needs of individual carers in their own geographical areas and cultural contexts. [ABSTRACT FROM AUTHOR] Copyright of European Journal of Population is the property of Springer Science &amp; Business Media B.V.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"Novi", "given" : "Cinzia", "non-dropping-particle" : "Di", "parse-names" : false, "suffix" : "" }, { "dropping-particle" : "", "family" : "Jacobs", "given" : "Rowena", "non-dropping-particle" : "", "parse-names" : false, "suffix" : "" }, { "dropping-particle" : "", "family" : "Migheli", "given" : "Matteo", "non-dropping-particle" : "", "parse-names" : false, "suffix" : "" } ], "container-title" : "European Journal of Population", "id" : "ITEM-3", "issue" : "3", "issued" : { "date-parts" : [ [ "2015" ] ] }, "page" : "309-333", "publisher" : "Springer Netherlands", "title" : "The Quality of Life of Female Informal Caregivers: From Scandinavia to the Mediterranean Sea", "type" : "article-journal", "volume" : "31" }, "uris" : [ "http://www.mendeley.com/documents/?uuid=1ccc65b6-fa56-4844-8194-2bfe00ef56d5" ] } ], "mendeley" : { "formattedCitation" : "(Contoyannis and Jones 2004; Di Novi et al. 2015; Piko 2007)", "manualFormatting" : "Contoyannis and Jones 2004; Di Novi et al. 2015; Piko 2007)", "plainTextFormattedCitation" : "(Contoyannis and Jones 2004; Di Novi et al. 2015; Piko 2007)", "previouslyFormattedCitation" : "(Contoyannis and Jones 2004; Di Novi et al. 2015; Piko 2007)" }, "properties" : { "noteIndex" : 0 }, "schema" : "https://github.com/citation-style-language/schema/raw/master/csl-citation.json" }</w:instrText>
      </w:r>
      <w:r w:rsidRPr="00C3671E">
        <w:rPr>
          <w:lang w:eastAsia="zh-CN"/>
        </w:rPr>
        <w:fldChar w:fldCharType="separate"/>
      </w:r>
      <w:r w:rsidRPr="00C3671E">
        <w:rPr>
          <w:noProof/>
          <w:lang w:eastAsia="zh-CN"/>
        </w:rPr>
        <w:t xml:space="preserve">Contoyannis and Jones 2004; </w:t>
      </w:r>
      <w:r w:rsidRPr="00C3671E">
        <w:rPr>
          <w:noProof/>
          <w:lang w:eastAsia="zh-CN"/>
        </w:rPr>
        <w:lastRenderedPageBreak/>
        <w:t xml:space="preserve">Di Novi </w:t>
      </w:r>
      <w:r w:rsidRPr="00C3671E">
        <w:rPr>
          <w:i/>
          <w:noProof/>
          <w:lang w:eastAsia="zh-CN"/>
        </w:rPr>
        <w:t>et al.</w:t>
      </w:r>
      <w:r w:rsidRPr="00C3671E">
        <w:rPr>
          <w:noProof/>
          <w:lang w:eastAsia="zh-CN"/>
        </w:rPr>
        <w:t xml:space="preserve"> 2015; Piko 2007)</w:t>
      </w:r>
      <w:r w:rsidRPr="00C3671E">
        <w:rPr>
          <w:lang w:eastAsia="zh-CN"/>
        </w:rPr>
        <w:fldChar w:fldCharType="end"/>
      </w:r>
      <w:r w:rsidRPr="00C3671E">
        <w:rPr>
          <w:lang w:eastAsia="zh-CN"/>
        </w:rPr>
        <w:t xml:space="preserve">, </w:t>
      </w:r>
      <w:r w:rsidRPr="00C3671E">
        <w:rPr>
          <w:i/>
          <w:lang w:eastAsia="zh-CN"/>
        </w:rPr>
        <w:t>employment status</w:t>
      </w:r>
      <w:r w:rsidRPr="00C3671E">
        <w:rPr>
          <w:lang w:eastAsia="zh-CN"/>
        </w:rPr>
        <w:t xml:space="preserve"> (not working, working part-time, working full-time), and finally, the </w:t>
      </w:r>
      <w:r w:rsidRPr="00C3671E">
        <w:rPr>
          <w:i/>
          <w:lang w:eastAsia="zh-CN"/>
        </w:rPr>
        <w:t>educational level</w:t>
      </w:r>
      <w:r w:rsidRPr="00C3671E">
        <w:rPr>
          <w:lang w:eastAsia="zh-CN"/>
        </w:rPr>
        <w:t xml:space="preserve"> of the respondent (the ISCED scale is divided into three categories 0-1, 2-4, and 5-6; this categorization is the most meaningful, according to the </w:t>
      </w:r>
      <w:r w:rsidRPr="00C3671E">
        <w:rPr>
          <w:lang w:eastAsia="zh-CN"/>
        </w:rPr>
        <w:fldChar w:fldCharType="begin" w:fldLock="1"/>
      </w:r>
      <w:r w:rsidR="00AA6335" w:rsidRPr="00C3671E">
        <w:rPr>
          <w:lang w:eastAsia="zh-CN"/>
        </w:rPr>
        <w:instrText>ADDIN CSL_CITATION { "citationItems" : [ { "id" : "ITEM-1", "itemData" : { "DOI" : "10.13140/RG.2.1.1419.3126", "ISBN" : "978-92-2-125953-4", "ISSN" : "0040-0912", "PMID" : "25246403", "abstract" : "5IJT\u0001WPMVNF\u0001QSFTFOUT\u0001UIF\u0001TUSVDUVSF\u0001BOE\u0001EFmOJUJPOT\u0001PG\u0001BMM\u0001HSPVQT\u0001JO\u0001UIF\u0001*OUFSOBUJPOBM\u00014UBOEBSE\u0001\\r\\n$MBTTJmDBUJPO\u0001PG\u00010DDVQBUJPOT\u0001\u0013\u0011\u0011\u0019\u0001\\t*4$0\u000e\u0011\u0019\\r\\n\u000f\u0001*U\u0001BMTP\u0001JODMVEFT\u0001DPSSFTQPOEFODF\u0001UBCMFT\u0001TIPXJOH\u0001\\r\\nUIF\u0001SFMBUJPOTIJQ\u0001PG\u0001UIFTF\u0001HSPVQT\u0001XJUI\u0001UIPTF\u0001JO\u0001UIF\u0001QSFWJPVT\u0001WFSTJPO\u0001PG\u0001UIF\u0001*OUFSOBUJPOBM\u00014UBOEBSE\u0001\\r\\n$MBTTJmDBUJPO\u0001PG\u00010DDVQBUJPOT\u0001\\t*4$0\u000e\u0019\u0019\\r\\n\\r\\n\u0001XIJDI\u0001JU\u0001TVQFSTFEFT\u000f\u00017PMVNF\u0001\u0013\u0001QSPWJEFT\u0001BO\u0001VQEBUFE\u0001\\r\\nBOE\u0001FYQBOEFE\u0001JOEFY\u0001PG\u0001PDDVQBUJPOBM\u0001UJUMFT\u0001BOE\u0001BTTPDJBUFE\u0001*4$0\u000e\u0011\u0019\u0001BOE\u0001*4$0\u000e\u0019\u0019\u0001DPEFT\u000f\\r\\n*4$0\u000e\u0011\u0019\u0001XBT\u0001BEPQUFE\u0001BT\u0001B\u0001SFTPMVUJPO\u0001PG\u0001B\u0001USJQBSUJUF\u0001.FFUJOH\u0001PG\u0001&amp;YQFSUT\u0001PO\u0001-BCPVS\u00014UBUJTUJDT\u0001PO\u0001\\r\\nVQEBUJOH\u0001UIF\u0001*OUFSOBUJPOBM\u00014UBOEBSE\u0001$MBTTJmDBUJPO\u0001PG\u00010DDVQBUJPOT\u0001\\t*4$0\\r\\n\\r\\n\u0001IFME\u0001\u0014o\u0017\u018e%FDFNCFS\u0001\\r\\n\u0013\u0011\u0011\u0018\u000f\u00015IJT\u0001NFFUJOH\u0001XBT\u0001DPOWFOFE\u0001CZ\u0001UIF\u0001(PWFSOJOH\u0001#PEZ\u0001PG\u0001UIF\u0001*OUFSOBUJPOBM\u0001-BCPVS\u00010\u0110DF\u0001\\r\\n\\t*-0\\r\\n\u0001JO\u0001BDDPSEBODF\u0001XJUI\u0001B\u0001SFTPMVUJPO\\r\\n\u0001JO\u0001\u0013\u0011\u0011\u0014\\r\\n\u0001PG\u0001UIF\u00014FWFOUFFOUI\u0001*OUFSOBUJPOBM\u0001$POGFSFODF\u0001\\r\\nPG\u0001-BCPVS\u00014UBUJTUJDJBOT\u0001\\t*$-4\\r\\n\u000f\u00015IF\u0001SFTPMVUJPO\u0001PG\u0001UIF\u0001.FFUJOH\u0001PG\u0001&amp;YQFSUT\u0001XBT\u0001FOEPSTFE\u0001CZ\u0001UIF\u0001\\r\\n(PWFSOJOH\u0001#PEZ\u0001JO\u0001.BSDI\u0001\u0013\u0011\u0011\u0019\u000f\\r\\n*4$0\u000e\u0011\u0019\\r\\n\u0001MJLF\u0001JUT\u0001QSFEFDFTTPST\\r\\n\u0001IBT\u0001CFFO\u0001EFWFMPQFE\u0001UP\u0001GBDJMJUBUF\u0001JOUFSOBUJPOBM\u0001DPNQBSJTPO\u0001PG\u0001\\r\\nPDDVQBUJPOBM\u0001TUBUJTUJDT\u0001BOE\u0001UP\u0001TFSWF\u0001BT\u0001B\u0001NPEFM\u0001GPS\u0001DPVOUSJFT\u0001EFWFMPQJOH\u0001PS\u0001SFWJTJOH\u0001UIFJS\u0001OBtional\\r\\noccupational classifications. It is fully supported by the international community as an\\r\\naccepted standard for international labour statistics.\\r\\n5IF\u0001EFWFMPQNFOU\u0001PG\u0001 *4$0\u000e\u0011\u0019\u0001CFOFmUFE\u0001 GSPN\u0001 BDDVNVMBUFE\u0001OBUJPOBM\u0001 BOE\u0001JOUFSOBUJPOBM\u0001FYQFSJFODF\u000f\u0001%BWJE\u0001)VOUFS\\r\\n\u0001PG\u0001UIF\u0001*-0\u0001%FQBSUNFOU\u0001PG\u00014UBUJTUJDT\\r\\n\u0001DPPSEJOBUFE\u0001UIF\u0001QSPKFDU\u0001JO\u0001DPMMBCPSBUJPO\u0001XJUI\u0001FYQFSUT\u0001GSPN\u0001NBOZ\u0001DPVOUSJFT\u0001BOE\u0001BHFODJFT\u000f\\r\\n5IF\u0001*-0\u0001JT\u0001HSBUFGVM\u0001 GPS\u0001 UIF\u0001JOWBMVBCMF\u0001BEWJDF\u0001BOE\u0001HVJEBODF\u0001QSPWJEFE\u0001CZ\u0001 UIFTF\u0001FYQFSUT\\r\\n\u0001JODMVEJOH\u0001NFNCFST\u0001PG\u0001UIF\u00016OJUFE\u0001/BUJPOT\u0001&amp;YQFSU\u0001(SPVQ\u0001PO\u0001*OUFSOBUJPOBM\u0001&amp;DPOPNJD\u0001BOE\u00014PDJBM\u0001\\r\\n$MBTTJmDBUJPOT\\r\\n\u0001UIF\u0001USJQBSUJUF\u0001.FFUJOH\u0001PG\u0001&amp;YQFSUT\u0001PO\u0001-BCPVS\u00014UBUJTUJDT\u0001BOE\u0001UIF\u00014FWFOUFFOUI\u0001\\r\\n*$-4\u000f\u00014QFDJBM\u0001 UIBOLT\u0001TIPVME\u0001HP\u0001 UP\u0001NFNCFST\u0001PG\u0001 UIF\u00015FDIOJDBM\u0001&amp;YQFSU\u0001(SPVQ\u0001 GPS\u00016QEBUJOH\u0001\\r\\n*4$0\u0001BOE\u0001UIF\u0001BHFODJFT\u0001JO\u0001XIJDI\u0001UIFZ\u0001BSF\u0001FNQMPZFE\\r\\n\u0001GPS\u0001UIF\u0001IJHI\u0001MFWFM\u0001PG\u0001BEWJDF\\r\\n\u0001TVQQPSU\u0001BOE\u0001\\r\\nEJSFDU\u0001BTTJTUBODF\u0001QSPWJEFE\u000f\\r\\n5IBOLT\u0001 BSF\u0001 BMTP\u0001EVF\u0001 UP\u0001 UIF\u0001NBOZ\u0001 *-0\u0001 TUB\u010f\u0001JO\u0001 UIF\u0001%FQBSUNFOU\u0001PG\u00014UBUJTUJDT\u0001 BOE\u0001FMTFXIFSF\u0001\\r\\nXIP\u018eDPOUSJCVUFE\u0001 UP\u0001 UIF\u0001DPNQMFUJPO\u0001PG\u0001 UIJT\u0001 WPMVNF\\r\\n\u0001JO\u0001QBSUJDVMBS\u0001 UP\u0001\"ESJBOB\u0001.BUB\u000e(SFFOXPPE\u018eXIP\u0001JOJUJBUFE\u0001UIF\u0001QSPKFDU", "author" : [ { "dropping-particle" : "", "family" : "International Labour Office", "given" : "", "non-dropping-particle" : "", "parse-names" : false, "suffix" : "" } ], "id" : "ITEM-1", "issued" : { "date-parts" : [ [ "2012" ] ] }, "number-of-pages" : "1-420", "publisher" : "International Labour Office", "publisher-place" : "Geneva", "title" : "International Standard Classification of Occupations", "type" : "book", "volume" : "I" }, "uris" : [ "http://www.mendeley.com/documents/?uuid=46ad45a0-f7b1-4589-ad5d-fd388f9eb8ee" ] } ], "mendeley" : { "formattedCitation" : "(International Labour Office 2012)", "manualFormatting" : "International Labour Office 2012)", "plainTextFormattedCitation" : "(International Labour Office 2012)", "previouslyFormattedCitation" : "(International Labour Office 2012)" }, "properties" : { "noteIndex" : 0 }, "schema" : "https://github.com/citation-style-language/schema/raw/master/csl-citation.json" }</w:instrText>
      </w:r>
      <w:r w:rsidRPr="00C3671E">
        <w:rPr>
          <w:lang w:eastAsia="zh-CN"/>
        </w:rPr>
        <w:fldChar w:fldCharType="separate"/>
      </w:r>
      <w:r w:rsidRPr="00C3671E">
        <w:rPr>
          <w:noProof/>
          <w:lang w:eastAsia="zh-CN"/>
        </w:rPr>
        <w:t>International Labour Office 2012)</w:t>
      </w:r>
      <w:r w:rsidRPr="00C3671E">
        <w:rPr>
          <w:lang w:eastAsia="zh-CN"/>
        </w:rPr>
        <w:fldChar w:fldCharType="end"/>
      </w:r>
      <w:r w:rsidRPr="00C3671E">
        <w:rPr>
          <w:lang w:eastAsia="zh-CN"/>
        </w:rPr>
        <w:t>.</w:t>
      </w:r>
    </w:p>
    <w:p w14:paraId="52D112FD" w14:textId="77777777" w:rsidR="001A7940" w:rsidRPr="00C3671E" w:rsidRDefault="001A7940" w:rsidP="00466C1F">
      <w:pPr>
        <w:pStyle w:val="Newparagraph"/>
        <w:jc w:val="both"/>
        <w:rPr>
          <w:lang w:eastAsia="zh-CN"/>
        </w:rPr>
      </w:pPr>
      <w:r w:rsidRPr="00C3671E">
        <w:t>More macro-level variables than the indicator of the availability of formal care could have been added to the analysis as control variables to make use of the multilevel data structure. However, the most relevant macro-</w:t>
      </w:r>
      <w:r w:rsidRPr="00C3671E">
        <w:rPr>
          <w:lang w:eastAsia="zh-CN"/>
        </w:rPr>
        <w:t>factors</w:t>
      </w:r>
      <w:r w:rsidRPr="00C3671E">
        <w:t xml:space="preserve"> are closely interrelated, and multicollinearity appears to represent a serious issue. For instance, the percentage of employees in social services correlates 0.64 with GDP per capita, -0.79 with the strength of caregiving norms, and -0.84 with the level of familialism. None of these or the other macro-factors improve the models or produce significant findings in combination with the percentage of employees in social services.</w:t>
      </w:r>
    </w:p>
    <w:p w14:paraId="39D25937" w14:textId="77777777" w:rsidR="001A7940" w:rsidRPr="00C3671E" w:rsidRDefault="001A7940" w:rsidP="007E6D8E">
      <w:pPr>
        <w:pStyle w:val="Nadpis2"/>
        <w:spacing w:line="480" w:lineRule="auto"/>
        <w:rPr>
          <w:sz w:val="26"/>
          <w:szCs w:val="26"/>
          <w:lang w:val="en-GB"/>
        </w:rPr>
      </w:pPr>
      <w:bookmarkStart w:id="55" w:name="_Toc512687761"/>
      <w:r w:rsidRPr="00C3671E">
        <w:rPr>
          <w:sz w:val="26"/>
          <w:szCs w:val="26"/>
          <w:lang w:val="en-GB"/>
        </w:rPr>
        <w:t>Results</w:t>
      </w:r>
      <w:bookmarkEnd w:id="55"/>
    </w:p>
    <w:p w14:paraId="55B55CA2" w14:textId="510CC41A" w:rsidR="001A7940" w:rsidRPr="00C3671E" w:rsidRDefault="001A7940" w:rsidP="00466C1F">
      <w:pPr>
        <w:suppressAutoHyphens/>
        <w:spacing w:line="480" w:lineRule="auto"/>
        <w:jc w:val="both"/>
        <w:rPr>
          <w:lang w:eastAsia="zh-CN"/>
        </w:rPr>
      </w:pPr>
      <w:r w:rsidRPr="00C3671E">
        <w:rPr>
          <w:lang w:eastAsia="zh-CN"/>
        </w:rPr>
        <w:t xml:space="preserve">The </w:t>
      </w:r>
      <w:r w:rsidRPr="00466C1F">
        <w:rPr>
          <w:rFonts w:eastAsia="Calibri"/>
          <w:lang w:val="en-GB" w:eastAsia="en-US"/>
        </w:rPr>
        <w:t>models</w:t>
      </w:r>
      <w:r w:rsidRPr="00C3671E">
        <w:rPr>
          <w:lang w:eastAsia="zh-CN"/>
        </w:rPr>
        <w:t xml:space="preserve"> for the three domains of QoL predicted by caregiving provided weekly or more often and by all control </w:t>
      </w:r>
      <w:r w:rsidRPr="00C3671E">
        <w:t>variables</w:t>
      </w:r>
      <w:r w:rsidRPr="00C3671E">
        <w:rPr>
          <w:lang w:eastAsia="zh-CN"/>
        </w:rPr>
        <w:t xml:space="preserve"> are presented in Table </w:t>
      </w:r>
      <w:r w:rsidR="00F96318" w:rsidRPr="00C3671E">
        <w:rPr>
          <w:lang w:eastAsia="zh-CN"/>
        </w:rPr>
        <w:t>5</w:t>
      </w:r>
      <w:r w:rsidRPr="00C3671E">
        <w:rPr>
          <w:lang w:eastAsia="zh-CN"/>
        </w:rPr>
        <w:t xml:space="preserve">. The effect of caregiving is still strongly beneficial, </w:t>
      </w:r>
      <w:r w:rsidRPr="00C3671E">
        <w:t>with</w:t>
      </w:r>
      <w:r w:rsidRPr="00C3671E">
        <w:rPr>
          <w:lang w:eastAsia="zh-CN"/>
        </w:rPr>
        <w:t xml:space="preserve"> all coefficients highly significant. Furthermore, the approximately linear effect of caregiving illustrating the </w:t>
      </w:r>
      <w:r w:rsidRPr="00C3671E">
        <w:t>beneficial</w:t>
      </w:r>
      <w:r w:rsidRPr="00C3671E">
        <w:rPr>
          <w:lang w:eastAsia="zh-CN"/>
        </w:rPr>
        <w:t xml:space="preserve"> effect of multiple provision of care remains present in the models. Based on the significance levels, the strongest beneficial effect of caregiving is the effect on meaningfulness of life, followed by the effects on loneliness and overload in descending order, although the differences are small.</w:t>
      </w:r>
    </w:p>
    <w:p w14:paraId="29AFA1E6" w14:textId="77777777" w:rsidR="001A7940" w:rsidRPr="00C3671E" w:rsidRDefault="001A7940" w:rsidP="00466C1F">
      <w:pPr>
        <w:pStyle w:val="Newparagraph"/>
        <w:jc w:val="both"/>
        <w:rPr>
          <w:lang w:eastAsia="zh-CN"/>
        </w:rPr>
      </w:pPr>
      <w:r w:rsidRPr="00C3671E">
        <w:rPr>
          <w:lang w:eastAsia="zh-CN"/>
        </w:rPr>
        <w:t xml:space="preserve">Most of the parameters in the three models are similar for loneliness, meaningfulness of life, and overload. The age of the respondent is related positively to a higher QoL with a reversal of that effect in very old age. Women feel lonelier than men, but perceive their lives as more meaningful; they do not differ in overload from men. Generally, beneficial effects are indicated by better health, higher education, </w:t>
      </w:r>
      <w:r w:rsidRPr="00C3671E">
        <w:t>active</w:t>
      </w:r>
      <w:r w:rsidRPr="00C3671E">
        <w:rPr>
          <w:lang w:eastAsia="zh-CN"/>
        </w:rPr>
        <w:t xml:space="preserve"> employment, and a partner in the household, with the </w:t>
      </w:r>
      <w:r w:rsidRPr="00C3671E">
        <w:rPr>
          <w:lang w:eastAsia="zh-CN"/>
        </w:rPr>
        <w:lastRenderedPageBreak/>
        <w:t>last factor being especially important in reducing loneliness. Coefficients of the variables indicating family structure (number of surviving parents, siblings, children, and grandchildren) are mostly not significant, except for a moderate positive effect of siblings and a stronger positive effect of children on the meaningfulness of life.</w:t>
      </w:r>
    </w:p>
    <w:p w14:paraId="006EBFE9" w14:textId="175B5DC0" w:rsidR="001A7940" w:rsidRPr="00C3671E" w:rsidRDefault="001A7940" w:rsidP="00466C1F">
      <w:pPr>
        <w:pStyle w:val="Newparagraph"/>
        <w:jc w:val="both"/>
        <w:rPr>
          <w:lang w:eastAsia="zh-CN"/>
        </w:rPr>
      </w:pPr>
      <w:r w:rsidRPr="00C3671E">
        <w:rPr>
          <w:lang w:eastAsia="zh-CN"/>
        </w:rPr>
        <w:t>The effects of special interest are represented by the coefficients of the macro-factors and especially the coefficients of the cross-level interaction. The higher proportion of employees in health and social services is beneficial for QoL in all three indicators (though the effect on loneliness is not significant, with p=0.205). However, the coefficients of the cross-level interaction reveal more complicated findings. An increase in the accessibility of formal care for one standard deviation decreases the beneficial effect of caregiving on loneliness by 0.051, which makes the coefficient -0.032 for one caregiving relationship under this condition. In contrast, the same increase makes the provision of care more beneficial for meaningfulness and overload by approximately the same number. Hence, caregivers generally experience less loneliness, higher meaningfulness of life, and less overload than people not providing care; this beneficial effect is weaker for loneliness and stronger for the other two dependent variables in countries with more developed welfare services. Therefore, more voluntary care is more beneficial for two indicators of QoL out of three.</w:t>
      </w:r>
    </w:p>
    <w:p w14:paraId="203B3097" w14:textId="2761A3A8" w:rsidR="006C62A5" w:rsidRPr="00C3671E" w:rsidRDefault="006C62A5" w:rsidP="006C62A5">
      <w:pPr>
        <w:spacing w:before="100" w:beforeAutospacing="1"/>
        <w:jc w:val="both"/>
        <w:rPr>
          <w:b/>
          <w:lang w:val="en-GB"/>
        </w:rPr>
      </w:pPr>
      <w:bookmarkStart w:id="56" w:name="_Toc512687480"/>
      <w:r w:rsidRPr="00C3671E">
        <w:rPr>
          <w:b/>
          <w:lang w:val="en-GB"/>
        </w:rPr>
        <w:t xml:space="preserve">Table </w:t>
      </w:r>
      <w:r w:rsidRPr="00C3671E">
        <w:rPr>
          <w:b/>
          <w:lang w:val="en-GB"/>
        </w:rPr>
        <w:fldChar w:fldCharType="begin"/>
      </w:r>
      <w:r w:rsidRPr="00C3671E">
        <w:rPr>
          <w:b/>
          <w:lang w:val="en-GB"/>
        </w:rPr>
        <w:instrText xml:space="preserve"> SEQ Table \* ARABIC </w:instrText>
      </w:r>
      <w:r w:rsidRPr="00C3671E">
        <w:rPr>
          <w:b/>
          <w:lang w:val="en-GB"/>
        </w:rPr>
        <w:fldChar w:fldCharType="separate"/>
      </w:r>
      <w:r w:rsidR="00F96318" w:rsidRPr="00C3671E">
        <w:rPr>
          <w:b/>
          <w:noProof/>
          <w:lang w:val="en-GB"/>
        </w:rPr>
        <w:t>5</w:t>
      </w:r>
      <w:r w:rsidRPr="00C3671E">
        <w:rPr>
          <w:b/>
          <w:lang w:val="en-GB"/>
        </w:rPr>
        <w:fldChar w:fldCharType="end"/>
      </w:r>
      <w:r w:rsidRPr="00C3671E">
        <w:rPr>
          <w:b/>
          <w:lang w:val="en-GB"/>
        </w:rPr>
        <w:t>: Ordinal multilevel logistic regression of three domains of subjective QoL – number of care activities performed almost every week or more often as the main explanatory variable</w:t>
      </w:r>
      <w:bookmarkEnd w:id="56"/>
    </w:p>
    <w:tbl>
      <w:tblPr>
        <w:tblW w:w="8189" w:type="dxa"/>
        <w:tblInd w:w="448" w:type="dxa"/>
        <w:tblLayout w:type="fixed"/>
        <w:tblLook w:val="0020" w:firstRow="1" w:lastRow="0" w:firstColumn="0" w:lastColumn="0" w:noHBand="0" w:noVBand="0"/>
      </w:tblPr>
      <w:tblGrid>
        <w:gridCol w:w="3795"/>
        <w:gridCol w:w="1464"/>
        <w:gridCol w:w="1465"/>
        <w:gridCol w:w="1465"/>
      </w:tblGrid>
      <w:tr w:rsidR="006C62A5" w:rsidRPr="00C3671E" w14:paraId="0534D7CE" w14:textId="77777777" w:rsidTr="00AA6335">
        <w:trPr>
          <w:trHeight w:val="340"/>
        </w:trPr>
        <w:tc>
          <w:tcPr>
            <w:tcW w:w="3795" w:type="dxa"/>
            <w:tcBorders>
              <w:top w:val="single" w:sz="12" w:space="0" w:color="auto"/>
              <w:bottom w:val="single" w:sz="12" w:space="0" w:color="auto"/>
            </w:tcBorders>
            <w:shd w:val="clear" w:color="auto" w:fill="auto"/>
            <w:vAlign w:val="center"/>
          </w:tcPr>
          <w:p w14:paraId="19C3CE39" w14:textId="77777777" w:rsidR="006C62A5" w:rsidRPr="00C3671E" w:rsidRDefault="006C62A5" w:rsidP="00AA6335">
            <w:pPr>
              <w:rPr>
                <w:sz w:val="20"/>
                <w:szCs w:val="20"/>
                <w:lang w:val="en-GB"/>
              </w:rPr>
            </w:pPr>
          </w:p>
        </w:tc>
        <w:tc>
          <w:tcPr>
            <w:tcW w:w="1464" w:type="dxa"/>
            <w:tcBorders>
              <w:top w:val="single" w:sz="12" w:space="0" w:color="auto"/>
              <w:bottom w:val="single" w:sz="12" w:space="0" w:color="auto"/>
            </w:tcBorders>
            <w:shd w:val="clear" w:color="auto" w:fill="auto"/>
            <w:vAlign w:val="center"/>
          </w:tcPr>
          <w:p w14:paraId="07CB317C" w14:textId="77777777" w:rsidR="006C62A5" w:rsidRPr="00C3671E" w:rsidRDefault="006C62A5" w:rsidP="00AA6335">
            <w:pPr>
              <w:jc w:val="center"/>
              <w:rPr>
                <w:sz w:val="20"/>
                <w:szCs w:val="20"/>
                <w:lang w:val="en-GB"/>
              </w:rPr>
            </w:pPr>
            <w:r w:rsidRPr="00C3671E">
              <w:rPr>
                <w:sz w:val="20"/>
                <w:szCs w:val="20"/>
                <w:lang w:val="en-GB"/>
              </w:rPr>
              <w:t>loneliness</w:t>
            </w:r>
          </w:p>
        </w:tc>
        <w:tc>
          <w:tcPr>
            <w:tcW w:w="1465" w:type="dxa"/>
            <w:tcBorders>
              <w:top w:val="single" w:sz="12" w:space="0" w:color="auto"/>
              <w:bottom w:val="single" w:sz="12" w:space="0" w:color="auto"/>
            </w:tcBorders>
            <w:shd w:val="clear" w:color="auto" w:fill="auto"/>
            <w:vAlign w:val="center"/>
          </w:tcPr>
          <w:p w14:paraId="19360E2F" w14:textId="77777777" w:rsidR="006C62A5" w:rsidRPr="00C3671E" w:rsidRDefault="006C62A5" w:rsidP="00AA6335">
            <w:pPr>
              <w:jc w:val="center"/>
              <w:rPr>
                <w:sz w:val="20"/>
                <w:szCs w:val="20"/>
                <w:lang w:val="en-GB"/>
              </w:rPr>
            </w:pPr>
            <w:r w:rsidRPr="00C3671E">
              <w:rPr>
                <w:sz w:val="20"/>
                <w:szCs w:val="20"/>
                <w:lang w:val="en-GB"/>
              </w:rPr>
              <w:t>meaning</w:t>
            </w:r>
          </w:p>
        </w:tc>
        <w:tc>
          <w:tcPr>
            <w:tcW w:w="1465" w:type="dxa"/>
            <w:tcBorders>
              <w:top w:val="single" w:sz="12" w:space="0" w:color="auto"/>
              <w:bottom w:val="single" w:sz="12" w:space="0" w:color="auto"/>
            </w:tcBorders>
            <w:shd w:val="clear" w:color="auto" w:fill="auto"/>
            <w:vAlign w:val="center"/>
          </w:tcPr>
          <w:p w14:paraId="49CAD406" w14:textId="77777777" w:rsidR="006C62A5" w:rsidRPr="00C3671E" w:rsidRDefault="006C62A5" w:rsidP="00AA6335">
            <w:pPr>
              <w:jc w:val="center"/>
              <w:rPr>
                <w:sz w:val="20"/>
                <w:szCs w:val="20"/>
                <w:lang w:val="en-GB"/>
              </w:rPr>
            </w:pPr>
            <w:r w:rsidRPr="00C3671E">
              <w:rPr>
                <w:sz w:val="20"/>
                <w:szCs w:val="20"/>
                <w:lang w:val="en-GB"/>
              </w:rPr>
              <w:t>overload</w:t>
            </w:r>
          </w:p>
        </w:tc>
      </w:tr>
      <w:tr w:rsidR="006C62A5" w:rsidRPr="00C3671E" w14:paraId="190418F0" w14:textId="77777777" w:rsidTr="00AA6335">
        <w:trPr>
          <w:trHeight w:val="340"/>
        </w:trPr>
        <w:tc>
          <w:tcPr>
            <w:tcW w:w="3795" w:type="dxa"/>
            <w:tcBorders>
              <w:top w:val="single" w:sz="12" w:space="0" w:color="auto"/>
            </w:tcBorders>
            <w:shd w:val="clear" w:color="auto" w:fill="auto"/>
            <w:vAlign w:val="center"/>
          </w:tcPr>
          <w:p w14:paraId="5747A358" w14:textId="77777777" w:rsidR="006C62A5" w:rsidRPr="00C3671E" w:rsidRDefault="006C62A5" w:rsidP="00AA6335">
            <w:pPr>
              <w:rPr>
                <w:sz w:val="20"/>
                <w:szCs w:val="20"/>
                <w:lang w:val="en-GB"/>
              </w:rPr>
            </w:pPr>
            <w:r w:rsidRPr="00C3671E">
              <w:rPr>
                <w:sz w:val="20"/>
                <w:szCs w:val="20"/>
                <w:lang w:val="en-GB"/>
              </w:rPr>
              <w:t>Care activities</w:t>
            </w:r>
          </w:p>
        </w:tc>
        <w:tc>
          <w:tcPr>
            <w:tcW w:w="1464" w:type="dxa"/>
            <w:tcBorders>
              <w:top w:val="single" w:sz="12" w:space="0" w:color="auto"/>
            </w:tcBorders>
            <w:shd w:val="clear" w:color="auto" w:fill="auto"/>
            <w:vAlign w:val="center"/>
          </w:tcPr>
          <w:p w14:paraId="725258EF" w14:textId="77777777" w:rsidR="006C62A5" w:rsidRPr="00C3671E" w:rsidRDefault="006C62A5" w:rsidP="00AA6335">
            <w:pPr>
              <w:tabs>
                <w:tab w:val="decimal" w:pos="398"/>
              </w:tabs>
              <w:rPr>
                <w:sz w:val="20"/>
                <w:szCs w:val="20"/>
                <w:lang w:val="en-GB"/>
              </w:rPr>
            </w:pPr>
          </w:p>
        </w:tc>
        <w:tc>
          <w:tcPr>
            <w:tcW w:w="1465" w:type="dxa"/>
            <w:tcBorders>
              <w:top w:val="single" w:sz="12" w:space="0" w:color="auto"/>
            </w:tcBorders>
            <w:shd w:val="clear" w:color="auto" w:fill="auto"/>
            <w:vAlign w:val="center"/>
          </w:tcPr>
          <w:p w14:paraId="5C2AAD3A" w14:textId="77777777" w:rsidR="006C62A5" w:rsidRPr="00C3671E" w:rsidRDefault="006C62A5" w:rsidP="00AA6335">
            <w:pPr>
              <w:tabs>
                <w:tab w:val="decimal" w:pos="398"/>
              </w:tabs>
              <w:rPr>
                <w:sz w:val="20"/>
                <w:szCs w:val="20"/>
                <w:lang w:val="en-GB"/>
              </w:rPr>
            </w:pPr>
          </w:p>
        </w:tc>
        <w:tc>
          <w:tcPr>
            <w:tcW w:w="1465" w:type="dxa"/>
            <w:tcBorders>
              <w:top w:val="single" w:sz="12" w:space="0" w:color="auto"/>
            </w:tcBorders>
            <w:shd w:val="clear" w:color="auto" w:fill="auto"/>
            <w:vAlign w:val="center"/>
          </w:tcPr>
          <w:p w14:paraId="6C447331" w14:textId="77777777" w:rsidR="006C62A5" w:rsidRPr="00C3671E" w:rsidRDefault="006C62A5" w:rsidP="00AA6335">
            <w:pPr>
              <w:tabs>
                <w:tab w:val="decimal" w:pos="398"/>
              </w:tabs>
              <w:rPr>
                <w:sz w:val="20"/>
                <w:szCs w:val="20"/>
                <w:lang w:val="en-GB"/>
              </w:rPr>
            </w:pPr>
          </w:p>
        </w:tc>
      </w:tr>
      <w:tr w:rsidR="006C62A5" w:rsidRPr="00C3671E" w14:paraId="0585E840" w14:textId="77777777" w:rsidTr="00AA6335">
        <w:trPr>
          <w:trHeight w:val="340"/>
        </w:trPr>
        <w:tc>
          <w:tcPr>
            <w:tcW w:w="3795" w:type="dxa"/>
            <w:shd w:val="clear" w:color="auto" w:fill="auto"/>
            <w:vAlign w:val="center"/>
          </w:tcPr>
          <w:p w14:paraId="4D3D65A9" w14:textId="77777777" w:rsidR="006C62A5" w:rsidRPr="00C3671E" w:rsidRDefault="006C62A5" w:rsidP="00AA6335">
            <w:pPr>
              <w:rPr>
                <w:sz w:val="20"/>
                <w:szCs w:val="20"/>
                <w:lang w:val="en-GB"/>
              </w:rPr>
            </w:pPr>
            <w:r w:rsidRPr="00C3671E">
              <w:rPr>
                <w:sz w:val="20"/>
                <w:szCs w:val="20"/>
                <w:lang w:val="en-GB"/>
              </w:rPr>
              <w:t xml:space="preserve">     0 (reference category)</w:t>
            </w:r>
          </w:p>
        </w:tc>
        <w:tc>
          <w:tcPr>
            <w:tcW w:w="1464" w:type="dxa"/>
            <w:shd w:val="clear" w:color="auto" w:fill="auto"/>
            <w:vAlign w:val="center"/>
          </w:tcPr>
          <w:p w14:paraId="4771E042" w14:textId="77777777" w:rsidR="006C62A5" w:rsidRPr="00C3671E" w:rsidRDefault="006C62A5" w:rsidP="00AA6335">
            <w:pPr>
              <w:tabs>
                <w:tab w:val="decimal" w:pos="398"/>
              </w:tabs>
              <w:rPr>
                <w:sz w:val="20"/>
                <w:szCs w:val="20"/>
                <w:lang w:val="en-GB"/>
              </w:rPr>
            </w:pPr>
          </w:p>
        </w:tc>
        <w:tc>
          <w:tcPr>
            <w:tcW w:w="1465" w:type="dxa"/>
            <w:shd w:val="clear" w:color="auto" w:fill="auto"/>
            <w:vAlign w:val="center"/>
          </w:tcPr>
          <w:p w14:paraId="76B511F9" w14:textId="77777777" w:rsidR="006C62A5" w:rsidRPr="00C3671E" w:rsidRDefault="006C62A5" w:rsidP="00AA6335">
            <w:pPr>
              <w:tabs>
                <w:tab w:val="decimal" w:pos="398"/>
              </w:tabs>
              <w:rPr>
                <w:sz w:val="20"/>
                <w:szCs w:val="20"/>
                <w:lang w:val="en-GB"/>
              </w:rPr>
            </w:pPr>
          </w:p>
        </w:tc>
        <w:tc>
          <w:tcPr>
            <w:tcW w:w="1465" w:type="dxa"/>
            <w:shd w:val="clear" w:color="auto" w:fill="auto"/>
            <w:vAlign w:val="center"/>
          </w:tcPr>
          <w:p w14:paraId="1B7F8109" w14:textId="77777777" w:rsidR="006C62A5" w:rsidRPr="00C3671E" w:rsidRDefault="006C62A5" w:rsidP="00AA6335">
            <w:pPr>
              <w:tabs>
                <w:tab w:val="decimal" w:pos="398"/>
              </w:tabs>
              <w:rPr>
                <w:sz w:val="20"/>
                <w:szCs w:val="20"/>
                <w:lang w:val="en-GB"/>
              </w:rPr>
            </w:pPr>
          </w:p>
        </w:tc>
      </w:tr>
      <w:tr w:rsidR="006C62A5" w:rsidRPr="00C3671E" w14:paraId="7718CE96" w14:textId="77777777" w:rsidTr="00AA6335">
        <w:trPr>
          <w:trHeight w:val="340"/>
        </w:trPr>
        <w:tc>
          <w:tcPr>
            <w:tcW w:w="3795" w:type="dxa"/>
            <w:shd w:val="clear" w:color="auto" w:fill="auto"/>
            <w:vAlign w:val="center"/>
          </w:tcPr>
          <w:p w14:paraId="7D2B98A4" w14:textId="77777777" w:rsidR="006C62A5" w:rsidRPr="00C3671E" w:rsidRDefault="006C62A5" w:rsidP="00AA6335">
            <w:pPr>
              <w:rPr>
                <w:sz w:val="20"/>
                <w:szCs w:val="20"/>
                <w:lang w:val="en-GB"/>
              </w:rPr>
            </w:pPr>
            <w:r w:rsidRPr="00C3671E">
              <w:rPr>
                <w:sz w:val="20"/>
                <w:szCs w:val="20"/>
                <w:lang w:val="en-GB"/>
              </w:rPr>
              <w:t xml:space="preserve">     1</w:t>
            </w:r>
          </w:p>
        </w:tc>
        <w:tc>
          <w:tcPr>
            <w:tcW w:w="1464" w:type="dxa"/>
            <w:shd w:val="clear" w:color="auto" w:fill="auto"/>
            <w:vAlign w:val="center"/>
          </w:tcPr>
          <w:p w14:paraId="0C8BD107" w14:textId="77777777" w:rsidR="006C62A5" w:rsidRPr="00C3671E" w:rsidRDefault="006C62A5" w:rsidP="00AA6335">
            <w:pPr>
              <w:tabs>
                <w:tab w:val="decimal" w:pos="426"/>
              </w:tabs>
              <w:rPr>
                <w:sz w:val="20"/>
                <w:szCs w:val="20"/>
                <w:lang w:val="en-GB"/>
              </w:rPr>
            </w:pPr>
            <w:r w:rsidRPr="00C3671E">
              <w:rPr>
                <w:sz w:val="20"/>
                <w:szCs w:val="20"/>
                <w:lang w:val="en-GB"/>
              </w:rPr>
              <w:t>-0.083**</w:t>
            </w:r>
          </w:p>
        </w:tc>
        <w:tc>
          <w:tcPr>
            <w:tcW w:w="1465" w:type="dxa"/>
            <w:shd w:val="clear" w:color="auto" w:fill="auto"/>
            <w:vAlign w:val="center"/>
          </w:tcPr>
          <w:p w14:paraId="6ADEC059" w14:textId="77777777" w:rsidR="006C62A5" w:rsidRPr="00C3671E" w:rsidRDefault="006C62A5" w:rsidP="00AA6335">
            <w:pPr>
              <w:tabs>
                <w:tab w:val="decimal" w:pos="426"/>
              </w:tabs>
              <w:rPr>
                <w:sz w:val="20"/>
                <w:szCs w:val="20"/>
                <w:lang w:val="en-GB"/>
              </w:rPr>
            </w:pPr>
            <w:r w:rsidRPr="00C3671E">
              <w:rPr>
                <w:sz w:val="20"/>
                <w:szCs w:val="20"/>
                <w:lang w:val="en-GB"/>
              </w:rPr>
              <w:t>0.159***</w:t>
            </w:r>
          </w:p>
        </w:tc>
        <w:tc>
          <w:tcPr>
            <w:tcW w:w="1465" w:type="dxa"/>
            <w:shd w:val="clear" w:color="auto" w:fill="auto"/>
            <w:vAlign w:val="center"/>
          </w:tcPr>
          <w:p w14:paraId="7E86091E" w14:textId="77777777" w:rsidR="006C62A5" w:rsidRPr="00C3671E" w:rsidRDefault="006C62A5" w:rsidP="00AA6335">
            <w:pPr>
              <w:tabs>
                <w:tab w:val="decimal" w:pos="426"/>
              </w:tabs>
              <w:rPr>
                <w:sz w:val="20"/>
                <w:szCs w:val="20"/>
                <w:lang w:val="en-GB"/>
              </w:rPr>
            </w:pPr>
            <w:r w:rsidRPr="00C3671E">
              <w:rPr>
                <w:sz w:val="20"/>
                <w:szCs w:val="20"/>
                <w:lang w:val="en-GB"/>
              </w:rPr>
              <w:t>-0.079**</w:t>
            </w:r>
          </w:p>
        </w:tc>
      </w:tr>
      <w:tr w:rsidR="006C62A5" w:rsidRPr="00C3671E" w14:paraId="54D2578C" w14:textId="77777777" w:rsidTr="00AA6335">
        <w:trPr>
          <w:trHeight w:val="340"/>
        </w:trPr>
        <w:tc>
          <w:tcPr>
            <w:tcW w:w="3795" w:type="dxa"/>
            <w:shd w:val="clear" w:color="auto" w:fill="auto"/>
            <w:vAlign w:val="center"/>
          </w:tcPr>
          <w:p w14:paraId="0DBA5917" w14:textId="77777777" w:rsidR="006C62A5" w:rsidRPr="00C3671E" w:rsidRDefault="006C62A5" w:rsidP="00AA6335">
            <w:pPr>
              <w:rPr>
                <w:sz w:val="20"/>
                <w:szCs w:val="20"/>
                <w:lang w:val="en-GB"/>
              </w:rPr>
            </w:pPr>
            <w:r w:rsidRPr="00C3671E">
              <w:rPr>
                <w:sz w:val="20"/>
                <w:szCs w:val="20"/>
                <w:lang w:val="en-GB"/>
              </w:rPr>
              <w:t xml:space="preserve">     2</w:t>
            </w:r>
          </w:p>
        </w:tc>
        <w:tc>
          <w:tcPr>
            <w:tcW w:w="1464" w:type="dxa"/>
            <w:shd w:val="clear" w:color="auto" w:fill="auto"/>
            <w:vAlign w:val="center"/>
          </w:tcPr>
          <w:p w14:paraId="40F87FED" w14:textId="77777777" w:rsidR="006C62A5" w:rsidRPr="00C3671E" w:rsidRDefault="006C62A5" w:rsidP="00AA6335">
            <w:pPr>
              <w:tabs>
                <w:tab w:val="decimal" w:pos="426"/>
              </w:tabs>
              <w:rPr>
                <w:sz w:val="20"/>
                <w:szCs w:val="20"/>
                <w:lang w:val="en-GB"/>
              </w:rPr>
            </w:pPr>
            <w:r w:rsidRPr="00C3671E">
              <w:rPr>
                <w:sz w:val="20"/>
                <w:szCs w:val="20"/>
                <w:lang w:val="en-GB"/>
              </w:rPr>
              <w:t>-0.196***</w:t>
            </w:r>
          </w:p>
        </w:tc>
        <w:tc>
          <w:tcPr>
            <w:tcW w:w="1465" w:type="dxa"/>
            <w:shd w:val="clear" w:color="auto" w:fill="auto"/>
            <w:vAlign w:val="center"/>
          </w:tcPr>
          <w:p w14:paraId="18508642" w14:textId="77777777" w:rsidR="006C62A5" w:rsidRPr="00C3671E" w:rsidRDefault="006C62A5" w:rsidP="00AA6335">
            <w:pPr>
              <w:tabs>
                <w:tab w:val="decimal" w:pos="426"/>
              </w:tabs>
              <w:rPr>
                <w:sz w:val="20"/>
                <w:szCs w:val="20"/>
                <w:lang w:val="en-GB"/>
              </w:rPr>
            </w:pPr>
            <w:r w:rsidRPr="00C3671E">
              <w:rPr>
                <w:sz w:val="20"/>
                <w:szCs w:val="20"/>
                <w:lang w:val="en-GB"/>
              </w:rPr>
              <w:t>0.264***</w:t>
            </w:r>
          </w:p>
        </w:tc>
        <w:tc>
          <w:tcPr>
            <w:tcW w:w="1465" w:type="dxa"/>
            <w:shd w:val="clear" w:color="auto" w:fill="auto"/>
            <w:vAlign w:val="center"/>
          </w:tcPr>
          <w:p w14:paraId="643B5FAD" w14:textId="77777777" w:rsidR="006C62A5" w:rsidRPr="00C3671E" w:rsidRDefault="006C62A5" w:rsidP="00AA6335">
            <w:pPr>
              <w:tabs>
                <w:tab w:val="decimal" w:pos="426"/>
              </w:tabs>
              <w:rPr>
                <w:sz w:val="20"/>
                <w:szCs w:val="20"/>
                <w:lang w:val="en-GB"/>
              </w:rPr>
            </w:pPr>
            <w:r w:rsidRPr="00C3671E">
              <w:rPr>
                <w:sz w:val="20"/>
                <w:szCs w:val="20"/>
                <w:lang w:val="en-GB"/>
              </w:rPr>
              <w:t>-0.168***</w:t>
            </w:r>
          </w:p>
        </w:tc>
      </w:tr>
      <w:tr w:rsidR="006C62A5" w:rsidRPr="00C3671E" w14:paraId="69ADC6A2" w14:textId="77777777" w:rsidTr="00AA6335">
        <w:trPr>
          <w:trHeight w:val="340"/>
        </w:trPr>
        <w:tc>
          <w:tcPr>
            <w:tcW w:w="3795" w:type="dxa"/>
            <w:shd w:val="clear" w:color="auto" w:fill="auto"/>
            <w:vAlign w:val="center"/>
          </w:tcPr>
          <w:p w14:paraId="24757EB0" w14:textId="77777777" w:rsidR="006C62A5" w:rsidRPr="00C3671E" w:rsidRDefault="006C62A5" w:rsidP="00AA6335">
            <w:pPr>
              <w:rPr>
                <w:sz w:val="20"/>
                <w:szCs w:val="20"/>
                <w:lang w:val="en-GB"/>
              </w:rPr>
            </w:pPr>
            <w:r w:rsidRPr="00C3671E">
              <w:rPr>
                <w:sz w:val="20"/>
                <w:szCs w:val="20"/>
                <w:lang w:val="en-GB"/>
              </w:rPr>
              <w:t xml:space="preserve">     3</w:t>
            </w:r>
          </w:p>
        </w:tc>
        <w:tc>
          <w:tcPr>
            <w:tcW w:w="1464" w:type="dxa"/>
            <w:shd w:val="clear" w:color="auto" w:fill="auto"/>
            <w:vAlign w:val="center"/>
          </w:tcPr>
          <w:p w14:paraId="4A89DDD5" w14:textId="77777777" w:rsidR="006C62A5" w:rsidRPr="00C3671E" w:rsidRDefault="006C62A5" w:rsidP="00AA6335">
            <w:pPr>
              <w:tabs>
                <w:tab w:val="decimal" w:pos="426"/>
              </w:tabs>
              <w:rPr>
                <w:sz w:val="20"/>
                <w:szCs w:val="20"/>
                <w:lang w:val="en-GB"/>
              </w:rPr>
            </w:pPr>
            <w:r w:rsidRPr="00C3671E">
              <w:rPr>
                <w:sz w:val="20"/>
                <w:szCs w:val="20"/>
                <w:lang w:val="en-GB"/>
              </w:rPr>
              <w:t>-0.321***</w:t>
            </w:r>
          </w:p>
        </w:tc>
        <w:tc>
          <w:tcPr>
            <w:tcW w:w="1465" w:type="dxa"/>
            <w:shd w:val="clear" w:color="auto" w:fill="auto"/>
            <w:vAlign w:val="center"/>
          </w:tcPr>
          <w:p w14:paraId="2610218D" w14:textId="77777777" w:rsidR="006C62A5" w:rsidRPr="00C3671E" w:rsidRDefault="006C62A5" w:rsidP="00AA6335">
            <w:pPr>
              <w:tabs>
                <w:tab w:val="decimal" w:pos="426"/>
              </w:tabs>
              <w:rPr>
                <w:sz w:val="20"/>
                <w:szCs w:val="20"/>
                <w:lang w:val="en-GB"/>
              </w:rPr>
            </w:pPr>
            <w:r w:rsidRPr="00C3671E">
              <w:rPr>
                <w:sz w:val="20"/>
                <w:szCs w:val="20"/>
                <w:lang w:val="en-GB"/>
              </w:rPr>
              <w:t>0.548***</w:t>
            </w:r>
          </w:p>
        </w:tc>
        <w:tc>
          <w:tcPr>
            <w:tcW w:w="1465" w:type="dxa"/>
            <w:shd w:val="clear" w:color="auto" w:fill="auto"/>
            <w:vAlign w:val="center"/>
          </w:tcPr>
          <w:p w14:paraId="53E3EAA6" w14:textId="77777777" w:rsidR="006C62A5" w:rsidRPr="00C3671E" w:rsidRDefault="006C62A5" w:rsidP="00AA6335">
            <w:pPr>
              <w:tabs>
                <w:tab w:val="decimal" w:pos="426"/>
              </w:tabs>
              <w:rPr>
                <w:sz w:val="20"/>
                <w:szCs w:val="20"/>
                <w:lang w:val="en-GB"/>
              </w:rPr>
            </w:pPr>
            <w:r w:rsidRPr="00C3671E">
              <w:rPr>
                <w:sz w:val="20"/>
                <w:szCs w:val="20"/>
                <w:lang w:val="en-GB"/>
              </w:rPr>
              <w:t>-0.134+</w:t>
            </w:r>
          </w:p>
        </w:tc>
      </w:tr>
      <w:tr w:rsidR="006C62A5" w:rsidRPr="00C3671E" w14:paraId="2770E629" w14:textId="77777777" w:rsidTr="00AA6335">
        <w:trPr>
          <w:trHeight w:val="340"/>
        </w:trPr>
        <w:tc>
          <w:tcPr>
            <w:tcW w:w="3795" w:type="dxa"/>
            <w:shd w:val="clear" w:color="auto" w:fill="auto"/>
            <w:vAlign w:val="center"/>
          </w:tcPr>
          <w:p w14:paraId="4AAA1702" w14:textId="77777777" w:rsidR="006C62A5" w:rsidRPr="00C3671E" w:rsidRDefault="006C62A5" w:rsidP="00AA6335">
            <w:pPr>
              <w:rPr>
                <w:sz w:val="20"/>
                <w:szCs w:val="20"/>
                <w:lang w:val="en-GB"/>
              </w:rPr>
            </w:pPr>
            <w:r w:rsidRPr="00C3671E">
              <w:rPr>
                <w:sz w:val="20"/>
                <w:szCs w:val="20"/>
                <w:lang w:val="en-GB"/>
              </w:rPr>
              <w:t xml:space="preserve">     4 and more</w:t>
            </w:r>
          </w:p>
        </w:tc>
        <w:tc>
          <w:tcPr>
            <w:tcW w:w="1464" w:type="dxa"/>
            <w:shd w:val="clear" w:color="auto" w:fill="auto"/>
            <w:vAlign w:val="center"/>
          </w:tcPr>
          <w:p w14:paraId="7A417F9D" w14:textId="77777777" w:rsidR="006C62A5" w:rsidRPr="00C3671E" w:rsidRDefault="006C62A5" w:rsidP="00AA6335">
            <w:pPr>
              <w:tabs>
                <w:tab w:val="decimal" w:pos="426"/>
              </w:tabs>
              <w:rPr>
                <w:sz w:val="20"/>
                <w:szCs w:val="20"/>
                <w:lang w:val="en-GB"/>
              </w:rPr>
            </w:pPr>
            <w:r w:rsidRPr="00C3671E">
              <w:rPr>
                <w:sz w:val="20"/>
                <w:szCs w:val="20"/>
                <w:lang w:val="en-GB"/>
              </w:rPr>
              <w:t>-0.373*</w:t>
            </w:r>
          </w:p>
        </w:tc>
        <w:tc>
          <w:tcPr>
            <w:tcW w:w="1465" w:type="dxa"/>
            <w:shd w:val="clear" w:color="auto" w:fill="auto"/>
            <w:vAlign w:val="center"/>
          </w:tcPr>
          <w:p w14:paraId="3DC9ACB6" w14:textId="77777777" w:rsidR="006C62A5" w:rsidRPr="00C3671E" w:rsidRDefault="006C62A5" w:rsidP="00AA6335">
            <w:pPr>
              <w:tabs>
                <w:tab w:val="decimal" w:pos="426"/>
              </w:tabs>
              <w:rPr>
                <w:sz w:val="20"/>
                <w:szCs w:val="20"/>
                <w:lang w:val="en-GB"/>
              </w:rPr>
            </w:pPr>
            <w:r w:rsidRPr="00C3671E">
              <w:rPr>
                <w:sz w:val="20"/>
                <w:szCs w:val="20"/>
                <w:lang w:val="en-GB"/>
              </w:rPr>
              <w:t>0.433**</w:t>
            </w:r>
          </w:p>
        </w:tc>
        <w:tc>
          <w:tcPr>
            <w:tcW w:w="1465" w:type="dxa"/>
            <w:shd w:val="clear" w:color="auto" w:fill="auto"/>
            <w:vAlign w:val="center"/>
          </w:tcPr>
          <w:p w14:paraId="7CF39390" w14:textId="77777777" w:rsidR="006C62A5" w:rsidRPr="00C3671E" w:rsidRDefault="006C62A5" w:rsidP="00AA6335">
            <w:pPr>
              <w:tabs>
                <w:tab w:val="decimal" w:pos="426"/>
              </w:tabs>
              <w:rPr>
                <w:sz w:val="20"/>
                <w:szCs w:val="20"/>
                <w:lang w:val="en-GB"/>
              </w:rPr>
            </w:pPr>
            <w:r w:rsidRPr="00C3671E">
              <w:rPr>
                <w:sz w:val="20"/>
                <w:szCs w:val="20"/>
                <w:lang w:val="en-GB"/>
              </w:rPr>
              <w:t>-0.280*</w:t>
            </w:r>
          </w:p>
        </w:tc>
      </w:tr>
      <w:tr w:rsidR="006C62A5" w:rsidRPr="00C3671E" w14:paraId="44CAF09C" w14:textId="77777777" w:rsidTr="00AA6335">
        <w:trPr>
          <w:trHeight w:val="340"/>
        </w:trPr>
        <w:tc>
          <w:tcPr>
            <w:tcW w:w="3795" w:type="dxa"/>
            <w:shd w:val="clear" w:color="auto" w:fill="auto"/>
            <w:vAlign w:val="center"/>
          </w:tcPr>
          <w:p w14:paraId="313A8DA2" w14:textId="77777777" w:rsidR="006C62A5" w:rsidRPr="00C3671E" w:rsidRDefault="006C62A5" w:rsidP="00AA6335">
            <w:pPr>
              <w:rPr>
                <w:sz w:val="20"/>
                <w:szCs w:val="20"/>
                <w:lang w:val="en-GB"/>
              </w:rPr>
            </w:pPr>
            <w:r w:rsidRPr="00C3671E">
              <w:rPr>
                <w:sz w:val="20"/>
                <w:szCs w:val="20"/>
                <w:lang w:val="en-GB"/>
              </w:rPr>
              <w:t>Age</w:t>
            </w:r>
          </w:p>
        </w:tc>
        <w:tc>
          <w:tcPr>
            <w:tcW w:w="1464" w:type="dxa"/>
            <w:shd w:val="clear" w:color="auto" w:fill="auto"/>
            <w:vAlign w:val="center"/>
          </w:tcPr>
          <w:p w14:paraId="2E58586B" w14:textId="77777777" w:rsidR="006C62A5" w:rsidRPr="00C3671E" w:rsidRDefault="006C62A5" w:rsidP="00AA6335">
            <w:pPr>
              <w:tabs>
                <w:tab w:val="decimal" w:pos="426"/>
              </w:tabs>
              <w:rPr>
                <w:sz w:val="20"/>
                <w:szCs w:val="20"/>
                <w:lang w:val="en-GB"/>
              </w:rPr>
            </w:pPr>
            <w:r w:rsidRPr="00C3671E">
              <w:rPr>
                <w:sz w:val="20"/>
                <w:szCs w:val="20"/>
                <w:lang w:val="en-GB"/>
              </w:rPr>
              <w:t>-0.188***</w:t>
            </w:r>
          </w:p>
        </w:tc>
        <w:tc>
          <w:tcPr>
            <w:tcW w:w="1465" w:type="dxa"/>
            <w:shd w:val="clear" w:color="auto" w:fill="auto"/>
            <w:vAlign w:val="center"/>
          </w:tcPr>
          <w:p w14:paraId="0E44CF2D" w14:textId="77777777" w:rsidR="006C62A5" w:rsidRPr="00C3671E" w:rsidRDefault="006C62A5" w:rsidP="00AA6335">
            <w:pPr>
              <w:tabs>
                <w:tab w:val="decimal" w:pos="426"/>
              </w:tabs>
              <w:rPr>
                <w:sz w:val="20"/>
                <w:szCs w:val="20"/>
                <w:lang w:val="en-GB"/>
              </w:rPr>
            </w:pPr>
            <w:r w:rsidRPr="00C3671E">
              <w:rPr>
                <w:sz w:val="20"/>
                <w:szCs w:val="20"/>
                <w:lang w:val="en-GB"/>
              </w:rPr>
              <w:t>0.171***</w:t>
            </w:r>
          </w:p>
        </w:tc>
        <w:tc>
          <w:tcPr>
            <w:tcW w:w="1465" w:type="dxa"/>
            <w:shd w:val="clear" w:color="auto" w:fill="auto"/>
            <w:vAlign w:val="center"/>
          </w:tcPr>
          <w:p w14:paraId="00CC9DB6" w14:textId="77777777" w:rsidR="006C62A5" w:rsidRPr="00C3671E" w:rsidRDefault="006C62A5" w:rsidP="00AA6335">
            <w:pPr>
              <w:tabs>
                <w:tab w:val="decimal" w:pos="426"/>
              </w:tabs>
              <w:rPr>
                <w:sz w:val="20"/>
                <w:szCs w:val="20"/>
                <w:lang w:val="en-GB"/>
              </w:rPr>
            </w:pPr>
            <w:r w:rsidRPr="00C3671E">
              <w:rPr>
                <w:sz w:val="20"/>
                <w:szCs w:val="20"/>
                <w:lang w:val="en-GB"/>
              </w:rPr>
              <w:t>-0.255***</w:t>
            </w:r>
          </w:p>
        </w:tc>
      </w:tr>
      <w:tr w:rsidR="006C62A5" w:rsidRPr="00C3671E" w14:paraId="17423134" w14:textId="77777777" w:rsidTr="00AA6335">
        <w:trPr>
          <w:trHeight w:val="340"/>
        </w:trPr>
        <w:tc>
          <w:tcPr>
            <w:tcW w:w="3795" w:type="dxa"/>
            <w:shd w:val="clear" w:color="auto" w:fill="auto"/>
            <w:vAlign w:val="center"/>
          </w:tcPr>
          <w:p w14:paraId="387D71EE" w14:textId="77777777" w:rsidR="006C62A5" w:rsidRPr="00C3671E" w:rsidRDefault="006C62A5" w:rsidP="00AA6335">
            <w:pPr>
              <w:rPr>
                <w:sz w:val="20"/>
                <w:szCs w:val="20"/>
                <w:lang w:val="en-GB"/>
              </w:rPr>
            </w:pPr>
            <w:r w:rsidRPr="00C3671E">
              <w:rPr>
                <w:sz w:val="20"/>
                <w:szCs w:val="20"/>
                <w:lang w:val="en-GB"/>
              </w:rPr>
              <w:t>Age squared</w:t>
            </w:r>
          </w:p>
        </w:tc>
        <w:tc>
          <w:tcPr>
            <w:tcW w:w="1464" w:type="dxa"/>
            <w:shd w:val="clear" w:color="auto" w:fill="auto"/>
            <w:vAlign w:val="center"/>
          </w:tcPr>
          <w:p w14:paraId="3F8893EC" w14:textId="77777777" w:rsidR="006C62A5" w:rsidRPr="00C3671E" w:rsidRDefault="006C62A5" w:rsidP="00AA6335">
            <w:pPr>
              <w:tabs>
                <w:tab w:val="decimal" w:pos="426"/>
              </w:tabs>
              <w:rPr>
                <w:sz w:val="20"/>
                <w:szCs w:val="20"/>
                <w:lang w:val="en-GB"/>
              </w:rPr>
            </w:pPr>
            <w:r w:rsidRPr="00C3671E">
              <w:rPr>
                <w:sz w:val="20"/>
                <w:szCs w:val="20"/>
                <w:lang w:val="en-GB"/>
              </w:rPr>
              <w:t>0.001***</w:t>
            </w:r>
          </w:p>
        </w:tc>
        <w:tc>
          <w:tcPr>
            <w:tcW w:w="1465" w:type="dxa"/>
            <w:shd w:val="clear" w:color="auto" w:fill="auto"/>
            <w:vAlign w:val="center"/>
          </w:tcPr>
          <w:p w14:paraId="759FA41D" w14:textId="77777777" w:rsidR="006C62A5" w:rsidRPr="00C3671E" w:rsidRDefault="006C62A5" w:rsidP="00AA6335">
            <w:pPr>
              <w:tabs>
                <w:tab w:val="decimal" w:pos="426"/>
              </w:tabs>
              <w:rPr>
                <w:sz w:val="20"/>
                <w:szCs w:val="20"/>
                <w:lang w:val="en-GB"/>
              </w:rPr>
            </w:pPr>
            <w:r w:rsidRPr="00C3671E">
              <w:rPr>
                <w:sz w:val="20"/>
                <w:szCs w:val="20"/>
                <w:lang w:val="en-GB"/>
              </w:rPr>
              <w:t>-0.001***</w:t>
            </w:r>
          </w:p>
        </w:tc>
        <w:tc>
          <w:tcPr>
            <w:tcW w:w="1465" w:type="dxa"/>
            <w:shd w:val="clear" w:color="auto" w:fill="auto"/>
            <w:vAlign w:val="center"/>
          </w:tcPr>
          <w:p w14:paraId="0867F582" w14:textId="77777777" w:rsidR="006C62A5" w:rsidRPr="00C3671E" w:rsidRDefault="006C62A5" w:rsidP="00AA6335">
            <w:pPr>
              <w:tabs>
                <w:tab w:val="decimal" w:pos="426"/>
              </w:tabs>
              <w:rPr>
                <w:sz w:val="20"/>
                <w:szCs w:val="20"/>
                <w:lang w:val="en-GB"/>
              </w:rPr>
            </w:pPr>
            <w:r w:rsidRPr="00C3671E">
              <w:rPr>
                <w:sz w:val="20"/>
                <w:szCs w:val="20"/>
                <w:lang w:val="en-GB"/>
              </w:rPr>
              <w:t>0.002***</w:t>
            </w:r>
          </w:p>
        </w:tc>
      </w:tr>
      <w:tr w:rsidR="006C62A5" w:rsidRPr="00C3671E" w14:paraId="48FF88C7" w14:textId="77777777" w:rsidTr="00AA6335">
        <w:trPr>
          <w:trHeight w:val="340"/>
        </w:trPr>
        <w:tc>
          <w:tcPr>
            <w:tcW w:w="3795" w:type="dxa"/>
            <w:shd w:val="clear" w:color="auto" w:fill="auto"/>
            <w:vAlign w:val="center"/>
          </w:tcPr>
          <w:p w14:paraId="61665B79" w14:textId="77777777" w:rsidR="006C62A5" w:rsidRPr="00C3671E" w:rsidRDefault="006C62A5" w:rsidP="00AA6335">
            <w:pPr>
              <w:rPr>
                <w:sz w:val="20"/>
                <w:szCs w:val="20"/>
                <w:lang w:val="en-GB"/>
              </w:rPr>
            </w:pPr>
            <w:r w:rsidRPr="00C3671E">
              <w:rPr>
                <w:sz w:val="20"/>
                <w:szCs w:val="20"/>
                <w:lang w:val="en-GB"/>
              </w:rPr>
              <w:t>Gender</w:t>
            </w:r>
          </w:p>
        </w:tc>
        <w:tc>
          <w:tcPr>
            <w:tcW w:w="1464" w:type="dxa"/>
            <w:shd w:val="clear" w:color="auto" w:fill="auto"/>
            <w:vAlign w:val="center"/>
          </w:tcPr>
          <w:p w14:paraId="2ED02B04"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030F0E2D"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739F8007" w14:textId="77777777" w:rsidR="006C62A5" w:rsidRPr="00C3671E" w:rsidRDefault="006C62A5" w:rsidP="00AA6335">
            <w:pPr>
              <w:tabs>
                <w:tab w:val="decimal" w:pos="426"/>
              </w:tabs>
              <w:rPr>
                <w:sz w:val="20"/>
                <w:szCs w:val="20"/>
                <w:lang w:val="en-GB"/>
              </w:rPr>
            </w:pPr>
          </w:p>
        </w:tc>
      </w:tr>
      <w:tr w:rsidR="006C62A5" w:rsidRPr="00C3671E" w14:paraId="4276C970" w14:textId="77777777" w:rsidTr="00AA6335">
        <w:trPr>
          <w:trHeight w:val="340"/>
        </w:trPr>
        <w:tc>
          <w:tcPr>
            <w:tcW w:w="3795" w:type="dxa"/>
            <w:shd w:val="clear" w:color="auto" w:fill="auto"/>
            <w:vAlign w:val="center"/>
          </w:tcPr>
          <w:p w14:paraId="0E2F0AFE" w14:textId="77777777" w:rsidR="006C62A5" w:rsidRPr="00C3671E" w:rsidRDefault="006C62A5" w:rsidP="00AA6335">
            <w:pPr>
              <w:rPr>
                <w:sz w:val="20"/>
                <w:szCs w:val="20"/>
                <w:lang w:val="en-GB"/>
              </w:rPr>
            </w:pPr>
            <w:r w:rsidRPr="00C3671E">
              <w:rPr>
                <w:sz w:val="20"/>
                <w:szCs w:val="20"/>
                <w:lang w:val="en-GB"/>
              </w:rPr>
              <w:lastRenderedPageBreak/>
              <w:t xml:space="preserve">     male (reference category)</w:t>
            </w:r>
          </w:p>
        </w:tc>
        <w:tc>
          <w:tcPr>
            <w:tcW w:w="1464" w:type="dxa"/>
            <w:shd w:val="clear" w:color="auto" w:fill="auto"/>
            <w:vAlign w:val="center"/>
          </w:tcPr>
          <w:p w14:paraId="3DC57DCD"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5C77FEE8"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027AF788" w14:textId="77777777" w:rsidR="006C62A5" w:rsidRPr="00C3671E" w:rsidRDefault="006C62A5" w:rsidP="00AA6335">
            <w:pPr>
              <w:tabs>
                <w:tab w:val="decimal" w:pos="426"/>
              </w:tabs>
              <w:rPr>
                <w:sz w:val="20"/>
                <w:szCs w:val="20"/>
                <w:lang w:val="en-GB"/>
              </w:rPr>
            </w:pPr>
          </w:p>
        </w:tc>
      </w:tr>
      <w:tr w:rsidR="006C62A5" w:rsidRPr="00C3671E" w14:paraId="75CA1586" w14:textId="77777777" w:rsidTr="00AA6335">
        <w:trPr>
          <w:trHeight w:val="340"/>
        </w:trPr>
        <w:tc>
          <w:tcPr>
            <w:tcW w:w="3795" w:type="dxa"/>
            <w:shd w:val="clear" w:color="auto" w:fill="auto"/>
            <w:vAlign w:val="center"/>
          </w:tcPr>
          <w:p w14:paraId="621AADE5" w14:textId="77777777" w:rsidR="006C62A5" w:rsidRPr="00C3671E" w:rsidRDefault="006C62A5" w:rsidP="00AA6335">
            <w:pPr>
              <w:rPr>
                <w:sz w:val="20"/>
                <w:szCs w:val="20"/>
                <w:lang w:val="en-GB"/>
              </w:rPr>
            </w:pPr>
            <w:r w:rsidRPr="00C3671E">
              <w:rPr>
                <w:sz w:val="20"/>
                <w:szCs w:val="20"/>
                <w:lang w:val="en-GB"/>
              </w:rPr>
              <w:t xml:space="preserve">     Female</w:t>
            </w:r>
          </w:p>
        </w:tc>
        <w:tc>
          <w:tcPr>
            <w:tcW w:w="1464" w:type="dxa"/>
            <w:shd w:val="clear" w:color="auto" w:fill="auto"/>
            <w:vAlign w:val="center"/>
          </w:tcPr>
          <w:p w14:paraId="348E23BA" w14:textId="77777777" w:rsidR="006C62A5" w:rsidRPr="00C3671E" w:rsidRDefault="006C62A5" w:rsidP="00AA6335">
            <w:pPr>
              <w:tabs>
                <w:tab w:val="decimal" w:pos="426"/>
              </w:tabs>
              <w:rPr>
                <w:sz w:val="20"/>
                <w:szCs w:val="20"/>
                <w:lang w:val="en-GB"/>
              </w:rPr>
            </w:pPr>
            <w:r w:rsidRPr="00C3671E">
              <w:rPr>
                <w:sz w:val="20"/>
                <w:szCs w:val="20"/>
                <w:lang w:val="en-GB"/>
              </w:rPr>
              <w:t>0.215***</w:t>
            </w:r>
          </w:p>
        </w:tc>
        <w:tc>
          <w:tcPr>
            <w:tcW w:w="1465" w:type="dxa"/>
            <w:shd w:val="clear" w:color="auto" w:fill="auto"/>
            <w:vAlign w:val="center"/>
          </w:tcPr>
          <w:p w14:paraId="4BFD61DF" w14:textId="77777777" w:rsidR="006C62A5" w:rsidRPr="00C3671E" w:rsidRDefault="006C62A5" w:rsidP="00AA6335">
            <w:pPr>
              <w:tabs>
                <w:tab w:val="decimal" w:pos="426"/>
              </w:tabs>
              <w:rPr>
                <w:sz w:val="20"/>
                <w:szCs w:val="20"/>
                <w:lang w:val="en-GB"/>
              </w:rPr>
            </w:pPr>
            <w:r w:rsidRPr="00C3671E">
              <w:rPr>
                <w:sz w:val="20"/>
                <w:szCs w:val="20"/>
                <w:lang w:val="en-GB"/>
              </w:rPr>
              <w:t>0.150***</w:t>
            </w:r>
          </w:p>
        </w:tc>
        <w:tc>
          <w:tcPr>
            <w:tcW w:w="1465" w:type="dxa"/>
            <w:shd w:val="clear" w:color="auto" w:fill="auto"/>
            <w:vAlign w:val="center"/>
          </w:tcPr>
          <w:p w14:paraId="52A096E8" w14:textId="77777777" w:rsidR="006C62A5" w:rsidRPr="00C3671E" w:rsidRDefault="006C62A5" w:rsidP="00AA6335">
            <w:pPr>
              <w:tabs>
                <w:tab w:val="decimal" w:pos="426"/>
              </w:tabs>
              <w:rPr>
                <w:sz w:val="20"/>
                <w:szCs w:val="20"/>
                <w:lang w:val="en-GB"/>
              </w:rPr>
            </w:pPr>
            <w:r w:rsidRPr="00C3671E">
              <w:rPr>
                <w:sz w:val="20"/>
                <w:szCs w:val="20"/>
                <w:lang w:val="en-GB"/>
              </w:rPr>
              <w:t>0.000</w:t>
            </w:r>
          </w:p>
        </w:tc>
      </w:tr>
      <w:tr w:rsidR="006C62A5" w:rsidRPr="00C3671E" w14:paraId="75A26257" w14:textId="77777777" w:rsidTr="00AA6335">
        <w:trPr>
          <w:trHeight w:val="340"/>
        </w:trPr>
        <w:tc>
          <w:tcPr>
            <w:tcW w:w="3795" w:type="dxa"/>
            <w:shd w:val="clear" w:color="auto" w:fill="auto"/>
            <w:vAlign w:val="center"/>
          </w:tcPr>
          <w:p w14:paraId="64A8AE50" w14:textId="77777777" w:rsidR="006C62A5" w:rsidRPr="00C3671E" w:rsidRDefault="006C62A5" w:rsidP="00AA6335">
            <w:pPr>
              <w:rPr>
                <w:sz w:val="20"/>
                <w:szCs w:val="20"/>
                <w:lang w:val="en-GB"/>
              </w:rPr>
            </w:pPr>
            <w:r w:rsidRPr="00C3671E">
              <w:rPr>
                <w:sz w:val="20"/>
                <w:szCs w:val="20"/>
                <w:lang w:val="en-GB"/>
              </w:rPr>
              <w:t>Health</w:t>
            </w:r>
          </w:p>
        </w:tc>
        <w:tc>
          <w:tcPr>
            <w:tcW w:w="1464" w:type="dxa"/>
            <w:shd w:val="clear" w:color="auto" w:fill="auto"/>
            <w:vAlign w:val="center"/>
          </w:tcPr>
          <w:p w14:paraId="36341DFC"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086F2E1B"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2C488851" w14:textId="77777777" w:rsidR="006C62A5" w:rsidRPr="00C3671E" w:rsidRDefault="006C62A5" w:rsidP="00AA6335">
            <w:pPr>
              <w:tabs>
                <w:tab w:val="decimal" w:pos="426"/>
              </w:tabs>
              <w:rPr>
                <w:sz w:val="20"/>
                <w:szCs w:val="20"/>
                <w:lang w:val="en-GB"/>
              </w:rPr>
            </w:pPr>
          </w:p>
        </w:tc>
      </w:tr>
      <w:tr w:rsidR="006C62A5" w:rsidRPr="00C3671E" w14:paraId="09482DB4" w14:textId="77777777" w:rsidTr="00AA6335">
        <w:trPr>
          <w:trHeight w:val="340"/>
        </w:trPr>
        <w:tc>
          <w:tcPr>
            <w:tcW w:w="3795" w:type="dxa"/>
            <w:shd w:val="clear" w:color="auto" w:fill="auto"/>
            <w:vAlign w:val="center"/>
          </w:tcPr>
          <w:p w14:paraId="71A3986A" w14:textId="77777777" w:rsidR="006C62A5" w:rsidRPr="00C3671E" w:rsidRDefault="006C62A5" w:rsidP="00AA6335">
            <w:pPr>
              <w:rPr>
                <w:sz w:val="20"/>
                <w:szCs w:val="20"/>
                <w:lang w:val="en-GB"/>
              </w:rPr>
            </w:pPr>
            <w:r w:rsidRPr="00C3671E">
              <w:rPr>
                <w:sz w:val="20"/>
                <w:szCs w:val="20"/>
                <w:lang w:val="en-GB"/>
              </w:rPr>
              <w:t xml:space="preserve">     unhealthy (reference category)</w:t>
            </w:r>
          </w:p>
        </w:tc>
        <w:tc>
          <w:tcPr>
            <w:tcW w:w="1464" w:type="dxa"/>
            <w:shd w:val="clear" w:color="auto" w:fill="auto"/>
            <w:vAlign w:val="center"/>
          </w:tcPr>
          <w:p w14:paraId="2C1B219B"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27E4FDF8"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16EFD196" w14:textId="77777777" w:rsidR="006C62A5" w:rsidRPr="00C3671E" w:rsidRDefault="006C62A5" w:rsidP="00AA6335">
            <w:pPr>
              <w:tabs>
                <w:tab w:val="decimal" w:pos="426"/>
              </w:tabs>
              <w:rPr>
                <w:sz w:val="20"/>
                <w:szCs w:val="20"/>
                <w:lang w:val="en-GB"/>
              </w:rPr>
            </w:pPr>
          </w:p>
        </w:tc>
      </w:tr>
      <w:tr w:rsidR="006C62A5" w:rsidRPr="00C3671E" w14:paraId="69587A36" w14:textId="77777777" w:rsidTr="00AA6335">
        <w:trPr>
          <w:trHeight w:val="340"/>
        </w:trPr>
        <w:tc>
          <w:tcPr>
            <w:tcW w:w="3795" w:type="dxa"/>
            <w:shd w:val="clear" w:color="auto" w:fill="auto"/>
            <w:vAlign w:val="center"/>
          </w:tcPr>
          <w:p w14:paraId="310E0D6F" w14:textId="77777777" w:rsidR="006C62A5" w:rsidRPr="00C3671E" w:rsidRDefault="006C62A5" w:rsidP="00AA6335">
            <w:pPr>
              <w:rPr>
                <w:sz w:val="20"/>
                <w:szCs w:val="20"/>
                <w:lang w:val="en-GB"/>
              </w:rPr>
            </w:pPr>
            <w:r w:rsidRPr="00C3671E">
              <w:rPr>
                <w:sz w:val="20"/>
                <w:szCs w:val="20"/>
                <w:lang w:val="en-GB"/>
              </w:rPr>
              <w:t xml:space="preserve">     Healthy</w:t>
            </w:r>
          </w:p>
        </w:tc>
        <w:tc>
          <w:tcPr>
            <w:tcW w:w="1464" w:type="dxa"/>
            <w:shd w:val="clear" w:color="auto" w:fill="auto"/>
            <w:vAlign w:val="center"/>
          </w:tcPr>
          <w:p w14:paraId="03263A43" w14:textId="77777777" w:rsidR="006C62A5" w:rsidRPr="00C3671E" w:rsidRDefault="006C62A5" w:rsidP="00AA6335">
            <w:pPr>
              <w:tabs>
                <w:tab w:val="decimal" w:pos="426"/>
              </w:tabs>
              <w:rPr>
                <w:sz w:val="20"/>
                <w:szCs w:val="20"/>
                <w:lang w:val="en-GB"/>
              </w:rPr>
            </w:pPr>
            <w:r w:rsidRPr="00C3671E">
              <w:rPr>
                <w:sz w:val="20"/>
                <w:szCs w:val="20"/>
                <w:lang w:val="en-GB"/>
              </w:rPr>
              <w:t>-0.735***</w:t>
            </w:r>
          </w:p>
        </w:tc>
        <w:tc>
          <w:tcPr>
            <w:tcW w:w="1465" w:type="dxa"/>
            <w:shd w:val="clear" w:color="auto" w:fill="auto"/>
            <w:vAlign w:val="center"/>
          </w:tcPr>
          <w:p w14:paraId="6C95D522" w14:textId="77777777" w:rsidR="006C62A5" w:rsidRPr="00C3671E" w:rsidRDefault="006C62A5" w:rsidP="00AA6335">
            <w:pPr>
              <w:tabs>
                <w:tab w:val="decimal" w:pos="426"/>
              </w:tabs>
              <w:rPr>
                <w:sz w:val="20"/>
                <w:szCs w:val="20"/>
                <w:lang w:val="en-GB"/>
              </w:rPr>
            </w:pPr>
            <w:r w:rsidRPr="00C3671E">
              <w:rPr>
                <w:sz w:val="20"/>
                <w:szCs w:val="20"/>
                <w:lang w:val="en-GB"/>
              </w:rPr>
              <w:t>0.884***</w:t>
            </w:r>
          </w:p>
        </w:tc>
        <w:tc>
          <w:tcPr>
            <w:tcW w:w="1465" w:type="dxa"/>
            <w:shd w:val="clear" w:color="auto" w:fill="auto"/>
            <w:vAlign w:val="center"/>
          </w:tcPr>
          <w:p w14:paraId="4B1E6D6B" w14:textId="77777777" w:rsidR="006C62A5" w:rsidRPr="00C3671E" w:rsidRDefault="006C62A5" w:rsidP="00AA6335">
            <w:pPr>
              <w:tabs>
                <w:tab w:val="decimal" w:pos="426"/>
              </w:tabs>
              <w:rPr>
                <w:sz w:val="20"/>
                <w:szCs w:val="20"/>
                <w:lang w:val="en-GB"/>
              </w:rPr>
            </w:pPr>
            <w:r w:rsidRPr="00C3671E">
              <w:rPr>
                <w:sz w:val="20"/>
                <w:szCs w:val="20"/>
                <w:lang w:val="en-GB"/>
              </w:rPr>
              <w:t>-0.828***</w:t>
            </w:r>
          </w:p>
        </w:tc>
      </w:tr>
      <w:tr w:rsidR="006C62A5" w:rsidRPr="00C3671E" w14:paraId="064962AB" w14:textId="77777777" w:rsidTr="00AA6335">
        <w:trPr>
          <w:trHeight w:val="340"/>
        </w:trPr>
        <w:tc>
          <w:tcPr>
            <w:tcW w:w="3795" w:type="dxa"/>
            <w:shd w:val="clear" w:color="auto" w:fill="auto"/>
            <w:vAlign w:val="center"/>
          </w:tcPr>
          <w:p w14:paraId="02554961" w14:textId="77777777" w:rsidR="006C62A5" w:rsidRPr="00C3671E" w:rsidRDefault="006C62A5" w:rsidP="00AA6335">
            <w:pPr>
              <w:rPr>
                <w:sz w:val="20"/>
                <w:szCs w:val="20"/>
                <w:lang w:val="en-GB"/>
              </w:rPr>
            </w:pPr>
            <w:r w:rsidRPr="00C3671E">
              <w:rPr>
                <w:sz w:val="20"/>
                <w:szCs w:val="20"/>
                <w:lang w:val="en-GB"/>
              </w:rPr>
              <w:t>Employment status</w:t>
            </w:r>
          </w:p>
        </w:tc>
        <w:tc>
          <w:tcPr>
            <w:tcW w:w="1464" w:type="dxa"/>
            <w:shd w:val="clear" w:color="auto" w:fill="auto"/>
            <w:vAlign w:val="center"/>
          </w:tcPr>
          <w:p w14:paraId="1CECC6F6"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4299921A"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1886CBE9" w14:textId="77777777" w:rsidR="006C62A5" w:rsidRPr="00C3671E" w:rsidRDefault="006C62A5" w:rsidP="00AA6335">
            <w:pPr>
              <w:tabs>
                <w:tab w:val="decimal" w:pos="426"/>
              </w:tabs>
              <w:rPr>
                <w:sz w:val="20"/>
                <w:szCs w:val="20"/>
                <w:lang w:val="en-GB"/>
              </w:rPr>
            </w:pPr>
          </w:p>
        </w:tc>
      </w:tr>
      <w:tr w:rsidR="006C62A5" w:rsidRPr="00C3671E" w14:paraId="274B45DB" w14:textId="77777777" w:rsidTr="00AA6335">
        <w:trPr>
          <w:trHeight w:val="340"/>
        </w:trPr>
        <w:tc>
          <w:tcPr>
            <w:tcW w:w="3795" w:type="dxa"/>
            <w:shd w:val="clear" w:color="auto" w:fill="auto"/>
            <w:vAlign w:val="center"/>
          </w:tcPr>
          <w:p w14:paraId="485AF65D" w14:textId="77777777" w:rsidR="006C62A5" w:rsidRPr="00C3671E" w:rsidRDefault="006C62A5" w:rsidP="00AA6335">
            <w:pPr>
              <w:rPr>
                <w:sz w:val="20"/>
                <w:szCs w:val="20"/>
                <w:lang w:val="en-GB"/>
              </w:rPr>
            </w:pPr>
            <w:r w:rsidRPr="00C3671E">
              <w:rPr>
                <w:sz w:val="20"/>
                <w:szCs w:val="20"/>
                <w:lang w:val="en-GB"/>
              </w:rPr>
              <w:t xml:space="preserve">     not working (reference category)</w:t>
            </w:r>
          </w:p>
        </w:tc>
        <w:tc>
          <w:tcPr>
            <w:tcW w:w="1464" w:type="dxa"/>
            <w:shd w:val="clear" w:color="auto" w:fill="auto"/>
            <w:vAlign w:val="center"/>
          </w:tcPr>
          <w:p w14:paraId="64AA291F"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6EF87435"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4C8F0F50" w14:textId="77777777" w:rsidR="006C62A5" w:rsidRPr="00C3671E" w:rsidRDefault="006C62A5" w:rsidP="00AA6335">
            <w:pPr>
              <w:tabs>
                <w:tab w:val="decimal" w:pos="426"/>
              </w:tabs>
              <w:rPr>
                <w:sz w:val="20"/>
                <w:szCs w:val="20"/>
                <w:lang w:val="en-GB"/>
              </w:rPr>
            </w:pPr>
          </w:p>
        </w:tc>
      </w:tr>
      <w:tr w:rsidR="006C62A5" w:rsidRPr="00C3671E" w14:paraId="24C4E6FD" w14:textId="77777777" w:rsidTr="00AA6335">
        <w:trPr>
          <w:trHeight w:val="340"/>
        </w:trPr>
        <w:tc>
          <w:tcPr>
            <w:tcW w:w="3795" w:type="dxa"/>
            <w:shd w:val="clear" w:color="auto" w:fill="auto"/>
            <w:vAlign w:val="center"/>
          </w:tcPr>
          <w:p w14:paraId="0DC3BB94" w14:textId="77777777" w:rsidR="006C62A5" w:rsidRPr="00C3671E" w:rsidRDefault="006C62A5" w:rsidP="00AA6335">
            <w:pPr>
              <w:rPr>
                <w:sz w:val="20"/>
                <w:szCs w:val="20"/>
                <w:lang w:val="en-GB"/>
              </w:rPr>
            </w:pPr>
            <w:r w:rsidRPr="00C3671E">
              <w:rPr>
                <w:sz w:val="20"/>
                <w:szCs w:val="20"/>
                <w:lang w:val="en-GB"/>
              </w:rPr>
              <w:t xml:space="preserve">     part-time job</w:t>
            </w:r>
          </w:p>
        </w:tc>
        <w:tc>
          <w:tcPr>
            <w:tcW w:w="1464" w:type="dxa"/>
            <w:shd w:val="clear" w:color="auto" w:fill="auto"/>
            <w:vAlign w:val="center"/>
          </w:tcPr>
          <w:p w14:paraId="28FFC827" w14:textId="77777777" w:rsidR="006C62A5" w:rsidRPr="00C3671E" w:rsidRDefault="006C62A5" w:rsidP="00AA6335">
            <w:pPr>
              <w:tabs>
                <w:tab w:val="decimal" w:pos="426"/>
              </w:tabs>
              <w:rPr>
                <w:sz w:val="20"/>
                <w:szCs w:val="20"/>
                <w:lang w:val="en-GB"/>
              </w:rPr>
            </w:pPr>
            <w:r w:rsidRPr="00C3671E">
              <w:rPr>
                <w:sz w:val="20"/>
                <w:szCs w:val="20"/>
                <w:lang w:val="en-GB"/>
              </w:rPr>
              <w:t>-0.310***</w:t>
            </w:r>
          </w:p>
        </w:tc>
        <w:tc>
          <w:tcPr>
            <w:tcW w:w="1465" w:type="dxa"/>
            <w:shd w:val="clear" w:color="auto" w:fill="auto"/>
            <w:vAlign w:val="center"/>
          </w:tcPr>
          <w:p w14:paraId="77AE3A29" w14:textId="77777777" w:rsidR="006C62A5" w:rsidRPr="00C3671E" w:rsidRDefault="006C62A5" w:rsidP="00AA6335">
            <w:pPr>
              <w:tabs>
                <w:tab w:val="decimal" w:pos="426"/>
              </w:tabs>
              <w:rPr>
                <w:sz w:val="20"/>
                <w:szCs w:val="20"/>
                <w:lang w:val="en-GB"/>
              </w:rPr>
            </w:pPr>
            <w:r w:rsidRPr="00C3671E">
              <w:rPr>
                <w:sz w:val="20"/>
                <w:szCs w:val="20"/>
                <w:lang w:val="en-GB"/>
              </w:rPr>
              <w:t>0.380***</w:t>
            </w:r>
          </w:p>
        </w:tc>
        <w:tc>
          <w:tcPr>
            <w:tcW w:w="1465" w:type="dxa"/>
            <w:shd w:val="clear" w:color="auto" w:fill="auto"/>
            <w:vAlign w:val="center"/>
          </w:tcPr>
          <w:p w14:paraId="71FA275C" w14:textId="77777777" w:rsidR="006C62A5" w:rsidRPr="00C3671E" w:rsidRDefault="006C62A5" w:rsidP="00AA6335">
            <w:pPr>
              <w:tabs>
                <w:tab w:val="decimal" w:pos="426"/>
              </w:tabs>
              <w:rPr>
                <w:sz w:val="20"/>
                <w:szCs w:val="20"/>
                <w:lang w:val="en-GB"/>
              </w:rPr>
            </w:pPr>
            <w:r w:rsidRPr="00C3671E">
              <w:rPr>
                <w:sz w:val="20"/>
                <w:szCs w:val="20"/>
                <w:lang w:val="en-GB"/>
              </w:rPr>
              <w:t>-0.367***</w:t>
            </w:r>
          </w:p>
        </w:tc>
      </w:tr>
      <w:tr w:rsidR="006C62A5" w:rsidRPr="00C3671E" w14:paraId="7E053386" w14:textId="77777777" w:rsidTr="00AA6335">
        <w:trPr>
          <w:trHeight w:val="340"/>
        </w:trPr>
        <w:tc>
          <w:tcPr>
            <w:tcW w:w="3795" w:type="dxa"/>
            <w:shd w:val="clear" w:color="auto" w:fill="auto"/>
            <w:vAlign w:val="center"/>
          </w:tcPr>
          <w:p w14:paraId="30DE4769" w14:textId="77777777" w:rsidR="006C62A5" w:rsidRPr="00C3671E" w:rsidRDefault="006C62A5" w:rsidP="00AA6335">
            <w:pPr>
              <w:rPr>
                <w:sz w:val="20"/>
                <w:szCs w:val="20"/>
                <w:lang w:val="en-GB"/>
              </w:rPr>
            </w:pPr>
            <w:r w:rsidRPr="00C3671E">
              <w:rPr>
                <w:sz w:val="20"/>
                <w:szCs w:val="20"/>
                <w:lang w:val="en-GB"/>
              </w:rPr>
              <w:t xml:space="preserve">     full-time job</w:t>
            </w:r>
          </w:p>
        </w:tc>
        <w:tc>
          <w:tcPr>
            <w:tcW w:w="1464" w:type="dxa"/>
            <w:shd w:val="clear" w:color="auto" w:fill="auto"/>
            <w:vAlign w:val="center"/>
          </w:tcPr>
          <w:p w14:paraId="5A665644" w14:textId="77777777" w:rsidR="006C62A5" w:rsidRPr="00C3671E" w:rsidRDefault="006C62A5" w:rsidP="00AA6335">
            <w:pPr>
              <w:tabs>
                <w:tab w:val="decimal" w:pos="426"/>
              </w:tabs>
              <w:rPr>
                <w:sz w:val="20"/>
                <w:szCs w:val="20"/>
                <w:lang w:val="en-GB"/>
              </w:rPr>
            </w:pPr>
            <w:r w:rsidRPr="00C3671E">
              <w:rPr>
                <w:sz w:val="20"/>
                <w:szCs w:val="20"/>
                <w:lang w:val="en-GB"/>
              </w:rPr>
              <w:t>-0.528***</w:t>
            </w:r>
          </w:p>
        </w:tc>
        <w:tc>
          <w:tcPr>
            <w:tcW w:w="1465" w:type="dxa"/>
            <w:shd w:val="clear" w:color="auto" w:fill="auto"/>
            <w:vAlign w:val="center"/>
          </w:tcPr>
          <w:p w14:paraId="230867B7" w14:textId="77777777" w:rsidR="006C62A5" w:rsidRPr="00C3671E" w:rsidRDefault="006C62A5" w:rsidP="00AA6335">
            <w:pPr>
              <w:tabs>
                <w:tab w:val="decimal" w:pos="426"/>
              </w:tabs>
              <w:rPr>
                <w:sz w:val="20"/>
                <w:szCs w:val="20"/>
                <w:lang w:val="en-GB"/>
              </w:rPr>
            </w:pPr>
            <w:r w:rsidRPr="00C3671E">
              <w:rPr>
                <w:sz w:val="20"/>
                <w:szCs w:val="20"/>
                <w:lang w:val="en-GB"/>
              </w:rPr>
              <w:t>0.528***</w:t>
            </w:r>
          </w:p>
        </w:tc>
        <w:tc>
          <w:tcPr>
            <w:tcW w:w="1465" w:type="dxa"/>
            <w:shd w:val="clear" w:color="auto" w:fill="auto"/>
            <w:vAlign w:val="center"/>
          </w:tcPr>
          <w:p w14:paraId="147F985F" w14:textId="77777777" w:rsidR="006C62A5" w:rsidRPr="00C3671E" w:rsidRDefault="006C62A5" w:rsidP="00AA6335">
            <w:pPr>
              <w:tabs>
                <w:tab w:val="decimal" w:pos="426"/>
              </w:tabs>
              <w:rPr>
                <w:sz w:val="20"/>
                <w:szCs w:val="20"/>
                <w:lang w:val="en-GB"/>
              </w:rPr>
            </w:pPr>
            <w:r w:rsidRPr="00C3671E">
              <w:rPr>
                <w:sz w:val="20"/>
                <w:szCs w:val="20"/>
                <w:lang w:val="en-GB"/>
              </w:rPr>
              <w:t>-0.371***</w:t>
            </w:r>
          </w:p>
        </w:tc>
      </w:tr>
      <w:tr w:rsidR="006C62A5" w:rsidRPr="00C3671E" w14:paraId="49FA05D2" w14:textId="77777777" w:rsidTr="00AA6335">
        <w:trPr>
          <w:trHeight w:val="340"/>
        </w:trPr>
        <w:tc>
          <w:tcPr>
            <w:tcW w:w="3795" w:type="dxa"/>
            <w:shd w:val="clear" w:color="auto" w:fill="auto"/>
            <w:vAlign w:val="center"/>
          </w:tcPr>
          <w:p w14:paraId="289692AB" w14:textId="77777777" w:rsidR="006C62A5" w:rsidRPr="00C3671E" w:rsidRDefault="006C62A5" w:rsidP="00AA6335">
            <w:pPr>
              <w:rPr>
                <w:sz w:val="20"/>
                <w:szCs w:val="20"/>
                <w:lang w:val="en-GB"/>
              </w:rPr>
            </w:pPr>
            <w:r w:rsidRPr="00C3671E">
              <w:rPr>
                <w:sz w:val="20"/>
                <w:szCs w:val="20"/>
                <w:lang w:val="en-GB"/>
              </w:rPr>
              <w:t>Education</w:t>
            </w:r>
          </w:p>
        </w:tc>
        <w:tc>
          <w:tcPr>
            <w:tcW w:w="1464" w:type="dxa"/>
            <w:shd w:val="clear" w:color="auto" w:fill="auto"/>
            <w:vAlign w:val="center"/>
          </w:tcPr>
          <w:p w14:paraId="33856EAE"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20F3EAC5"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48824E13" w14:textId="77777777" w:rsidR="006C62A5" w:rsidRPr="00C3671E" w:rsidRDefault="006C62A5" w:rsidP="00AA6335">
            <w:pPr>
              <w:tabs>
                <w:tab w:val="decimal" w:pos="426"/>
              </w:tabs>
              <w:rPr>
                <w:sz w:val="20"/>
                <w:szCs w:val="20"/>
                <w:lang w:val="en-GB"/>
              </w:rPr>
            </w:pPr>
          </w:p>
        </w:tc>
      </w:tr>
      <w:tr w:rsidR="006C62A5" w:rsidRPr="00C3671E" w14:paraId="1FD4436D" w14:textId="77777777" w:rsidTr="00AA6335">
        <w:trPr>
          <w:trHeight w:val="340"/>
        </w:trPr>
        <w:tc>
          <w:tcPr>
            <w:tcW w:w="3795" w:type="dxa"/>
            <w:shd w:val="clear" w:color="auto" w:fill="auto"/>
            <w:vAlign w:val="center"/>
          </w:tcPr>
          <w:p w14:paraId="17BE17BE" w14:textId="77777777" w:rsidR="006C62A5" w:rsidRPr="00C3671E" w:rsidRDefault="006C62A5" w:rsidP="00AA6335">
            <w:pPr>
              <w:rPr>
                <w:sz w:val="20"/>
                <w:szCs w:val="20"/>
                <w:lang w:val="en-GB"/>
              </w:rPr>
            </w:pPr>
            <w:r w:rsidRPr="00C3671E">
              <w:rPr>
                <w:sz w:val="20"/>
                <w:szCs w:val="20"/>
                <w:lang w:val="en-GB"/>
              </w:rPr>
              <w:t xml:space="preserve">     ISCED 0-1 (reference category)</w:t>
            </w:r>
          </w:p>
        </w:tc>
        <w:tc>
          <w:tcPr>
            <w:tcW w:w="1464" w:type="dxa"/>
            <w:shd w:val="clear" w:color="auto" w:fill="auto"/>
            <w:vAlign w:val="center"/>
          </w:tcPr>
          <w:p w14:paraId="72A18E51"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3ADD9F67"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6339147F" w14:textId="77777777" w:rsidR="006C62A5" w:rsidRPr="00C3671E" w:rsidRDefault="006C62A5" w:rsidP="00AA6335">
            <w:pPr>
              <w:tabs>
                <w:tab w:val="decimal" w:pos="426"/>
              </w:tabs>
              <w:rPr>
                <w:sz w:val="20"/>
                <w:szCs w:val="20"/>
                <w:lang w:val="en-GB"/>
              </w:rPr>
            </w:pPr>
          </w:p>
        </w:tc>
      </w:tr>
      <w:tr w:rsidR="006C62A5" w:rsidRPr="00C3671E" w14:paraId="0F924B8E" w14:textId="77777777" w:rsidTr="00AA6335">
        <w:trPr>
          <w:trHeight w:val="340"/>
        </w:trPr>
        <w:tc>
          <w:tcPr>
            <w:tcW w:w="3795" w:type="dxa"/>
            <w:shd w:val="clear" w:color="auto" w:fill="auto"/>
            <w:vAlign w:val="center"/>
          </w:tcPr>
          <w:p w14:paraId="2D2B66AB" w14:textId="77777777" w:rsidR="006C62A5" w:rsidRPr="00C3671E" w:rsidRDefault="006C62A5" w:rsidP="00AA6335">
            <w:pPr>
              <w:rPr>
                <w:sz w:val="20"/>
                <w:szCs w:val="20"/>
                <w:lang w:val="en-GB"/>
              </w:rPr>
            </w:pPr>
            <w:r w:rsidRPr="00C3671E">
              <w:rPr>
                <w:sz w:val="20"/>
                <w:szCs w:val="20"/>
                <w:lang w:val="en-GB"/>
              </w:rPr>
              <w:t xml:space="preserve">     ISCED 2-4</w:t>
            </w:r>
          </w:p>
        </w:tc>
        <w:tc>
          <w:tcPr>
            <w:tcW w:w="1464" w:type="dxa"/>
            <w:shd w:val="clear" w:color="auto" w:fill="auto"/>
            <w:vAlign w:val="center"/>
          </w:tcPr>
          <w:p w14:paraId="750E7F31" w14:textId="77777777" w:rsidR="006C62A5" w:rsidRPr="00C3671E" w:rsidRDefault="006C62A5" w:rsidP="00AA6335">
            <w:pPr>
              <w:tabs>
                <w:tab w:val="decimal" w:pos="426"/>
              </w:tabs>
              <w:rPr>
                <w:sz w:val="20"/>
                <w:szCs w:val="20"/>
                <w:lang w:val="en-GB"/>
              </w:rPr>
            </w:pPr>
            <w:r w:rsidRPr="00C3671E">
              <w:rPr>
                <w:sz w:val="20"/>
                <w:szCs w:val="20"/>
                <w:lang w:val="en-GB"/>
              </w:rPr>
              <w:t>-0.166***</w:t>
            </w:r>
          </w:p>
        </w:tc>
        <w:tc>
          <w:tcPr>
            <w:tcW w:w="1465" w:type="dxa"/>
            <w:shd w:val="clear" w:color="auto" w:fill="auto"/>
            <w:vAlign w:val="center"/>
          </w:tcPr>
          <w:p w14:paraId="4832692C" w14:textId="77777777" w:rsidR="006C62A5" w:rsidRPr="00C3671E" w:rsidRDefault="006C62A5" w:rsidP="00AA6335">
            <w:pPr>
              <w:tabs>
                <w:tab w:val="decimal" w:pos="426"/>
              </w:tabs>
              <w:rPr>
                <w:sz w:val="20"/>
                <w:szCs w:val="20"/>
                <w:lang w:val="en-GB"/>
              </w:rPr>
            </w:pPr>
            <w:r w:rsidRPr="00C3671E">
              <w:rPr>
                <w:sz w:val="20"/>
                <w:szCs w:val="20"/>
                <w:lang w:val="en-GB"/>
              </w:rPr>
              <w:t>0.251***</w:t>
            </w:r>
          </w:p>
        </w:tc>
        <w:tc>
          <w:tcPr>
            <w:tcW w:w="1465" w:type="dxa"/>
            <w:shd w:val="clear" w:color="auto" w:fill="auto"/>
            <w:vAlign w:val="center"/>
          </w:tcPr>
          <w:p w14:paraId="50F985E4" w14:textId="77777777" w:rsidR="006C62A5" w:rsidRPr="00C3671E" w:rsidRDefault="006C62A5" w:rsidP="00AA6335">
            <w:pPr>
              <w:tabs>
                <w:tab w:val="decimal" w:pos="426"/>
              </w:tabs>
              <w:rPr>
                <w:sz w:val="20"/>
                <w:szCs w:val="20"/>
                <w:lang w:val="en-GB"/>
              </w:rPr>
            </w:pPr>
            <w:r w:rsidRPr="00C3671E">
              <w:rPr>
                <w:sz w:val="20"/>
                <w:szCs w:val="20"/>
                <w:lang w:val="en-GB"/>
              </w:rPr>
              <w:t>-0.230***</w:t>
            </w:r>
          </w:p>
        </w:tc>
      </w:tr>
      <w:tr w:rsidR="006C62A5" w:rsidRPr="00C3671E" w14:paraId="129863BA" w14:textId="77777777" w:rsidTr="00AA6335">
        <w:trPr>
          <w:trHeight w:val="340"/>
        </w:trPr>
        <w:tc>
          <w:tcPr>
            <w:tcW w:w="3795" w:type="dxa"/>
            <w:shd w:val="clear" w:color="auto" w:fill="auto"/>
            <w:vAlign w:val="center"/>
          </w:tcPr>
          <w:p w14:paraId="7A694440" w14:textId="77777777" w:rsidR="006C62A5" w:rsidRPr="00C3671E" w:rsidRDefault="006C62A5" w:rsidP="00AA6335">
            <w:pPr>
              <w:rPr>
                <w:sz w:val="20"/>
                <w:szCs w:val="20"/>
                <w:lang w:val="en-GB"/>
              </w:rPr>
            </w:pPr>
            <w:r w:rsidRPr="00C3671E">
              <w:rPr>
                <w:sz w:val="20"/>
                <w:szCs w:val="20"/>
                <w:lang w:val="en-GB"/>
              </w:rPr>
              <w:t xml:space="preserve">     ISCED 5-6</w:t>
            </w:r>
          </w:p>
        </w:tc>
        <w:tc>
          <w:tcPr>
            <w:tcW w:w="1464" w:type="dxa"/>
            <w:shd w:val="clear" w:color="auto" w:fill="auto"/>
            <w:vAlign w:val="center"/>
          </w:tcPr>
          <w:p w14:paraId="336C37E6" w14:textId="77777777" w:rsidR="006C62A5" w:rsidRPr="00C3671E" w:rsidRDefault="006C62A5" w:rsidP="00AA6335">
            <w:pPr>
              <w:tabs>
                <w:tab w:val="decimal" w:pos="426"/>
              </w:tabs>
              <w:rPr>
                <w:sz w:val="20"/>
                <w:szCs w:val="20"/>
                <w:lang w:val="en-GB"/>
              </w:rPr>
            </w:pPr>
            <w:r w:rsidRPr="00C3671E">
              <w:rPr>
                <w:sz w:val="20"/>
                <w:szCs w:val="20"/>
                <w:lang w:val="en-GB"/>
              </w:rPr>
              <w:t>-0.184***</w:t>
            </w:r>
          </w:p>
        </w:tc>
        <w:tc>
          <w:tcPr>
            <w:tcW w:w="1465" w:type="dxa"/>
            <w:shd w:val="clear" w:color="auto" w:fill="auto"/>
            <w:vAlign w:val="center"/>
          </w:tcPr>
          <w:p w14:paraId="59A934B7" w14:textId="77777777" w:rsidR="006C62A5" w:rsidRPr="00C3671E" w:rsidRDefault="006C62A5" w:rsidP="00AA6335">
            <w:pPr>
              <w:tabs>
                <w:tab w:val="decimal" w:pos="426"/>
              </w:tabs>
              <w:rPr>
                <w:sz w:val="20"/>
                <w:szCs w:val="20"/>
                <w:lang w:val="en-GB"/>
              </w:rPr>
            </w:pPr>
            <w:r w:rsidRPr="00C3671E">
              <w:rPr>
                <w:sz w:val="20"/>
                <w:szCs w:val="20"/>
                <w:lang w:val="en-GB"/>
              </w:rPr>
              <w:t>0.520***</w:t>
            </w:r>
          </w:p>
        </w:tc>
        <w:tc>
          <w:tcPr>
            <w:tcW w:w="1465" w:type="dxa"/>
            <w:shd w:val="clear" w:color="auto" w:fill="auto"/>
            <w:vAlign w:val="center"/>
          </w:tcPr>
          <w:p w14:paraId="4B58393B" w14:textId="77777777" w:rsidR="006C62A5" w:rsidRPr="00C3671E" w:rsidRDefault="006C62A5" w:rsidP="00AA6335">
            <w:pPr>
              <w:tabs>
                <w:tab w:val="decimal" w:pos="426"/>
              </w:tabs>
              <w:rPr>
                <w:sz w:val="20"/>
                <w:szCs w:val="20"/>
                <w:lang w:val="en-GB"/>
              </w:rPr>
            </w:pPr>
            <w:r w:rsidRPr="00C3671E">
              <w:rPr>
                <w:sz w:val="20"/>
                <w:szCs w:val="20"/>
                <w:lang w:val="en-GB"/>
              </w:rPr>
              <w:t>-0.513***</w:t>
            </w:r>
          </w:p>
        </w:tc>
      </w:tr>
      <w:tr w:rsidR="006C62A5" w:rsidRPr="00C3671E" w14:paraId="19D672C1" w14:textId="77777777" w:rsidTr="00AA6335">
        <w:trPr>
          <w:trHeight w:val="340"/>
        </w:trPr>
        <w:tc>
          <w:tcPr>
            <w:tcW w:w="3795" w:type="dxa"/>
            <w:shd w:val="clear" w:color="auto" w:fill="auto"/>
            <w:vAlign w:val="center"/>
          </w:tcPr>
          <w:p w14:paraId="7B36A17F" w14:textId="77777777" w:rsidR="006C62A5" w:rsidRPr="00C3671E" w:rsidRDefault="006C62A5" w:rsidP="00AA6335">
            <w:pPr>
              <w:rPr>
                <w:sz w:val="20"/>
                <w:szCs w:val="20"/>
                <w:lang w:val="en-GB"/>
              </w:rPr>
            </w:pPr>
            <w:r w:rsidRPr="00C3671E">
              <w:rPr>
                <w:sz w:val="20"/>
                <w:szCs w:val="20"/>
                <w:lang w:val="en-GB"/>
              </w:rPr>
              <w:t>Partner in the household</w:t>
            </w:r>
          </w:p>
        </w:tc>
        <w:tc>
          <w:tcPr>
            <w:tcW w:w="1464" w:type="dxa"/>
            <w:shd w:val="clear" w:color="auto" w:fill="auto"/>
            <w:vAlign w:val="center"/>
          </w:tcPr>
          <w:p w14:paraId="79DE778D"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669D4425"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3A4C3D3F" w14:textId="77777777" w:rsidR="006C62A5" w:rsidRPr="00C3671E" w:rsidRDefault="006C62A5" w:rsidP="00AA6335">
            <w:pPr>
              <w:tabs>
                <w:tab w:val="decimal" w:pos="426"/>
              </w:tabs>
              <w:rPr>
                <w:sz w:val="20"/>
                <w:szCs w:val="20"/>
                <w:lang w:val="en-GB"/>
              </w:rPr>
            </w:pPr>
          </w:p>
        </w:tc>
      </w:tr>
      <w:tr w:rsidR="006C62A5" w:rsidRPr="00C3671E" w14:paraId="7B1C4A6A" w14:textId="77777777" w:rsidTr="00AA6335">
        <w:trPr>
          <w:trHeight w:val="340"/>
        </w:trPr>
        <w:tc>
          <w:tcPr>
            <w:tcW w:w="3795" w:type="dxa"/>
            <w:shd w:val="clear" w:color="auto" w:fill="auto"/>
            <w:vAlign w:val="center"/>
          </w:tcPr>
          <w:p w14:paraId="52FD19EC" w14:textId="77777777" w:rsidR="006C62A5" w:rsidRPr="00C3671E" w:rsidRDefault="006C62A5" w:rsidP="00AA6335">
            <w:pPr>
              <w:rPr>
                <w:sz w:val="20"/>
                <w:szCs w:val="20"/>
                <w:lang w:val="en-GB"/>
              </w:rPr>
            </w:pPr>
            <w:r w:rsidRPr="00C3671E">
              <w:rPr>
                <w:sz w:val="20"/>
                <w:szCs w:val="20"/>
                <w:lang w:val="en-GB"/>
              </w:rPr>
              <w:t xml:space="preserve">     no (reference category)</w:t>
            </w:r>
          </w:p>
        </w:tc>
        <w:tc>
          <w:tcPr>
            <w:tcW w:w="1464" w:type="dxa"/>
            <w:shd w:val="clear" w:color="auto" w:fill="auto"/>
            <w:vAlign w:val="center"/>
          </w:tcPr>
          <w:p w14:paraId="52D85B55"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5134BB99"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6F0DAFC0" w14:textId="77777777" w:rsidR="006C62A5" w:rsidRPr="00C3671E" w:rsidRDefault="006C62A5" w:rsidP="00AA6335">
            <w:pPr>
              <w:tabs>
                <w:tab w:val="decimal" w:pos="426"/>
              </w:tabs>
              <w:rPr>
                <w:sz w:val="20"/>
                <w:szCs w:val="20"/>
                <w:lang w:val="en-GB"/>
              </w:rPr>
            </w:pPr>
          </w:p>
        </w:tc>
      </w:tr>
      <w:tr w:rsidR="006C62A5" w:rsidRPr="00C3671E" w14:paraId="3E33F29E" w14:textId="77777777" w:rsidTr="00AA6335">
        <w:trPr>
          <w:trHeight w:val="340"/>
        </w:trPr>
        <w:tc>
          <w:tcPr>
            <w:tcW w:w="3795" w:type="dxa"/>
            <w:shd w:val="clear" w:color="auto" w:fill="auto"/>
            <w:vAlign w:val="center"/>
          </w:tcPr>
          <w:p w14:paraId="075FB37B" w14:textId="77777777" w:rsidR="006C62A5" w:rsidRPr="00C3671E" w:rsidRDefault="006C62A5" w:rsidP="00AA6335">
            <w:pPr>
              <w:rPr>
                <w:sz w:val="20"/>
                <w:szCs w:val="20"/>
                <w:lang w:val="en-GB"/>
              </w:rPr>
            </w:pPr>
            <w:r w:rsidRPr="00C3671E">
              <w:rPr>
                <w:sz w:val="20"/>
                <w:szCs w:val="20"/>
                <w:lang w:val="en-GB"/>
              </w:rPr>
              <w:t xml:space="preserve">     Yes</w:t>
            </w:r>
          </w:p>
        </w:tc>
        <w:tc>
          <w:tcPr>
            <w:tcW w:w="1464" w:type="dxa"/>
            <w:shd w:val="clear" w:color="auto" w:fill="auto"/>
            <w:vAlign w:val="center"/>
          </w:tcPr>
          <w:p w14:paraId="7D75299B" w14:textId="77777777" w:rsidR="006C62A5" w:rsidRPr="00C3671E" w:rsidRDefault="006C62A5" w:rsidP="00AA6335">
            <w:pPr>
              <w:tabs>
                <w:tab w:val="decimal" w:pos="426"/>
              </w:tabs>
              <w:rPr>
                <w:sz w:val="20"/>
                <w:szCs w:val="20"/>
                <w:lang w:val="en-GB"/>
              </w:rPr>
            </w:pPr>
            <w:r w:rsidRPr="00C3671E">
              <w:rPr>
                <w:sz w:val="20"/>
                <w:szCs w:val="20"/>
                <w:lang w:val="en-GB"/>
              </w:rPr>
              <w:t>-1.418***</w:t>
            </w:r>
          </w:p>
        </w:tc>
        <w:tc>
          <w:tcPr>
            <w:tcW w:w="1465" w:type="dxa"/>
            <w:shd w:val="clear" w:color="auto" w:fill="auto"/>
            <w:vAlign w:val="center"/>
          </w:tcPr>
          <w:p w14:paraId="12CA1ACB" w14:textId="77777777" w:rsidR="006C62A5" w:rsidRPr="00C3671E" w:rsidRDefault="006C62A5" w:rsidP="00AA6335">
            <w:pPr>
              <w:tabs>
                <w:tab w:val="decimal" w:pos="426"/>
              </w:tabs>
              <w:rPr>
                <w:sz w:val="20"/>
                <w:szCs w:val="20"/>
                <w:lang w:val="en-GB"/>
              </w:rPr>
            </w:pPr>
            <w:r w:rsidRPr="00C3671E">
              <w:rPr>
                <w:sz w:val="20"/>
                <w:szCs w:val="20"/>
                <w:lang w:val="en-GB"/>
              </w:rPr>
              <w:t>0.466***</w:t>
            </w:r>
          </w:p>
        </w:tc>
        <w:tc>
          <w:tcPr>
            <w:tcW w:w="1465" w:type="dxa"/>
            <w:shd w:val="clear" w:color="auto" w:fill="auto"/>
            <w:vAlign w:val="center"/>
          </w:tcPr>
          <w:p w14:paraId="6E729E68" w14:textId="77777777" w:rsidR="006C62A5" w:rsidRPr="00C3671E" w:rsidRDefault="006C62A5" w:rsidP="00AA6335">
            <w:pPr>
              <w:tabs>
                <w:tab w:val="decimal" w:pos="426"/>
              </w:tabs>
              <w:rPr>
                <w:sz w:val="20"/>
                <w:szCs w:val="20"/>
                <w:lang w:val="en-GB"/>
              </w:rPr>
            </w:pPr>
            <w:r w:rsidRPr="00C3671E">
              <w:rPr>
                <w:sz w:val="20"/>
                <w:szCs w:val="20"/>
                <w:lang w:val="en-GB"/>
              </w:rPr>
              <w:t>-0.111***</w:t>
            </w:r>
          </w:p>
        </w:tc>
      </w:tr>
      <w:tr w:rsidR="006C62A5" w:rsidRPr="00C3671E" w14:paraId="152450BD" w14:textId="77777777" w:rsidTr="00AA6335">
        <w:trPr>
          <w:trHeight w:val="340"/>
        </w:trPr>
        <w:tc>
          <w:tcPr>
            <w:tcW w:w="3795" w:type="dxa"/>
            <w:shd w:val="clear" w:color="auto" w:fill="auto"/>
            <w:vAlign w:val="center"/>
          </w:tcPr>
          <w:p w14:paraId="69EF7488" w14:textId="77777777" w:rsidR="006C62A5" w:rsidRPr="00C3671E" w:rsidRDefault="006C62A5" w:rsidP="00AA6335">
            <w:pPr>
              <w:rPr>
                <w:sz w:val="20"/>
                <w:szCs w:val="20"/>
                <w:lang w:val="en-GB"/>
              </w:rPr>
            </w:pPr>
            <w:r w:rsidRPr="00C3671E">
              <w:rPr>
                <w:sz w:val="20"/>
                <w:szCs w:val="20"/>
                <w:lang w:val="en-GB"/>
              </w:rPr>
              <w:t>Number of surviving parents</w:t>
            </w:r>
          </w:p>
        </w:tc>
        <w:tc>
          <w:tcPr>
            <w:tcW w:w="1464" w:type="dxa"/>
            <w:shd w:val="clear" w:color="auto" w:fill="auto"/>
            <w:vAlign w:val="center"/>
          </w:tcPr>
          <w:p w14:paraId="22567D25" w14:textId="77777777" w:rsidR="006C62A5" w:rsidRPr="00C3671E" w:rsidRDefault="006C62A5" w:rsidP="00AA6335">
            <w:pPr>
              <w:tabs>
                <w:tab w:val="decimal" w:pos="426"/>
              </w:tabs>
              <w:rPr>
                <w:sz w:val="20"/>
                <w:szCs w:val="20"/>
                <w:lang w:val="en-GB"/>
              </w:rPr>
            </w:pPr>
            <w:r w:rsidRPr="00C3671E">
              <w:rPr>
                <w:sz w:val="20"/>
                <w:szCs w:val="20"/>
                <w:lang w:val="en-GB"/>
              </w:rPr>
              <w:t>-0.065*</w:t>
            </w:r>
          </w:p>
        </w:tc>
        <w:tc>
          <w:tcPr>
            <w:tcW w:w="1465" w:type="dxa"/>
            <w:shd w:val="clear" w:color="auto" w:fill="auto"/>
            <w:vAlign w:val="center"/>
          </w:tcPr>
          <w:p w14:paraId="6B0BB1F5" w14:textId="77777777" w:rsidR="006C62A5" w:rsidRPr="00C3671E" w:rsidRDefault="006C62A5" w:rsidP="00AA6335">
            <w:pPr>
              <w:tabs>
                <w:tab w:val="decimal" w:pos="426"/>
              </w:tabs>
              <w:rPr>
                <w:sz w:val="20"/>
                <w:szCs w:val="20"/>
                <w:lang w:val="en-GB"/>
              </w:rPr>
            </w:pPr>
            <w:r w:rsidRPr="00C3671E">
              <w:rPr>
                <w:sz w:val="20"/>
                <w:szCs w:val="20"/>
                <w:lang w:val="en-GB"/>
              </w:rPr>
              <w:t>-0.009</w:t>
            </w:r>
          </w:p>
        </w:tc>
        <w:tc>
          <w:tcPr>
            <w:tcW w:w="1465" w:type="dxa"/>
            <w:shd w:val="clear" w:color="auto" w:fill="auto"/>
            <w:vAlign w:val="center"/>
          </w:tcPr>
          <w:p w14:paraId="3AB6E2B7" w14:textId="77777777" w:rsidR="006C62A5" w:rsidRPr="00C3671E" w:rsidRDefault="006C62A5" w:rsidP="00AA6335">
            <w:pPr>
              <w:tabs>
                <w:tab w:val="decimal" w:pos="426"/>
              </w:tabs>
              <w:rPr>
                <w:sz w:val="20"/>
                <w:szCs w:val="20"/>
                <w:lang w:val="en-GB"/>
              </w:rPr>
            </w:pPr>
            <w:r w:rsidRPr="00C3671E">
              <w:rPr>
                <w:sz w:val="20"/>
                <w:szCs w:val="20"/>
                <w:lang w:val="en-GB"/>
              </w:rPr>
              <w:t>-0.004</w:t>
            </w:r>
          </w:p>
        </w:tc>
      </w:tr>
      <w:tr w:rsidR="006C62A5" w:rsidRPr="00C3671E" w14:paraId="1D6AFC62" w14:textId="77777777" w:rsidTr="00AA6335">
        <w:trPr>
          <w:trHeight w:val="340"/>
        </w:trPr>
        <w:tc>
          <w:tcPr>
            <w:tcW w:w="3795" w:type="dxa"/>
            <w:shd w:val="clear" w:color="auto" w:fill="auto"/>
            <w:vAlign w:val="center"/>
          </w:tcPr>
          <w:p w14:paraId="2D3A165D" w14:textId="77777777" w:rsidR="006C62A5" w:rsidRPr="00C3671E" w:rsidRDefault="006C62A5" w:rsidP="00AA6335">
            <w:pPr>
              <w:rPr>
                <w:sz w:val="20"/>
                <w:szCs w:val="20"/>
                <w:lang w:val="en-GB"/>
              </w:rPr>
            </w:pPr>
            <w:r w:rsidRPr="00C3671E">
              <w:rPr>
                <w:sz w:val="20"/>
                <w:szCs w:val="20"/>
                <w:lang w:val="en-GB"/>
              </w:rPr>
              <w:t>Number of siblings</w:t>
            </w:r>
          </w:p>
        </w:tc>
        <w:tc>
          <w:tcPr>
            <w:tcW w:w="1464" w:type="dxa"/>
            <w:shd w:val="clear" w:color="auto" w:fill="auto"/>
            <w:vAlign w:val="center"/>
          </w:tcPr>
          <w:p w14:paraId="2878AE00" w14:textId="77777777" w:rsidR="006C62A5" w:rsidRPr="00C3671E" w:rsidRDefault="006C62A5" w:rsidP="00AA6335">
            <w:pPr>
              <w:tabs>
                <w:tab w:val="decimal" w:pos="426"/>
              </w:tabs>
              <w:rPr>
                <w:sz w:val="20"/>
                <w:szCs w:val="20"/>
                <w:lang w:val="en-GB"/>
              </w:rPr>
            </w:pPr>
            <w:r w:rsidRPr="00C3671E">
              <w:rPr>
                <w:sz w:val="20"/>
                <w:szCs w:val="20"/>
                <w:lang w:val="en-GB"/>
              </w:rPr>
              <w:t>0.012+</w:t>
            </w:r>
          </w:p>
        </w:tc>
        <w:tc>
          <w:tcPr>
            <w:tcW w:w="1465" w:type="dxa"/>
            <w:shd w:val="clear" w:color="auto" w:fill="auto"/>
            <w:vAlign w:val="center"/>
          </w:tcPr>
          <w:p w14:paraId="38B80307" w14:textId="77777777" w:rsidR="006C62A5" w:rsidRPr="00C3671E" w:rsidRDefault="006C62A5" w:rsidP="00AA6335">
            <w:pPr>
              <w:tabs>
                <w:tab w:val="decimal" w:pos="426"/>
              </w:tabs>
              <w:rPr>
                <w:sz w:val="20"/>
                <w:szCs w:val="20"/>
                <w:lang w:val="en-GB"/>
              </w:rPr>
            </w:pPr>
            <w:r w:rsidRPr="00C3671E">
              <w:rPr>
                <w:sz w:val="20"/>
                <w:szCs w:val="20"/>
                <w:lang w:val="en-GB"/>
              </w:rPr>
              <w:t>0.012+</w:t>
            </w:r>
          </w:p>
        </w:tc>
        <w:tc>
          <w:tcPr>
            <w:tcW w:w="1465" w:type="dxa"/>
            <w:shd w:val="clear" w:color="auto" w:fill="auto"/>
            <w:vAlign w:val="center"/>
          </w:tcPr>
          <w:p w14:paraId="0658F2E5" w14:textId="77777777" w:rsidR="006C62A5" w:rsidRPr="00C3671E" w:rsidRDefault="006C62A5" w:rsidP="00AA6335">
            <w:pPr>
              <w:tabs>
                <w:tab w:val="decimal" w:pos="426"/>
              </w:tabs>
              <w:rPr>
                <w:sz w:val="20"/>
                <w:szCs w:val="20"/>
                <w:lang w:val="en-GB"/>
              </w:rPr>
            </w:pPr>
            <w:r w:rsidRPr="00C3671E">
              <w:rPr>
                <w:sz w:val="20"/>
                <w:szCs w:val="20"/>
                <w:lang w:val="en-GB"/>
              </w:rPr>
              <w:t>0.007</w:t>
            </w:r>
          </w:p>
        </w:tc>
      </w:tr>
      <w:tr w:rsidR="006C62A5" w:rsidRPr="00C3671E" w14:paraId="04F45132" w14:textId="77777777" w:rsidTr="00AA6335">
        <w:trPr>
          <w:trHeight w:val="340"/>
        </w:trPr>
        <w:tc>
          <w:tcPr>
            <w:tcW w:w="3795" w:type="dxa"/>
            <w:shd w:val="clear" w:color="auto" w:fill="auto"/>
            <w:vAlign w:val="center"/>
          </w:tcPr>
          <w:p w14:paraId="2C60F021" w14:textId="77777777" w:rsidR="006C62A5" w:rsidRPr="00C3671E" w:rsidRDefault="006C62A5" w:rsidP="00AA6335">
            <w:pPr>
              <w:rPr>
                <w:sz w:val="20"/>
                <w:szCs w:val="20"/>
                <w:lang w:val="en-GB"/>
              </w:rPr>
            </w:pPr>
            <w:r w:rsidRPr="00C3671E">
              <w:rPr>
                <w:sz w:val="20"/>
                <w:szCs w:val="20"/>
                <w:lang w:val="en-GB"/>
              </w:rPr>
              <w:t>Number of children</w:t>
            </w:r>
          </w:p>
        </w:tc>
        <w:tc>
          <w:tcPr>
            <w:tcW w:w="1464" w:type="dxa"/>
            <w:shd w:val="clear" w:color="auto" w:fill="auto"/>
            <w:vAlign w:val="center"/>
          </w:tcPr>
          <w:p w14:paraId="1DE8E221" w14:textId="77777777" w:rsidR="006C62A5" w:rsidRPr="00C3671E" w:rsidRDefault="006C62A5" w:rsidP="00AA6335">
            <w:pPr>
              <w:tabs>
                <w:tab w:val="decimal" w:pos="426"/>
              </w:tabs>
              <w:rPr>
                <w:sz w:val="20"/>
                <w:szCs w:val="20"/>
                <w:lang w:val="en-GB"/>
              </w:rPr>
            </w:pPr>
            <w:r w:rsidRPr="00C3671E">
              <w:rPr>
                <w:sz w:val="20"/>
                <w:szCs w:val="20"/>
                <w:lang w:val="en-GB"/>
              </w:rPr>
              <w:t>-0.013</w:t>
            </w:r>
          </w:p>
        </w:tc>
        <w:tc>
          <w:tcPr>
            <w:tcW w:w="1465" w:type="dxa"/>
            <w:shd w:val="clear" w:color="auto" w:fill="auto"/>
            <w:vAlign w:val="center"/>
          </w:tcPr>
          <w:p w14:paraId="0A37D20D" w14:textId="77777777" w:rsidR="006C62A5" w:rsidRPr="00C3671E" w:rsidRDefault="006C62A5" w:rsidP="00AA6335">
            <w:pPr>
              <w:tabs>
                <w:tab w:val="decimal" w:pos="426"/>
              </w:tabs>
              <w:rPr>
                <w:sz w:val="20"/>
                <w:szCs w:val="20"/>
                <w:lang w:val="en-GB"/>
              </w:rPr>
            </w:pPr>
            <w:r w:rsidRPr="00C3671E">
              <w:rPr>
                <w:sz w:val="20"/>
                <w:szCs w:val="20"/>
                <w:lang w:val="en-GB"/>
              </w:rPr>
              <w:t>0.065***</w:t>
            </w:r>
          </w:p>
        </w:tc>
        <w:tc>
          <w:tcPr>
            <w:tcW w:w="1465" w:type="dxa"/>
            <w:shd w:val="clear" w:color="auto" w:fill="auto"/>
            <w:vAlign w:val="center"/>
          </w:tcPr>
          <w:p w14:paraId="1A81E9D5" w14:textId="77777777" w:rsidR="006C62A5" w:rsidRPr="00C3671E" w:rsidRDefault="006C62A5" w:rsidP="00AA6335">
            <w:pPr>
              <w:tabs>
                <w:tab w:val="decimal" w:pos="426"/>
              </w:tabs>
              <w:rPr>
                <w:sz w:val="20"/>
                <w:szCs w:val="20"/>
                <w:lang w:val="en-GB"/>
              </w:rPr>
            </w:pPr>
            <w:r w:rsidRPr="00C3671E">
              <w:rPr>
                <w:sz w:val="20"/>
                <w:szCs w:val="20"/>
                <w:lang w:val="en-GB"/>
              </w:rPr>
              <w:t>0.005</w:t>
            </w:r>
          </w:p>
        </w:tc>
      </w:tr>
      <w:tr w:rsidR="006C62A5" w:rsidRPr="00C3671E" w14:paraId="66482018" w14:textId="77777777" w:rsidTr="00AA6335">
        <w:trPr>
          <w:trHeight w:val="340"/>
        </w:trPr>
        <w:tc>
          <w:tcPr>
            <w:tcW w:w="3795" w:type="dxa"/>
            <w:shd w:val="clear" w:color="auto" w:fill="auto"/>
            <w:vAlign w:val="center"/>
          </w:tcPr>
          <w:p w14:paraId="2BDBA336" w14:textId="77777777" w:rsidR="006C62A5" w:rsidRPr="00C3671E" w:rsidRDefault="006C62A5" w:rsidP="00AA6335">
            <w:pPr>
              <w:rPr>
                <w:sz w:val="20"/>
                <w:szCs w:val="20"/>
                <w:lang w:val="en-GB"/>
              </w:rPr>
            </w:pPr>
            <w:r w:rsidRPr="00C3671E">
              <w:rPr>
                <w:sz w:val="20"/>
                <w:szCs w:val="20"/>
                <w:lang w:val="en-GB"/>
              </w:rPr>
              <w:t>Number of grandchildren</w:t>
            </w:r>
          </w:p>
        </w:tc>
        <w:tc>
          <w:tcPr>
            <w:tcW w:w="1464" w:type="dxa"/>
            <w:shd w:val="clear" w:color="auto" w:fill="auto"/>
            <w:vAlign w:val="center"/>
          </w:tcPr>
          <w:p w14:paraId="2411235D" w14:textId="77777777" w:rsidR="006C62A5" w:rsidRPr="00C3671E" w:rsidRDefault="006C62A5" w:rsidP="00AA6335">
            <w:pPr>
              <w:tabs>
                <w:tab w:val="decimal" w:pos="426"/>
              </w:tabs>
              <w:rPr>
                <w:sz w:val="20"/>
                <w:szCs w:val="20"/>
                <w:lang w:val="en-GB"/>
              </w:rPr>
            </w:pPr>
            <w:r w:rsidRPr="00C3671E">
              <w:rPr>
                <w:sz w:val="20"/>
                <w:szCs w:val="20"/>
                <w:lang w:val="en-GB"/>
              </w:rPr>
              <w:t>0.004</w:t>
            </w:r>
          </w:p>
        </w:tc>
        <w:tc>
          <w:tcPr>
            <w:tcW w:w="1465" w:type="dxa"/>
            <w:shd w:val="clear" w:color="auto" w:fill="auto"/>
            <w:vAlign w:val="center"/>
          </w:tcPr>
          <w:p w14:paraId="40866AF8" w14:textId="77777777" w:rsidR="006C62A5" w:rsidRPr="00C3671E" w:rsidRDefault="006C62A5" w:rsidP="00AA6335">
            <w:pPr>
              <w:tabs>
                <w:tab w:val="decimal" w:pos="426"/>
              </w:tabs>
              <w:rPr>
                <w:sz w:val="20"/>
                <w:szCs w:val="20"/>
                <w:lang w:val="en-GB"/>
              </w:rPr>
            </w:pPr>
            <w:r w:rsidRPr="00C3671E">
              <w:rPr>
                <w:sz w:val="20"/>
                <w:szCs w:val="20"/>
                <w:lang w:val="en-GB"/>
              </w:rPr>
              <w:t>0.004</w:t>
            </w:r>
          </w:p>
        </w:tc>
        <w:tc>
          <w:tcPr>
            <w:tcW w:w="1465" w:type="dxa"/>
            <w:shd w:val="clear" w:color="auto" w:fill="auto"/>
            <w:vAlign w:val="center"/>
          </w:tcPr>
          <w:p w14:paraId="7FC2912B" w14:textId="77777777" w:rsidR="006C62A5" w:rsidRPr="00C3671E" w:rsidRDefault="006C62A5" w:rsidP="00AA6335">
            <w:pPr>
              <w:tabs>
                <w:tab w:val="decimal" w:pos="426"/>
              </w:tabs>
              <w:rPr>
                <w:sz w:val="20"/>
                <w:szCs w:val="20"/>
                <w:lang w:val="en-GB"/>
              </w:rPr>
            </w:pPr>
            <w:r w:rsidRPr="00C3671E">
              <w:rPr>
                <w:sz w:val="20"/>
                <w:szCs w:val="20"/>
                <w:lang w:val="en-GB"/>
              </w:rPr>
              <w:t>0.000</w:t>
            </w:r>
          </w:p>
        </w:tc>
      </w:tr>
      <w:tr w:rsidR="006C62A5" w:rsidRPr="00C3671E" w14:paraId="3684B789" w14:textId="77777777" w:rsidTr="00AA6335">
        <w:trPr>
          <w:trHeight w:val="340"/>
        </w:trPr>
        <w:tc>
          <w:tcPr>
            <w:tcW w:w="3795" w:type="dxa"/>
            <w:shd w:val="clear" w:color="auto" w:fill="auto"/>
            <w:vAlign w:val="center"/>
          </w:tcPr>
          <w:p w14:paraId="7804341F" w14:textId="77777777" w:rsidR="006C62A5" w:rsidRPr="00C3671E" w:rsidRDefault="006C62A5" w:rsidP="00AA6335">
            <w:pPr>
              <w:rPr>
                <w:sz w:val="20"/>
                <w:szCs w:val="20"/>
                <w:lang w:val="en-GB"/>
              </w:rPr>
            </w:pPr>
            <w:r w:rsidRPr="00C3671E">
              <w:rPr>
                <w:sz w:val="20"/>
                <w:szCs w:val="20"/>
                <w:lang w:val="en-GB"/>
              </w:rPr>
              <w:t>Standardized proportion of employees in social services</w:t>
            </w:r>
          </w:p>
        </w:tc>
        <w:tc>
          <w:tcPr>
            <w:tcW w:w="1464" w:type="dxa"/>
            <w:shd w:val="clear" w:color="auto" w:fill="auto"/>
            <w:vAlign w:val="center"/>
          </w:tcPr>
          <w:p w14:paraId="54508FAF" w14:textId="77777777" w:rsidR="006C62A5" w:rsidRPr="00C3671E" w:rsidRDefault="006C62A5" w:rsidP="00AA6335">
            <w:pPr>
              <w:tabs>
                <w:tab w:val="decimal" w:pos="426"/>
              </w:tabs>
              <w:rPr>
                <w:sz w:val="20"/>
                <w:szCs w:val="20"/>
                <w:lang w:val="en-GB"/>
              </w:rPr>
            </w:pPr>
            <w:r w:rsidRPr="00C3671E">
              <w:rPr>
                <w:sz w:val="20"/>
                <w:szCs w:val="20"/>
                <w:lang w:val="en-GB"/>
              </w:rPr>
              <w:t>-0.134</w:t>
            </w:r>
          </w:p>
        </w:tc>
        <w:tc>
          <w:tcPr>
            <w:tcW w:w="1465" w:type="dxa"/>
            <w:shd w:val="clear" w:color="auto" w:fill="auto"/>
            <w:vAlign w:val="center"/>
          </w:tcPr>
          <w:p w14:paraId="31A50152" w14:textId="77777777" w:rsidR="006C62A5" w:rsidRPr="00C3671E" w:rsidRDefault="006C62A5" w:rsidP="00AA6335">
            <w:pPr>
              <w:tabs>
                <w:tab w:val="decimal" w:pos="426"/>
              </w:tabs>
              <w:rPr>
                <w:sz w:val="20"/>
                <w:szCs w:val="20"/>
                <w:lang w:val="en-GB"/>
              </w:rPr>
            </w:pPr>
            <w:r w:rsidRPr="00C3671E">
              <w:rPr>
                <w:sz w:val="20"/>
                <w:szCs w:val="20"/>
                <w:lang w:val="en-GB"/>
              </w:rPr>
              <w:t>0.247**</w:t>
            </w:r>
          </w:p>
        </w:tc>
        <w:tc>
          <w:tcPr>
            <w:tcW w:w="1465" w:type="dxa"/>
            <w:shd w:val="clear" w:color="auto" w:fill="auto"/>
            <w:vAlign w:val="center"/>
          </w:tcPr>
          <w:p w14:paraId="22306AFA" w14:textId="77777777" w:rsidR="006C62A5" w:rsidRPr="00C3671E" w:rsidRDefault="006C62A5" w:rsidP="00AA6335">
            <w:pPr>
              <w:tabs>
                <w:tab w:val="decimal" w:pos="426"/>
              </w:tabs>
              <w:rPr>
                <w:sz w:val="20"/>
                <w:szCs w:val="20"/>
                <w:lang w:val="en-GB"/>
              </w:rPr>
            </w:pPr>
            <w:r w:rsidRPr="00C3671E">
              <w:rPr>
                <w:sz w:val="20"/>
                <w:szCs w:val="20"/>
                <w:lang w:val="en-GB"/>
              </w:rPr>
              <w:t>-0.368***</w:t>
            </w:r>
          </w:p>
        </w:tc>
      </w:tr>
      <w:tr w:rsidR="006C62A5" w:rsidRPr="00C3671E" w14:paraId="184A7B55" w14:textId="77777777" w:rsidTr="00AA6335">
        <w:trPr>
          <w:trHeight w:val="340"/>
        </w:trPr>
        <w:tc>
          <w:tcPr>
            <w:tcW w:w="3795" w:type="dxa"/>
            <w:shd w:val="clear" w:color="auto" w:fill="auto"/>
            <w:vAlign w:val="center"/>
          </w:tcPr>
          <w:p w14:paraId="1C81DDE3" w14:textId="77777777" w:rsidR="006C62A5" w:rsidRPr="00C3671E" w:rsidRDefault="006C62A5" w:rsidP="00AA6335">
            <w:pPr>
              <w:rPr>
                <w:sz w:val="20"/>
                <w:szCs w:val="20"/>
                <w:lang w:val="en-GB"/>
              </w:rPr>
            </w:pPr>
            <w:r w:rsidRPr="00C3671E">
              <w:rPr>
                <w:sz w:val="20"/>
                <w:szCs w:val="20"/>
                <w:lang w:val="en-GB"/>
              </w:rPr>
              <w:t>Standardized proportion in social services*care activities</w:t>
            </w:r>
          </w:p>
        </w:tc>
        <w:tc>
          <w:tcPr>
            <w:tcW w:w="1464" w:type="dxa"/>
            <w:shd w:val="clear" w:color="auto" w:fill="auto"/>
            <w:vAlign w:val="center"/>
          </w:tcPr>
          <w:p w14:paraId="3D29FC25" w14:textId="77777777" w:rsidR="006C62A5" w:rsidRPr="00C3671E" w:rsidRDefault="006C62A5" w:rsidP="00AA6335">
            <w:pPr>
              <w:tabs>
                <w:tab w:val="decimal" w:pos="426"/>
              </w:tabs>
              <w:rPr>
                <w:sz w:val="20"/>
                <w:szCs w:val="20"/>
                <w:lang w:val="en-GB"/>
              </w:rPr>
            </w:pPr>
            <w:r w:rsidRPr="00C3671E">
              <w:rPr>
                <w:sz w:val="20"/>
                <w:szCs w:val="20"/>
                <w:lang w:val="en-GB"/>
              </w:rPr>
              <w:t>0.051**</w:t>
            </w:r>
          </w:p>
        </w:tc>
        <w:tc>
          <w:tcPr>
            <w:tcW w:w="1465" w:type="dxa"/>
            <w:shd w:val="clear" w:color="auto" w:fill="auto"/>
            <w:vAlign w:val="center"/>
          </w:tcPr>
          <w:p w14:paraId="0EBAF781" w14:textId="77777777" w:rsidR="006C62A5" w:rsidRPr="00C3671E" w:rsidRDefault="006C62A5" w:rsidP="00AA6335">
            <w:pPr>
              <w:tabs>
                <w:tab w:val="decimal" w:pos="426"/>
              </w:tabs>
              <w:rPr>
                <w:sz w:val="20"/>
                <w:szCs w:val="20"/>
                <w:lang w:val="en-GB"/>
              </w:rPr>
            </w:pPr>
            <w:r w:rsidRPr="00C3671E">
              <w:rPr>
                <w:sz w:val="20"/>
                <w:szCs w:val="20"/>
                <w:lang w:val="en-GB"/>
              </w:rPr>
              <w:t>0.032+</w:t>
            </w:r>
          </w:p>
        </w:tc>
        <w:tc>
          <w:tcPr>
            <w:tcW w:w="1465" w:type="dxa"/>
            <w:shd w:val="clear" w:color="auto" w:fill="auto"/>
            <w:vAlign w:val="center"/>
          </w:tcPr>
          <w:p w14:paraId="35B5BE18" w14:textId="77777777" w:rsidR="006C62A5" w:rsidRPr="00C3671E" w:rsidRDefault="006C62A5" w:rsidP="00AA6335">
            <w:pPr>
              <w:tabs>
                <w:tab w:val="decimal" w:pos="426"/>
              </w:tabs>
              <w:rPr>
                <w:sz w:val="20"/>
                <w:szCs w:val="20"/>
                <w:lang w:val="en-GB"/>
              </w:rPr>
            </w:pPr>
            <w:r w:rsidRPr="00C3671E">
              <w:rPr>
                <w:sz w:val="20"/>
                <w:szCs w:val="20"/>
                <w:lang w:val="en-GB"/>
              </w:rPr>
              <w:t>-0.032*</w:t>
            </w:r>
          </w:p>
        </w:tc>
      </w:tr>
      <w:tr w:rsidR="006C62A5" w:rsidRPr="00C3671E" w14:paraId="1E5D14B7" w14:textId="77777777" w:rsidTr="00AA6335">
        <w:trPr>
          <w:trHeight w:val="340"/>
        </w:trPr>
        <w:tc>
          <w:tcPr>
            <w:tcW w:w="3795" w:type="dxa"/>
            <w:shd w:val="clear" w:color="auto" w:fill="auto"/>
            <w:vAlign w:val="center"/>
          </w:tcPr>
          <w:p w14:paraId="7C6A32D5" w14:textId="77777777" w:rsidR="006C62A5" w:rsidRPr="00C3671E" w:rsidRDefault="006C62A5" w:rsidP="00AA6335">
            <w:pPr>
              <w:rPr>
                <w:sz w:val="20"/>
                <w:szCs w:val="20"/>
                <w:lang w:val="en-GB"/>
              </w:rPr>
            </w:pPr>
            <w:r w:rsidRPr="00C3671E">
              <w:rPr>
                <w:sz w:val="20"/>
                <w:szCs w:val="20"/>
                <w:lang w:val="en-GB"/>
              </w:rPr>
              <w:t>Cut point 1</w:t>
            </w:r>
          </w:p>
        </w:tc>
        <w:tc>
          <w:tcPr>
            <w:tcW w:w="1464" w:type="dxa"/>
            <w:shd w:val="clear" w:color="auto" w:fill="auto"/>
            <w:vAlign w:val="center"/>
          </w:tcPr>
          <w:p w14:paraId="112D161C" w14:textId="77777777" w:rsidR="006C62A5" w:rsidRPr="00C3671E" w:rsidRDefault="006C62A5" w:rsidP="00AA6335">
            <w:pPr>
              <w:tabs>
                <w:tab w:val="decimal" w:pos="426"/>
              </w:tabs>
              <w:rPr>
                <w:sz w:val="20"/>
                <w:szCs w:val="20"/>
                <w:lang w:val="en-GB"/>
              </w:rPr>
            </w:pPr>
            <w:r w:rsidRPr="00C3671E">
              <w:rPr>
                <w:sz w:val="20"/>
                <w:szCs w:val="20"/>
                <w:lang w:val="en-GB"/>
              </w:rPr>
              <w:t>-0.276*</w:t>
            </w:r>
          </w:p>
        </w:tc>
        <w:tc>
          <w:tcPr>
            <w:tcW w:w="1465" w:type="dxa"/>
            <w:shd w:val="clear" w:color="auto" w:fill="auto"/>
            <w:vAlign w:val="center"/>
          </w:tcPr>
          <w:p w14:paraId="09B5E60D" w14:textId="77777777" w:rsidR="006C62A5" w:rsidRPr="00C3671E" w:rsidRDefault="006C62A5" w:rsidP="00AA6335">
            <w:pPr>
              <w:tabs>
                <w:tab w:val="decimal" w:pos="426"/>
              </w:tabs>
              <w:rPr>
                <w:sz w:val="20"/>
                <w:szCs w:val="20"/>
                <w:lang w:val="en-GB"/>
              </w:rPr>
            </w:pPr>
            <w:r w:rsidRPr="00C3671E">
              <w:rPr>
                <w:sz w:val="20"/>
                <w:szCs w:val="20"/>
                <w:lang w:val="en-GB"/>
              </w:rPr>
              <w:t>-2.708***</w:t>
            </w:r>
          </w:p>
        </w:tc>
        <w:tc>
          <w:tcPr>
            <w:tcW w:w="1465" w:type="dxa"/>
            <w:shd w:val="clear" w:color="auto" w:fill="auto"/>
            <w:vAlign w:val="center"/>
          </w:tcPr>
          <w:p w14:paraId="224724D7" w14:textId="77777777" w:rsidR="006C62A5" w:rsidRPr="00C3671E" w:rsidRDefault="006C62A5" w:rsidP="00AA6335">
            <w:pPr>
              <w:tabs>
                <w:tab w:val="decimal" w:pos="426"/>
              </w:tabs>
              <w:rPr>
                <w:sz w:val="20"/>
                <w:szCs w:val="20"/>
                <w:lang w:val="en-GB"/>
              </w:rPr>
            </w:pPr>
            <w:r w:rsidRPr="00C3671E">
              <w:rPr>
                <w:sz w:val="20"/>
                <w:szCs w:val="20"/>
                <w:lang w:val="en-GB"/>
              </w:rPr>
              <w:t>-0.846***</w:t>
            </w:r>
          </w:p>
        </w:tc>
      </w:tr>
      <w:tr w:rsidR="006C62A5" w:rsidRPr="00C3671E" w14:paraId="00581B75" w14:textId="77777777" w:rsidTr="00AA6335">
        <w:trPr>
          <w:trHeight w:val="340"/>
        </w:trPr>
        <w:tc>
          <w:tcPr>
            <w:tcW w:w="3795" w:type="dxa"/>
            <w:shd w:val="clear" w:color="auto" w:fill="auto"/>
            <w:vAlign w:val="center"/>
          </w:tcPr>
          <w:p w14:paraId="73F06454" w14:textId="77777777" w:rsidR="006C62A5" w:rsidRPr="00C3671E" w:rsidRDefault="006C62A5" w:rsidP="00AA6335">
            <w:pPr>
              <w:rPr>
                <w:sz w:val="20"/>
                <w:szCs w:val="20"/>
                <w:lang w:val="en-GB"/>
              </w:rPr>
            </w:pPr>
            <w:r w:rsidRPr="00C3671E">
              <w:rPr>
                <w:sz w:val="20"/>
                <w:szCs w:val="20"/>
                <w:lang w:val="en-GB"/>
              </w:rPr>
              <w:t>Cut point 2</w:t>
            </w:r>
          </w:p>
        </w:tc>
        <w:tc>
          <w:tcPr>
            <w:tcW w:w="1464" w:type="dxa"/>
            <w:shd w:val="clear" w:color="auto" w:fill="auto"/>
            <w:vAlign w:val="center"/>
          </w:tcPr>
          <w:p w14:paraId="6845DF07" w14:textId="77777777" w:rsidR="006C62A5" w:rsidRPr="00C3671E" w:rsidRDefault="006C62A5" w:rsidP="00AA6335">
            <w:pPr>
              <w:tabs>
                <w:tab w:val="decimal" w:pos="426"/>
              </w:tabs>
              <w:rPr>
                <w:sz w:val="20"/>
                <w:szCs w:val="20"/>
                <w:lang w:val="en-GB"/>
              </w:rPr>
            </w:pPr>
            <w:r w:rsidRPr="00C3671E">
              <w:rPr>
                <w:sz w:val="20"/>
                <w:szCs w:val="20"/>
                <w:lang w:val="en-GB"/>
              </w:rPr>
              <w:t>1.443***</w:t>
            </w:r>
          </w:p>
        </w:tc>
        <w:tc>
          <w:tcPr>
            <w:tcW w:w="1465" w:type="dxa"/>
            <w:shd w:val="clear" w:color="auto" w:fill="auto"/>
            <w:vAlign w:val="center"/>
          </w:tcPr>
          <w:p w14:paraId="5B89FAC4" w14:textId="77777777" w:rsidR="006C62A5" w:rsidRPr="00C3671E" w:rsidRDefault="006C62A5" w:rsidP="00AA6335">
            <w:pPr>
              <w:tabs>
                <w:tab w:val="decimal" w:pos="426"/>
              </w:tabs>
              <w:rPr>
                <w:sz w:val="20"/>
                <w:szCs w:val="20"/>
                <w:lang w:val="en-GB"/>
              </w:rPr>
            </w:pPr>
            <w:r w:rsidRPr="00C3671E">
              <w:rPr>
                <w:sz w:val="20"/>
                <w:szCs w:val="20"/>
                <w:lang w:val="en-GB"/>
              </w:rPr>
              <w:t>-1.276***</w:t>
            </w:r>
          </w:p>
        </w:tc>
        <w:tc>
          <w:tcPr>
            <w:tcW w:w="1465" w:type="dxa"/>
            <w:shd w:val="clear" w:color="auto" w:fill="auto"/>
            <w:vAlign w:val="center"/>
          </w:tcPr>
          <w:p w14:paraId="57660845" w14:textId="77777777" w:rsidR="006C62A5" w:rsidRPr="00C3671E" w:rsidRDefault="006C62A5" w:rsidP="00AA6335">
            <w:pPr>
              <w:tabs>
                <w:tab w:val="decimal" w:pos="426"/>
              </w:tabs>
              <w:rPr>
                <w:sz w:val="20"/>
                <w:szCs w:val="20"/>
                <w:lang w:val="en-GB"/>
              </w:rPr>
            </w:pPr>
            <w:r w:rsidRPr="00C3671E">
              <w:rPr>
                <w:sz w:val="20"/>
                <w:szCs w:val="20"/>
                <w:lang w:val="en-GB"/>
              </w:rPr>
              <w:t>0.712***</w:t>
            </w:r>
          </w:p>
        </w:tc>
      </w:tr>
      <w:tr w:rsidR="006C62A5" w:rsidRPr="00C3671E" w14:paraId="0949B19E" w14:textId="77777777" w:rsidTr="00AA6335">
        <w:trPr>
          <w:trHeight w:val="340"/>
        </w:trPr>
        <w:tc>
          <w:tcPr>
            <w:tcW w:w="3795" w:type="dxa"/>
            <w:tcBorders>
              <w:bottom w:val="single" w:sz="12" w:space="0" w:color="auto"/>
            </w:tcBorders>
            <w:shd w:val="clear" w:color="auto" w:fill="auto"/>
            <w:vAlign w:val="center"/>
          </w:tcPr>
          <w:p w14:paraId="4F22098E" w14:textId="77777777" w:rsidR="006C62A5" w:rsidRPr="00C3671E" w:rsidRDefault="006C62A5" w:rsidP="00AA6335">
            <w:pPr>
              <w:rPr>
                <w:sz w:val="20"/>
                <w:szCs w:val="20"/>
                <w:lang w:val="en-GB"/>
              </w:rPr>
            </w:pPr>
            <w:r w:rsidRPr="00C3671E">
              <w:rPr>
                <w:sz w:val="20"/>
                <w:szCs w:val="20"/>
                <w:lang w:val="en-GB"/>
              </w:rPr>
              <w:t>Cut point 3</w:t>
            </w:r>
          </w:p>
        </w:tc>
        <w:tc>
          <w:tcPr>
            <w:tcW w:w="1464" w:type="dxa"/>
            <w:tcBorders>
              <w:bottom w:val="single" w:sz="12" w:space="0" w:color="auto"/>
            </w:tcBorders>
            <w:shd w:val="clear" w:color="auto" w:fill="auto"/>
            <w:vAlign w:val="center"/>
          </w:tcPr>
          <w:p w14:paraId="67D57350" w14:textId="77777777" w:rsidR="006C62A5" w:rsidRPr="00C3671E" w:rsidRDefault="006C62A5" w:rsidP="00AA6335">
            <w:pPr>
              <w:tabs>
                <w:tab w:val="decimal" w:pos="426"/>
              </w:tabs>
              <w:rPr>
                <w:sz w:val="20"/>
                <w:szCs w:val="20"/>
                <w:lang w:val="en-GB"/>
              </w:rPr>
            </w:pPr>
          </w:p>
        </w:tc>
        <w:tc>
          <w:tcPr>
            <w:tcW w:w="1465" w:type="dxa"/>
            <w:tcBorders>
              <w:bottom w:val="single" w:sz="12" w:space="0" w:color="auto"/>
            </w:tcBorders>
            <w:shd w:val="clear" w:color="auto" w:fill="auto"/>
            <w:vAlign w:val="center"/>
          </w:tcPr>
          <w:p w14:paraId="02B5AD6A" w14:textId="77777777" w:rsidR="006C62A5" w:rsidRPr="00C3671E" w:rsidRDefault="006C62A5" w:rsidP="00AA6335">
            <w:pPr>
              <w:tabs>
                <w:tab w:val="decimal" w:pos="426"/>
              </w:tabs>
              <w:rPr>
                <w:sz w:val="20"/>
                <w:szCs w:val="20"/>
                <w:lang w:val="en-GB"/>
              </w:rPr>
            </w:pPr>
            <w:r w:rsidRPr="00C3671E">
              <w:rPr>
                <w:sz w:val="20"/>
                <w:szCs w:val="20"/>
                <w:lang w:val="en-GB"/>
              </w:rPr>
              <w:t>0.415***</w:t>
            </w:r>
          </w:p>
        </w:tc>
        <w:tc>
          <w:tcPr>
            <w:tcW w:w="1465" w:type="dxa"/>
            <w:tcBorders>
              <w:bottom w:val="single" w:sz="12" w:space="0" w:color="auto"/>
            </w:tcBorders>
            <w:shd w:val="clear" w:color="auto" w:fill="auto"/>
            <w:vAlign w:val="center"/>
          </w:tcPr>
          <w:p w14:paraId="0ECA7DD3" w14:textId="77777777" w:rsidR="006C62A5" w:rsidRPr="00C3671E" w:rsidRDefault="006C62A5" w:rsidP="00AA6335">
            <w:pPr>
              <w:tabs>
                <w:tab w:val="decimal" w:pos="426"/>
              </w:tabs>
              <w:rPr>
                <w:sz w:val="20"/>
                <w:szCs w:val="20"/>
                <w:lang w:val="en-GB"/>
              </w:rPr>
            </w:pPr>
            <w:r w:rsidRPr="00C3671E">
              <w:rPr>
                <w:sz w:val="20"/>
                <w:szCs w:val="20"/>
                <w:lang w:val="en-GB"/>
              </w:rPr>
              <w:t>2.099***</w:t>
            </w:r>
          </w:p>
        </w:tc>
      </w:tr>
    </w:tbl>
    <w:p w14:paraId="6B2FBA16" w14:textId="77777777" w:rsidR="006C62A5" w:rsidRPr="00C3671E" w:rsidRDefault="006C62A5" w:rsidP="006C62A5">
      <w:pPr>
        <w:ind w:left="426"/>
        <w:rPr>
          <w:sz w:val="20"/>
          <w:szCs w:val="20"/>
          <w:lang w:val="en-GB"/>
        </w:rPr>
      </w:pPr>
      <w:r w:rsidRPr="00C3671E">
        <w:rPr>
          <w:i/>
          <w:sz w:val="20"/>
          <w:szCs w:val="20"/>
          <w:lang w:val="en-GB"/>
        </w:rPr>
        <w:t xml:space="preserve">Notes: </w:t>
      </w:r>
      <w:r w:rsidRPr="00C3671E">
        <w:rPr>
          <w:sz w:val="20"/>
          <w:szCs w:val="20"/>
          <w:lang w:val="en-GB"/>
        </w:rPr>
        <w:t>These calculations use data from SHARE, wave 5.</w:t>
      </w:r>
    </w:p>
    <w:p w14:paraId="23E5ED9D" w14:textId="7D53EA95" w:rsidR="006C62A5" w:rsidRPr="00C3671E" w:rsidRDefault="006C62A5" w:rsidP="006C62A5">
      <w:pPr>
        <w:ind w:left="426"/>
        <w:rPr>
          <w:sz w:val="20"/>
          <w:szCs w:val="20"/>
          <w:lang w:val="en-GB"/>
        </w:rPr>
      </w:pPr>
      <w:r w:rsidRPr="00C3671E">
        <w:rPr>
          <w:i/>
          <w:sz w:val="20"/>
          <w:szCs w:val="20"/>
          <w:lang w:val="en-GB"/>
        </w:rPr>
        <w:t xml:space="preserve">Significance levels: </w:t>
      </w:r>
      <w:r w:rsidRPr="00C3671E">
        <w:rPr>
          <w:sz w:val="20"/>
          <w:szCs w:val="20"/>
          <w:lang w:val="en-GB"/>
        </w:rPr>
        <w:t>+ p&lt;0.1, * p&lt;0.05, ** p&lt;0.01, *** p&lt;0.001.</w:t>
      </w:r>
    </w:p>
    <w:p w14:paraId="1E6AABF7" w14:textId="77777777" w:rsidR="006C62A5" w:rsidRPr="00C3671E" w:rsidRDefault="006C62A5" w:rsidP="001A7940">
      <w:pPr>
        <w:pStyle w:val="Newparagraph"/>
        <w:rPr>
          <w:lang w:eastAsia="zh-CN"/>
        </w:rPr>
      </w:pPr>
    </w:p>
    <w:p w14:paraId="7A8D32E4" w14:textId="398E7A31" w:rsidR="001A7940" w:rsidRPr="00C3671E" w:rsidRDefault="001A7940" w:rsidP="00466C1F">
      <w:pPr>
        <w:suppressAutoHyphens/>
        <w:spacing w:line="480" w:lineRule="auto"/>
        <w:jc w:val="both"/>
        <w:rPr>
          <w:lang w:eastAsia="zh-CN"/>
        </w:rPr>
      </w:pPr>
      <w:r w:rsidRPr="00C3671E">
        <w:rPr>
          <w:lang w:eastAsia="zh-CN"/>
        </w:rPr>
        <w:t xml:space="preserve">The same three models for loneliness, meaningfulness of life, and overload as dependent variables, but with the number of care activities performed almost daily or more often as the main explanatory variable are presented in Table </w:t>
      </w:r>
      <w:r w:rsidR="00F96318" w:rsidRPr="00C3671E">
        <w:rPr>
          <w:lang w:eastAsia="zh-CN"/>
        </w:rPr>
        <w:t>6</w:t>
      </w:r>
      <w:r w:rsidRPr="00C3671E">
        <w:rPr>
          <w:lang w:eastAsia="zh-CN"/>
        </w:rPr>
        <w:t xml:space="preserve">. The beneficial effect of caregiving from the previous models does not emerge in this multivariate analysis. Care provided about daily reduces loneliness and improves meaningfulness of life, but half of the coefficients has a p value around 0.05 and the other half is not significant at all. Additionally, the coefficients of caregiving in the model for overload changes from negative to slightly positive. Hence, their character changes considerably, although the positive values indicating a higher overload are </w:t>
      </w:r>
      <w:r w:rsidRPr="00C3671E">
        <w:rPr>
          <w:lang w:eastAsia="zh-CN"/>
        </w:rPr>
        <w:lastRenderedPageBreak/>
        <w:t>not significant at any level. Despite this weakening of all effects, the multiple provision of care still strengthens the effect of caregiving and this tendency is approximately linear.</w:t>
      </w:r>
    </w:p>
    <w:p w14:paraId="15E63D65" w14:textId="77777777" w:rsidR="001A7940" w:rsidRPr="00C3671E" w:rsidRDefault="001A7940" w:rsidP="00466C1F">
      <w:pPr>
        <w:pStyle w:val="Newparagraph"/>
        <w:jc w:val="both"/>
      </w:pPr>
      <w:r w:rsidRPr="00C3671E">
        <w:t>The nature of other predictors of QoL indicators is basically the same as for the models with care activities performed at least weekly. The subjective QoL is enhanced by higher age (nonlinear effect), education, active employment, health, partnership, availability of formal care, and, in terms of the meaningfulness of life, by higher numbers of children and siblings. Again, women perceive higher loneliness and life as more meaningful than men.</w:t>
      </w:r>
    </w:p>
    <w:p w14:paraId="45A62796" w14:textId="15C1F61F" w:rsidR="001A7940" w:rsidRPr="00C3671E" w:rsidRDefault="001A7940" w:rsidP="00466C1F">
      <w:pPr>
        <w:pStyle w:val="Newparagraph"/>
        <w:jc w:val="both"/>
      </w:pPr>
      <w:r w:rsidRPr="00C3671E">
        <w:t>The effect of formal care accessibility remains beneficial for the domains of QoL. However, the parameters of cross-level interaction differ substantially from the same parameters in the first set of multivariate models. The effect of caregiving on loneliness remains less pronounced in countries with a higher proportion of employees in social services, while the effect on overload changes direction and is less beneficial in countries with a higher availability of formal care. The former positive effect of cross-level interaction in the model for meaningfulness of life loses its significance. In sum, a stronger welfare state has a rather harmful mediating effect on the association between care provided daily and the three selected domains of QoL.</w:t>
      </w:r>
    </w:p>
    <w:p w14:paraId="5D9F0312" w14:textId="33E63C63" w:rsidR="006C62A5" w:rsidRPr="00C3671E" w:rsidRDefault="006C62A5" w:rsidP="006C62A5">
      <w:pPr>
        <w:spacing w:before="100" w:beforeAutospacing="1"/>
        <w:jc w:val="both"/>
        <w:rPr>
          <w:b/>
          <w:lang w:val="en-GB"/>
        </w:rPr>
      </w:pPr>
      <w:bookmarkStart w:id="57" w:name="_Toc512687481"/>
      <w:r w:rsidRPr="00C3671E">
        <w:rPr>
          <w:b/>
          <w:lang w:val="en-GB"/>
        </w:rPr>
        <w:t xml:space="preserve">Table </w:t>
      </w:r>
      <w:r w:rsidRPr="00C3671E">
        <w:rPr>
          <w:b/>
          <w:lang w:val="en-GB"/>
        </w:rPr>
        <w:fldChar w:fldCharType="begin"/>
      </w:r>
      <w:r w:rsidRPr="00C3671E">
        <w:rPr>
          <w:b/>
          <w:lang w:val="en-GB"/>
        </w:rPr>
        <w:instrText xml:space="preserve"> SEQ Table \* ARABIC </w:instrText>
      </w:r>
      <w:r w:rsidRPr="00C3671E">
        <w:rPr>
          <w:b/>
          <w:lang w:val="en-GB"/>
        </w:rPr>
        <w:fldChar w:fldCharType="separate"/>
      </w:r>
      <w:r w:rsidR="00F96318" w:rsidRPr="00C3671E">
        <w:rPr>
          <w:b/>
          <w:noProof/>
          <w:lang w:val="en-GB"/>
        </w:rPr>
        <w:t>6</w:t>
      </w:r>
      <w:r w:rsidRPr="00C3671E">
        <w:rPr>
          <w:b/>
          <w:lang w:val="en-GB"/>
        </w:rPr>
        <w:fldChar w:fldCharType="end"/>
      </w:r>
      <w:r w:rsidRPr="00C3671E">
        <w:rPr>
          <w:b/>
          <w:lang w:val="en-GB"/>
        </w:rPr>
        <w:t>: Ordinal multilevel logistic regression of three domains of subjective QoL – number of care activities performed almost every day or more often as the main explanatory variable</w:t>
      </w:r>
      <w:bookmarkEnd w:id="57"/>
    </w:p>
    <w:tbl>
      <w:tblPr>
        <w:tblW w:w="8122" w:type="dxa"/>
        <w:tblInd w:w="478" w:type="dxa"/>
        <w:tblLayout w:type="fixed"/>
        <w:tblLook w:val="0020" w:firstRow="1" w:lastRow="0" w:firstColumn="0" w:lastColumn="0" w:noHBand="0" w:noVBand="0"/>
      </w:tblPr>
      <w:tblGrid>
        <w:gridCol w:w="3728"/>
        <w:gridCol w:w="1464"/>
        <w:gridCol w:w="1465"/>
        <w:gridCol w:w="1465"/>
      </w:tblGrid>
      <w:tr w:rsidR="006C62A5" w:rsidRPr="00C3671E" w14:paraId="12B6572B" w14:textId="77777777" w:rsidTr="00AA6335">
        <w:trPr>
          <w:trHeight w:val="340"/>
        </w:trPr>
        <w:tc>
          <w:tcPr>
            <w:tcW w:w="3728" w:type="dxa"/>
            <w:tcBorders>
              <w:top w:val="single" w:sz="12" w:space="0" w:color="auto"/>
              <w:bottom w:val="single" w:sz="12" w:space="0" w:color="auto"/>
            </w:tcBorders>
            <w:shd w:val="clear" w:color="auto" w:fill="auto"/>
          </w:tcPr>
          <w:p w14:paraId="3845B2AA" w14:textId="77777777" w:rsidR="006C62A5" w:rsidRPr="00C3671E" w:rsidRDefault="006C62A5" w:rsidP="00AA6335">
            <w:pPr>
              <w:rPr>
                <w:sz w:val="20"/>
                <w:szCs w:val="20"/>
                <w:lang w:val="en-GB"/>
              </w:rPr>
            </w:pPr>
          </w:p>
        </w:tc>
        <w:tc>
          <w:tcPr>
            <w:tcW w:w="1464" w:type="dxa"/>
            <w:tcBorders>
              <w:top w:val="single" w:sz="12" w:space="0" w:color="auto"/>
              <w:bottom w:val="single" w:sz="12" w:space="0" w:color="auto"/>
            </w:tcBorders>
            <w:shd w:val="clear" w:color="auto" w:fill="auto"/>
            <w:vAlign w:val="center"/>
          </w:tcPr>
          <w:p w14:paraId="64E3F787" w14:textId="77777777" w:rsidR="006C62A5" w:rsidRPr="00C3671E" w:rsidRDefault="006C62A5" w:rsidP="00AA6335">
            <w:pPr>
              <w:jc w:val="center"/>
              <w:rPr>
                <w:sz w:val="20"/>
                <w:szCs w:val="20"/>
                <w:lang w:val="en-GB"/>
              </w:rPr>
            </w:pPr>
            <w:r w:rsidRPr="00C3671E">
              <w:rPr>
                <w:sz w:val="20"/>
                <w:szCs w:val="20"/>
                <w:lang w:val="en-GB"/>
              </w:rPr>
              <w:t>loneliness</w:t>
            </w:r>
          </w:p>
        </w:tc>
        <w:tc>
          <w:tcPr>
            <w:tcW w:w="1465" w:type="dxa"/>
            <w:tcBorders>
              <w:top w:val="single" w:sz="12" w:space="0" w:color="auto"/>
              <w:bottom w:val="single" w:sz="12" w:space="0" w:color="auto"/>
            </w:tcBorders>
            <w:shd w:val="clear" w:color="auto" w:fill="auto"/>
            <w:vAlign w:val="center"/>
          </w:tcPr>
          <w:p w14:paraId="189BD2BB" w14:textId="77777777" w:rsidR="006C62A5" w:rsidRPr="00C3671E" w:rsidRDefault="006C62A5" w:rsidP="00AA6335">
            <w:pPr>
              <w:jc w:val="center"/>
              <w:rPr>
                <w:sz w:val="20"/>
                <w:szCs w:val="20"/>
                <w:lang w:val="en-GB"/>
              </w:rPr>
            </w:pPr>
            <w:r w:rsidRPr="00C3671E">
              <w:rPr>
                <w:sz w:val="20"/>
                <w:szCs w:val="20"/>
                <w:lang w:val="en-GB"/>
              </w:rPr>
              <w:t>meaning</w:t>
            </w:r>
          </w:p>
        </w:tc>
        <w:tc>
          <w:tcPr>
            <w:tcW w:w="1465" w:type="dxa"/>
            <w:tcBorders>
              <w:top w:val="single" w:sz="12" w:space="0" w:color="auto"/>
              <w:bottom w:val="single" w:sz="12" w:space="0" w:color="auto"/>
            </w:tcBorders>
            <w:shd w:val="clear" w:color="auto" w:fill="auto"/>
            <w:vAlign w:val="center"/>
          </w:tcPr>
          <w:p w14:paraId="2CF01DDC" w14:textId="77777777" w:rsidR="006C62A5" w:rsidRPr="00C3671E" w:rsidRDefault="006C62A5" w:rsidP="00AA6335">
            <w:pPr>
              <w:jc w:val="center"/>
              <w:rPr>
                <w:sz w:val="20"/>
                <w:szCs w:val="20"/>
                <w:lang w:val="en-GB"/>
              </w:rPr>
            </w:pPr>
            <w:r w:rsidRPr="00C3671E">
              <w:rPr>
                <w:sz w:val="20"/>
                <w:szCs w:val="20"/>
                <w:lang w:val="en-GB"/>
              </w:rPr>
              <w:t>overload</w:t>
            </w:r>
          </w:p>
        </w:tc>
      </w:tr>
      <w:tr w:rsidR="006C62A5" w:rsidRPr="00C3671E" w14:paraId="29791974" w14:textId="77777777" w:rsidTr="00AA6335">
        <w:trPr>
          <w:trHeight w:val="340"/>
        </w:trPr>
        <w:tc>
          <w:tcPr>
            <w:tcW w:w="3728" w:type="dxa"/>
            <w:tcBorders>
              <w:top w:val="single" w:sz="12" w:space="0" w:color="auto"/>
            </w:tcBorders>
            <w:shd w:val="clear" w:color="auto" w:fill="auto"/>
            <w:vAlign w:val="center"/>
          </w:tcPr>
          <w:p w14:paraId="783AC2B7" w14:textId="77777777" w:rsidR="006C62A5" w:rsidRPr="00C3671E" w:rsidRDefault="006C62A5" w:rsidP="00AA6335">
            <w:pPr>
              <w:rPr>
                <w:sz w:val="20"/>
                <w:szCs w:val="20"/>
                <w:lang w:val="en-GB"/>
              </w:rPr>
            </w:pPr>
            <w:r w:rsidRPr="00C3671E">
              <w:rPr>
                <w:sz w:val="20"/>
                <w:szCs w:val="20"/>
                <w:lang w:val="en-GB"/>
              </w:rPr>
              <w:t>Care activities</w:t>
            </w:r>
          </w:p>
        </w:tc>
        <w:tc>
          <w:tcPr>
            <w:tcW w:w="1464" w:type="dxa"/>
            <w:tcBorders>
              <w:top w:val="single" w:sz="12" w:space="0" w:color="auto"/>
            </w:tcBorders>
            <w:shd w:val="clear" w:color="auto" w:fill="auto"/>
            <w:vAlign w:val="center"/>
          </w:tcPr>
          <w:p w14:paraId="014CEC3B" w14:textId="77777777" w:rsidR="006C62A5" w:rsidRPr="00C3671E" w:rsidRDefault="006C62A5" w:rsidP="00AA6335">
            <w:pPr>
              <w:tabs>
                <w:tab w:val="decimal" w:pos="426"/>
              </w:tabs>
              <w:rPr>
                <w:sz w:val="20"/>
                <w:szCs w:val="20"/>
                <w:lang w:val="en-GB"/>
              </w:rPr>
            </w:pPr>
          </w:p>
        </w:tc>
        <w:tc>
          <w:tcPr>
            <w:tcW w:w="1465" w:type="dxa"/>
            <w:tcBorders>
              <w:top w:val="single" w:sz="12" w:space="0" w:color="auto"/>
            </w:tcBorders>
            <w:shd w:val="clear" w:color="auto" w:fill="auto"/>
            <w:vAlign w:val="center"/>
          </w:tcPr>
          <w:p w14:paraId="7F0F4FBF" w14:textId="77777777" w:rsidR="006C62A5" w:rsidRPr="00C3671E" w:rsidRDefault="006C62A5" w:rsidP="00AA6335">
            <w:pPr>
              <w:tabs>
                <w:tab w:val="decimal" w:pos="426"/>
              </w:tabs>
              <w:rPr>
                <w:sz w:val="20"/>
                <w:szCs w:val="20"/>
                <w:lang w:val="en-GB"/>
              </w:rPr>
            </w:pPr>
          </w:p>
        </w:tc>
        <w:tc>
          <w:tcPr>
            <w:tcW w:w="1465" w:type="dxa"/>
            <w:tcBorders>
              <w:top w:val="single" w:sz="12" w:space="0" w:color="auto"/>
            </w:tcBorders>
            <w:shd w:val="clear" w:color="auto" w:fill="auto"/>
            <w:vAlign w:val="center"/>
          </w:tcPr>
          <w:p w14:paraId="09735B10" w14:textId="77777777" w:rsidR="006C62A5" w:rsidRPr="00C3671E" w:rsidRDefault="006C62A5" w:rsidP="00AA6335">
            <w:pPr>
              <w:tabs>
                <w:tab w:val="decimal" w:pos="426"/>
              </w:tabs>
              <w:rPr>
                <w:sz w:val="20"/>
                <w:szCs w:val="20"/>
                <w:lang w:val="en-GB"/>
              </w:rPr>
            </w:pPr>
          </w:p>
        </w:tc>
      </w:tr>
      <w:tr w:rsidR="006C62A5" w:rsidRPr="00C3671E" w14:paraId="6950DA1C" w14:textId="77777777" w:rsidTr="00AA6335">
        <w:trPr>
          <w:trHeight w:val="340"/>
        </w:trPr>
        <w:tc>
          <w:tcPr>
            <w:tcW w:w="3728" w:type="dxa"/>
            <w:shd w:val="clear" w:color="auto" w:fill="auto"/>
            <w:vAlign w:val="center"/>
          </w:tcPr>
          <w:p w14:paraId="25D24A2A" w14:textId="77777777" w:rsidR="006C62A5" w:rsidRPr="00C3671E" w:rsidRDefault="006C62A5" w:rsidP="00AA6335">
            <w:pPr>
              <w:rPr>
                <w:sz w:val="20"/>
                <w:szCs w:val="20"/>
                <w:lang w:val="en-GB"/>
              </w:rPr>
            </w:pPr>
            <w:r w:rsidRPr="00C3671E">
              <w:rPr>
                <w:sz w:val="20"/>
                <w:szCs w:val="20"/>
                <w:lang w:val="en-GB"/>
              </w:rPr>
              <w:t xml:space="preserve">     0 (reference category)</w:t>
            </w:r>
          </w:p>
        </w:tc>
        <w:tc>
          <w:tcPr>
            <w:tcW w:w="1464" w:type="dxa"/>
            <w:shd w:val="clear" w:color="auto" w:fill="auto"/>
            <w:vAlign w:val="center"/>
          </w:tcPr>
          <w:p w14:paraId="0F73EAA1"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6CFCCCE5"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394D660D" w14:textId="77777777" w:rsidR="006C62A5" w:rsidRPr="00C3671E" w:rsidRDefault="006C62A5" w:rsidP="00AA6335">
            <w:pPr>
              <w:tabs>
                <w:tab w:val="decimal" w:pos="426"/>
              </w:tabs>
              <w:rPr>
                <w:sz w:val="20"/>
                <w:szCs w:val="20"/>
                <w:lang w:val="en-GB"/>
              </w:rPr>
            </w:pPr>
          </w:p>
        </w:tc>
      </w:tr>
      <w:tr w:rsidR="006C62A5" w:rsidRPr="00C3671E" w14:paraId="29327AE1" w14:textId="77777777" w:rsidTr="00AA6335">
        <w:trPr>
          <w:trHeight w:val="340"/>
        </w:trPr>
        <w:tc>
          <w:tcPr>
            <w:tcW w:w="3728" w:type="dxa"/>
            <w:shd w:val="clear" w:color="auto" w:fill="auto"/>
            <w:vAlign w:val="center"/>
          </w:tcPr>
          <w:p w14:paraId="5DCC58C2" w14:textId="77777777" w:rsidR="006C62A5" w:rsidRPr="00C3671E" w:rsidRDefault="006C62A5" w:rsidP="00AA6335">
            <w:pPr>
              <w:rPr>
                <w:sz w:val="20"/>
                <w:szCs w:val="20"/>
                <w:lang w:val="en-GB"/>
              </w:rPr>
            </w:pPr>
            <w:r w:rsidRPr="00C3671E">
              <w:rPr>
                <w:sz w:val="20"/>
                <w:szCs w:val="20"/>
                <w:lang w:val="en-GB"/>
              </w:rPr>
              <w:t xml:space="preserve">     1</w:t>
            </w:r>
          </w:p>
        </w:tc>
        <w:tc>
          <w:tcPr>
            <w:tcW w:w="1464" w:type="dxa"/>
            <w:shd w:val="clear" w:color="auto" w:fill="auto"/>
            <w:vAlign w:val="center"/>
          </w:tcPr>
          <w:p w14:paraId="0375FC99" w14:textId="77777777" w:rsidR="006C62A5" w:rsidRPr="00C3671E" w:rsidRDefault="006C62A5" w:rsidP="00AA6335">
            <w:pPr>
              <w:tabs>
                <w:tab w:val="decimal" w:pos="426"/>
              </w:tabs>
              <w:rPr>
                <w:sz w:val="20"/>
                <w:szCs w:val="20"/>
                <w:lang w:val="en-GB"/>
              </w:rPr>
            </w:pPr>
            <w:r w:rsidRPr="00C3671E">
              <w:rPr>
                <w:sz w:val="20"/>
                <w:szCs w:val="20"/>
                <w:lang w:val="en-GB"/>
              </w:rPr>
              <w:t>-0.010</w:t>
            </w:r>
          </w:p>
        </w:tc>
        <w:tc>
          <w:tcPr>
            <w:tcW w:w="1465" w:type="dxa"/>
            <w:shd w:val="clear" w:color="auto" w:fill="auto"/>
            <w:vAlign w:val="center"/>
          </w:tcPr>
          <w:p w14:paraId="60681F32" w14:textId="77777777" w:rsidR="006C62A5" w:rsidRPr="00C3671E" w:rsidRDefault="006C62A5" w:rsidP="00AA6335">
            <w:pPr>
              <w:tabs>
                <w:tab w:val="decimal" w:pos="426"/>
              </w:tabs>
              <w:rPr>
                <w:sz w:val="20"/>
                <w:szCs w:val="20"/>
                <w:lang w:val="en-GB"/>
              </w:rPr>
            </w:pPr>
            <w:r w:rsidRPr="00C3671E">
              <w:rPr>
                <w:sz w:val="20"/>
                <w:szCs w:val="20"/>
                <w:lang w:val="en-GB"/>
              </w:rPr>
              <w:t>0.045</w:t>
            </w:r>
          </w:p>
        </w:tc>
        <w:tc>
          <w:tcPr>
            <w:tcW w:w="1465" w:type="dxa"/>
            <w:shd w:val="clear" w:color="auto" w:fill="auto"/>
            <w:vAlign w:val="center"/>
          </w:tcPr>
          <w:p w14:paraId="1581A20D" w14:textId="77777777" w:rsidR="006C62A5" w:rsidRPr="00C3671E" w:rsidRDefault="006C62A5" w:rsidP="00AA6335">
            <w:pPr>
              <w:tabs>
                <w:tab w:val="decimal" w:pos="426"/>
              </w:tabs>
              <w:rPr>
                <w:sz w:val="20"/>
                <w:szCs w:val="20"/>
                <w:lang w:val="en-GB"/>
              </w:rPr>
            </w:pPr>
            <w:r w:rsidRPr="00C3671E">
              <w:rPr>
                <w:sz w:val="20"/>
                <w:szCs w:val="20"/>
                <w:lang w:val="en-GB"/>
              </w:rPr>
              <w:t>0.028</w:t>
            </w:r>
          </w:p>
        </w:tc>
      </w:tr>
      <w:tr w:rsidR="006C62A5" w:rsidRPr="00C3671E" w14:paraId="188F89DD" w14:textId="77777777" w:rsidTr="00AA6335">
        <w:trPr>
          <w:trHeight w:val="340"/>
        </w:trPr>
        <w:tc>
          <w:tcPr>
            <w:tcW w:w="3728" w:type="dxa"/>
            <w:shd w:val="clear" w:color="auto" w:fill="auto"/>
            <w:vAlign w:val="center"/>
          </w:tcPr>
          <w:p w14:paraId="10A0DF62" w14:textId="77777777" w:rsidR="006C62A5" w:rsidRPr="00C3671E" w:rsidRDefault="006C62A5" w:rsidP="00AA6335">
            <w:pPr>
              <w:rPr>
                <w:sz w:val="20"/>
                <w:szCs w:val="20"/>
                <w:lang w:val="en-GB"/>
              </w:rPr>
            </w:pPr>
            <w:r w:rsidRPr="00C3671E">
              <w:rPr>
                <w:sz w:val="20"/>
                <w:szCs w:val="20"/>
                <w:lang w:val="en-GB"/>
              </w:rPr>
              <w:t xml:space="preserve">     2</w:t>
            </w:r>
          </w:p>
        </w:tc>
        <w:tc>
          <w:tcPr>
            <w:tcW w:w="1464" w:type="dxa"/>
            <w:shd w:val="clear" w:color="auto" w:fill="auto"/>
            <w:vAlign w:val="center"/>
          </w:tcPr>
          <w:p w14:paraId="06A67DAF" w14:textId="77777777" w:rsidR="006C62A5" w:rsidRPr="00C3671E" w:rsidRDefault="006C62A5" w:rsidP="00AA6335">
            <w:pPr>
              <w:tabs>
                <w:tab w:val="decimal" w:pos="426"/>
              </w:tabs>
              <w:rPr>
                <w:sz w:val="20"/>
                <w:szCs w:val="20"/>
                <w:lang w:val="en-GB"/>
              </w:rPr>
            </w:pPr>
            <w:r w:rsidRPr="00C3671E">
              <w:rPr>
                <w:sz w:val="20"/>
                <w:szCs w:val="20"/>
                <w:lang w:val="en-GB"/>
              </w:rPr>
              <w:t>-0.093</w:t>
            </w:r>
          </w:p>
        </w:tc>
        <w:tc>
          <w:tcPr>
            <w:tcW w:w="1465" w:type="dxa"/>
            <w:shd w:val="clear" w:color="auto" w:fill="auto"/>
            <w:vAlign w:val="center"/>
          </w:tcPr>
          <w:p w14:paraId="3C305633" w14:textId="77777777" w:rsidR="006C62A5" w:rsidRPr="00C3671E" w:rsidRDefault="006C62A5" w:rsidP="00AA6335">
            <w:pPr>
              <w:tabs>
                <w:tab w:val="decimal" w:pos="426"/>
              </w:tabs>
              <w:rPr>
                <w:sz w:val="20"/>
                <w:szCs w:val="20"/>
                <w:lang w:val="en-GB"/>
              </w:rPr>
            </w:pPr>
            <w:r w:rsidRPr="00C3671E">
              <w:rPr>
                <w:sz w:val="20"/>
                <w:szCs w:val="20"/>
                <w:lang w:val="en-GB"/>
              </w:rPr>
              <w:t>0.182*</w:t>
            </w:r>
          </w:p>
        </w:tc>
        <w:tc>
          <w:tcPr>
            <w:tcW w:w="1465" w:type="dxa"/>
            <w:shd w:val="clear" w:color="auto" w:fill="auto"/>
            <w:vAlign w:val="center"/>
          </w:tcPr>
          <w:p w14:paraId="2567C223" w14:textId="77777777" w:rsidR="006C62A5" w:rsidRPr="00C3671E" w:rsidRDefault="006C62A5" w:rsidP="00AA6335">
            <w:pPr>
              <w:tabs>
                <w:tab w:val="decimal" w:pos="426"/>
              </w:tabs>
              <w:rPr>
                <w:sz w:val="20"/>
                <w:szCs w:val="20"/>
                <w:lang w:val="en-GB"/>
              </w:rPr>
            </w:pPr>
            <w:r w:rsidRPr="00C3671E">
              <w:rPr>
                <w:sz w:val="20"/>
                <w:szCs w:val="20"/>
                <w:lang w:val="en-GB"/>
              </w:rPr>
              <w:t>0.063</w:t>
            </w:r>
          </w:p>
        </w:tc>
      </w:tr>
      <w:tr w:rsidR="006C62A5" w:rsidRPr="00C3671E" w14:paraId="66149964" w14:textId="77777777" w:rsidTr="00AA6335">
        <w:trPr>
          <w:trHeight w:val="340"/>
        </w:trPr>
        <w:tc>
          <w:tcPr>
            <w:tcW w:w="3728" w:type="dxa"/>
            <w:shd w:val="clear" w:color="auto" w:fill="auto"/>
            <w:vAlign w:val="center"/>
          </w:tcPr>
          <w:p w14:paraId="55A8B242" w14:textId="77777777" w:rsidR="006C62A5" w:rsidRPr="00C3671E" w:rsidRDefault="006C62A5" w:rsidP="00AA6335">
            <w:pPr>
              <w:rPr>
                <w:sz w:val="20"/>
                <w:szCs w:val="20"/>
                <w:lang w:val="en-GB"/>
              </w:rPr>
            </w:pPr>
            <w:r w:rsidRPr="00C3671E">
              <w:rPr>
                <w:sz w:val="20"/>
                <w:szCs w:val="20"/>
                <w:lang w:val="en-GB"/>
              </w:rPr>
              <w:t xml:space="preserve">     3 and more</w:t>
            </w:r>
          </w:p>
        </w:tc>
        <w:tc>
          <w:tcPr>
            <w:tcW w:w="1464" w:type="dxa"/>
            <w:shd w:val="clear" w:color="auto" w:fill="auto"/>
            <w:vAlign w:val="center"/>
          </w:tcPr>
          <w:p w14:paraId="43CB790D" w14:textId="77777777" w:rsidR="006C62A5" w:rsidRPr="00C3671E" w:rsidRDefault="006C62A5" w:rsidP="00AA6335">
            <w:pPr>
              <w:tabs>
                <w:tab w:val="decimal" w:pos="426"/>
              </w:tabs>
              <w:rPr>
                <w:sz w:val="20"/>
                <w:szCs w:val="20"/>
                <w:lang w:val="en-GB"/>
              </w:rPr>
            </w:pPr>
            <w:r w:rsidRPr="00C3671E">
              <w:rPr>
                <w:sz w:val="20"/>
                <w:szCs w:val="20"/>
                <w:lang w:val="en-GB"/>
              </w:rPr>
              <w:t>-0.331+</w:t>
            </w:r>
          </w:p>
        </w:tc>
        <w:tc>
          <w:tcPr>
            <w:tcW w:w="1465" w:type="dxa"/>
            <w:shd w:val="clear" w:color="auto" w:fill="auto"/>
            <w:vAlign w:val="center"/>
          </w:tcPr>
          <w:p w14:paraId="6FEFB0DA" w14:textId="77777777" w:rsidR="006C62A5" w:rsidRPr="00C3671E" w:rsidRDefault="006C62A5" w:rsidP="00AA6335">
            <w:pPr>
              <w:tabs>
                <w:tab w:val="decimal" w:pos="426"/>
              </w:tabs>
              <w:rPr>
                <w:sz w:val="20"/>
                <w:szCs w:val="20"/>
                <w:lang w:val="en-GB"/>
              </w:rPr>
            </w:pPr>
            <w:r w:rsidRPr="00C3671E">
              <w:rPr>
                <w:sz w:val="20"/>
                <w:szCs w:val="20"/>
                <w:lang w:val="en-GB"/>
              </w:rPr>
              <w:t>0.337*</w:t>
            </w:r>
          </w:p>
        </w:tc>
        <w:tc>
          <w:tcPr>
            <w:tcW w:w="1465" w:type="dxa"/>
            <w:shd w:val="clear" w:color="auto" w:fill="auto"/>
            <w:vAlign w:val="center"/>
          </w:tcPr>
          <w:p w14:paraId="59607FD3" w14:textId="77777777" w:rsidR="006C62A5" w:rsidRPr="00C3671E" w:rsidRDefault="006C62A5" w:rsidP="00AA6335">
            <w:pPr>
              <w:tabs>
                <w:tab w:val="decimal" w:pos="426"/>
              </w:tabs>
              <w:rPr>
                <w:sz w:val="20"/>
                <w:szCs w:val="20"/>
                <w:lang w:val="en-GB"/>
              </w:rPr>
            </w:pPr>
            <w:r w:rsidRPr="00C3671E">
              <w:rPr>
                <w:sz w:val="20"/>
                <w:szCs w:val="20"/>
                <w:lang w:val="en-GB"/>
              </w:rPr>
              <w:t>0.069</w:t>
            </w:r>
          </w:p>
        </w:tc>
      </w:tr>
      <w:tr w:rsidR="006C62A5" w:rsidRPr="00C3671E" w14:paraId="43151F46" w14:textId="77777777" w:rsidTr="00AA6335">
        <w:trPr>
          <w:trHeight w:val="340"/>
        </w:trPr>
        <w:tc>
          <w:tcPr>
            <w:tcW w:w="3728" w:type="dxa"/>
            <w:shd w:val="clear" w:color="auto" w:fill="auto"/>
            <w:vAlign w:val="center"/>
          </w:tcPr>
          <w:p w14:paraId="3F4D8611" w14:textId="77777777" w:rsidR="006C62A5" w:rsidRPr="00C3671E" w:rsidRDefault="006C62A5" w:rsidP="00AA6335">
            <w:pPr>
              <w:rPr>
                <w:sz w:val="20"/>
                <w:szCs w:val="20"/>
                <w:lang w:val="en-GB"/>
              </w:rPr>
            </w:pPr>
            <w:r w:rsidRPr="00C3671E">
              <w:rPr>
                <w:sz w:val="20"/>
                <w:szCs w:val="20"/>
                <w:lang w:val="en-GB"/>
              </w:rPr>
              <w:t>Age</w:t>
            </w:r>
          </w:p>
        </w:tc>
        <w:tc>
          <w:tcPr>
            <w:tcW w:w="1464" w:type="dxa"/>
            <w:shd w:val="clear" w:color="auto" w:fill="auto"/>
            <w:vAlign w:val="center"/>
          </w:tcPr>
          <w:p w14:paraId="1C1D13DE" w14:textId="77777777" w:rsidR="006C62A5" w:rsidRPr="00C3671E" w:rsidRDefault="006C62A5" w:rsidP="00AA6335">
            <w:pPr>
              <w:tabs>
                <w:tab w:val="decimal" w:pos="426"/>
              </w:tabs>
              <w:rPr>
                <w:sz w:val="20"/>
                <w:szCs w:val="20"/>
                <w:lang w:val="en-GB"/>
              </w:rPr>
            </w:pPr>
            <w:r w:rsidRPr="00C3671E">
              <w:rPr>
                <w:sz w:val="20"/>
                <w:szCs w:val="20"/>
                <w:lang w:val="en-GB"/>
              </w:rPr>
              <w:t>-0.195***</w:t>
            </w:r>
          </w:p>
        </w:tc>
        <w:tc>
          <w:tcPr>
            <w:tcW w:w="1465" w:type="dxa"/>
            <w:shd w:val="clear" w:color="auto" w:fill="auto"/>
            <w:vAlign w:val="center"/>
          </w:tcPr>
          <w:p w14:paraId="228FEF63" w14:textId="77777777" w:rsidR="006C62A5" w:rsidRPr="00C3671E" w:rsidRDefault="006C62A5" w:rsidP="00AA6335">
            <w:pPr>
              <w:tabs>
                <w:tab w:val="decimal" w:pos="426"/>
              </w:tabs>
              <w:rPr>
                <w:sz w:val="20"/>
                <w:szCs w:val="20"/>
                <w:lang w:val="en-GB"/>
              </w:rPr>
            </w:pPr>
            <w:r w:rsidRPr="00C3671E">
              <w:rPr>
                <w:sz w:val="20"/>
                <w:szCs w:val="20"/>
                <w:lang w:val="en-GB"/>
              </w:rPr>
              <w:t>0.182***</w:t>
            </w:r>
          </w:p>
        </w:tc>
        <w:tc>
          <w:tcPr>
            <w:tcW w:w="1465" w:type="dxa"/>
            <w:shd w:val="clear" w:color="auto" w:fill="auto"/>
            <w:vAlign w:val="center"/>
          </w:tcPr>
          <w:p w14:paraId="06DF643D" w14:textId="77777777" w:rsidR="006C62A5" w:rsidRPr="00C3671E" w:rsidRDefault="006C62A5" w:rsidP="00AA6335">
            <w:pPr>
              <w:tabs>
                <w:tab w:val="decimal" w:pos="426"/>
              </w:tabs>
              <w:rPr>
                <w:sz w:val="20"/>
                <w:szCs w:val="20"/>
                <w:lang w:val="en-GB"/>
              </w:rPr>
            </w:pPr>
            <w:r w:rsidRPr="00C3671E">
              <w:rPr>
                <w:sz w:val="20"/>
                <w:szCs w:val="20"/>
                <w:lang w:val="en-GB"/>
              </w:rPr>
              <w:t>-0.262***</w:t>
            </w:r>
          </w:p>
        </w:tc>
      </w:tr>
      <w:tr w:rsidR="006C62A5" w:rsidRPr="00C3671E" w14:paraId="65E1EF58" w14:textId="77777777" w:rsidTr="00AA6335">
        <w:trPr>
          <w:trHeight w:val="340"/>
        </w:trPr>
        <w:tc>
          <w:tcPr>
            <w:tcW w:w="3728" w:type="dxa"/>
            <w:shd w:val="clear" w:color="auto" w:fill="auto"/>
            <w:vAlign w:val="center"/>
          </w:tcPr>
          <w:p w14:paraId="1C5D933A" w14:textId="77777777" w:rsidR="006C62A5" w:rsidRPr="00C3671E" w:rsidRDefault="006C62A5" w:rsidP="00AA6335">
            <w:pPr>
              <w:rPr>
                <w:sz w:val="20"/>
                <w:szCs w:val="20"/>
                <w:lang w:val="en-GB"/>
              </w:rPr>
            </w:pPr>
            <w:r w:rsidRPr="00C3671E">
              <w:rPr>
                <w:sz w:val="20"/>
                <w:szCs w:val="20"/>
                <w:lang w:val="en-GB"/>
              </w:rPr>
              <w:t>Age squared</w:t>
            </w:r>
          </w:p>
        </w:tc>
        <w:tc>
          <w:tcPr>
            <w:tcW w:w="1464" w:type="dxa"/>
            <w:shd w:val="clear" w:color="auto" w:fill="auto"/>
            <w:vAlign w:val="center"/>
          </w:tcPr>
          <w:p w14:paraId="4CE5E6E5" w14:textId="77777777" w:rsidR="006C62A5" w:rsidRPr="00C3671E" w:rsidRDefault="006C62A5" w:rsidP="00AA6335">
            <w:pPr>
              <w:tabs>
                <w:tab w:val="decimal" w:pos="426"/>
              </w:tabs>
              <w:rPr>
                <w:sz w:val="20"/>
                <w:szCs w:val="20"/>
                <w:lang w:val="en-GB"/>
              </w:rPr>
            </w:pPr>
            <w:r w:rsidRPr="00C3671E">
              <w:rPr>
                <w:sz w:val="20"/>
                <w:szCs w:val="20"/>
                <w:lang w:val="en-GB"/>
              </w:rPr>
              <w:t>0.001***</w:t>
            </w:r>
          </w:p>
        </w:tc>
        <w:tc>
          <w:tcPr>
            <w:tcW w:w="1465" w:type="dxa"/>
            <w:shd w:val="clear" w:color="auto" w:fill="auto"/>
            <w:vAlign w:val="center"/>
          </w:tcPr>
          <w:p w14:paraId="2AD7BC54" w14:textId="77777777" w:rsidR="006C62A5" w:rsidRPr="00C3671E" w:rsidRDefault="006C62A5" w:rsidP="00AA6335">
            <w:pPr>
              <w:tabs>
                <w:tab w:val="decimal" w:pos="426"/>
              </w:tabs>
              <w:rPr>
                <w:sz w:val="20"/>
                <w:szCs w:val="20"/>
                <w:lang w:val="en-GB"/>
              </w:rPr>
            </w:pPr>
            <w:r w:rsidRPr="00C3671E">
              <w:rPr>
                <w:sz w:val="20"/>
                <w:szCs w:val="20"/>
                <w:lang w:val="en-GB"/>
              </w:rPr>
              <w:t>-0.001***</w:t>
            </w:r>
          </w:p>
        </w:tc>
        <w:tc>
          <w:tcPr>
            <w:tcW w:w="1465" w:type="dxa"/>
            <w:shd w:val="clear" w:color="auto" w:fill="auto"/>
            <w:vAlign w:val="center"/>
          </w:tcPr>
          <w:p w14:paraId="3160B3E4" w14:textId="77777777" w:rsidR="006C62A5" w:rsidRPr="00C3671E" w:rsidRDefault="006C62A5" w:rsidP="00AA6335">
            <w:pPr>
              <w:tabs>
                <w:tab w:val="decimal" w:pos="426"/>
              </w:tabs>
              <w:rPr>
                <w:sz w:val="20"/>
                <w:szCs w:val="20"/>
                <w:lang w:val="en-GB"/>
              </w:rPr>
            </w:pPr>
            <w:r w:rsidRPr="00C3671E">
              <w:rPr>
                <w:sz w:val="20"/>
                <w:szCs w:val="20"/>
                <w:lang w:val="en-GB"/>
              </w:rPr>
              <w:t>0.002***</w:t>
            </w:r>
          </w:p>
        </w:tc>
      </w:tr>
      <w:tr w:rsidR="006C62A5" w:rsidRPr="00C3671E" w14:paraId="22734B6C" w14:textId="77777777" w:rsidTr="00AA6335">
        <w:trPr>
          <w:trHeight w:val="340"/>
        </w:trPr>
        <w:tc>
          <w:tcPr>
            <w:tcW w:w="3728" w:type="dxa"/>
            <w:shd w:val="clear" w:color="auto" w:fill="auto"/>
            <w:vAlign w:val="center"/>
          </w:tcPr>
          <w:p w14:paraId="27A7E1AE" w14:textId="77777777" w:rsidR="006C62A5" w:rsidRPr="00C3671E" w:rsidRDefault="006C62A5" w:rsidP="00AA6335">
            <w:pPr>
              <w:rPr>
                <w:sz w:val="20"/>
                <w:szCs w:val="20"/>
                <w:lang w:val="en-GB"/>
              </w:rPr>
            </w:pPr>
            <w:r w:rsidRPr="00C3671E">
              <w:rPr>
                <w:sz w:val="20"/>
                <w:szCs w:val="20"/>
                <w:lang w:val="en-GB"/>
              </w:rPr>
              <w:t>Gender</w:t>
            </w:r>
          </w:p>
        </w:tc>
        <w:tc>
          <w:tcPr>
            <w:tcW w:w="1464" w:type="dxa"/>
            <w:shd w:val="clear" w:color="auto" w:fill="auto"/>
            <w:vAlign w:val="center"/>
          </w:tcPr>
          <w:p w14:paraId="6E899A76"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2FF7A14C"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49F3A0F9" w14:textId="77777777" w:rsidR="006C62A5" w:rsidRPr="00C3671E" w:rsidRDefault="006C62A5" w:rsidP="00AA6335">
            <w:pPr>
              <w:tabs>
                <w:tab w:val="decimal" w:pos="426"/>
              </w:tabs>
              <w:rPr>
                <w:sz w:val="20"/>
                <w:szCs w:val="20"/>
                <w:lang w:val="en-GB"/>
              </w:rPr>
            </w:pPr>
          </w:p>
        </w:tc>
      </w:tr>
      <w:tr w:rsidR="006C62A5" w:rsidRPr="00C3671E" w14:paraId="764D78F5" w14:textId="77777777" w:rsidTr="00AA6335">
        <w:trPr>
          <w:trHeight w:val="340"/>
        </w:trPr>
        <w:tc>
          <w:tcPr>
            <w:tcW w:w="3728" w:type="dxa"/>
            <w:shd w:val="clear" w:color="auto" w:fill="auto"/>
            <w:vAlign w:val="center"/>
          </w:tcPr>
          <w:p w14:paraId="3C213558" w14:textId="77777777" w:rsidR="006C62A5" w:rsidRPr="00C3671E" w:rsidRDefault="006C62A5" w:rsidP="00AA6335">
            <w:pPr>
              <w:rPr>
                <w:sz w:val="20"/>
                <w:szCs w:val="20"/>
                <w:lang w:val="en-GB"/>
              </w:rPr>
            </w:pPr>
            <w:r w:rsidRPr="00C3671E">
              <w:rPr>
                <w:sz w:val="20"/>
                <w:szCs w:val="20"/>
                <w:lang w:val="en-GB"/>
              </w:rPr>
              <w:t xml:space="preserve">     male (reference category)</w:t>
            </w:r>
          </w:p>
        </w:tc>
        <w:tc>
          <w:tcPr>
            <w:tcW w:w="1464" w:type="dxa"/>
            <w:shd w:val="clear" w:color="auto" w:fill="auto"/>
            <w:vAlign w:val="center"/>
          </w:tcPr>
          <w:p w14:paraId="610832E7"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1295C221"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16452948" w14:textId="77777777" w:rsidR="006C62A5" w:rsidRPr="00C3671E" w:rsidRDefault="006C62A5" w:rsidP="00AA6335">
            <w:pPr>
              <w:tabs>
                <w:tab w:val="decimal" w:pos="426"/>
              </w:tabs>
              <w:rPr>
                <w:sz w:val="20"/>
                <w:szCs w:val="20"/>
                <w:lang w:val="en-GB"/>
              </w:rPr>
            </w:pPr>
          </w:p>
        </w:tc>
      </w:tr>
      <w:tr w:rsidR="006C62A5" w:rsidRPr="00C3671E" w14:paraId="2A9ADED8" w14:textId="77777777" w:rsidTr="00AA6335">
        <w:trPr>
          <w:trHeight w:val="340"/>
        </w:trPr>
        <w:tc>
          <w:tcPr>
            <w:tcW w:w="3728" w:type="dxa"/>
            <w:shd w:val="clear" w:color="auto" w:fill="auto"/>
            <w:vAlign w:val="center"/>
          </w:tcPr>
          <w:p w14:paraId="15264BFD" w14:textId="77777777" w:rsidR="006C62A5" w:rsidRPr="00C3671E" w:rsidRDefault="006C62A5" w:rsidP="00AA6335">
            <w:pPr>
              <w:rPr>
                <w:sz w:val="20"/>
                <w:szCs w:val="20"/>
                <w:lang w:val="en-GB"/>
              </w:rPr>
            </w:pPr>
            <w:r w:rsidRPr="00C3671E">
              <w:rPr>
                <w:sz w:val="20"/>
                <w:szCs w:val="20"/>
                <w:lang w:val="en-GB"/>
              </w:rPr>
              <w:t xml:space="preserve">     Female</w:t>
            </w:r>
          </w:p>
        </w:tc>
        <w:tc>
          <w:tcPr>
            <w:tcW w:w="1464" w:type="dxa"/>
            <w:shd w:val="clear" w:color="auto" w:fill="auto"/>
            <w:vAlign w:val="center"/>
          </w:tcPr>
          <w:p w14:paraId="793DDB7C" w14:textId="77777777" w:rsidR="006C62A5" w:rsidRPr="00C3671E" w:rsidRDefault="006C62A5" w:rsidP="00AA6335">
            <w:pPr>
              <w:tabs>
                <w:tab w:val="decimal" w:pos="426"/>
              </w:tabs>
              <w:rPr>
                <w:sz w:val="20"/>
                <w:szCs w:val="20"/>
                <w:lang w:val="en-GB"/>
              </w:rPr>
            </w:pPr>
            <w:r w:rsidRPr="00C3671E">
              <w:rPr>
                <w:sz w:val="20"/>
                <w:szCs w:val="20"/>
                <w:lang w:val="en-GB"/>
              </w:rPr>
              <w:t>0.204***</w:t>
            </w:r>
          </w:p>
        </w:tc>
        <w:tc>
          <w:tcPr>
            <w:tcW w:w="1465" w:type="dxa"/>
            <w:shd w:val="clear" w:color="auto" w:fill="auto"/>
            <w:vAlign w:val="center"/>
          </w:tcPr>
          <w:p w14:paraId="551A1530" w14:textId="77777777" w:rsidR="006C62A5" w:rsidRPr="00C3671E" w:rsidRDefault="006C62A5" w:rsidP="00AA6335">
            <w:pPr>
              <w:tabs>
                <w:tab w:val="decimal" w:pos="426"/>
              </w:tabs>
              <w:rPr>
                <w:sz w:val="20"/>
                <w:szCs w:val="20"/>
                <w:lang w:val="en-GB"/>
              </w:rPr>
            </w:pPr>
            <w:r w:rsidRPr="00C3671E">
              <w:rPr>
                <w:sz w:val="20"/>
                <w:szCs w:val="20"/>
                <w:lang w:val="en-GB"/>
              </w:rPr>
              <w:t>0.164***</w:t>
            </w:r>
          </w:p>
        </w:tc>
        <w:tc>
          <w:tcPr>
            <w:tcW w:w="1465" w:type="dxa"/>
            <w:shd w:val="clear" w:color="auto" w:fill="auto"/>
            <w:vAlign w:val="center"/>
          </w:tcPr>
          <w:p w14:paraId="64ABB710" w14:textId="77777777" w:rsidR="006C62A5" w:rsidRPr="00C3671E" w:rsidRDefault="006C62A5" w:rsidP="00AA6335">
            <w:pPr>
              <w:tabs>
                <w:tab w:val="decimal" w:pos="426"/>
              </w:tabs>
              <w:rPr>
                <w:sz w:val="20"/>
                <w:szCs w:val="20"/>
                <w:lang w:val="en-GB"/>
              </w:rPr>
            </w:pPr>
            <w:r w:rsidRPr="00C3671E">
              <w:rPr>
                <w:sz w:val="20"/>
                <w:szCs w:val="20"/>
                <w:lang w:val="en-GB"/>
              </w:rPr>
              <w:t>-0.010</w:t>
            </w:r>
          </w:p>
        </w:tc>
      </w:tr>
      <w:tr w:rsidR="006C62A5" w:rsidRPr="00C3671E" w14:paraId="4D1FA192" w14:textId="77777777" w:rsidTr="00AA6335">
        <w:trPr>
          <w:trHeight w:val="340"/>
        </w:trPr>
        <w:tc>
          <w:tcPr>
            <w:tcW w:w="3728" w:type="dxa"/>
            <w:shd w:val="clear" w:color="auto" w:fill="auto"/>
            <w:vAlign w:val="center"/>
          </w:tcPr>
          <w:p w14:paraId="1263CBE1" w14:textId="77777777" w:rsidR="006C62A5" w:rsidRPr="00C3671E" w:rsidRDefault="006C62A5" w:rsidP="00AA6335">
            <w:pPr>
              <w:rPr>
                <w:sz w:val="20"/>
                <w:szCs w:val="20"/>
                <w:lang w:val="en-GB"/>
              </w:rPr>
            </w:pPr>
            <w:r w:rsidRPr="00C3671E">
              <w:rPr>
                <w:sz w:val="20"/>
                <w:szCs w:val="20"/>
                <w:lang w:val="en-GB"/>
              </w:rPr>
              <w:lastRenderedPageBreak/>
              <w:t>Health</w:t>
            </w:r>
          </w:p>
        </w:tc>
        <w:tc>
          <w:tcPr>
            <w:tcW w:w="1464" w:type="dxa"/>
            <w:shd w:val="clear" w:color="auto" w:fill="auto"/>
            <w:vAlign w:val="center"/>
          </w:tcPr>
          <w:p w14:paraId="19912E30"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71A5AACC"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7B963942" w14:textId="77777777" w:rsidR="006C62A5" w:rsidRPr="00C3671E" w:rsidRDefault="006C62A5" w:rsidP="00AA6335">
            <w:pPr>
              <w:tabs>
                <w:tab w:val="decimal" w:pos="426"/>
              </w:tabs>
              <w:rPr>
                <w:sz w:val="20"/>
                <w:szCs w:val="20"/>
                <w:lang w:val="en-GB"/>
              </w:rPr>
            </w:pPr>
          </w:p>
        </w:tc>
      </w:tr>
      <w:tr w:rsidR="006C62A5" w:rsidRPr="00C3671E" w14:paraId="76BCA97A" w14:textId="77777777" w:rsidTr="00AA6335">
        <w:trPr>
          <w:trHeight w:val="340"/>
        </w:trPr>
        <w:tc>
          <w:tcPr>
            <w:tcW w:w="3728" w:type="dxa"/>
            <w:shd w:val="clear" w:color="auto" w:fill="auto"/>
            <w:vAlign w:val="center"/>
          </w:tcPr>
          <w:p w14:paraId="51863CF9" w14:textId="77777777" w:rsidR="006C62A5" w:rsidRPr="00C3671E" w:rsidRDefault="006C62A5" w:rsidP="00AA6335">
            <w:pPr>
              <w:rPr>
                <w:sz w:val="20"/>
                <w:szCs w:val="20"/>
                <w:lang w:val="en-GB"/>
              </w:rPr>
            </w:pPr>
            <w:r w:rsidRPr="00C3671E">
              <w:rPr>
                <w:sz w:val="20"/>
                <w:szCs w:val="20"/>
                <w:lang w:val="en-GB"/>
              </w:rPr>
              <w:t xml:space="preserve">     unhealthy (reference category)</w:t>
            </w:r>
          </w:p>
        </w:tc>
        <w:tc>
          <w:tcPr>
            <w:tcW w:w="1464" w:type="dxa"/>
            <w:shd w:val="clear" w:color="auto" w:fill="auto"/>
            <w:vAlign w:val="center"/>
          </w:tcPr>
          <w:p w14:paraId="25DDFB9E"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500AAA19"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442C68C8" w14:textId="77777777" w:rsidR="006C62A5" w:rsidRPr="00C3671E" w:rsidRDefault="006C62A5" w:rsidP="00AA6335">
            <w:pPr>
              <w:tabs>
                <w:tab w:val="decimal" w:pos="426"/>
              </w:tabs>
              <w:rPr>
                <w:sz w:val="20"/>
                <w:szCs w:val="20"/>
                <w:lang w:val="en-GB"/>
              </w:rPr>
            </w:pPr>
          </w:p>
        </w:tc>
      </w:tr>
      <w:tr w:rsidR="006C62A5" w:rsidRPr="00C3671E" w14:paraId="233B2646" w14:textId="77777777" w:rsidTr="00AA6335">
        <w:trPr>
          <w:trHeight w:val="340"/>
        </w:trPr>
        <w:tc>
          <w:tcPr>
            <w:tcW w:w="3728" w:type="dxa"/>
            <w:shd w:val="clear" w:color="auto" w:fill="auto"/>
            <w:vAlign w:val="center"/>
          </w:tcPr>
          <w:p w14:paraId="3EBEB1F2" w14:textId="77777777" w:rsidR="006C62A5" w:rsidRPr="00C3671E" w:rsidRDefault="006C62A5" w:rsidP="00AA6335">
            <w:pPr>
              <w:rPr>
                <w:sz w:val="20"/>
                <w:szCs w:val="20"/>
                <w:lang w:val="en-GB"/>
              </w:rPr>
            </w:pPr>
            <w:r w:rsidRPr="00C3671E">
              <w:rPr>
                <w:sz w:val="20"/>
                <w:szCs w:val="20"/>
                <w:lang w:val="en-GB"/>
              </w:rPr>
              <w:t xml:space="preserve">     Healthy</w:t>
            </w:r>
          </w:p>
        </w:tc>
        <w:tc>
          <w:tcPr>
            <w:tcW w:w="1464" w:type="dxa"/>
            <w:shd w:val="clear" w:color="auto" w:fill="auto"/>
            <w:vAlign w:val="center"/>
          </w:tcPr>
          <w:p w14:paraId="34BD57DF" w14:textId="77777777" w:rsidR="006C62A5" w:rsidRPr="00C3671E" w:rsidRDefault="006C62A5" w:rsidP="00AA6335">
            <w:pPr>
              <w:tabs>
                <w:tab w:val="decimal" w:pos="426"/>
              </w:tabs>
              <w:rPr>
                <w:sz w:val="20"/>
                <w:szCs w:val="20"/>
                <w:lang w:val="en-GB"/>
              </w:rPr>
            </w:pPr>
            <w:r w:rsidRPr="00C3671E">
              <w:rPr>
                <w:sz w:val="20"/>
                <w:szCs w:val="20"/>
                <w:lang w:val="en-GB"/>
              </w:rPr>
              <w:t>-0.740***</w:t>
            </w:r>
          </w:p>
        </w:tc>
        <w:tc>
          <w:tcPr>
            <w:tcW w:w="1465" w:type="dxa"/>
            <w:shd w:val="clear" w:color="auto" w:fill="auto"/>
            <w:vAlign w:val="center"/>
          </w:tcPr>
          <w:p w14:paraId="5EE0E060" w14:textId="77777777" w:rsidR="006C62A5" w:rsidRPr="00C3671E" w:rsidRDefault="006C62A5" w:rsidP="00AA6335">
            <w:pPr>
              <w:tabs>
                <w:tab w:val="decimal" w:pos="426"/>
              </w:tabs>
              <w:rPr>
                <w:sz w:val="20"/>
                <w:szCs w:val="20"/>
                <w:lang w:val="en-GB"/>
              </w:rPr>
            </w:pPr>
            <w:r w:rsidRPr="00C3671E">
              <w:rPr>
                <w:sz w:val="20"/>
                <w:szCs w:val="20"/>
                <w:lang w:val="en-GB"/>
              </w:rPr>
              <w:t>0.890***</w:t>
            </w:r>
          </w:p>
        </w:tc>
        <w:tc>
          <w:tcPr>
            <w:tcW w:w="1465" w:type="dxa"/>
            <w:shd w:val="clear" w:color="auto" w:fill="auto"/>
            <w:vAlign w:val="center"/>
          </w:tcPr>
          <w:p w14:paraId="740C9EF6" w14:textId="77777777" w:rsidR="006C62A5" w:rsidRPr="00C3671E" w:rsidRDefault="006C62A5" w:rsidP="00AA6335">
            <w:pPr>
              <w:tabs>
                <w:tab w:val="decimal" w:pos="426"/>
              </w:tabs>
              <w:rPr>
                <w:sz w:val="20"/>
                <w:szCs w:val="20"/>
                <w:lang w:val="en-GB"/>
              </w:rPr>
            </w:pPr>
            <w:r w:rsidRPr="00C3671E">
              <w:rPr>
                <w:sz w:val="20"/>
                <w:szCs w:val="20"/>
                <w:lang w:val="en-GB"/>
              </w:rPr>
              <w:t>-0.831***</w:t>
            </w:r>
          </w:p>
        </w:tc>
      </w:tr>
      <w:tr w:rsidR="006C62A5" w:rsidRPr="00C3671E" w14:paraId="6BE48ABF" w14:textId="77777777" w:rsidTr="00AA6335">
        <w:trPr>
          <w:trHeight w:val="340"/>
        </w:trPr>
        <w:tc>
          <w:tcPr>
            <w:tcW w:w="3728" w:type="dxa"/>
            <w:shd w:val="clear" w:color="auto" w:fill="auto"/>
            <w:vAlign w:val="center"/>
          </w:tcPr>
          <w:p w14:paraId="2F381C47" w14:textId="77777777" w:rsidR="006C62A5" w:rsidRPr="00C3671E" w:rsidRDefault="006C62A5" w:rsidP="00AA6335">
            <w:pPr>
              <w:rPr>
                <w:sz w:val="20"/>
                <w:szCs w:val="20"/>
                <w:lang w:val="en-GB"/>
              </w:rPr>
            </w:pPr>
            <w:r w:rsidRPr="00C3671E">
              <w:rPr>
                <w:sz w:val="20"/>
                <w:szCs w:val="20"/>
                <w:lang w:val="en-GB"/>
              </w:rPr>
              <w:t>Employment status</w:t>
            </w:r>
          </w:p>
        </w:tc>
        <w:tc>
          <w:tcPr>
            <w:tcW w:w="1464" w:type="dxa"/>
            <w:shd w:val="clear" w:color="auto" w:fill="auto"/>
            <w:vAlign w:val="center"/>
          </w:tcPr>
          <w:p w14:paraId="16A1A943"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52E71E2B"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077D459F" w14:textId="77777777" w:rsidR="006C62A5" w:rsidRPr="00C3671E" w:rsidRDefault="006C62A5" w:rsidP="00AA6335">
            <w:pPr>
              <w:tabs>
                <w:tab w:val="decimal" w:pos="426"/>
              </w:tabs>
              <w:rPr>
                <w:sz w:val="20"/>
                <w:szCs w:val="20"/>
                <w:lang w:val="en-GB"/>
              </w:rPr>
            </w:pPr>
          </w:p>
        </w:tc>
      </w:tr>
      <w:tr w:rsidR="006C62A5" w:rsidRPr="00C3671E" w14:paraId="34F146B9" w14:textId="77777777" w:rsidTr="00AA6335">
        <w:trPr>
          <w:trHeight w:val="340"/>
        </w:trPr>
        <w:tc>
          <w:tcPr>
            <w:tcW w:w="3728" w:type="dxa"/>
            <w:shd w:val="clear" w:color="auto" w:fill="auto"/>
            <w:vAlign w:val="center"/>
          </w:tcPr>
          <w:p w14:paraId="39ABC51D" w14:textId="77777777" w:rsidR="006C62A5" w:rsidRPr="00C3671E" w:rsidRDefault="006C62A5" w:rsidP="00AA6335">
            <w:pPr>
              <w:rPr>
                <w:sz w:val="20"/>
                <w:szCs w:val="20"/>
                <w:lang w:val="en-GB"/>
              </w:rPr>
            </w:pPr>
            <w:r w:rsidRPr="00C3671E">
              <w:rPr>
                <w:sz w:val="20"/>
                <w:szCs w:val="20"/>
                <w:lang w:val="en-GB"/>
              </w:rPr>
              <w:t xml:space="preserve">     not working (reference category)</w:t>
            </w:r>
          </w:p>
        </w:tc>
        <w:tc>
          <w:tcPr>
            <w:tcW w:w="1464" w:type="dxa"/>
            <w:shd w:val="clear" w:color="auto" w:fill="auto"/>
            <w:vAlign w:val="center"/>
          </w:tcPr>
          <w:p w14:paraId="0DB5A99A"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0D38380A"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40CA88DC" w14:textId="77777777" w:rsidR="006C62A5" w:rsidRPr="00C3671E" w:rsidRDefault="006C62A5" w:rsidP="00AA6335">
            <w:pPr>
              <w:tabs>
                <w:tab w:val="decimal" w:pos="426"/>
              </w:tabs>
              <w:rPr>
                <w:sz w:val="20"/>
                <w:szCs w:val="20"/>
                <w:lang w:val="en-GB"/>
              </w:rPr>
            </w:pPr>
          </w:p>
        </w:tc>
      </w:tr>
      <w:tr w:rsidR="006C62A5" w:rsidRPr="00C3671E" w14:paraId="39C1B938" w14:textId="77777777" w:rsidTr="00AA6335">
        <w:trPr>
          <w:trHeight w:val="340"/>
        </w:trPr>
        <w:tc>
          <w:tcPr>
            <w:tcW w:w="3728" w:type="dxa"/>
            <w:shd w:val="clear" w:color="auto" w:fill="auto"/>
            <w:vAlign w:val="center"/>
          </w:tcPr>
          <w:p w14:paraId="27330924" w14:textId="77777777" w:rsidR="006C62A5" w:rsidRPr="00C3671E" w:rsidRDefault="006C62A5" w:rsidP="00AA6335">
            <w:pPr>
              <w:rPr>
                <w:sz w:val="20"/>
                <w:szCs w:val="20"/>
                <w:lang w:val="en-GB"/>
              </w:rPr>
            </w:pPr>
            <w:r w:rsidRPr="00C3671E">
              <w:rPr>
                <w:sz w:val="20"/>
                <w:szCs w:val="20"/>
                <w:lang w:val="en-GB"/>
              </w:rPr>
              <w:t xml:space="preserve">     part-time job</w:t>
            </w:r>
          </w:p>
        </w:tc>
        <w:tc>
          <w:tcPr>
            <w:tcW w:w="1464" w:type="dxa"/>
            <w:shd w:val="clear" w:color="auto" w:fill="auto"/>
            <w:vAlign w:val="center"/>
          </w:tcPr>
          <w:p w14:paraId="6BF26D10" w14:textId="77777777" w:rsidR="006C62A5" w:rsidRPr="00C3671E" w:rsidRDefault="006C62A5" w:rsidP="00AA6335">
            <w:pPr>
              <w:tabs>
                <w:tab w:val="decimal" w:pos="426"/>
              </w:tabs>
              <w:rPr>
                <w:sz w:val="20"/>
                <w:szCs w:val="20"/>
                <w:lang w:val="en-GB"/>
              </w:rPr>
            </w:pPr>
            <w:r w:rsidRPr="00C3671E">
              <w:rPr>
                <w:sz w:val="20"/>
                <w:szCs w:val="20"/>
                <w:lang w:val="en-GB"/>
              </w:rPr>
              <w:t>-0.312***</w:t>
            </w:r>
          </w:p>
        </w:tc>
        <w:tc>
          <w:tcPr>
            <w:tcW w:w="1465" w:type="dxa"/>
            <w:shd w:val="clear" w:color="auto" w:fill="auto"/>
            <w:vAlign w:val="center"/>
          </w:tcPr>
          <w:p w14:paraId="4E4EE77D" w14:textId="77777777" w:rsidR="006C62A5" w:rsidRPr="00C3671E" w:rsidRDefault="006C62A5" w:rsidP="00AA6335">
            <w:pPr>
              <w:tabs>
                <w:tab w:val="decimal" w:pos="426"/>
              </w:tabs>
              <w:rPr>
                <w:sz w:val="20"/>
                <w:szCs w:val="20"/>
                <w:lang w:val="en-GB"/>
              </w:rPr>
            </w:pPr>
            <w:r w:rsidRPr="00C3671E">
              <w:rPr>
                <w:sz w:val="20"/>
                <w:szCs w:val="20"/>
                <w:lang w:val="en-GB"/>
              </w:rPr>
              <w:t>0.383***</w:t>
            </w:r>
          </w:p>
        </w:tc>
        <w:tc>
          <w:tcPr>
            <w:tcW w:w="1465" w:type="dxa"/>
            <w:shd w:val="clear" w:color="auto" w:fill="auto"/>
            <w:vAlign w:val="center"/>
          </w:tcPr>
          <w:p w14:paraId="441376CF" w14:textId="77777777" w:rsidR="006C62A5" w:rsidRPr="00C3671E" w:rsidRDefault="006C62A5" w:rsidP="00AA6335">
            <w:pPr>
              <w:tabs>
                <w:tab w:val="decimal" w:pos="426"/>
              </w:tabs>
              <w:rPr>
                <w:sz w:val="20"/>
                <w:szCs w:val="20"/>
                <w:lang w:val="en-GB"/>
              </w:rPr>
            </w:pPr>
            <w:r w:rsidRPr="00C3671E">
              <w:rPr>
                <w:sz w:val="20"/>
                <w:szCs w:val="20"/>
                <w:lang w:val="en-GB"/>
              </w:rPr>
              <w:t>-0.368***</w:t>
            </w:r>
          </w:p>
        </w:tc>
      </w:tr>
      <w:tr w:rsidR="006C62A5" w:rsidRPr="00C3671E" w14:paraId="36FADAFB" w14:textId="77777777" w:rsidTr="00AA6335">
        <w:trPr>
          <w:trHeight w:val="340"/>
        </w:trPr>
        <w:tc>
          <w:tcPr>
            <w:tcW w:w="3728" w:type="dxa"/>
            <w:shd w:val="clear" w:color="auto" w:fill="auto"/>
            <w:vAlign w:val="center"/>
          </w:tcPr>
          <w:p w14:paraId="57EB60E6" w14:textId="77777777" w:rsidR="006C62A5" w:rsidRPr="00C3671E" w:rsidRDefault="006C62A5" w:rsidP="00AA6335">
            <w:pPr>
              <w:rPr>
                <w:sz w:val="20"/>
                <w:szCs w:val="20"/>
                <w:lang w:val="en-GB"/>
              </w:rPr>
            </w:pPr>
            <w:r w:rsidRPr="00C3671E">
              <w:rPr>
                <w:sz w:val="20"/>
                <w:szCs w:val="20"/>
                <w:lang w:val="en-GB"/>
              </w:rPr>
              <w:t xml:space="preserve">     full-time job</w:t>
            </w:r>
          </w:p>
        </w:tc>
        <w:tc>
          <w:tcPr>
            <w:tcW w:w="1464" w:type="dxa"/>
            <w:shd w:val="clear" w:color="auto" w:fill="auto"/>
            <w:vAlign w:val="center"/>
          </w:tcPr>
          <w:p w14:paraId="7BF1434C" w14:textId="77777777" w:rsidR="006C62A5" w:rsidRPr="00C3671E" w:rsidRDefault="006C62A5" w:rsidP="00AA6335">
            <w:pPr>
              <w:tabs>
                <w:tab w:val="decimal" w:pos="426"/>
              </w:tabs>
              <w:rPr>
                <w:sz w:val="20"/>
                <w:szCs w:val="20"/>
                <w:lang w:val="en-GB"/>
              </w:rPr>
            </w:pPr>
            <w:r w:rsidRPr="00C3671E">
              <w:rPr>
                <w:sz w:val="20"/>
                <w:szCs w:val="20"/>
                <w:lang w:val="en-GB"/>
              </w:rPr>
              <w:t>-0.523***</w:t>
            </w:r>
          </w:p>
        </w:tc>
        <w:tc>
          <w:tcPr>
            <w:tcW w:w="1465" w:type="dxa"/>
            <w:shd w:val="clear" w:color="auto" w:fill="auto"/>
            <w:vAlign w:val="center"/>
          </w:tcPr>
          <w:p w14:paraId="71AFC274" w14:textId="77777777" w:rsidR="006C62A5" w:rsidRPr="00C3671E" w:rsidRDefault="006C62A5" w:rsidP="00AA6335">
            <w:pPr>
              <w:tabs>
                <w:tab w:val="decimal" w:pos="426"/>
              </w:tabs>
              <w:rPr>
                <w:sz w:val="20"/>
                <w:szCs w:val="20"/>
                <w:lang w:val="en-GB"/>
              </w:rPr>
            </w:pPr>
            <w:r w:rsidRPr="00C3671E">
              <w:rPr>
                <w:sz w:val="20"/>
                <w:szCs w:val="20"/>
                <w:lang w:val="en-GB"/>
              </w:rPr>
              <w:t>0.519***</w:t>
            </w:r>
          </w:p>
        </w:tc>
        <w:tc>
          <w:tcPr>
            <w:tcW w:w="1465" w:type="dxa"/>
            <w:shd w:val="clear" w:color="auto" w:fill="auto"/>
            <w:vAlign w:val="center"/>
          </w:tcPr>
          <w:p w14:paraId="7EC3C21D" w14:textId="77777777" w:rsidR="006C62A5" w:rsidRPr="00C3671E" w:rsidRDefault="006C62A5" w:rsidP="00AA6335">
            <w:pPr>
              <w:tabs>
                <w:tab w:val="decimal" w:pos="426"/>
              </w:tabs>
              <w:rPr>
                <w:sz w:val="20"/>
                <w:szCs w:val="20"/>
                <w:lang w:val="en-GB"/>
              </w:rPr>
            </w:pPr>
            <w:r w:rsidRPr="00C3671E">
              <w:rPr>
                <w:sz w:val="20"/>
                <w:szCs w:val="20"/>
                <w:lang w:val="en-GB"/>
              </w:rPr>
              <w:t>-0.362***</w:t>
            </w:r>
          </w:p>
        </w:tc>
      </w:tr>
      <w:tr w:rsidR="006C62A5" w:rsidRPr="00C3671E" w14:paraId="525E50ED" w14:textId="77777777" w:rsidTr="00AA6335">
        <w:trPr>
          <w:trHeight w:val="340"/>
        </w:trPr>
        <w:tc>
          <w:tcPr>
            <w:tcW w:w="3728" w:type="dxa"/>
            <w:shd w:val="clear" w:color="auto" w:fill="auto"/>
            <w:vAlign w:val="center"/>
          </w:tcPr>
          <w:p w14:paraId="50AFA02E" w14:textId="77777777" w:rsidR="006C62A5" w:rsidRPr="00C3671E" w:rsidRDefault="006C62A5" w:rsidP="00AA6335">
            <w:pPr>
              <w:rPr>
                <w:sz w:val="20"/>
                <w:szCs w:val="20"/>
                <w:lang w:val="en-GB"/>
              </w:rPr>
            </w:pPr>
            <w:r w:rsidRPr="00C3671E">
              <w:rPr>
                <w:sz w:val="20"/>
                <w:szCs w:val="20"/>
                <w:lang w:val="en-GB"/>
              </w:rPr>
              <w:t>Education</w:t>
            </w:r>
          </w:p>
        </w:tc>
        <w:tc>
          <w:tcPr>
            <w:tcW w:w="1464" w:type="dxa"/>
            <w:shd w:val="clear" w:color="auto" w:fill="auto"/>
            <w:vAlign w:val="center"/>
          </w:tcPr>
          <w:p w14:paraId="7CA0EC1C"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448EE17D"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386D40DE" w14:textId="77777777" w:rsidR="006C62A5" w:rsidRPr="00C3671E" w:rsidRDefault="006C62A5" w:rsidP="00AA6335">
            <w:pPr>
              <w:tabs>
                <w:tab w:val="decimal" w:pos="426"/>
              </w:tabs>
              <w:rPr>
                <w:sz w:val="20"/>
                <w:szCs w:val="20"/>
                <w:lang w:val="en-GB"/>
              </w:rPr>
            </w:pPr>
          </w:p>
        </w:tc>
      </w:tr>
      <w:tr w:rsidR="006C62A5" w:rsidRPr="00C3671E" w14:paraId="31C5ECAA" w14:textId="77777777" w:rsidTr="00AA6335">
        <w:trPr>
          <w:trHeight w:val="340"/>
        </w:trPr>
        <w:tc>
          <w:tcPr>
            <w:tcW w:w="3728" w:type="dxa"/>
            <w:shd w:val="clear" w:color="auto" w:fill="auto"/>
            <w:vAlign w:val="center"/>
          </w:tcPr>
          <w:p w14:paraId="07536A7E" w14:textId="77777777" w:rsidR="006C62A5" w:rsidRPr="00C3671E" w:rsidRDefault="006C62A5" w:rsidP="00AA6335">
            <w:pPr>
              <w:rPr>
                <w:sz w:val="20"/>
                <w:szCs w:val="20"/>
                <w:lang w:val="en-GB"/>
              </w:rPr>
            </w:pPr>
            <w:r w:rsidRPr="00C3671E">
              <w:rPr>
                <w:sz w:val="20"/>
                <w:szCs w:val="20"/>
                <w:lang w:val="en-GB"/>
              </w:rPr>
              <w:t xml:space="preserve">     ISCED 0-1 (reference category)</w:t>
            </w:r>
          </w:p>
        </w:tc>
        <w:tc>
          <w:tcPr>
            <w:tcW w:w="1464" w:type="dxa"/>
            <w:shd w:val="clear" w:color="auto" w:fill="auto"/>
            <w:vAlign w:val="center"/>
          </w:tcPr>
          <w:p w14:paraId="262927CF"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13E90758"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6DCB77F5" w14:textId="77777777" w:rsidR="006C62A5" w:rsidRPr="00C3671E" w:rsidRDefault="006C62A5" w:rsidP="00AA6335">
            <w:pPr>
              <w:tabs>
                <w:tab w:val="decimal" w:pos="426"/>
              </w:tabs>
              <w:rPr>
                <w:sz w:val="20"/>
                <w:szCs w:val="20"/>
                <w:lang w:val="en-GB"/>
              </w:rPr>
            </w:pPr>
          </w:p>
        </w:tc>
      </w:tr>
      <w:tr w:rsidR="006C62A5" w:rsidRPr="00C3671E" w14:paraId="7D967C3B" w14:textId="77777777" w:rsidTr="00AA6335">
        <w:trPr>
          <w:trHeight w:val="340"/>
        </w:trPr>
        <w:tc>
          <w:tcPr>
            <w:tcW w:w="3728" w:type="dxa"/>
            <w:shd w:val="clear" w:color="auto" w:fill="auto"/>
            <w:vAlign w:val="center"/>
          </w:tcPr>
          <w:p w14:paraId="1114F693" w14:textId="77777777" w:rsidR="006C62A5" w:rsidRPr="00C3671E" w:rsidRDefault="006C62A5" w:rsidP="00AA6335">
            <w:pPr>
              <w:rPr>
                <w:sz w:val="20"/>
                <w:szCs w:val="20"/>
                <w:lang w:val="en-GB"/>
              </w:rPr>
            </w:pPr>
            <w:r w:rsidRPr="00C3671E">
              <w:rPr>
                <w:sz w:val="20"/>
                <w:szCs w:val="20"/>
                <w:lang w:val="en-GB"/>
              </w:rPr>
              <w:t xml:space="preserve">     ISCED 2-4</w:t>
            </w:r>
          </w:p>
        </w:tc>
        <w:tc>
          <w:tcPr>
            <w:tcW w:w="1464" w:type="dxa"/>
            <w:shd w:val="clear" w:color="auto" w:fill="auto"/>
            <w:vAlign w:val="center"/>
          </w:tcPr>
          <w:p w14:paraId="6C441D72" w14:textId="77777777" w:rsidR="006C62A5" w:rsidRPr="00C3671E" w:rsidRDefault="006C62A5" w:rsidP="00AA6335">
            <w:pPr>
              <w:tabs>
                <w:tab w:val="decimal" w:pos="426"/>
              </w:tabs>
              <w:rPr>
                <w:sz w:val="20"/>
                <w:szCs w:val="20"/>
                <w:lang w:val="en-GB"/>
              </w:rPr>
            </w:pPr>
            <w:r w:rsidRPr="00C3671E">
              <w:rPr>
                <w:sz w:val="20"/>
                <w:szCs w:val="20"/>
                <w:lang w:val="en-GB"/>
              </w:rPr>
              <w:t>-0.168***</w:t>
            </w:r>
          </w:p>
        </w:tc>
        <w:tc>
          <w:tcPr>
            <w:tcW w:w="1465" w:type="dxa"/>
            <w:shd w:val="clear" w:color="auto" w:fill="auto"/>
            <w:vAlign w:val="center"/>
          </w:tcPr>
          <w:p w14:paraId="0C2A9986" w14:textId="77777777" w:rsidR="006C62A5" w:rsidRPr="00C3671E" w:rsidRDefault="006C62A5" w:rsidP="00AA6335">
            <w:pPr>
              <w:tabs>
                <w:tab w:val="decimal" w:pos="426"/>
              </w:tabs>
              <w:rPr>
                <w:sz w:val="20"/>
                <w:szCs w:val="20"/>
                <w:lang w:val="en-GB"/>
              </w:rPr>
            </w:pPr>
            <w:r w:rsidRPr="00C3671E">
              <w:rPr>
                <w:sz w:val="20"/>
                <w:szCs w:val="20"/>
                <w:lang w:val="en-GB"/>
              </w:rPr>
              <w:t>0.256***</w:t>
            </w:r>
          </w:p>
        </w:tc>
        <w:tc>
          <w:tcPr>
            <w:tcW w:w="1465" w:type="dxa"/>
            <w:shd w:val="clear" w:color="auto" w:fill="auto"/>
            <w:vAlign w:val="center"/>
          </w:tcPr>
          <w:p w14:paraId="59506DF0" w14:textId="77777777" w:rsidR="006C62A5" w:rsidRPr="00C3671E" w:rsidRDefault="006C62A5" w:rsidP="00AA6335">
            <w:pPr>
              <w:tabs>
                <w:tab w:val="decimal" w:pos="426"/>
              </w:tabs>
              <w:rPr>
                <w:sz w:val="20"/>
                <w:szCs w:val="20"/>
                <w:lang w:val="en-GB"/>
              </w:rPr>
            </w:pPr>
            <w:r w:rsidRPr="00C3671E">
              <w:rPr>
                <w:sz w:val="20"/>
                <w:szCs w:val="20"/>
                <w:lang w:val="en-GB"/>
              </w:rPr>
              <w:t>-0.232***</w:t>
            </w:r>
          </w:p>
        </w:tc>
      </w:tr>
      <w:tr w:rsidR="006C62A5" w:rsidRPr="00C3671E" w14:paraId="2B9913F4" w14:textId="77777777" w:rsidTr="00AA6335">
        <w:trPr>
          <w:trHeight w:val="340"/>
        </w:trPr>
        <w:tc>
          <w:tcPr>
            <w:tcW w:w="3728" w:type="dxa"/>
            <w:shd w:val="clear" w:color="auto" w:fill="auto"/>
            <w:vAlign w:val="center"/>
          </w:tcPr>
          <w:p w14:paraId="1128E0CB" w14:textId="77777777" w:rsidR="006C62A5" w:rsidRPr="00C3671E" w:rsidRDefault="006C62A5" w:rsidP="00AA6335">
            <w:pPr>
              <w:rPr>
                <w:sz w:val="20"/>
                <w:szCs w:val="20"/>
                <w:lang w:val="en-GB"/>
              </w:rPr>
            </w:pPr>
            <w:r w:rsidRPr="00C3671E">
              <w:rPr>
                <w:sz w:val="20"/>
                <w:szCs w:val="20"/>
                <w:lang w:val="en-GB"/>
              </w:rPr>
              <w:t xml:space="preserve">     ISCED 5-6</w:t>
            </w:r>
          </w:p>
        </w:tc>
        <w:tc>
          <w:tcPr>
            <w:tcW w:w="1464" w:type="dxa"/>
            <w:shd w:val="clear" w:color="auto" w:fill="auto"/>
            <w:vAlign w:val="center"/>
          </w:tcPr>
          <w:p w14:paraId="68447AE0" w14:textId="77777777" w:rsidR="006C62A5" w:rsidRPr="00C3671E" w:rsidRDefault="006C62A5" w:rsidP="00AA6335">
            <w:pPr>
              <w:tabs>
                <w:tab w:val="decimal" w:pos="426"/>
              </w:tabs>
              <w:rPr>
                <w:sz w:val="20"/>
                <w:szCs w:val="20"/>
                <w:lang w:val="en-GB"/>
              </w:rPr>
            </w:pPr>
            <w:r w:rsidRPr="00C3671E">
              <w:rPr>
                <w:sz w:val="20"/>
                <w:szCs w:val="20"/>
                <w:lang w:val="en-GB"/>
              </w:rPr>
              <w:t>-0.186***</w:t>
            </w:r>
          </w:p>
        </w:tc>
        <w:tc>
          <w:tcPr>
            <w:tcW w:w="1465" w:type="dxa"/>
            <w:shd w:val="clear" w:color="auto" w:fill="auto"/>
            <w:vAlign w:val="center"/>
          </w:tcPr>
          <w:p w14:paraId="262AC6E2" w14:textId="77777777" w:rsidR="006C62A5" w:rsidRPr="00C3671E" w:rsidRDefault="006C62A5" w:rsidP="00AA6335">
            <w:pPr>
              <w:tabs>
                <w:tab w:val="decimal" w:pos="426"/>
              </w:tabs>
              <w:rPr>
                <w:sz w:val="20"/>
                <w:szCs w:val="20"/>
                <w:lang w:val="en-GB"/>
              </w:rPr>
            </w:pPr>
            <w:r w:rsidRPr="00C3671E">
              <w:rPr>
                <w:sz w:val="20"/>
                <w:szCs w:val="20"/>
                <w:lang w:val="en-GB"/>
              </w:rPr>
              <w:t>0.524***</w:t>
            </w:r>
          </w:p>
        </w:tc>
        <w:tc>
          <w:tcPr>
            <w:tcW w:w="1465" w:type="dxa"/>
            <w:shd w:val="clear" w:color="auto" w:fill="auto"/>
            <w:vAlign w:val="center"/>
          </w:tcPr>
          <w:p w14:paraId="521C87F8" w14:textId="77777777" w:rsidR="006C62A5" w:rsidRPr="00C3671E" w:rsidRDefault="006C62A5" w:rsidP="00AA6335">
            <w:pPr>
              <w:tabs>
                <w:tab w:val="decimal" w:pos="426"/>
              </w:tabs>
              <w:rPr>
                <w:sz w:val="20"/>
                <w:szCs w:val="20"/>
                <w:lang w:val="en-GB"/>
              </w:rPr>
            </w:pPr>
            <w:r w:rsidRPr="00C3671E">
              <w:rPr>
                <w:sz w:val="20"/>
                <w:szCs w:val="20"/>
                <w:lang w:val="en-GB"/>
              </w:rPr>
              <w:t>-0.515***</w:t>
            </w:r>
          </w:p>
        </w:tc>
      </w:tr>
      <w:tr w:rsidR="006C62A5" w:rsidRPr="00C3671E" w14:paraId="693BCEFF" w14:textId="77777777" w:rsidTr="00AA6335">
        <w:trPr>
          <w:trHeight w:val="340"/>
        </w:trPr>
        <w:tc>
          <w:tcPr>
            <w:tcW w:w="3728" w:type="dxa"/>
            <w:shd w:val="clear" w:color="auto" w:fill="auto"/>
            <w:vAlign w:val="center"/>
          </w:tcPr>
          <w:p w14:paraId="2A9F4FD5" w14:textId="77777777" w:rsidR="006C62A5" w:rsidRPr="00C3671E" w:rsidRDefault="006C62A5" w:rsidP="00AA6335">
            <w:pPr>
              <w:rPr>
                <w:sz w:val="20"/>
                <w:szCs w:val="20"/>
                <w:lang w:val="en-GB"/>
              </w:rPr>
            </w:pPr>
            <w:r w:rsidRPr="00C3671E">
              <w:rPr>
                <w:sz w:val="20"/>
                <w:szCs w:val="20"/>
                <w:lang w:val="en-GB"/>
              </w:rPr>
              <w:t>Partner in the household</w:t>
            </w:r>
          </w:p>
        </w:tc>
        <w:tc>
          <w:tcPr>
            <w:tcW w:w="1464" w:type="dxa"/>
            <w:shd w:val="clear" w:color="auto" w:fill="auto"/>
            <w:vAlign w:val="center"/>
          </w:tcPr>
          <w:p w14:paraId="3CC67033"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23CB3BDB"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46C4068B" w14:textId="77777777" w:rsidR="006C62A5" w:rsidRPr="00C3671E" w:rsidRDefault="006C62A5" w:rsidP="00AA6335">
            <w:pPr>
              <w:tabs>
                <w:tab w:val="decimal" w:pos="426"/>
              </w:tabs>
              <w:rPr>
                <w:sz w:val="20"/>
                <w:szCs w:val="20"/>
                <w:lang w:val="en-GB"/>
              </w:rPr>
            </w:pPr>
          </w:p>
        </w:tc>
      </w:tr>
      <w:tr w:rsidR="006C62A5" w:rsidRPr="00C3671E" w14:paraId="00EF9348" w14:textId="77777777" w:rsidTr="00AA6335">
        <w:trPr>
          <w:trHeight w:val="340"/>
        </w:trPr>
        <w:tc>
          <w:tcPr>
            <w:tcW w:w="3728" w:type="dxa"/>
            <w:shd w:val="clear" w:color="auto" w:fill="auto"/>
            <w:vAlign w:val="center"/>
          </w:tcPr>
          <w:p w14:paraId="3680F7EF" w14:textId="77777777" w:rsidR="006C62A5" w:rsidRPr="00C3671E" w:rsidRDefault="006C62A5" w:rsidP="00AA6335">
            <w:pPr>
              <w:rPr>
                <w:sz w:val="20"/>
                <w:szCs w:val="20"/>
                <w:lang w:val="en-GB"/>
              </w:rPr>
            </w:pPr>
            <w:r w:rsidRPr="00C3671E">
              <w:rPr>
                <w:sz w:val="20"/>
                <w:szCs w:val="20"/>
                <w:lang w:val="en-GB"/>
              </w:rPr>
              <w:t xml:space="preserve">     no (reference category)</w:t>
            </w:r>
          </w:p>
        </w:tc>
        <w:tc>
          <w:tcPr>
            <w:tcW w:w="1464" w:type="dxa"/>
            <w:shd w:val="clear" w:color="auto" w:fill="auto"/>
            <w:vAlign w:val="center"/>
          </w:tcPr>
          <w:p w14:paraId="0CB469DD"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004DF531" w14:textId="77777777" w:rsidR="006C62A5" w:rsidRPr="00C3671E" w:rsidRDefault="006C62A5" w:rsidP="00AA6335">
            <w:pPr>
              <w:tabs>
                <w:tab w:val="decimal" w:pos="426"/>
              </w:tabs>
              <w:rPr>
                <w:sz w:val="20"/>
                <w:szCs w:val="20"/>
                <w:lang w:val="en-GB"/>
              </w:rPr>
            </w:pPr>
          </w:p>
        </w:tc>
        <w:tc>
          <w:tcPr>
            <w:tcW w:w="1465" w:type="dxa"/>
            <w:shd w:val="clear" w:color="auto" w:fill="auto"/>
            <w:vAlign w:val="center"/>
          </w:tcPr>
          <w:p w14:paraId="49C40B3A" w14:textId="77777777" w:rsidR="006C62A5" w:rsidRPr="00C3671E" w:rsidRDefault="006C62A5" w:rsidP="00AA6335">
            <w:pPr>
              <w:tabs>
                <w:tab w:val="decimal" w:pos="426"/>
              </w:tabs>
              <w:rPr>
                <w:sz w:val="20"/>
                <w:szCs w:val="20"/>
                <w:lang w:val="en-GB"/>
              </w:rPr>
            </w:pPr>
          </w:p>
        </w:tc>
      </w:tr>
      <w:tr w:rsidR="006C62A5" w:rsidRPr="00C3671E" w14:paraId="781B65B7" w14:textId="77777777" w:rsidTr="00AA6335">
        <w:trPr>
          <w:trHeight w:val="340"/>
        </w:trPr>
        <w:tc>
          <w:tcPr>
            <w:tcW w:w="3728" w:type="dxa"/>
            <w:shd w:val="clear" w:color="auto" w:fill="auto"/>
            <w:vAlign w:val="center"/>
          </w:tcPr>
          <w:p w14:paraId="01F1DF8A" w14:textId="77777777" w:rsidR="006C62A5" w:rsidRPr="00C3671E" w:rsidRDefault="006C62A5" w:rsidP="00AA6335">
            <w:pPr>
              <w:rPr>
                <w:sz w:val="20"/>
                <w:szCs w:val="20"/>
                <w:lang w:val="en-GB"/>
              </w:rPr>
            </w:pPr>
            <w:r w:rsidRPr="00C3671E">
              <w:rPr>
                <w:sz w:val="20"/>
                <w:szCs w:val="20"/>
                <w:lang w:val="en-GB"/>
              </w:rPr>
              <w:t xml:space="preserve">     Yes</w:t>
            </w:r>
          </w:p>
        </w:tc>
        <w:tc>
          <w:tcPr>
            <w:tcW w:w="1464" w:type="dxa"/>
            <w:shd w:val="clear" w:color="auto" w:fill="auto"/>
            <w:vAlign w:val="center"/>
          </w:tcPr>
          <w:p w14:paraId="37197552" w14:textId="77777777" w:rsidR="006C62A5" w:rsidRPr="00C3671E" w:rsidRDefault="006C62A5" w:rsidP="00AA6335">
            <w:pPr>
              <w:tabs>
                <w:tab w:val="decimal" w:pos="426"/>
              </w:tabs>
              <w:rPr>
                <w:sz w:val="20"/>
                <w:szCs w:val="20"/>
                <w:lang w:val="en-GB"/>
              </w:rPr>
            </w:pPr>
            <w:r w:rsidRPr="00C3671E">
              <w:rPr>
                <w:sz w:val="20"/>
                <w:szCs w:val="20"/>
                <w:lang w:val="en-GB"/>
              </w:rPr>
              <w:t>-1.426***</w:t>
            </w:r>
          </w:p>
        </w:tc>
        <w:tc>
          <w:tcPr>
            <w:tcW w:w="1465" w:type="dxa"/>
            <w:shd w:val="clear" w:color="auto" w:fill="auto"/>
            <w:vAlign w:val="center"/>
          </w:tcPr>
          <w:p w14:paraId="66B69500" w14:textId="77777777" w:rsidR="006C62A5" w:rsidRPr="00C3671E" w:rsidRDefault="006C62A5" w:rsidP="00AA6335">
            <w:pPr>
              <w:tabs>
                <w:tab w:val="decimal" w:pos="426"/>
              </w:tabs>
              <w:rPr>
                <w:sz w:val="20"/>
                <w:szCs w:val="20"/>
                <w:lang w:val="en-GB"/>
              </w:rPr>
            </w:pPr>
            <w:r w:rsidRPr="00C3671E">
              <w:rPr>
                <w:sz w:val="20"/>
                <w:szCs w:val="20"/>
                <w:lang w:val="en-GB"/>
              </w:rPr>
              <w:t>0.479***</w:t>
            </w:r>
          </w:p>
        </w:tc>
        <w:tc>
          <w:tcPr>
            <w:tcW w:w="1465" w:type="dxa"/>
            <w:shd w:val="clear" w:color="auto" w:fill="auto"/>
            <w:vAlign w:val="center"/>
          </w:tcPr>
          <w:p w14:paraId="057F1A2A" w14:textId="77777777" w:rsidR="006C62A5" w:rsidRPr="00C3671E" w:rsidRDefault="006C62A5" w:rsidP="00AA6335">
            <w:pPr>
              <w:tabs>
                <w:tab w:val="decimal" w:pos="426"/>
              </w:tabs>
              <w:rPr>
                <w:sz w:val="20"/>
                <w:szCs w:val="20"/>
                <w:lang w:val="en-GB"/>
              </w:rPr>
            </w:pPr>
            <w:r w:rsidRPr="00C3671E">
              <w:rPr>
                <w:sz w:val="20"/>
                <w:szCs w:val="20"/>
                <w:lang w:val="en-GB"/>
              </w:rPr>
              <w:t>-0.122***</w:t>
            </w:r>
          </w:p>
        </w:tc>
      </w:tr>
      <w:tr w:rsidR="006C62A5" w:rsidRPr="00C3671E" w14:paraId="01E94816" w14:textId="77777777" w:rsidTr="00AA6335">
        <w:trPr>
          <w:trHeight w:val="340"/>
        </w:trPr>
        <w:tc>
          <w:tcPr>
            <w:tcW w:w="3728" w:type="dxa"/>
            <w:shd w:val="clear" w:color="auto" w:fill="auto"/>
            <w:vAlign w:val="center"/>
          </w:tcPr>
          <w:p w14:paraId="4E1A20FB" w14:textId="77777777" w:rsidR="006C62A5" w:rsidRPr="00C3671E" w:rsidRDefault="006C62A5" w:rsidP="00AA6335">
            <w:pPr>
              <w:rPr>
                <w:sz w:val="20"/>
                <w:szCs w:val="20"/>
                <w:lang w:val="en-GB"/>
              </w:rPr>
            </w:pPr>
            <w:r w:rsidRPr="00C3671E">
              <w:rPr>
                <w:sz w:val="20"/>
                <w:szCs w:val="20"/>
                <w:lang w:val="en-GB"/>
              </w:rPr>
              <w:t>Number of surviving parents</w:t>
            </w:r>
          </w:p>
        </w:tc>
        <w:tc>
          <w:tcPr>
            <w:tcW w:w="1464" w:type="dxa"/>
            <w:shd w:val="clear" w:color="auto" w:fill="auto"/>
            <w:vAlign w:val="center"/>
          </w:tcPr>
          <w:p w14:paraId="5B700EA1" w14:textId="77777777" w:rsidR="006C62A5" w:rsidRPr="00C3671E" w:rsidRDefault="006C62A5" w:rsidP="00AA6335">
            <w:pPr>
              <w:tabs>
                <w:tab w:val="decimal" w:pos="426"/>
              </w:tabs>
              <w:rPr>
                <w:sz w:val="20"/>
                <w:szCs w:val="20"/>
                <w:lang w:val="en-GB"/>
              </w:rPr>
            </w:pPr>
            <w:r w:rsidRPr="00C3671E">
              <w:rPr>
                <w:sz w:val="20"/>
                <w:szCs w:val="20"/>
                <w:lang w:val="en-GB"/>
              </w:rPr>
              <w:t>-0.073**</w:t>
            </w:r>
          </w:p>
        </w:tc>
        <w:tc>
          <w:tcPr>
            <w:tcW w:w="1465" w:type="dxa"/>
            <w:shd w:val="clear" w:color="auto" w:fill="auto"/>
            <w:vAlign w:val="center"/>
          </w:tcPr>
          <w:p w14:paraId="74EE2155" w14:textId="77777777" w:rsidR="006C62A5" w:rsidRPr="00C3671E" w:rsidRDefault="006C62A5" w:rsidP="00AA6335">
            <w:pPr>
              <w:tabs>
                <w:tab w:val="decimal" w:pos="426"/>
              </w:tabs>
              <w:rPr>
                <w:sz w:val="20"/>
                <w:szCs w:val="20"/>
                <w:lang w:val="en-GB"/>
              </w:rPr>
            </w:pPr>
            <w:r w:rsidRPr="00C3671E">
              <w:rPr>
                <w:sz w:val="20"/>
                <w:szCs w:val="20"/>
                <w:lang w:val="en-GB"/>
              </w:rPr>
              <w:t>0.003</w:t>
            </w:r>
          </w:p>
        </w:tc>
        <w:tc>
          <w:tcPr>
            <w:tcW w:w="1465" w:type="dxa"/>
            <w:shd w:val="clear" w:color="auto" w:fill="auto"/>
            <w:vAlign w:val="center"/>
          </w:tcPr>
          <w:p w14:paraId="6E81BAD4" w14:textId="77777777" w:rsidR="006C62A5" w:rsidRPr="00C3671E" w:rsidRDefault="006C62A5" w:rsidP="00AA6335">
            <w:pPr>
              <w:tabs>
                <w:tab w:val="decimal" w:pos="426"/>
              </w:tabs>
              <w:rPr>
                <w:sz w:val="20"/>
                <w:szCs w:val="20"/>
                <w:lang w:val="en-GB"/>
              </w:rPr>
            </w:pPr>
            <w:r w:rsidRPr="00C3671E">
              <w:rPr>
                <w:sz w:val="20"/>
                <w:szCs w:val="20"/>
                <w:lang w:val="en-GB"/>
              </w:rPr>
              <w:t>-0.012</w:t>
            </w:r>
          </w:p>
        </w:tc>
      </w:tr>
      <w:tr w:rsidR="006C62A5" w:rsidRPr="00C3671E" w14:paraId="11264672" w14:textId="77777777" w:rsidTr="00AA6335">
        <w:trPr>
          <w:trHeight w:val="340"/>
        </w:trPr>
        <w:tc>
          <w:tcPr>
            <w:tcW w:w="3728" w:type="dxa"/>
            <w:shd w:val="clear" w:color="auto" w:fill="auto"/>
            <w:vAlign w:val="center"/>
          </w:tcPr>
          <w:p w14:paraId="6D7F2B36" w14:textId="77777777" w:rsidR="006C62A5" w:rsidRPr="00C3671E" w:rsidRDefault="006C62A5" w:rsidP="00AA6335">
            <w:pPr>
              <w:rPr>
                <w:sz w:val="20"/>
                <w:szCs w:val="20"/>
                <w:lang w:val="en-GB"/>
              </w:rPr>
            </w:pPr>
            <w:r w:rsidRPr="00C3671E">
              <w:rPr>
                <w:sz w:val="20"/>
                <w:szCs w:val="20"/>
                <w:lang w:val="en-GB"/>
              </w:rPr>
              <w:t>Number of siblings</w:t>
            </w:r>
          </w:p>
        </w:tc>
        <w:tc>
          <w:tcPr>
            <w:tcW w:w="1464" w:type="dxa"/>
            <w:shd w:val="clear" w:color="auto" w:fill="auto"/>
            <w:vAlign w:val="center"/>
          </w:tcPr>
          <w:p w14:paraId="42A9B1CD" w14:textId="77777777" w:rsidR="006C62A5" w:rsidRPr="00C3671E" w:rsidRDefault="006C62A5" w:rsidP="00AA6335">
            <w:pPr>
              <w:tabs>
                <w:tab w:val="decimal" w:pos="426"/>
              </w:tabs>
              <w:rPr>
                <w:sz w:val="20"/>
                <w:szCs w:val="20"/>
                <w:lang w:val="en-GB"/>
              </w:rPr>
            </w:pPr>
            <w:r w:rsidRPr="00C3671E">
              <w:rPr>
                <w:sz w:val="20"/>
                <w:szCs w:val="20"/>
                <w:lang w:val="en-GB"/>
              </w:rPr>
              <w:t>0.012+</w:t>
            </w:r>
          </w:p>
        </w:tc>
        <w:tc>
          <w:tcPr>
            <w:tcW w:w="1465" w:type="dxa"/>
            <w:shd w:val="clear" w:color="auto" w:fill="auto"/>
            <w:vAlign w:val="center"/>
          </w:tcPr>
          <w:p w14:paraId="0316E7B5" w14:textId="77777777" w:rsidR="006C62A5" w:rsidRPr="00C3671E" w:rsidRDefault="006C62A5" w:rsidP="00AA6335">
            <w:pPr>
              <w:tabs>
                <w:tab w:val="decimal" w:pos="426"/>
              </w:tabs>
              <w:rPr>
                <w:sz w:val="20"/>
                <w:szCs w:val="20"/>
                <w:lang w:val="en-GB"/>
              </w:rPr>
            </w:pPr>
            <w:r w:rsidRPr="00C3671E">
              <w:rPr>
                <w:sz w:val="20"/>
                <w:szCs w:val="20"/>
                <w:lang w:val="en-GB"/>
              </w:rPr>
              <w:t>0.012+</w:t>
            </w:r>
          </w:p>
        </w:tc>
        <w:tc>
          <w:tcPr>
            <w:tcW w:w="1465" w:type="dxa"/>
            <w:shd w:val="clear" w:color="auto" w:fill="auto"/>
            <w:vAlign w:val="center"/>
          </w:tcPr>
          <w:p w14:paraId="20C3C341" w14:textId="77777777" w:rsidR="006C62A5" w:rsidRPr="00C3671E" w:rsidRDefault="006C62A5" w:rsidP="00AA6335">
            <w:pPr>
              <w:tabs>
                <w:tab w:val="decimal" w:pos="426"/>
              </w:tabs>
              <w:rPr>
                <w:sz w:val="20"/>
                <w:szCs w:val="20"/>
                <w:lang w:val="en-GB"/>
              </w:rPr>
            </w:pPr>
            <w:r w:rsidRPr="00C3671E">
              <w:rPr>
                <w:sz w:val="20"/>
                <w:szCs w:val="20"/>
                <w:lang w:val="en-GB"/>
              </w:rPr>
              <w:t>0.007</w:t>
            </w:r>
          </w:p>
        </w:tc>
      </w:tr>
      <w:tr w:rsidR="006C62A5" w:rsidRPr="00C3671E" w14:paraId="6B781CA3" w14:textId="77777777" w:rsidTr="00AA6335">
        <w:trPr>
          <w:trHeight w:val="340"/>
        </w:trPr>
        <w:tc>
          <w:tcPr>
            <w:tcW w:w="3728" w:type="dxa"/>
            <w:shd w:val="clear" w:color="auto" w:fill="auto"/>
            <w:vAlign w:val="center"/>
          </w:tcPr>
          <w:p w14:paraId="046945E1" w14:textId="77777777" w:rsidR="006C62A5" w:rsidRPr="00C3671E" w:rsidRDefault="006C62A5" w:rsidP="00AA6335">
            <w:pPr>
              <w:rPr>
                <w:sz w:val="20"/>
                <w:szCs w:val="20"/>
                <w:lang w:val="en-GB"/>
              </w:rPr>
            </w:pPr>
            <w:r w:rsidRPr="00C3671E">
              <w:rPr>
                <w:sz w:val="20"/>
                <w:szCs w:val="20"/>
                <w:lang w:val="en-GB"/>
              </w:rPr>
              <w:t>Number of children</w:t>
            </w:r>
          </w:p>
        </w:tc>
        <w:tc>
          <w:tcPr>
            <w:tcW w:w="1464" w:type="dxa"/>
            <w:shd w:val="clear" w:color="auto" w:fill="auto"/>
            <w:vAlign w:val="center"/>
          </w:tcPr>
          <w:p w14:paraId="55AA80A2" w14:textId="77777777" w:rsidR="006C62A5" w:rsidRPr="00C3671E" w:rsidRDefault="006C62A5" w:rsidP="00AA6335">
            <w:pPr>
              <w:tabs>
                <w:tab w:val="decimal" w:pos="426"/>
              </w:tabs>
              <w:rPr>
                <w:sz w:val="20"/>
                <w:szCs w:val="20"/>
                <w:lang w:val="en-GB"/>
              </w:rPr>
            </w:pPr>
            <w:r w:rsidRPr="00C3671E">
              <w:rPr>
                <w:sz w:val="20"/>
                <w:szCs w:val="20"/>
                <w:lang w:val="en-GB"/>
              </w:rPr>
              <w:t>-0.013</w:t>
            </w:r>
          </w:p>
        </w:tc>
        <w:tc>
          <w:tcPr>
            <w:tcW w:w="1465" w:type="dxa"/>
            <w:shd w:val="clear" w:color="auto" w:fill="auto"/>
            <w:vAlign w:val="center"/>
          </w:tcPr>
          <w:p w14:paraId="0915B407" w14:textId="77777777" w:rsidR="006C62A5" w:rsidRPr="00C3671E" w:rsidRDefault="006C62A5" w:rsidP="00AA6335">
            <w:pPr>
              <w:tabs>
                <w:tab w:val="decimal" w:pos="426"/>
              </w:tabs>
              <w:rPr>
                <w:sz w:val="20"/>
                <w:szCs w:val="20"/>
                <w:lang w:val="en-GB"/>
              </w:rPr>
            </w:pPr>
            <w:r w:rsidRPr="00C3671E">
              <w:rPr>
                <w:sz w:val="20"/>
                <w:szCs w:val="20"/>
                <w:lang w:val="en-GB"/>
              </w:rPr>
              <w:t>0.064***</w:t>
            </w:r>
          </w:p>
        </w:tc>
        <w:tc>
          <w:tcPr>
            <w:tcW w:w="1465" w:type="dxa"/>
            <w:shd w:val="clear" w:color="auto" w:fill="auto"/>
            <w:vAlign w:val="center"/>
          </w:tcPr>
          <w:p w14:paraId="20A8169C" w14:textId="77777777" w:rsidR="006C62A5" w:rsidRPr="00C3671E" w:rsidRDefault="006C62A5" w:rsidP="00AA6335">
            <w:pPr>
              <w:tabs>
                <w:tab w:val="decimal" w:pos="426"/>
              </w:tabs>
              <w:rPr>
                <w:sz w:val="20"/>
                <w:szCs w:val="20"/>
                <w:lang w:val="en-GB"/>
              </w:rPr>
            </w:pPr>
            <w:r w:rsidRPr="00C3671E">
              <w:rPr>
                <w:sz w:val="20"/>
                <w:szCs w:val="20"/>
                <w:lang w:val="en-GB"/>
              </w:rPr>
              <w:t>0.006</w:t>
            </w:r>
          </w:p>
        </w:tc>
      </w:tr>
      <w:tr w:rsidR="006C62A5" w:rsidRPr="00C3671E" w14:paraId="117B2B42" w14:textId="77777777" w:rsidTr="00AA6335">
        <w:trPr>
          <w:trHeight w:val="340"/>
        </w:trPr>
        <w:tc>
          <w:tcPr>
            <w:tcW w:w="3728" w:type="dxa"/>
            <w:shd w:val="clear" w:color="auto" w:fill="auto"/>
            <w:vAlign w:val="center"/>
          </w:tcPr>
          <w:p w14:paraId="79EF7B5E" w14:textId="77777777" w:rsidR="006C62A5" w:rsidRPr="00C3671E" w:rsidRDefault="006C62A5" w:rsidP="00AA6335">
            <w:pPr>
              <w:rPr>
                <w:sz w:val="20"/>
                <w:szCs w:val="20"/>
                <w:lang w:val="en-GB"/>
              </w:rPr>
            </w:pPr>
            <w:r w:rsidRPr="00C3671E">
              <w:rPr>
                <w:sz w:val="20"/>
                <w:szCs w:val="20"/>
                <w:lang w:val="en-GB"/>
              </w:rPr>
              <w:t>Number of grandchildren</w:t>
            </w:r>
          </w:p>
        </w:tc>
        <w:tc>
          <w:tcPr>
            <w:tcW w:w="1464" w:type="dxa"/>
            <w:shd w:val="clear" w:color="auto" w:fill="auto"/>
            <w:vAlign w:val="center"/>
          </w:tcPr>
          <w:p w14:paraId="735CC38D" w14:textId="77777777" w:rsidR="006C62A5" w:rsidRPr="00C3671E" w:rsidRDefault="006C62A5" w:rsidP="00AA6335">
            <w:pPr>
              <w:tabs>
                <w:tab w:val="decimal" w:pos="426"/>
              </w:tabs>
              <w:rPr>
                <w:sz w:val="20"/>
                <w:szCs w:val="20"/>
                <w:lang w:val="en-GB"/>
              </w:rPr>
            </w:pPr>
            <w:r w:rsidRPr="00C3671E">
              <w:rPr>
                <w:sz w:val="20"/>
                <w:szCs w:val="20"/>
                <w:lang w:val="en-GB"/>
              </w:rPr>
              <w:t>0.001</w:t>
            </w:r>
          </w:p>
        </w:tc>
        <w:tc>
          <w:tcPr>
            <w:tcW w:w="1465" w:type="dxa"/>
            <w:shd w:val="clear" w:color="auto" w:fill="auto"/>
            <w:vAlign w:val="center"/>
          </w:tcPr>
          <w:p w14:paraId="48C6E28C" w14:textId="77777777" w:rsidR="006C62A5" w:rsidRPr="00C3671E" w:rsidRDefault="006C62A5" w:rsidP="00AA6335">
            <w:pPr>
              <w:tabs>
                <w:tab w:val="decimal" w:pos="426"/>
              </w:tabs>
              <w:rPr>
                <w:sz w:val="20"/>
                <w:szCs w:val="20"/>
                <w:lang w:val="en-GB"/>
              </w:rPr>
            </w:pPr>
            <w:r w:rsidRPr="00C3671E">
              <w:rPr>
                <w:sz w:val="20"/>
                <w:szCs w:val="20"/>
                <w:lang w:val="en-GB"/>
              </w:rPr>
              <w:t>0.009</w:t>
            </w:r>
          </w:p>
        </w:tc>
        <w:tc>
          <w:tcPr>
            <w:tcW w:w="1465" w:type="dxa"/>
            <w:shd w:val="clear" w:color="auto" w:fill="auto"/>
            <w:vAlign w:val="center"/>
          </w:tcPr>
          <w:p w14:paraId="10EDE51C" w14:textId="77777777" w:rsidR="006C62A5" w:rsidRPr="00C3671E" w:rsidRDefault="006C62A5" w:rsidP="00AA6335">
            <w:pPr>
              <w:tabs>
                <w:tab w:val="decimal" w:pos="426"/>
              </w:tabs>
              <w:rPr>
                <w:sz w:val="20"/>
                <w:szCs w:val="20"/>
                <w:lang w:val="en-GB"/>
              </w:rPr>
            </w:pPr>
            <w:r w:rsidRPr="00C3671E">
              <w:rPr>
                <w:sz w:val="20"/>
                <w:szCs w:val="20"/>
                <w:lang w:val="en-GB"/>
              </w:rPr>
              <w:t>-0.003</w:t>
            </w:r>
          </w:p>
        </w:tc>
      </w:tr>
      <w:tr w:rsidR="006C62A5" w:rsidRPr="00C3671E" w14:paraId="419FB3F5" w14:textId="77777777" w:rsidTr="00AA6335">
        <w:trPr>
          <w:trHeight w:val="340"/>
        </w:trPr>
        <w:tc>
          <w:tcPr>
            <w:tcW w:w="3728" w:type="dxa"/>
            <w:shd w:val="clear" w:color="auto" w:fill="auto"/>
            <w:vAlign w:val="center"/>
          </w:tcPr>
          <w:p w14:paraId="3D372C6A" w14:textId="77777777" w:rsidR="006C62A5" w:rsidRPr="00C3671E" w:rsidRDefault="006C62A5" w:rsidP="00AA6335">
            <w:pPr>
              <w:rPr>
                <w:sz w:val="20"/>
                <w:szCs w:val="20"/>
                <w:lang w:val="en-GB"/>
              </w:rPr>
            </w:pPr>
            <w:r w:rsidRPr="00C3671E">
              <w:rPr>
                <w:sz w:val="20"/>
                <w:szCs w:val="20"/>
                <w:lang w:val="en-GB"/>
              </w:rPr>
              <w:t>Standardized proportion employees in social services</w:t>
            </w:r>
          </w:p>
        </w:tc>
        <w:tc>
          <w:tcPr>
            <w:tcW w:w="1464" w:type="dxa"/>
            <w:shd w:val="clear" w:color="auto" w:fill="auto"/>
            <w:vAlign w:val="center"/>
          </w:tcPr>
          <w:p w14:paraId="08AFA325" w14:textId="77777777" w:rsidR="006C62A5" w:rsidRPr="00C3671E" w:rsidRDefault="006C62A5" w:rsidP="00AA6335">
            <w:pPr>
              <w:tabs>
                <w:tab w:val="decimal" w:pos="426"/>
              </w:tabs>
              <w:rPr>
                <w:sz w:val="20"/>
                <w:szCs w:val="20"/>
                <w:lang w:val="en-GB"/>
              </w:rPr>
            </w:pPr>
            <w:r w:rsidRPr="00C3671E">
              <w:rPr>
                <w:sz w:val="20"/>
                <w:szCs w:val="20"/>
                <w:lang w:val="en-GB"/>
              </w:rPr>
              <w:t>-0.126</w:t>
            </w:r>
          </w:p>
        </w:tc>
        <w:tc>
          <w:tcPr>
            <w:tcW w:w="1465" w:type="dxa"/>
            <w:shd w:val="clear" w:color="auto" w:fill="auto"/>
            <w:vAlign w:val="center"/>
          </w:tcPr>
          <w:p w14:paraId="5512849A" w14:textId="77777777" w:rsidR="006C62A5" w:rsidRPr="00C3671E" w:rsidRDefault="006C62A5" w:rsidP="00AA6335">
            <w:pPr>
              <w:tabs>
                <w:tab w:val="decimal" w:pos="426"/>
              </w:tabs>
              <w:rPr>
                <w:sz w:val="20"/>
                <w:szCs w:val="20"/>
                <w:lang w:val="en-GB"/>
              </w:rPr>
            </w:pPr>
            <w:r w:rsidRPr="00C3671E">
              <w:rPr>
                <w:sz w:val="20"/>
                <w:szCs w:val="20"/>
                <w:lang w:val="en-GB"/>
              </w:rPr>
              <w:t>0.262**</w:t>
            </w:r>
          </w:p>
        </w:tc>
        <w:tc>
          <w:tcPr>
            <w:tcW w:w="1465" w:type="dxa"/>
            <w:shd w:val="clear" w:color="auto" w:fill="auto"/>
            <w:vAlign w:val="center"/>
          </w:tcPr>
          <w:p w14:paraId="4275F0B2" w14:textId="77777777" w:rsidR="006C62A5" w:rsidRPr="00C3671E" w:rsidRDefault="006C62A5" w:rsidP="00AA6335">
            <w:pPr>
              <w:tabs>
                <w:tab w:val="decimal" w:pos="426"/>
              </w:tabs>
              <w:rPr>
                <w:sz w:val="20"/>
                <w:szCs w:val="20"/>
                <w:lang w:val="en-GB"/>
              </w:rPr>
            </w:pPr>
            <w:r w:rsidRPr="00C3671E">
              <w:rPr>
                <w:sz w:val="20"/>
                <w:szCs w:val="20"/>
                <w:lang w:val="en-GB"/>
              </w:rPr>
              <w:t>-0.388***</w:t>
            </w:r>
          </w:p>
        </w:tc>
      </w:tr>
      <w:tr w:rsidR="006C62A5" w:rsidRPr="00C3671E" w14:paraId="1757C3B0" w14:textId="77777777" w:rsidTr="00AA6335">
        <w:trPr>
          <w:trHeight w:val="340"/>
        </w:trPr>
        <w:tc>
          <w:tcPr>
            <w:tcW w:w="3728" w:type="dxa"/>
            <w:shd w:val="clear" w:color="auto" w:fill="auto"/>
            <w:vAlign w:val="center"/>
          </w:tcPr>
          <w:p w14:paraId="26C788EF" w14:textId="77777777" w:rsidR="006C62A5" w:rsidRPr="00C3671E" w:rsidRDefault="006C62A5" w:rsidP="00AA6335">
            <w:pPr>
              <w:rPr>
                <w:sz w:val="20"/>
                <w:szCs w:val="20"/>
                <w:lang w:val="en-GB"/>
              </w:rPr>
            </w:pPr>
            <w:r w:rsidRPr="00C3671E">
              <w:rPr>
                <w:sz w:val="20"/>
                <w:szCs w:val="20"/>
                <w:lang w:val="en-GB"/>
              </w:rPr>
              <w:t>Standardized proportion in social services*care activities</w:t>
            </w:r>
          </w:p>
        </w:tc>
        <w:tc>
          <w:tcPr>
            <w:tcW w:w="1464" w:type="dxa"/>
            <w:shd w:val="clear" w:color="auto" w:fill="auto"/>
            <w:vAlign w:val="center"/>
          </w:tcPr>
          <w:p w14:paraId="4FDD04E0" w14:textId="77777777" w:rsidR="006C62A5" w:rsidRPr="00C3671E" w:rsidRDefault="006C62A5" w:rsidP="00AA6335">
            <w:pPr>
              <w:tabs>
                <w:tab w:val="decimal" w:pos="426"/>
              </w:tabs>
              <w:rPr>
                <w:sz w:val="20"/>
                <w:szCs w:val="20"/>
                <w:lang w:val="en-GB"/>
              </w:rPr>
            </w:pPr>
            <w:r w:rsidRPr="00C3671E">
              <w:rPr>
                <w:sz w:val="20"/>
                <w:szCs w:val="20"/>
                <w:lang w:val="en-GB"/>
              </w:rPr>
              <w:t>0.082**</w:t>
            </w:r>
          </w:p>
        </w:tc>
        <w:tc>
          <w:tcPr>
            <w:tcW w:w="1465" w:type="dxa"/>
            <w:shd w:val="clear" w:color="auto" w:fill="auto"/>
            <w:vAlign w:val="center"/>
          </w:tcPr>
          <w:p w14:paraId="6D10ED39" w14:textId="77777777" w:rsidR="006C62A5" w:rsidRPr="00C3671E" w:rsidRDefault="006C62A5" w:rsidP="00AA6335">
            <w:pPr>
              <w:tabs>
                <w:tab w:val="decimal" w:pos="426"/>
              </w:tabs>
              <w:rPr>
                <w:sz w:val="20"/>
                <w:szCs w:val="20"/>
                <w:lang w:val="en-GB"/>
              </w:rPr>
            </w:pPr>
            <w:r w:rsidRPr="00C3671E">
              <w:rPr>
                <w:sz w:val="20"/>
                <w:szCs w:val="20"/>
                <w:lang w:val="en-GB"/>
              </w:rPr>
              <w:t>-0.005</w:t>
            </w:r>
          </w:p>
        </w:tc>
        <w:tc>
          <w:tcPr>
            <w:tcW w:w="1465" w:type="dxa"/>
            <w:shd w:val="clear" w:color="auto" w:fill="auto"/>
            <w:vAlign w:val="center"/>
          </w:tcPr>
          <w:p w14:paraId="3D699A78" w14:textId="77777777" w:rsidR="006C62A5" w:rsidRPr="00C3671E" w:rsidRDefault="006C62A5" w:rsidP="00AA6335">
            <w:pPr>
              <w:tabs>
                <w:tab w:val="decimal" w:pos="426"/>
              </w:tabs>
              <w:rPr>
                <w:sz w:val="20"/>
                <w:szCs w:val="20"/>
                <w:lang w:val="en-GB"/>
              </w:rPr>
            </w:pPr>
            <w:r w:rsidRPr="00C3671E">
              <w:rPr>
                <w:sz w:val="20"/>
                <w:szCs w:val="20"/>
                <w:lang w:val="en-GB"/>
              </w:rPr>
              <w:t>0.053*</w:t>
            </w:r>
          </w:p>
        </w:tc>
      </w:tr>
      <w:tr w:rsidR="006C62A5" w:rsidRPr="00C3671E" w14:paraId="088E0973" w14:textId="77777777" w:rsidTr="00AA6335">
        <w:trPr>
          <w:trHeight w:val="340"/>
        </w:trPr>
        <w:tc>
          <w:tcPr>
            <w:tcW w:w="3728" w:type="dxa"/>
            <w:shd w:val="clear" w:color="auto" w:fill="auto"/>
            <w:vAlign w:val="center"/>
          </w:tcPr>
          <w:p w14:paraId="1CFB0577" w14:textId="77777777" w:rsidR="006C62A5" w:rsidRPr="00C3671E" w:rsidRDefault="006C62A5" w:rsidP="00AA6335">
            <w:pPr>
              <w:rPr>
                <w:sz w:val="20"/>
                <w:szCs w:val="20"/>
                <w:lang w:val="en-GB"/>
              </w:rPr>
            </w:pPr>
            <w:r w:rsidRPr="00C3671E">
              <w:rPr>
                <w:sz w:val="20"/>
                <w:szCs w:val="20"/>
                <w:lang w:val="en-GB"/>
              </w:rPr>
              <w:t>Cut point 1</w:t>
            </w:r>
          </w:p>
        </w:tc>
        <w:tc>
          <w:tcPr>
            <w:tcW w:w="1464" w:type="dxa"/>
            <w:shd w:val="clear" w:color="auto" w:fill="auto"/>
            <w:vAlign w:val="center"/>
          </w:tcPr>
          <w:p w14:paraId="650D677E" w14:textId="77777777" w:rsidR="006C62A5" w:rsidRPr="00C3671E" w:rsidRDefault="006C62A5" w:rsidP="00AA6335">
            <w:pPr>
              <w:tabs>
                <w:tab w:val="decimal" w:pos="426"/>
              </w:tabs>
              <w:rPr>
                <w:sz w:val="20"/>
                <w:szCs w:val="20"/>
                <w:lang w:val="en-GB"/>
              </w:rPr>
            </w:pPr>
            <w:r w:rsidRPr="00C3671E">
              <w:rPr>
                <w:sz w:val="20"/>
                <w:szCs w:val="20"/>
                <w:lang w:val="en-GB"/>
              </w:rPr>
              <w:t>-0.258*</w:t>
            </w:r>
          </w:p>
        </w:tc>
        <w:tc>
          <w:tcPr>
            <w:tcW w:w="1465" w:type="dxa"/>
            <w:shd w:val="clear" w:color="auto" w:fill="auto"/>
            <w:vAlign w:val="center"/>
          </w:tcPr>
          <w:p w14:paraId="4E482EA1" w14:textId="77777777" w:rsidR="006C62A5" w:rsidRPr="00C3671E" w:rsidRDefault="006C62A5" w:rsidP="00AA6335">
            <w:pPr>
              <w:tabs>
                <w:tab w:val="decimal" w:pos="426"/>
              </w:tabs>
              <w:rPr>
                <w:sz w:val="20"/>
                <w:szCs w:val="20"/>
                <w:lang w:val="en-GB"/>
              </w:rPr>
            </w:pPr>
            <w:r w:rsidRPr="00C3671E">
              <w:rPr>
                <w:sz w:val="20"/>
                <w:szCs w:val="20"/>
                <w:lang w:val="en-GB"/>
              </w:rPr>
              <w:t>-2.739***</w:t>
            </w:r>
          </w:p>
        </w:tc>
        <w:tc>
          <w:tcPr>
            <w:tcW w:w="1465" w:type="dxa"/>
            <w:shd w:val="clear" w:color="auto" w:fill="auto"/>
            <w:vAlign w:val="center"/>
          </w:tcPr>
          <w:p w14:paraId="4231B8DF" w14:textId="77777777" w:rsidR="006C62A5" w:rsidRPr="00C3671E" w:rsidRDefault="006C62A5" w:rsidP="00AA6335">
            <w:pPr>
              <w:tabs>
                <w:tab w:val="decimal" w:pos="426"/>
              </w:tabs>
              <w:rPr>
                <w:sz w:val="20"/>
                <w:szCs w:val="20"/>
                <w:lang w:val="en-GB"/>
              </w:rPr>
            </w:pPr>
            <w:r w:rsidRPr="00C3671E">
              <w:rPr>
                <w:sz w:val="20"/>
                <w:szCs w:val="20"/>
                <w:lang w:val="en-GB"/>
              </w:rPr>
              <w:t>-0.824***</w:t>
            </w:r>
          </w:p>
        </w:tc>
      </w:tr>
      <w:tr w:rsidR="006C62A5" w:rsidRPr="00C3671E" w14:paraId="5CD3120E" w14:textId="77777777" w:rsidTr="00AA6335">
        <w:trPr>
          <w:trHeight w:val="340"/>
        </w:trPr>
        <w:tc>
          <w:tcPr>
            <w:tcW w:w="3728" w:type="dxa"/>
            <w:shd w:val="clear" w:color="auto" w:fill="auto"/>
            <w:vAlign w:val="center"/>
          </w:tcPr>
          <w:p w14:paraId="4C0D2A5D" w14:textId="77777777" w:rsidR="006C62A5" w:rsidRPr="00C3671E" w:rsidRDefault="006C62A5" w:rsidP="00AA6335">
            <w:pPr>
              <w:rPr>
                <w:sz w:val="20"/>
                <w:szCs w:val="20"/>
                <w:lang w:val="en-GB"/>
              </w:rPr>
            </w:pPr>
            <w:r w:rsidRPr="00C3671E">
              <w:rPr>
                <w:sz w:val="20"/>
                <w:szCs w:val="20"/>
                <w:lang w:val="en-GB"/>
              </w:rPr>
              <w:t>Cut point 2</w:t>
            </w:r>
          </w:p>
        </w:tc>
        <w:tc>
          <w:tcPr>
            <w:tcW w:w="1464" w:type="dxa"/>
            <w:shd w:val="clear" w:color="auto" w:fill="auto"/>
            <w:vAlign w:val="center"/>
          </w:tcPr>
          <w:p w14:paraId="301F045C" w14:textId="77777777" w:rsidR="006C62A5" w:rsidRPr="00C3671E" w:rsidRDefault="006C62A5" w:rsidP="00AA6335">
            <w:pPr>
              <w:tabs>
                <w:tab w:val="decimal" w:pos="426"/>
              </w:tabs>
              <w:rPr>
                <w:sz w:val="20"/>
                <w:szCs w:val="20"/>
                <w:lang w:val="en-GB"/>
              </w:rPr>
            </w:pPr>
            <w:r w:rsidRPr="00C3671E">
              <w:rPr>
                <w:sz w:val="20"/>
                <w:szCs w:val="20"/>
                <w:lang w:val="en-GB"/>
              </w:rPr>
              <w:t>1.458***</w:t>
            </w:r>
          </w:p>
        </w:tc>
        <w:tc>
          <w:tcPr>
            <w:tcW w:w="1465" w:type="dxa"/>
            <w:shd w:val="clear" w:color="auto" w:fill="auto"/>
            <w:vAlign w:val="center"/>
          </w:tcPr>
          <w:p w14:paraId="30F6F758" w14:textId="77777777" w:rsidR="006C62A5" w:rsidRPr="00C3671E" w:rsidRDefault="006C62A5" w:rsidP="00AA6335">
            <w:pPr>
              <w:tabs>
                <w:tab w:val="decimal" w:pos="426"/>
              </w:tabs>
              <w:rPr>
                <w:sz w:val="20"/>
                <w:szCs w:val="20"/>
                <w:lang w:val="en-GB"/>
              </w:rPr>
            </w:pPr>
            <w:r w:rsidRPr="00C3671E">
              <w:rPr>
                <w:sz w:val="20"/>
                <w:szCs w:val="20"/>
                <w:lang w:val="en-GB"/>
              </w:rPr>
              <w:t>-1.308***</w:t>
            </w:r>
          </w:p>
        </w:tc>
        <w:tc>
          <w:tcPr>
            <w:tcW w:w="1465" w:type="dxa"/>
            <w:shd w:val="clear" w:color="auto" w:fill="auto"/>
            <w:vAlign w:val="center"/>
          </w:tcPr>
          <w:p w14:paraId="0D7BAE1C" w14:textId="77777777" w:rsidR="006C62A5" w:rsidRPr="00C3671E" w:rsidRDefault="006C62A5" w:rsidP="00AA6335">
            <w:pPr>
              <w:tabs>
                <w:tab w:val="decimal" w:pos="426"/>
              </w:tabs>
              <w:rPr>
                <w:sz w:val="20"/>
                <w:szCs w:val="20"/>
                <w:lang w:val="en-GB"/>
              </w:rPr>
            </w:pPr>
            <w:r w:rsidRPr="00C3671E">
              <w:rPr>
                <w:sz w:val="20"/>
                <w:szCs w:val="20"/>
                <w:lang w:val="en-GB"/>
              </w:rPr>
              <w:t>0.734***</w:t>
            </w:r>
          </w:p>
        </w:tc>
      </w:tr>
      <w:tr w:rsidR="006C62A5" w:rsidRPr="00C3671E" w14:paraId="12CD01BD" w14:textId="77777777" w:rsidTr="00AA6335">
        <w:trPr>
          <w:trHeight w:val="340"/>
        </w:trPr>
        <w:tc>
          <w:tcPr>
            <w:tcW w:w="3728" w:type="dxa"/>
            <w:tcBorders>
              <w:bottom w:val="single" w:sz="12" w:space="0" w:color="auto"/>
            </w:tcBorders>
            <w:shd w:val="clear" w:color="auto" w:fill="auto"/>
            <w:vAlign w:val="center"/>
          </w:tcPr>
          <w:p w14:paraId="28689188" w14:textId="77777777" w:rsidR="006C62A5" w:rsidRPr="00C3671E" w:rsidRDefault="006C62A5" w:rsidP="00AA6335">
            <w:pPr>
              <w:rPr>
                <w:sz w:val="20"/>
                <w:szCs w:val="20"/>
                <w:lang w:val="en-GB"/>
              </w:rPr>
            </w:pPr>
            <w:r w:rsidRPr="00C3671E">
              <w:rPr>
                <w:sz w:val="20"/>
                <w:szCs w:val="20"/>
                <w:lang w:val="en-GB"/>
              </w:rPr>
              <w:t>Cut point 3</w:t>
            </w:r>
          </w:p>
        </w:tc>
        <w:tc>
          <w:tcPr>
            <w:tcW w:w="1464" w:type="dxa"/>
            <w:tcBorders>
              <w:bottom w:val="single" w:sz="12" w:space="0" w:color="auto"/>
            </w:tcBorders>
            <w:shd w:val="clear" w:color="auto" w:fill="auto"/>
            <w:vAlign w:val="center"/>
          </w:tcPr>
          <w:p w14:paraId="4EA3DE34" w14:textId="77777777" w:rsidR="006C62A5" w:rsidRPr="00C3671E" w:rsidRDefault="006C62A5" w:rsidP="00AA6335">
            <w:pPr>
              <w:tabs>
                <w:tab w:val="decimal" w:pos="426"/>
              </w:tabs>
              <w:rPr>
                <w:sz w:val="20"/>
                <w:szCs w:val="20"/>
                <w:lang w:val="en-GB"/>
              </w:rPr>
            </w:pPr>
          </w:p>
        </w:tc>
        <w:tc>
          <w:tcPr>
            <w:tcW w:w="1465" w:type="dxa"/>
            <w:tcBorders>
              <w:bottom w:val="single" w:sz="12" w:space="0" w:color="auto"/>
            </w:tcBorders>
            <w:shd w:val="clear" w:color="auto" w:fill="auto"/>
            <w:vAlign w:val="center"/>
          </w:tcPr>
          <w:p w14:paraId="7F905BE2" w14:textId="77777777" w:rsidR="006C62A5" w:rsidRPr="00C3671E" w:rsidRDefault="006C62A5" w:rsidP="00AA6335">
            <w:pPr>
              <w:tabs>
                <w:tab w:val="decimal" w:pos="426"/>
              </w:tabs>
              <w:rPr>
                <w:sz w:val="20"/>
                <w:szCs w:val="20"/>
                <w:lang w:val="en-GB"/>
              </w:rPr>
            </w:pPr>
            <w:r w:rsidRPr="00C3671E">
              <w:rPr>
                <w:sz w:val="20"/>
                <w:szCs w:val="20"/>
                <w:lang w:val="en-GB"/>
              </w:rPr>
              <w:t>0.382***</w:t>
            </w:r>
          </w:p>
        </w:tc>
        <w:tc>
          <w:tcPr>
            <w:tcW w:w="1465" w:type="dxa"/>
            <w:tcBorders>
              <w:bottom w:val="single" w:sz="12" w:space="0" w:color="auto"/>
            </w:tcBorders>
            <w:shd w:val="clear" w:color="auto" w:fill="auto"/>
            <w:vAlign w:val="center"/>
          </w:tcPr>
          <w:p w14:paraId="6021FBFD" w14:textId="77777777" w:rsidR="006C62A5" w:rsidRPr="00C3671E" w:rsidRDefault="006C62A5" w:rsidP="00AA6335">
            <w:pPr>
              <w:tabs>
                <w:tab w:val="decimal" w:pos="426"/>
              </w:tabs>
              <w:rPr>
                <w:sz w:val="20"/>
                <w:szCs w:val="20"/>
                <w:lang w:val="en-GB"/>
              </w:rPr>
            </w:pPr>
            <w:r w:rsidRPr="00C3671E">
              <w:rPr>
                <w:sz w:val="20"/>
                <w:szCs w:val="20"/>
                <w:lang w:val="en-GB"/>
              </w:rPr>
              <w:t>2.120***</w:t>
            </w:r>
          </w:p>
        </w:tc>
      </w:tr>
    </w:tbl>
    <w:p w14:paraId="5DC8678E" w14:textId="77777777" w:rsidR="006C62A5" w:rsidRPr="00C3671E" w:rsidRDefault="006C62A5" w:rsidP="006C62A5">
      <w:pPr>
        <w:ind w:left="426"/>
        <w:rPr>
          <w:sz w:val="20"/>
          <w:szCs w:val="20"/>
          <w:lang w:val="en-GB"/>
        </w:rPr>
      </w:pPr>
      <w:r w:rsidRPr="00C3671E">
        <w:rPr>
          <w:i/>
          <w:sz w:val="20"/>
          <w:szCs w:val="20"/>
          <w:lang w:val="en-GB"/>
        </w:rPr>
        <w:t xml:space="preserve">Notes: </w:t>
      </w:r>
      <w:r w:rsidRPr="00C3671E">
        <w:rPr>
          <w:sz w:val="20"/>
          <w:szCs w:val="20"/>
          <w:lang w:val="en-GB"/>
        </w:rPr>
        <w:t>These calculations use data from SHARE, wave 5.</w:t>
      </w:r>
    </w:p>
    <w:p w14:paraId="6C399FC1" w14:textId="77777777" w:rsidR="006C62A5" w:rsidRPr="00C3671E" w:rsidRDefault="006C62A5" w:rsidP="006C62A5">
      <w:pPr>
        <w:ind w:left="426"/>
        <w:rPr>
          <w:sz w:val="20"/>
          <w:szCs w:val="20"/>
          <w:lang w:val="en-GB"/>
        </w:rPr>
      </w:pPr>
      <w:r w:rsidRPr="00C3671E">
        <w:rPr>
          <w:i/>
          <w:sz w:val="20"/>
          <w:szCs w:val="20"/>
          <w:lang w:val="en-GB"/>
        </w:rPr>
        <w:t xml:space="preserve">Significance levels: </w:t>
      </w:r>
      <w:r w:rsidRPr="00C3671E">
        <w:rPr>
          <w:sz w:val="20"/>
          <w:szCs w:val="20"/>
          <w:lang w:val="en-GB"/>
        </w:rPr>
        <w:t>+ p&lt;0.1, * p&lt;0.05, ** p&lt;0.01, *** p&lt;0.001.</w:t>
      </w:r>
    </w:p>
    <w:p w14:paraId="2902AD6A" w14:textId="77777777" w:rsidR="001A7940" w:rsidRPr="00C3671E" w:rsidRDefault="001A7940" w:rsidP="001A7940">
      <w:pPr>
        <w:suppressAutoHyphens/>
        <w:spacing w:line="480" w:lineRule="auto"/>
        <w:ind w:firstLine="397"/>
        <w:jc w:val="both"/>
        <w:rPr>
          <w:lang w:val="en-GB" w:eastAsia="zh-CN"/>
        </w:rPr>
      </w:pPr>
    </w:p>
    <w:p w14:paraId="66C3841C" w14:textId="77777777" w:rsidR="001A7940" w:rsidRPr="00C3671E" w:rsidRDefault="001A7940" w:rsidP="007E6D8E">
      <w:pPr>
        <w:pStyle w:val="Nadpis2"/>
        <w:spacing w:line="480" w:lineRule="auto"/>
        <w:rPr>
          <w:sz w:val="26"/>
          <w:szCs w:val="26"/>
          <w:lang w:val="en-GB"/>
        </w:rPr>
      </w:pPr>
      <w:bookmarkStart w:id="58" w:name="_Toc512687762"/>
      <w:r w:rsidRPr="00C3671E">
        <w:rPr>
          <w:sz w:val="26"/>
          <w:szCs w:val="26"/>
          <w:lang w:val="en-GB"/>
        </w:rPr>
        <w:t>Conclusion and Discussion</w:t>
      </w:r>
      <w:bookmarkEnd w:id="58"/>
    </w:p>
    <w:p w14:paraId="75B026BF" w14:textId="77777777" w:rsidR="001A7940" w:rsidRPr="00C3671E" w:rsidRDefault="001A7940" w:rsidP="00466C1F">
      <w:pPr>
        <w:suppressAutoHyphens/>
        <w:spacing w:line="480" w:lineRule="auto"/>
        <w:jc w:val="both"/>
        <w:rPr>
          <w:lang w:eastAsia="zh-CN"/>
        </w:rPr>
      </w:pPr>
      <w:r w:rsidRPr="00C3671E">
        <w:rPr>
          <w:lang w:eastAsia="zh-CN"/>
        </w:rPr>
        <w:t xml:space="preserve">This study has investigated the effect of caregiving on three domains of QoL among older people. This paper contributes to this frequently researched topic in the following </w:t>
      </w:r>
      <w:r w:rsidRPr="00466C1F">
        <w:rPr>
          <w:rFonts w:eastAsia="Calibri"/>
          <w:lang w:val="en-GB" w:eastAsia="en-US"/>
        </w:rPr>
        <w:t>ways</w:t>
      </w:r>
      <w:r w:rsidRPr="00C3671E">
        <w:rPr>
          <w:lang w:eastAsia="zh-CN"/>
        </w:rPr>
        <w:t xml:space="preserve">: a) care for all possible types of recipients is considered; b) the frequency, multiplicity, and voluntariness of caregiving are included in the analysis as characteristics of care, mediating its outcomes; c) specific domains of </w:t>
      </w:r>
      <w:r w:rsidRPr="00C3671E">
        <w:t>QoL</w:t>
      </w:r>
      <w:r w:rsidRPr="00C3671E">
        <w:rPr>
          <w:lang w:eastAsia="zh-CN"/>
        </w:rPr>
        <w:t xml:space="preserve"> relevant for later life are used instead of some vague concept; and d) the effect of macro-context is investigated in the analysis through the </w:t>
      </w:r>
      <w:r w:rsidRPr="00C3671E">
        <w:rPr>
          <w:lang w:eastAsia="zh-CN"/>
        </w:rPr>
        <w:lastRenderedPageBreak/>
        <w:t>availability of formal care as a precondition for voluntary provision of care. The paper uses data from SHARE and draws the following conclusions.</w:t>
      </w:r>
    </w:p>
    <w:p w14:paraId="01CB61E8" w14:textId="18ADCA7A" w:rsidR="001A7940" w:rsidRPr="00C3671E" w:rsidRDefault="001A7940" w:rsidP="00466C1F">
      <w:pPr>
        <w:pStyle w:val="Newparagraph"/>
        <w:jc w:val="both"/>
        <w:rPr>
          <w:lang w:eastAsia="zh-CN"/>
        </w:rPr>
      </w:pPr>
      <w:r w:rsidRPr="00C3671E">
        <w:rPr>
          <w:i/>
          <w:lang w:eastAsia="zh-CN"/>
        </w:rPr>
        <w:t>The effect of caregiving on the three domains of QoL is generally beneficial.</w:t>
      </w:r>
      <w:r w:rsidRPr="00C3671E">
        <w:rPr>
          <w:lang w:eastAsia="zh-CN"/>
        </w:rPr>
        <w:t xml:space="preserve"> The multivariate association between provision of care and desirable outcomes in terms of reduced loneliness, more meaningfulness in life, and lower overload is positive. It is not possible to empirically test a causal </w:t>
      </w:r>
      <w:r w:rsidRPr="00C3671E">
        <w:t>relationship</w:t>
      </w:r>
      <w:r w:rsidRPr="00C3671E">
        <w:rPr>
          <w:lang w:eastAsia="zh-CN"/>
        </w:rPr>
        <w:t xml:space="preserve"> here, but the theory and previous research claim that this association mostly works in terms of the caregiving influencing subjective QoL </w:t>
      </w:r>
      <w:r w:rsidRPr="00C3671E">
        <w:rPr>
          <w:lang w:eastAsia="zh-CN"/>
        </w:rPr>
        <w:fldChar w:fldCharType="begin" w:fldLock="1"/>
      </w:r>
      <w:r w:rsidR="001257AA" w:rsidRPr="00C3671E">
        <w:rPr>
          <w:lang w:eastAsia="zh-CN"/>
        </w:rPr>
        <w:instrText>ADDIN CSL_CITATION { "citationItems" : [ { "id" : "ITEM-1", "itemData" : { "DOI" : "10.1177/003288553401400202", "ISBN" : "9789264097759", "ISSN" : "0032-8855", "PMID" : "24443734", "abstract" : "When a young person is jobless, it also damages family, community, and country", "author" : [ { "dropping-particle" : "", "family" : "Colombo", "given" : "Francesca", "non-dropping-particle" : "", "parse-names" : false, "suffix" : "" }, { "dropping-particle" : "", "family" : "Llena-Nozal", "given" : "Ana", "non-dropping-particle" : "", "parse-names" : false, "suffix" : "" }, { "dropping-particle" : "", "family" : "Mercier", "given" : "J\u00e9r\u00f4me", "non-dropping-particle" : "", "parse-names" : false, "suffix" : "" }, { "dropping-particle" : "", "family" : "Tjadens", "given" : "Frits", "non-dropping-particle" : "", "parse-names" : false, "suffix" : "" } ], "id" : "ITEM-1", "issued" : { "date-parts" : [ [ "2011" ] ] }, "publisher" : "OECD Publishing", "publisher-place" : "Paris", "title" : "Help Wanted? Providing and Paying for Long-Term Care", "type" : "book" }, "uris" : [ "http://www.mendeley.com/documents/?uuid=0369a866-d1da-45d0-b6c4-0d3653bc82c7" ] }, { "id" : "ITEM-2", "itemData" : { "DOI" : "10.1017/S0144686X07006629", "ISBN" : "1469-1779", "ISSN" : "0144-686X", "abstract" : "Gerontologists have emphasised that older adults are not only recipients of support but also important support providers. Using data from the first wave of the Netherlands Kinship Panel Study of 727 middle-generation adults aged 45 to 79 years, we examined the associations between loneliness and giving support up, across and down family lineages. Overall, the findings were consistent more with an altruism perspective, that giving brings rewards, than with an exchange perspective, which emphasises the costs of giving support. The results showed an inverse relationship between the number of generations supported and loneliness, and that those engaged in balanced exchanges with family members in three generations (parents, siblings and children) were generally the least lonely. As regards the direction of support giving, the findings showed that the association between giving support and loneliness was insignificant if the support was for parents, negative for support to siblings, and positive for support to children. Imbalanced support exchanges were differentially associated with loneliness, and depended on the type of family relationship involved. Non-reciprocated support made parents more vulnerable to loneliness, whereas non-reciprocated giving in sibling ties was associated with low levels of loneliness. Imbalanced support giving in relationships with parents was not associated with loneliness.", "author" : [ { "dropping-particle" : "", "family" : "Jong Gierveld", "given" : "Jenny", "non-dropping-particle" : "De", "parse-names" : false, "suffix" : "" }, { "dropping-particle" : "", "family" : "Dykstra", "given" : "Pearl A.", "non-dropping-particle" : "", "parse-names" : false, "suffix" : "" } ], "container-title" : "Ageing and Society", "id" : "ITEM-2", "issue" : "02", "issued" : { "date-parts" : [ [ "2008" ] ] }, "page" : "271-287", "title" : "Virtue is its own reward? Support-giving in the family and loneliness in middle and old age", "type" : "article-journal", "volume" : "28" }, "uris" : [ "http://www.mendeley.com/documents/?uuid=51cd63fa-a8cd-488c-be10-d4ffd8214b5c" ] } ], "mendeley" : { "formattedCitation" : "(Colombo et al. 2011; De Jong Gierveld and Dykstra 2008)", "plainTextFormattedCitation" : "(Colombo et al. 2011; De Jong Gierveld and Dykstra 2008)", "previouslyFormattedCitation" : "(Colombo et al. 2011; De Jong Gierveld and Dykstra 2008)" }, "properties" : { "noteIndex" : 0 }, "schema" : "https://github.com/citation-style-language/schema/raw/master/csl-citation.json" }</w:instrText>
      </w:r>
      <w:r w:rsidRPr="00C3671E">
        <w:rPr>
          <w:lang w:eastAsia="zh-CN"/>
        </w:rPr>
        <w:fldChar w:fldCharType="separate"/>
      </w:r>
      <w:r w:rsidR="00A91559" w:rsidRPr="00C3671E">
        <w:rPr>
          <w:noProof/>
          <w:lang w:eastAsia="zh-CN"/>
        </w:rPr>
        <w:t>(Colombo et al. 2011; De Jong Gierveld and Dykstra 2008)</w:t>
      </w:r>
      <w:r w:rsidRPr="00C3671E">
        <w:rPr>
          <w:lang w:eastAsia="zh-CN"/>
        </w:rPr>
        <w:fldChar w:fldCharType="end"/>
      </w:r>
      <w:r w:rsidRPr="00C3671E">
        <w:rPr>
          <w:lang w:eastAsia="zh-CN"/>
        </w:rPr>
        <w:t xml:space="preserve">. Most of these findings are in accordance with expectations, but the fact that the provision of care reduces overload contrasts with the assumption of the theory of role strain </w:t>
      </w:r>
      <w:r w:rsidRPr="00C3671E">
        <w:rPr>
          <w:lang w:eastAsia="zh-CN"/>
        </w:rPr>
        <w:fldChar w:fldCharType="begin" w:fldLock="1"/>
      </w:r>
      <w:r w:rsidR="001257AA" w:rsidRPr="00C3671E">
        <w:rPr>
          <w:lang w:eastAsia="zh-CN"/>
        </w:rPr>
        <w:instrText>ADDIN CSL_CITATION { "citationItems" : [ { "id" : "ITEM-1", "itemData" : { "DOI" : "10.1177/003288553401400202", "ISBN" : "9789264097759", "ISSN" : "0032-8855", "PMID" : "24443734", "abstract" : "When a young person is jobless, it also damages family, community, and country", "author" : [ { "dropping-particle" : "", "family" : "Colombo", "given" : "Francesca", "non-dropping-particle" : "", "parse-names" : false, "suffix" : "" }, { "dropping-particle" : "", "family" : "Llena-Nozal", "given" : "Ana", "non-dropping-particle" : "", "parse-names" : false, "suffix" : "" }, { "dropping-particle" : "", "family" : "Mercier", "given" : "J\u00e9r\u00f4me", "non-dropping-particle" : "", "parse-names" : false, "suffix" : "" }, { "dropping-particle" : "", "family" : "Tjadens", "given" : "Frits", "non-dropping-particle" : "", "parse-names" : false, "suffix" : "" } ], "id" : "ITEM-1", "issued" : { "date-parts" : [ [ "2011" ] ] }, "publisher" : "OECD Publishing", "publisher-place" : "Paris", "title" : "Help Wanted? Providing and Paying for Long-Term Care", "type" : "book" }, "uris" : [ "http://www.mendeley.com/documents/?uuid=0369a866-d1da-45d0-b6c4-0d3653bc82c7" ] }, { "id" : "ITEM-2", "itemData" : { "DOI" : "10.1177/0038040709356567", "ISBN" : "063120301X", "ISSN" : "0036-8075", "PMID" : "17806662", "author" : [ { "dropping-particle" : "", "family" : "Goode", "given" : "William J", "non-dropping-particle" : "", "parse-names" : false, "suffix" : "" } ], "container-title" : "American Sociological Review", "id" : "ITEM-2", "issue" : "4", "issued" : { "date-parts" : [ [ "1960" ] ] }, "page" : "483-496", "title" : "A Theory of Role Strain", "type" : "article-journal", "volume" : "25" }, "uris" : [ "http://www.mendeley.com/documents/?uuid=fa5664e7-4c35-4e1f-ab5d-837ee62474a6" ] } ], "mendeley" : { "formattedCitation" : "(Colombo et al. 2011; Goode 1960)", "plainTextFormattedCitation" : "(Colombo et al. 2011; Goode 1960)", "previouslyFormattedCitation" : "(Colombo et al. 2011; Goode 1960)" }, "properties" : { "noteIndex" : 0 }, "schema" : "https://github.com/citation-style-language/schema/raw/master/csl-citation.json" }</w:instrText>
      </w:r>
      <w:r w:rsidRPr="00C3671E">
        <w:rPr>
          <w:lang w:eastAsia="zh-CN"/>
        </w:rPr>
        <w:fldChar w:fldCharType="separate"/>
      </w:r>
      <w:r w:rsidR="00A91559" w:rsidRPr="00C3671E">
        <w:rPr>
          <w:noProof/>
          <w:lang w:eastAsia="zh-CN"/>
        </w:rPr>
        <w:t>(Colombo et al. 2011; Goode 1960)</w:t>
      </w:r>
      <w:r w:rsidRPr="00C3671E">
        <w:rPr>
          <w:lang w:eastAsia="zh-CN"/>
        </w:rPr>
        <w:fldChar w:fldCharType="end"/>
      </w:r>
      <w:r w:rsidRPr="00C3671E">
        <w:rPr>
          <w:lang w:eastAsia="zh-CN"/>
        </w:rPr>
        <w:t>. The results overall indicate that the theory of role accumulation is more suitable for explaining caregiving in older ages than the theory of role strain.</w:t>
      </w:r>
    </w:p>
    <w:p w14:paraId="72779FC6" w14:textId="6CCF8943" w:rsidR="001A7940" w:rsidRPr="00C3671E" w:rsidRDefault="001A7940" w:rsidP="00466C1F">
      <w:pPr>
        <w:pStyle w:val="Newparagraph"/>
        <w:jc w:val="both"/>
        <w:rPr>
          <w:lang w:eastAsia="zh-CN"/>
        </w:rPr>
      </w:pPr>
      <w:r w:rsidRPr="00C3671E">
        <w:rPr>
          <w:lang w:eastAsia="zh-CN"/>
        </w:rPr>
        <w:t xml:space="preserve">Second, the multivariate association between the provision of care and QoL </w:t>
      </w:r>
      <w:r w:rsidRPr="00C3671E">
        <w:rPr>
          <w:i/>
          <w:lang w:eastAsia="zh-CN"/>
        </w:rPr>
        <w:t>depends on characteristics of the provided care.</w:t>
      </w:r>
      <w:r w:rsidRPr="00C3671E">
        <w:rPr>
          <w:lang w:eastAsia="zh-CN"/>
        </w:rPr>
        <w:t xml:space="preserve"> The effect of care provided weekly or more often is strongly beneficial, while the effect of caregiving daily is much weaker. </w:t>
      </w:r>
      <w:r w:rsidRPr="00C3671E">
        <w:t>Surprisingly</w:t>
      </w:r>
      <w:r w:rsidRPr="00C3671E">
        <w:rPr>
          <w:lang w:eastAsia="zh-CN"/>
        </w:rPr>
        <w:t xml:space="preserve">, the enhancing effect is more pronounced for the provision of care to more recipients – more care activities result in a more beneficial effect. This finding is valid even for very intensive care and is in accordance with the study by </w:t>
      </w:r>
      <w:r w:rsidRPr="00C3671E">
        <w:rPr>
          <w:lang w:eastAsia="zh-CN"/>
        </w:rPr>
        <w:fldChar w:fldCharType="begin" w:fldLock="1"/>
      </w:r>
      <w:r w:rsidR="00AA6335" w:rsidRPr="00C3671E">
        <w:rPr>
          <w:lang w:eastAsia="zh-CN"/>
        </w:rPr>
        <w:instrText>ADDIN CSL_CITATION { "citationItems" : [ { "id" : "ITEM-1", "itemData" : { "DOI" : "10.1017/S0144686X07006629", "ISBN" : "1469-1779", "ISSN" : "0144-686X", "abstract" : "Gerontologists have emphasised that older adults are not only recipients of support but also important support providers. Using data from the first wave of the Netherlands Kinship Panel Study of 727 middle-generation adults aged 45 to 79 years, we examined the associations between loneliness and giving support up, across and down family lineages. Overall, the findings were consistent more with an altruism perspective, that giving brings rewards, than with an exchange perspective, which emphasises the costs of giving support. The results showed an inverse relationship between the number of generations supported and loneliness, and that those engaged in balanced exchanges with family members in three generations (parents, siblings and children) were generally the least lonely. As regards the direction of support giving, the findings showed that the association between giving support and loneliness was insignificant if the support was for parents, negative for support to siblings, and positive for support to children. Imbalanced support exchanges were differentially associated with loneliness, and depended on the type of family relationship involved. Non-reciprocated support made parents more vulnerable to loneliness, whereas non-reciprocated giving in sibling ties was associated with low levels of loneliness. Imbalanced support giving in relationships with parents was not associated with loneliness.", "author" : [ { "dropping-particle" : "", "family" : "Jong Gierveld", "given" : "Jenny", "non-dropping-particle" : "De", "parse-names" : false, "suffix" : "" }, { "dropping-particle" : "", "family" : "Dykstra", "given" : "Pearl A.", "non-dropping-particle" : "", "parse-names" : false, "suffix" : "" } ], "container-title" : "Ageing and Society", "id" : "ITEM-1", "issue" : "02", "issued" : { "date-parts" : [ [ "2008" ] ] }, "page" : "271-287", "title" : "Virtue is its own reward? Support-giving in the family and loneliness in middle and old age", "type" : "article-journal", "volume" : "28" }, "uris" : [ "http://www.mendeley.com/documents/?uuid=51cd63fa-a8cd-488c-be10-d4ffd8214b5c" ] } ], "mendeley" : { "formattedCitation" : "(De Jong Gierveld and Dykstra 2008)", "manualFormatting" : "De Jong Gierveld and Dykstra (2008)", "plainTextFormattedCitation" : "(De Jong Gierveld and Dykstra 2008)", "previouslyFormattedCitation" : "(De Jong Gierveld and Dykstra 2008)" }, "properties" : { "noteIndex" : 0 }, "schema" : "https://github.com/citation-style-language/schema/raw/master/csl-citation.json" }</w:instrText>
      </w:r>
      <w:r w:rsidRPr="00C3671E">
        <w:rPr>
          <w:lang w:eastAsia="zh-CN"/>
        </w:rPr>
        <w:fldChar w:fldCharType="separate"/>
      </w:r>
      <w:r w:rsidRPr="00C3671E">
        <w:rPr>
          <w:noProof/>
          <w:lang w:eastAsia="zh-CN"/>
        </w:rPr>
        <w:t>De Jong Gierveld and Dykstra (2008)</w:t>
      </w:r>
      <w:r w:rsidRPr="00C3671E">
        <w:rPr>
          <w:lang w:eastAsia="zh-CN"/>
        </w:rPr>
        <w:fldChar w:fldCharType="end"/>
      </w:r>
      <w:r w:rsidRPr="00C3671E">
        <w:rPr>
          <w:lang w:eastAsia="zh-CN"/>
        </w:rPr>
        <w:t xml:space="preserve">, which interprets lower loneliness among people supporting more generations in terms of altruistic theory. The enhancing effects of multiple caregiving in this study could be interpreted in terms of maintaining more close contacts, performing meaningful activities, and following cultural norms </w:t>
      </w:r>
      <w:r w:rsidRPr="00C3671E">
        <w:rPr>
          <w:lang w:eastAsia="zh-CN"/>
        </w:rPr>
        <w:fldChar w:fldCharType="begin" w:fldLock="1"/>
      </w:r>
      <w:r w:rsidR="00AA6335" w:rsidRPr="00C3671E">
        <w:rPr>
          <w:lang w:eastAsia="zh-CN"/>
        </w:rPr>
        <w:instrText>ADDIN CSL_CITATION { "citationItems" : [ { "id" : "ITEM-1", "itemData" : { "DOI" : "10.1007/s10433-013-0294-4", "ISBN" : "1613-9372", "ISSN" : "1613-9372", "abstract" : "This study employs the concept of structured ambivalence to analyse the effect of grandchild care on quality of life (QoL) in different cultural contexts. We define structured ambivalence as the contradiction between behaviour and cultural norms. The analysis is based on the Survey of Health, Ageing and Retirement in Europe with 14 countries in the sample. We focus on grandparents aged 50 and over with at least one grandchild 12 years old or younger (n = 12,740). In countries with high grandparent obligations, grandparents who did not look after their grandchildren reported a lower quality of life. Compliance with such grandparental obligations (e.g. providing grandchild care in a country with high grandparent obligations) was found to increase the QoL of grandparents. Family policy should consider family practices that better match the realities of current grandparents\u2019 lives in order to reduce structured ambivalence and increase the QoL of grandparents.", "author" : [ { "dropping-particle" : "", "family" : "Neuberger", "given" : "Franz S.", "non-dropping-particle" : "", "parse-names" : false, "suffix" : "" }, { "dropping-particle" : "", "family" : "Haberkern", "given" : "Klaus", "non-dropping-particle" : "", "parse-names" : false, "suffix" : "" } ], "container-title" : "European Journal of Ageing", "id" : "ITEM-1", "issue" : "2", "issued" : { "date-parts" : [ [ "2014" ] ] }, "page" : "171-181", "title" : "Structured ambivalence in grandchild care and the quality of life among European grandparents", "type" : "article-journal", "volume" : "11" }, "uris" : [ "http://www.mendeley.com/documents/?uuid=f5b5cac1-e999-4c39-a97d-1363ab276312" ] } ], "mendeley" : { "formattedCitation" : "(Neuberger and Haberkern 2014)", "plainTextFormattedCitation" : "(Neuberger and Haberkern 2014)", "previouslyFormattedCitation" : "(Neuberger and Haberkern 2014)" }, "properties" : { "noteIndex" : 0 }, "schema" : "https://github.com/citation-style-language/schema/raw/master/csl-citation.json" }</w:instrText>
      </w:r>
      <w:r w:rsidRPr="00C3671E">
        <w:rPr>
          <w:lang w:eastAsia="zh-CN"/>
        </w:rPr>
        <w:fldChar w:fldCharType="separate"/>
      </w:r>
      <w:r w:rsidRPr="00C3671E">
        <w:rPr>
          <w:noProof/>
          <w:lang w:eastAsia="zh-CN"/>
        </w:rPr>
        <w:t>(Neuberger and Haberkern 2014)</w:t>
      </w:r>
      <w:r w:rsidRPr="00C3671E">
        <w:rPr>
          <w:lang w:eastAsia="zh-CN"/>
        </w:rPr>
        <w:fldChar w:fldCharType="end"/>
      </w:r>
      <w:r w:rsidRPr="00C3671E">
        <w:rPr>
          <w:lang w:eastAsia="zh-CN"/>
        </w:rPr>
        <w:t>.</w:t>
      </w:r>
    </w:p>
    <w:p w14:paraId="72396C5C" w14:textId="0CDD1783" w:rsidR="001A7940" w:rsidRPr="00C3671E" w:rsidRDefault="001A7940" w:rsidP="00466C1F">
      <w:pPr>
        <w:pStyle w:val="Newparagraph"/>
        <w:jc w:val="both"/>
        <w:rPr>
          <w:lang w:eastAsia="zh-CN"/>
        </w:rPr>
      </w:pPr>
      <w:r w:rsidRPr="00C3671E">
        <w:rPr>
          <w:lang w:eastAsia="zh-CN"/>
        </w:rPr>
        <w:t xml:space="preserve">Third, the paper shows that the effect of </w:t>
      </w:r>
      <w:r w:rsidRPr="00C3671E">
        <w:rPr>
          <w:i/>
          <w:lang w:eastAsia="zh-CN"/>
        </w:rPr>
        <w:t>caregiving performed at least weekly on overload and meaningfulness of life is more beneficial in countries with a higher availability of formal care</w:t>
      </w:r>
      <w:r w:rsidRPr="00C3671E">
        <w:rPr>
          <w:lang w:eastAsia="zh-CN"/>
        </w:rPr>
        <w:t xml:space="preserve">, but this association is </w:t>
      </w:r>
      <w:r w:rsidRPr="00C3671E">
        <w:rPr>
          <w:i/>
          <w:lang w:eastAsia="zh-CN"/>
        </w:rPr>
        <w:t>reversed or disappeared for care provided daily</w:t>
      </w:r>
      <w:r w:rsidRPr="00C3671E">
        <w:rPr>
          <w:lang w:eastAsia="zh-CN"/>
        </w:rPr>
        <w:t xml:space="preserve">. </w:t>
      </w:r>
      <w:r w:rsidRPr="00C3671E">
        <w:t>It</w:t>
      </w:r>
      <w:r w:rsidRPr="00C3671E">
        <w:rPr>
          <w:lang w:eastAsia="zh-CN"/>
        </w:rPr>
        <w:t xml:space="preserve"> is </w:t>
      </w:r>
      <w:r w:rsidRPr="00C3671E">
        <w:rPr>
          <w:lang w:eastAsia="zh-CN"/>
        </w:rPr>
        <w:lastRenderedPageBreak/>
        <w:t xml:space="preserve">possible that an occasional caregiver in a country with a strong social welfare system performs the most prevalent form of activity supported by both norms and social services. In contrast, a person providing very intensive care in the context of available formal care differs from the cultural pattern and may be in some way different or left behind by the social system </w:t>
      </w:r>
      <w:r w:rsidRPr="00C3671E">
        <w:rPr>
          <w:lang w:eastAsia="zh-CN"/>
        </w:rPr>
        <w:fldChar w:fldCharType="begin" w:fldLock="1"/>
      </w:r>
      <w:r w:rsidR="001257AA" w:rsidRPr="00C3671E">
        <w:rPr>
          <w:lang w:eastAsia="zh-CN"/>
        </w:rPr>
        <w:instrText>ADDIN CSL_CITATION { "citationItems" : [ { "id" : "ITEM-1", "itemData" : { "author" : [ { "dropping-particle" : "", "family" : "Fokkema", "given" : "Tineke", "non-dropping-particle" : "", "parse-names" : false, "suffix" : "" }, { "dropping-particle" : "", "family" : "Bekke", "given" : "Susan", "non-dropping-particle" : "ter", "parse-names" : false, "suffix" : "" }, { "dropping-particle" : "", "family" : "Dykstra", "given" : "Pearl", "non-dropping-particle" : "", "parse-names" : false, "suffix" : "" } ], "id" : "ITEM-1", "issued" : { "date-parts" : [ [ "2008" ] ] }, "publisher" : "Amsterdam University Press", "publisher-place" : "Amsterdam", "title" : "Solidarity between Parents and their Adult Children in Europe", "type" : "book" }, "uris" : [ "http://www.mendeley.com/documents/?uuid=fa61d8ab-c3a4-46f5-9ac9-51d7d6d9f45f" ] }, { "id" : "ITEM-2", "itemData" : { "DOI" : "10.1177/0958928711401766", "ISBN" : "0958928711", "ISSN" : "0958-9287", "abstract" : "As a consequence of increased life expectancies and the overall improved health status of elderly people in industrialized countries, grandparents and grandchildren are now sharing a longer period of their lives together, from which they can both actively benefit. In addition, grandparents help their children by looking after their grandchildren and are consequently an important service provider in the domain of childcare, especially for mothers active in the labour market. The analyses, which are based on the Survey of Health, Aging and Retirement in Europe (Austria, Belgium, Denmark, France, Germany, Greece, Italy, the Netherlands, Spain, Sweden and Switzerland), show significant country differences in the occurrence and intensity of grandchild care in Europe: whereas grandparents in southern Europe engage less often but more intensively in childcare, grandchild care is provided more often but much less intensively in northern Europe. Multilevel logistic regression models show that country-specific differences are associated with welfare state arrangements and, specifically, with public investments in childcare infrastructures. Public investments \u2018crowd in\u2019 grand- parental willingness to engage in childcare but \u2018crowd out\u2019 the intensity of this intergenerational time transfer. Family and state thus complement one another, with grandparents taking over sporadic, less time-intensive care while public institutions provide regular, time-consuming childcare services.", "author" : [ { "dropping-particle" : "", "family" : "Igel", "given" : "Corinne", "non-dropping-particle" : "", "parse-names" : false, "suffix" : "" }, { "dropping-particle" : "", "family" : "Szydlik", "given" : "Marc", "non-dropping-particle" : "", "parse-names" : false, "suffix" : "" } ], "container-title" : "Journal of European Social Policy", "id" : "ITEM-2", "issue" : "3", "issued" : { "date-parts" : [ [ "2011" ] ] }, "page" : "210-224", "title" : "Grandchild care and welfare state arrangements in Europe", "type" : "article-journal", "volume" : "21" }, "uris" : [ "http://www.mendeley.com/documents/?uuid=369c8a7e-8edd-4b60-93f4-c27b504df0cc" ] }, { "id" : "ITEM-3", "itemData" : { "DOI" : "10.1007/s10433-013-0294-4", "ISBN" : "1613-9372", "ISSN" : "1613-9372", "abstract" : "This study employs the concept of structured ambivalence to analyse the effect of grandchild care on quality of life (QoL) in different cultural contexts. We define structured ambivalence as the contradiction between behaviour and cultural norms. The analysis is based on the Survey of Health, Ageing and Retirement in Europe with 14 countries in the sample. We focus on grandparents aged 50 and over with at least one grandchild 12 years old or younger (n = 12,740). In countries with high grandparent obligations, grandparents who did not look after their grandchildren reported a lower quality of life. Compliance with such grandparental obligations (e.g. providing grandchild care in a country with high grandparent obligations) was found to increase the QoL of grandparents. Family policy should consider family practices that better match the realities of current grandparents\u2019 lives in order to reduce structured ambivalence and increase the QoL of grandparents.", "author" : [ { "dropping-particle" : "", "family" : "Neuberger", "given" : "Franz S.", "non-dropping-particle" : "", "parse-names" : false, "suffix" : "" }, { "dropping-particle" : "", "family" : "Haberkern", "given" : "Klaus", "non-dropping-particle" : "", "parse-names" : false, "suffix" : "" } ], "container-title" : "European Journal of Ageing", "id" : "ITEM-3", "issue" : "2", "issued" : { "date-parts" : [ [ "2014" ] ] }, "page" : "171-181", "title" : "Structured ambivalence in grandchild care and the quality of life among European grandparents", "type" : "article-journal", "volume" : "11" }, "uris" : [ "http://www.mendeley.com/documents/?uuid=f5b5cac1-e999-4c39-a97d-1363ab276312" ] } ], "mendeley" : { "formattedCitation" : "(Fokkema, ter Bekke, and Dykstra 2008; Igel and Szydlik 2011; Neuberger and Haberkern 2014)", "manualFormatting" : "(Fokkema et al. 2008; Igel and Szydlik 2011; Neuberger and Haberkern 2014)", "plainTextFormattedCitation" : "(Fokkema, ter Bekke, and Dykstra 2008; Igel and Szydlik 2011; Neuberger and Haberkern 2014)", "previouslyFormattedCitation" : "(Fokkema, ter Bekke, and Dykstra 2008; Igel and Szydlik 2011; Neuberger and Haberkern 2014)" }, "properties" : { "noteIndex" : 0 }, "schema" : "https://github.com/citation-style-language/schema/raw/master/csl-citation.json" }</w:instrText>
      </w:r>
      <w:r w:rsidRPr="00C3671E">
        <w:rPr>
          <w:lang w:eastAsia="zh-CN"/>
        </w:rPr>
        <w:fldChar w:fldCharType="separate"/>
      </w:r>
      <w:r w:rsidRPr="00C3671E">
        <w:rPr>
          <w:noProof/>
          <w:lang w:eastAsia="zh-CN"/>
        </w:rPr>
        <w:t xml:space="preserve">(Fokkema </w:t>
      </w:r>
      <w:r w:rsidRPr="00C3671E">
        <w:rPr>
          <w:i/>
          <w:noProof/>
          <w:lang w:eastAsia="zh-CN"/>
        </w:rPr>
        <w:t>et al.</w:t>
      </w:r>
      <w:r w:rsidRPr="00C3671E">
        <w:rPr>
          <w:noProof/>
          <w:lang w:eastAsia="zh-CN"/>
        </w:rPr>
        <w:t xml:space="preserve"> 2008; Igel and Szydlik 2011; Neuberger and Haberkern 2014)</w:t>
      </w:r>
      <w:r w:rsidRPr="00C3671E">
        <w:rPr>
          <w:lang w:eastAsia="zh-CN"/>
        </w:rPr>
        <w:fldChar w:fldCharType="end"/>
      </w:r>
      <w:r w:rsidRPr="00C3671E">
        <w:rPr>
          <w:lang w:eastAsia="zh-CN"/>
        </w:rPr>
        <w:t>. Then, the consistently less enhancing effect of caregiving on loneliness under the conditions of more available formal care may imply that a welfare state reduces a citizen’s motivation toward this form of social contact or activity. The fact that the effect of accessibility of formal care on QoL is consistently beneficial may support the usefulness of a strong welfare state. In any case, more research on this topic is needed.</w:t>
      </w:r>
    </w:p>
    <w:p w14:paraId="1FFEF8E3" w14:textId="52E72021" w:rsidR="001A7940" w:rsidRPr="00C3671E" w:rsidRDefault="001A7940" w:rsidP="00466C1F">
      <w:pPr>
        <w:pStyle w:val="Newparagraph"/>
        <w:jc w:val="both"/>
        <w:rPr>
          <w:lang w:eastAsia="zh-CN"/>
        </w:rPr>
      </w:pPr>
      <w:r w:rsidRPr="00C3671E">
        <w:rPr>
          <w:lang w:eastAsia="zh-CN"/>
        </w:rPr>
        <w:t xml:space="preserve">There are two main limitations of this study. The first </w:t>
      </w:r>
      <w:r w:rsidRPr="00C3671E">
        <w:t>limitation</w:t>
      </w:r>
      <w:r w:rsidRPr="00C3671E">
        <w:rPr>
          <w:lang w:eastAsia="zh-CN"/>
        </w:rPr>
        <w:t xml:space="preserve"> concerns the </w:t>
      </w:r>
      <w:r w:rsidRPr="00C3671E">
        <w:rPr>
          <w:i/>
          <w:lang w:eastAsia="zh-CN"/>
        </w:rPr>
        <w:t>omission of the caregiver-care receiver relationship</w:t>
      </w:r>
      <w:r w:rsidRPr="00C3671E">
        <w:rPr>
          <w:lang w:eastAsia="zh-CN"/>
        </w:rPr>
        <w:t xml:space="preserve"> information from the analysis. Daily care for a spouse has obviously different consequences than daily babysitting of a grandchild </w:t>
      </w:r>
      <w:r w:rsidRPr="00C3671E">
        <w:rPr>
          <w:lang w:eastAsia="zh-CN"/>
        </w:rPr>
        <w:fldChar w:fldCharType="begin" w:fldLock="1"/>
      </w:r>
      <w:r w:rsidR="001257AA" w:rsidRPr="00C3671E">
        <w:rPr>
          <w:lang w:eastAsia="zh-CN"/>
        </w:rPr>
        <w:instrText>ADDIN CSL_CITATION { "citationItems" : [ { "id" : "ITEM-1", "itemData" : { "DOI" : "10.1007/s10433-013-0276-6", "ISBN" : "1613-9380; 1613-9372", "ISSN" : "16139372", "abstract" : "Based on the caregiver stress model, we examined how care demands, caregiver motivation, coping style and external support are associated with positive evaluation and caregiver burden among spousal, adult child and other types of care relations. Data from a sample of Dutch informal caregivers of 1,685 older persons (55 and older) were analyzed employing multivariate linear regression analyses for each of the care relationship types. Spouses (N = 206) report high positive evaluation and high burden, adult children (N = 1,093) report low positive evaluation, and other caregivers (N = 386) report high positive evaluation and a low burden. Multivariate linear regression analyses showed that motives and external support were important for positive evaluation but the impact varied among types of caregivers, whereas care demands and not asking for help were associated with burden for all types. Only among \u2018other\u2019 caregiver relationships, positive evaluation was negatively associated with burden. It is concluded that results confirm the dual nature of caregiving among spouses and children. The care context and motivation of the different types of caregivers explain their differences in care evaluation. Various interventions for types of caregivers are discussed. (PsycINFO Database Record (c) 2014 APA, all rights reserved) (journal abstract)", "author" : [ { "dropping-particle" : "", "family" : "Broese van Groenou", "given" : "Marjolein I.", "non-dropping-particle" : "", "parse-names" : false, "suffix" : "" }, { "dropping-particle" : "", "family" : "Boer", "given" : "Alice", "non-dropping-particle" : "de", "parse-names" : false, "suffix" : "" }, { "dropping-particle" : "", "family" : "Iedema", "given" : "Jurjen", "non-dropping-particle" : "", "parse-names" : false, "suffix" : "" } ], "container-title" : "European Journal of Ageing", "id" : "ITEM-1", "issue" : "4", "issued" : { "date-parts" : [ [ "2013" ] ] }, "page" : "301-311", "title" : "Positive and negative evaluation of caregiving among three different types of informal care relationships", "type" : "article-journal", "volume" : "10" }, "uris" : [ "http://www.mendeley.com/documents/?uuid=e39ec068-a7a1-4bd1-bbf4-2717643670f7" ] }, { "id" : "ITEM-2", "itemData" : { "DOI" : "10.1017/S0144686X07006629", "ISBN" : "1469-1779", "ISSN" : "0144-686X", "abstract" : "Gerontologists have emphasised that older adults are not only recipients of support but also important support providers. Using data from the first wave of the Netherlands Kinship Panel Study of 727 middle-generation adults aged 45 to 79 years, we examined the associations between loneliness and giving support up, across and down family lineages. Overall, the findings were consistent more with an altruism perspective, that giving brings rewards, than with an exchange perspective, which emphasises the costs of giving support. The results showed an inverse relationship between the number of generations supported and loneliness, and that those engaged in balanced exchanges with family members in three generations (parents, siblings and children) were generally the least lonely. As regards the direction of support giving, the findings showed that the association between giving support and loneliness was insignificant if the support was for parents, negative for support to siblings, and positive for support to children. Imbalanced support exchanges were differentially associated with loneliness, and depended on the type of family relationship involved. Non-reciprocated support made parents more vulnerable to loneliness, whereas non-reciprocated giving in sibling ties was associated with low levels of loneliness. Imbalanced support giving in relationships with parents was not associated with loneliness.", "author" : [ { "dropping-particle" : "", "family" : "Jong Gierveld", "given" : "Jenny", "non-dropping-particle" : "De", "parse-names" : false, "suffix" : "" }, { "dropping-particle" : "", "family" : "Dykstra", "given" : "Pearl A.", "non-dropping-particle" : "", "parse-names" : false, "suffix" : "" } ], "container-title" : "Ageing and Society", "id" : "ITEM-2", "issue" : "02", "issued" : { "date-parts" : [ [ "2008" ] ] }, "page" : "271-287", "title" : "Virtue is its own reward? Support-giving in the family and loneliness in middle and old age", "type" : "article-journal", "volume" : "28" }, "uris" : [ "http://www.mendeley.com/documents/?uuid=51cd63fa-a8cd-488c-be10-d4ffd8214b5c" ] } ], "mendeley" : { "formattedCitation" : "(Broese van Groenou et al. 2013; De Jong Gierveld and Dykstra 2008)", "plainTextFormattedCitation" : "(Broese van Groenou et al. 2013; De Jong Gierveld and Dykstra 2008)", "previouslyFormattedCitation" : "(Broese van Groenou et al. 2013; De Jong Gierveld and Dykstra 2008)" }, "properties" : { "noteIndex" : 0 }, "schema" : "https://github.com/citation-style-language/schema/raw/master/csl-citation.json" }</w:instrText>
      </w:r>
      <w:r w:rsidRPr="00C3671E">
        <w:rPr>
          <w:lang w:eastAsia="zh-CN"/>
        </w:rPr>
        <w:fldChar w:fldCharType="separate"/>
      </w:r>
      <w:r w:rsidR="00A91559" w:rsidRPr="00C3671E">
        <w:rPr>
          <w:noProof/>
          <w:lang w:eastAsia="zh-CN"/>
        </w:rPr>
        <w:t>(Broese van Groenou et al. 2013; De Jong Gierveld and Dykstra 2008)</w:t>
      </w:r>
      <w:r w:rsidRPr="00C3671E">
        <w:rPr>
          <w:lang w:eastAsia="zh-CN"/>
        </w:rPr>
        <w:fldChar w:fldCharType="end"/>
      </w:r>
      <w:r w:rsidRPr="00C3671E">
        <w:rPr>
          <w:lang w:eastAsia="zh-CN"/>
        </w:rPr>
        <w:t xml:space="preserve">. However, this article has aimed at testing the </w:t>
      </w:r>
      <w:r w:rsidRPr="00C3671E">
        <w:rPr>
          <w:noProof/>
          <w:lang w:eastAsia="zh-CN"/>
        </w:rPr>
        <w:t>overall</w:t>
      </w:r>
      <w:r w:rsidRPr="00C3671E">
        <w:rPr>
          <w:lang w:eastAsia="zh-CN"/>
        </w:rPr>
        <w:t xml:space="preserve"> effect of caregiving as a set of possible roles among older adults, as the active ageing approach defines the consequences as generally positive </w:t>
      </w:r>
      <w:r w:rsidRPr="00C3671E">
        <w:rPr>
          <w:lang w:eastAsia="zh-CN"/>
        </w:rPr>
        <w:fldChar w:fldCharType="begin" w:fldLock="1"/>
      </w:r>
      <w:r w:rsidR="001257AA" w:rsidRPr="00C3671E">
        <w:rPr>
          <w:lang w:eastAsia="zh-CN"/>
        </w:rPr>
        <w:instrText>ADDIN CSL_CITATION { "citationItems" : [ { "id" : "ITEM-1", "itemData" : { "author" : [ { "dropping-particle" : "", "family" : "European Commission", "given" : "", "non-dropping-particle" : "", "parse-names" : false, "suffix" : "" } ], "id" : "ITEM-1", "issued" : { "date-parts" : [ [ "2013" ] ] }, "publisher" : "European Comission", "publisher-place" : "Brussels", "title" : "Introducing the Active Ageing Index. Policy brief", "type" : "book" }, "uris" : [ "http://www.mendeley.com/documents/?uuid=15ea840e-806d-4ce4-88d2-b847e7b3756b" ] }, { "id" : "ITEM-2", "itemData" : { "abstract" : "The report should be referred to as: UNECE/ European Commission (2015) \u201cActive Ageing Index 2014: Analytical Report\u201d, Report prepared by Asghar Zaidi of Centre for Research on Ageing, University of Southampton and David Stanton, under contract with United Nations Economic Commission for Europe (Geneva), co-funded by the European Commission\u2019s Directorate General for Employment, Social Affairs and Inclusion (Brussels).", "author" : [ { "dropping-particle" : "", "family" : "Zaidi", "given" : "Asghar", "non-dropping-particle" : "", "parse-names" : false, "suffix" : "" } ], "id" : "ITEM-2", "issue" : "April", "issued" : { "date-parts" : [ [ "2015" ] ] }, "number-of-pages" : "1-9", "publisher" : "UNECE", "publisher-place" : "Geneva", "title" : "Active Ageing Index 2014 Analytical Report", "type" : "book" }, "uris" : [ "http://www.mendeley.com/documents/?uuid=e5502369-34dc-4c1e-ad2d-b04716a04efe" ] } ], "mendeley" : { "formattedCitation" : "(European Commission 2013; Zaidi 2015)", "plainTextFormattedCitation" : "(European Commission 2013; Zaidi 2015)", "previouslyFormattedCitation" : "(European Commission 2013; Zaidi 2015)" }, "properties" : { "noteIndex" : 0 }, "schema" : "https://github.com/citation-style-language/schema/raw/master/csl-citation.json" }</w:instrText>
      </w:r>
      <w:r w:rsidRPr="00C3671E">
        <w:rPr>
          <w:lang w:eastAsia="zh-CN"/>
        </w:rPr>
        <w:fldChar w:fldCharType="separate"/>
      </w:r>
      <w:r w:rsidR="00A91559" w:rsidRPr="00C3671E">
        <w:rPr>
          <w:noProof/>
          <w:lang w:eastAsia="zh-CN"/>
        </w:rPr>
        <w:t>(European Commission 2013; Zaidi 2015)</w:t>
      </w:r>
      <w:r w:rsidRPr="00C3671E">
        <w:rPr>
          <w:lang w:eastAsia="zh-CN"/>
        </w:rPr>
        <w:fldChar w:fldCharType="end"/>
      </w:r>
      <w:r w:rsidRPr="00C3671E">
        <w:rPr>
          <w:lang w:eastAsia="zh-CN"/>
        </w:rPr>
        <w:t>. Furthermore, the analysis has already proven to be context-sensitive in relation to other factors – caregiving intensity, multiplicity, and voluntariness, family structure, etc. – and is not able to address this dimension as well. These findings thus may be utilized by future research focusing more on the caregiving relationship than on other contextual factors.</w:t>
      </w:r>
    </w:p>
    <w:p w14:paraId="139EF2DC" w14:textId="77777777" w:rsidR="001A7940" w:rsidRPr="00C3671E" w:rsidRDefault="001A7940" w:rsidP="00466C1F">
      <w:pPr>
        <w:pStyle w:val="Newparagraph"/>
        <w:jc w:val="both"/>
        <w:rPr>
          <w:lang w:eastAsia="zh-CN"/>
        </w:rPr>
      </w:pPr>
      <w:r w:rsidRPr="00C3671E">
        <w:rPr>
          <w:lang w:eastAsia="zh-CN"/>
        </w:rPr>
        <w:t xml:space="preserve">The second limitation originates from the fact that it is not </w:t>
      </w:r>
      <w:r w:rsidRPr="00C3671E">
        <w:t>possible</w:t>
      </w:r>
      <w:r w:rsidRPr="00C3671E">
        <w:rPr>
          <w:lang w:eastAsia="zh-CN"/>
        </w:rPr>
        <w:t xml:space="preserve"> to indicate the level of voluntariness of care more directly than via an </w:t>
      </w:r>
      <w:r w:rsidRPr="00C3671E">
        <w:rPr>
          <w:i/>
          <w:lang w:eastAsia="zh-CN"/>
        </w:rPr>
        <w:t>external macro-level variable</w:t>
      </w:r>
      <w:r w:rsidRPr="00C3671E">
        <w:rPr>
          <w:lang w:eastAsia="zh-CN"/>
        </w:rPr>
        <w:t xml:space="preserve"> with the use of SHARE data. It is not possible to determine empirically how well this macro-factor indicates the voluntariness of informal care. This study at least outlines some possible effects of more voluntary care, which may increase loneliness through the elimination of some incentives to </w:t>
      </w:r>
      <w:r w:rsidRPr="00C3671E">
        <w:rPr>
          <w:lang w:eastAsia="zh-CN"/>
        </w:rPr>
        <w:lastRenderedPageBreak/>
        <w:t>meet other people. However, this and the other findings and ideas of this paper must be tested with other methods and data sources in order to further validate them.</w:t>
      </w:r>
    </w:p>
    <w:p w14:paraId="04E73CE4" w14:textId="794816C9" w:rsidR="001A7940" w:rsidRPr="00C3671E" w:rsidRDefault="001A7940" w:rsidP="006C62A5">
      <w:pPr>
        <w:spacing w:before="100" w:beforeAutospacing="1"/>
        <w:jc w:val="both"/>
        <w:rPr>
          <w:lang w:val="en-GB"/>
        </w:rPr>
      </w:pPr>
      <w:r w:rsidRPr="00C3671E">
        <w:rPr>
          <w:lang w:val="en-GB"/>
        </w:rPr>
        <w:br w:type="page"/>
      </w:r>
    </w:p>
    <w:p w14:paraId="6A73AA24" w14:textId="4CEC3014" w:rsidR="007302A0" w:rsidRPr="00C3671E" w:rsidRDefault="00C004DA" w:rsidP="007E6D8E">
      <w:pPr>
        <w:pStyle w:val="Nadpis1"/>
        <w:spacing w:line="480" w:lineRule="auto"/>
        <w:rPr>
          <w:sz w:val="36"/>
          <w:szCs w:val="36"/>
          <w:lang w:val="en-GB" w:eastAsia="zh-CN"/>
        </w:rPr>
      </w:pPr>
      <w:bookmarkStart w:id="59" w:name="_Toc512687763"/>
      <w:r w:rsidRPr="00C3671E">
        <w:rPr>
          <w:sz w:val="36"/>
          <w:szCs w:val="36"/>
          <w:lang w:val="en-GB" w:eastAsia="zh-CN"/>
        </w:rPr>
        <w:lastRenderedPageBreak/>
        <w:t xml:space="preserve">Chapter 5: </w:t>
      </w:r>
      <w:r w:rsidR="007302A0" w:rsidRPr="00C3671E">
        <w:rPr>
          <w:sz w:val="36"/>
          <w:szCs w:val="36"/>
          <w:lang w:val="en-GB" w:eastAsia="zh-CN"/>
        </w:rPr>
        <w:t>Unequal accessibility of social participation in later life across European welfare regimes</w:t>
      </w:r>
      <w:bookmarkEnd w:id="59"/>
    </w:p>
    <w:p w14:paraId="26BDF2B3" w14:textId="2AF31925" w:rsidR="006C62A5" w:rsidRPr="00C3671E" w:rsidRDefault="007302A0" w:rsidP="006C62A5">
      <w:pPr>
        <w:suppressAutoHyphens/>
        <w:spacing w:line="480" w:lineRule="auto"/>
        <w:jc w:val="both"/>
        <w:rPr>
          <w:kern w:val="1"/>
          <w:szCs w:val="32"/>
          <w:lang w:val="en-GB" w:eastAsia="zh-CN"/>
        </w:rPr>
      </w:pPr>
      <w:r w:rsidRPr="00C3671E">
        <w:rPr>
          <w:b/>
          <w:bCs/>
          <w:kern w:val="1"/>
          <w:szCs w:val="32"/>
          <w:lang w:val="en-GB" w:eastAsia="zh-CN"/>
        </w:rPr>
        <w:t>Abstract</w:t>
      </w:r>
      <w:r w:rsidR="006C62A5" w:rsidRPr="00C3671E">
        <w:rPr>
          <w:b/>
          <w:bCs/>
          <w:kern w:val="1"/>
          <w:szCs w:val="32"/>
          <w:lang w:val="en-GB" w:eastAsia="zh-CN"/>
        </w:rPr>
        <w:t xml:space="preserve">: </w:t>
      </w:r>
      <w:r w:rsidRPr="00C3671E">
        <w:rPr>
          <w:kern w:val="1"/>
          <w:szCs w:val="32"/>
          <w:lang w:val="en-GB" w:eastAsia="zh-CN"/>
        </w:rPr>
        <w:t>Social participation amongst older adults is considered generally beneficial and supported by active ageing policies within the European context. However, this effort to increase the quality of life and enhance ageing experience may have an unintended consequence of increasing later life inequalities. As some groups of older adults incline more to this type of activities, they may benefit more from the policy initiatives. This study uses four waves from Survey of Health, Ageing and Retirement in Europe to illustrate how the social participation develops over time and how it is structured by education, financial situation, and health in the context of four European welfare regimes. The social participation strongly differs across both contexts and individual characteristics, while these structuring effects are cumulative. Further, the level of participation slightly increases over time for a population 50+, while the inequalities in access to them and their outcomes remain stable. Therefore, support of these activities does not strengthen inequalities among older adults according to these findings, but it neither reduces them.</w:t>
      </w:r>
    </w:p>
    <w:p w14:paraId="4B1862E7" w14:textId="77777777" w:rsidR="006C62A5" w:rsidRPr="00C3671E" w:rsidRDefault="006C62A5" w:rsidP="006C62A5">
      <w:pPr>
        <w:suppressAutoHyphens/>
        <w:spacing w:line="480" w:lineRule="auto"/>
        <w:jc w:val="both"/>
        <w:rPr>
          <w:kern w:val="1"/>
          <w:szCs w:val="32"/>
          <w:lang w:val="en-GB" w:eastAsia="zh-CN"/>
        </w:rPr>
      </w:pPr>
    </w:p>
    <w:p w14:paraId="495EE60E" w14:textId="77777777" w:rsidR="007302A0" w:rsidRPr="00C3671E" w:rsidRDefault="007302A0" w:rsidP="007302A0">
      <w:pPr>
        <w:suppressAutoHyphens/>
        <w:spacing w:after="120" w:line="480" w:lineRule="auto"/>
        <w:jc w:val="both"/>
        <w:rPr>
          <w:lang w:val="en-GB" w:eastAsia="zh-CN"/>
        </w:rPr>
      </w:pPr>
      <w:r w:rsidRPr="00C3671E">
        <w:rPr>
          <w:b/>
          <w:i/>
          <w:lang w:val="en-GB" w:eastAsia="zh-CN"/>
        </w:rPr>
        <w:t>KEY WORDS</w:t>
      </w:r>
      <w:r w:rsidRPr="00C3671E">
        <w:rPr>
          <w:lang w:val="en-GB" w:eastAsia="zh-CN"/>
        </w:rPr>
        <w:t xml:space="preserve"> – social participation, active ageing, later life, inequalities, welfare regimes, SHARE</w:t>
      </w:r>
    </w:p>
    <w:p w14:paraId="58AC81F9" w14:textId="77777777" w:rsidR="007302A0" w:rsidRPr="00C3671E" w:rsidRDefault="007302A0" w:rsidP="007302A0">
      <w:pPr>
        <w:spacing w:after="160" w:line="259" w:lineRule="auto"/>
        <w:rPr>
          <w:kern w:val="1"/>
          <w:szCs w:val="32"/>
          <w:lang w:val="en-GB" w:eastAsia="zh-CN"/>
        </w:rPr>
      </w:pPr>
      <w:r w:rsidRPr="00C3671E">
        <w:rPr>
          <w:b/>
          <w:bCs/>
          <w:kern w:val="1"/>
          <w:szCs w:val="32"/>
          <w:lang w:val="en-GB" w:eastAsia="zh-CN"/>
        </w:rPr>
        <w:br w:type="page"/>
      </w:r>
    </w:p>
    <w:p w14:paraId="6D0313F5" w14:textId="77777777" w:rsidR="007302A0" w:rsidRPr="00C3671E" w:rsidRDefault="007302A0" w:rsidP="007E6D8E">
      <w:pPr>
        <w:pStyle w:val="Nadpis2"/>
        <w:spacing w:line="480" w:lineRule="auto"/>
        <w:rPr>
          <w:sz w:val="26"/>
          <w:szCs w:val="26"/>
          <w:lang w:val="en-GB"/>
        </w:rPr>
      </w:pPr>
      <w:bookmarkStart w:id="60" w:name="_Toc512687764"/>
      <w:r w:rsidRPr="00C3671E">
        <w:rPr>
          <w:sz w:val="26"/>
          <w:szCs w:val="26"/>
          <w:lang w:val="en-GB"/>
        </w:rPr>
        <w:lastRenderedPageBreak/>
        <w:t>Introduction</w:t>
      </w:r>
      <w:bookmarkEnd w:id="60"/>
    </w:p>
    <w:p w14:paraId="2A218A6D" w14:textId="44769677" w:rsidR="007302A0" w:rsidRPr="00C3671E" w:rsidRDefault="007302A0" w:rsidP="006C62A5">
      <w:pPr>
        <w:suppressAutoHyphens/>
        <w:spacing w:line="480" w:lineRule="auto"/>
        <w:jc w:val="both"/>
        <w:rPr>
          <w:lang w:val="en-GB"/>
        </w:rPr>
      </w:pPr>
      <w:r w:rsidRPr="00C3671E">
        <w:rPr>
          <w:lang w:val="en-GB"/>
        </w:rPr>
        <w:t xml:space="preserve">Population ageing is one of the most prominent contemporary challenges of both developed and developing societies </w:t>
      </w:r>
      <w:r w:rsidRPr="00C3671E">
        <w:rPr>
          <w:noProof/>
          <w:lang w:val="en-GB"/>
        </w:rPr>
        <w:fldChar w:fldCharType="begin" w:fldLock="1"/>
      </w:r>
      <w:r w:rsidR="00AA6335" w:rsidRPr="00C3671E">
        <w:rPr>
          <w:noProof/>
          <w:lang w:val="en-GB"/>
        </w:rPr>
        <w:instrText>ADDIN CSL_CITATION { "citationItems" : [ { "id" : "ITEM-1", "itemData" : { "DOI" : "10.1016/j.ssci.2009.10.008", "ISBN" : "978-0-335-22269-8", "ISSN" : "1544-7529", "PMID" : "20762", "abstract" : "This book aims to convince readers that ageing is not boring, threatening or depressing, but that it has enormous relevance for the young and the old alike. Virpi Timonen provides an engaging introduction to the central social, economic and political aspects and impacts of ageing and makes the case for the importance of analysing ageing from a number of different perspectives. Using comparative international data, the author provides a detailed description of the process of population ageing, including increasing longevity, changes in fertility and variations in the health status of older populations", "author" : [ { "dropping-particle" : "", "family" : "Timonen", "given" : "Virpi", "non-dropping-particle" : "", "parse-names" : false, "suffix" : "" } ], "id" : "ITEM-1", "issued" : { "date-parts" : [ [ "2008" ] ] }, "publisher" : "Open University Press", "publisher-place" : "Maidenhead", "title" : "Ageing societies: A comparative introduction", "type" : "book" }, "uris" : [ "http://www.mendeley.com/documents/?uuid=62ec3e51-def8-4a0a-8206-06ee230cbb1a" ] } ], "mendeley" : { "formattedCitation" : "(Timonen 2008)", "plainTextFormattedCitation" : "(Timonen 2008)", "previouslyFormattedCitation" : "(Timonen 2008)" }, "properties" : { "noteIndex" : 0 }, "schema" : "https://github.com/citation-style-language/schema/raw/master/csl-citation.json" }</w:instrText>
      </w:r>
      <w:r w:rsidRPr="00C3671E">
        <w:rPr>
          <w:noProof/>
          <w:lang w:val="en-GB"/>
        </w:rPr>
        <w:fldChar w:fldCharType="separate"/>
      </w:r>
      <w:r w:rsidRPr="00C3671E">
        <w:rPr>
          <w:noProof/>
          <w:lang w:val="en-GB"/>
        </w:rPr>
        <w:t>(Timonen 2008)</w:t>
      </w:r>
      <w:r w:rsidRPr="00C3671E">
        <w:rPr>
          <w:noProof/>
          <w:lang w:val="en-GB"/>
        </w:rPr>
        <w:fldChar w:fldCharType="end"/>
      </w:r>
      <w:r w:rsidRPr="00C3671E">
        <w:rPr>
          <w:lang w:val="en-GB"/>
        </w:rPr>
        <w:t xml:space="preserve">. As a reaction, a range of scientific theories as well as a variety of social policies addresses the issue of population ageing. The active ageing policy is, among other </w:t>
      </w:r>
      <w:r w:rsidRPr="00C3671E">
        <w:rPr>
          <w:rFonts w:eastAsia="Calibri"/>
          <w:noProof/>
          <w:lang w:val="en-GB" w:eastAsia="en-US"/>
        </w:rPr>
        <w:t>approaches</w:t>
      </w:r>
      <w:r w:rsidRPr="00C3671E">
        <w:rPr>
          <w:lang w:val="en-GB"/>
        </w:rPr>
        <w:t xml:space="preserve">, probably the most prevalent and the best-developed set of claims, recommendations, and practices aiming the population ageing. This theory-driven approach has been repeatedly articulated and implemented by several bodies of the </w:t>
      </w:r>
      <w:r w:rsidRPr="00C3671E">
        <w:rPr>
          <w:noProof/>
          <w:lang w:val="en-GB"/>
        </w:rPr>
        <w:fldChar w:fldCharType="begin" w:fldLock="1"/>
      </w:r>
      <w:r w:rsidR="00AA6335" w:rsidRPr="00C3671E">
        <w:rPr>
          <w:noProof/>
          <w:lang w:val="en-GB"/>
        </w:rPr>
        <w:instrText>ADDIN CSL_CITATION { "citationItems" : [ { "id" : "ITEM-1", "itemData" : { "DOI" : "10.1080/713604647", "ISBN" : "1757-9139 (Print)\\r1757-9147 (Linking)", "ISSN" : "1368-5538", "PMID" : "21692392", "abstract" : "his Policy Framework is intended to inform discussion and the formulation of action plans that promote healthy and active ageing. It was developed by WHO\u2019s Ageing and Life Course Programme as a contribution to the Second United Nations World Assembly on Ageing, held in April 2002, in Madrid, Spain. The preliminary version, published in 2001 entitled Health and Ageing: A Discussion Paper, was translated into French and Spanish and widely circulated for feedback throughout 2001 (including at special workshops held in Brazil, Canada, the Netherlands, Spain and the United Kingdom). In January 2002, an expert group meeting was convened at the WHO Centre for Health Development (WKC) in Kobe, Japan, with 29 participants from 21 countries. De- tailed comments and recommendations from this meeting, as well as those received through the previous consultation process, were com- piled to complete this fi nal version. A complementary monograph entitled Active Ageing: From Evidence to Action is being prepared in collaboration with the Inter- national Association of Gerontology (IAG) and will be available at http://www.who.int/hpr/ ageing where more information about ageing from a life course perspective is also provided.", "author" : [ { "dropping-particle" : "", "family" : "WHO", "given" : "", "non-dropping-particle" : "", "parse-names" : false, "suffix" : "" } ], "id" : "ITEM-1", "issued" : { "date-parts" : [ [ "2002" ] ] }, "page" : "1-60", "publisher" : "World Health Organization", "publisher-place" : "Geneva", "title" : "Active Ageing: A Policy Framework", "type" : "article" }, "uris" : [ "http://www.mendeley.com/documents/?uuid=10ba559d-500f-4111-baae-06ebd9b96a0f" ] } ], "mendeley" : { "formattedCitation" : "(WHO 2002)", "manualFormatting" : "World Health Organization (2002)", "plainTextFormattedCitation" : "(WHO 2002)", "previouslyFormattedCitation" : "(WHO 2002)" }, "properties" : { "noteIndex" : 0 }, "schema" : "https://github.com/citation-style-language/schema/raw/master/csl-citation.json" }</w:instrText>
      </w:r>
      <w:r w:rsidRPr="00C3671E">
        <w:rPr>
          <w:noProof/>
          <w:lang w:val="en-GB"/>
        </w:rPr>
        <w:fldChar w:fldCharType="separate"/>
      </w:r>
      <w:r w:rsidRPr="00C3671E">
        <w:rPr>
          <w:noProof/>
          <w:lang w:val="en-GB"/>
        </w:rPr>
        <w:t>World Health Organization (2002)</w:t>
      </w:r>
      <w:r w:rsidRPr="00C3671E">
        <w:rPr>
          <w:noProof/>
          <w:lang w:val="en-GB"/>
        </w:rPr>
        <w:fldChar w:fldCharType="end"/>
      </w:r>
      <w:r w:rsidRPr="00C3671E">
        <w:rPr>
          <w:lang w:val="en-GB"/>
        </w:rPr>
        <w:t xml:space="preserve"> and </w:t>
      </w:r>
      <w:bookmarkStart w:id="61" w:name="_Hlk485103336"/>
      <w:r w:rsidRPr="00C3671E">
        <w:rPr>
          <w:noProof/>
          <w:lang w:val="en-GB"/>
        </w:rPr>
        <w:fldChar w:fldCharType="begin" w:fldLock="1"/>
      </w:r>
      <w:r w:rsidR="00AA6335" w:rsidRPr="00C3671E">
        <w:rPr>
          <w:noProof/>
          <w:lang w:val="en-GB"/>
        </w:rPr>
        <w:instrText>ADDIN CSL_CITATION { "citationItems" : [ { "id" : "ITEM-1", "itemData" : { "DOI" : "10.2767/67267", "ISBN" : "9789279251238", "abstract" : "This study is intended to improve and extend the available knowledge about learning for active ageing and the role of intergenerational learning in active ageing. It brings together key findings from academic and other literature on the subject identified up to the end of May 2012, primary and secondary sources collected for 22 case studies, and material created by activities and projects funded through the European Commission\u2019s Grundtvig programme actions. This report brings together and summarises the key findings of the literature review, case studies and analysis of Grundtvig programme funded projects to demonstrate the benefits of investing in and supporting learning for older people, how these benefits can be realised and what can be done to achieve them more widely", "author" : [ { "dropping-particle" : "", "family" : "European Union", "given" : "", "non-dropping-particle" : "", "parse-names" : false, "suffix" : "" } ], "id" : "ITEM-1", "issued" : { "date-parts" : [ [ "2012" ] ] }, "publisher" : "Publications Office of the European Union", "publisher-place" : "Luxembourg", "title" : "The EU Contribution to Active Ageing and Solidarity between Generations", "type" : "book" }, "uris" : [ "http://www.mendeley.com/documents/?uuid=c3161470-2983-4214-8711-93c687e3f758" ] } ], "mendeley" : { "formattedCitation" : "(European Union 2012)", "manualFormatting" : "European Union (2012)", "plainTextFormattedCitation" : "(European Union 2012)", "previouslyFormattedCitation" : "(European Union 2012)" }, "properties" : { "noteIndex" : 0 }, "schema" : "https://github.com/citation-style-language/schema/raw/master/csl-citation.json" }</w:instrText>
      </w:r>
      <w:r w:rsidRPr="00C3671E">
        <w:rPr>
          <w:noProof/>
          <w:lang w:val="en-GB"/>
        </w:rPr>
        <w:fldChar w:fldCharType="separate"/>
      </w:r>
      <w:r w:rsidRPr="00C3671E">
        <w:rPr>
          <w:noProof/>
          <w:lang w:val="en-GB"/>
        </w:rPr>
        <w:t>European Union (2012)</w:t>
      </w:r>
      <w:r w:rsidRPr="00C3671E">
        <w:rPr>
          <w:noProof/>
          <w:lang w:val="en-GB"/>
        </w:rPr>
        <w:fldChar w:fldCharType="end"/>
      </w:r>
      <w:bookmarkEnd w:id="61"/>
      <w:r w:rsidRPr="00C3671E">
        <w:rPr>
          <w:lang w:val="en-GB"/>
        </w:rPr>
        <w:t xml:space="preserve">. Further, the active ageing policy can be, at least in the European context, certainly labelled as an official set of policies established to address the pressing problems connected to active ageing. The active ageing policies are intended to improve health and quality of life of older adults </w:t>
      </w:r>
      <w:r w:rsidRPr="00C3671E">
        <w:rPr>
          <w:lang w:val="en-GB"/>
        </w:rPr>
        <w:fldChar w:fldCharType="begin" w:fldLock="1"/>
      </w:r>
      <w:r w:rsidR="00AA6335" w:rsidRPr="00C3671E">
        <w:rPr>
          <w:lang w:val="en-GB"/>
        </w:rPr>
        <w:instrText>ADDIN CSL_CITATION { "citationItems" : [ { "id" : "ITEM-1", "itemData" : { "DOI" : "10.1111/j.1468-2397.2012.00871.x", "ISBN" : "1468-2397", "ISSN" : "13696866", "abstract" : "The ageing of European countries has widespread implications for current and future social and economic policies across the region.The major policy response to demographic ageing that has emerged over the past 10 years is called \u2018active ageing\u2019, yet there is little clarity in practice about what it means for individuals and society beyond a crude economic reduction in terms of working longer.The main purposes of this article are to explain why this strategy has emerged and its impor- tance. Despite a great deal of positive political rhetoric, the response at all levels of policy making has been rather limited. An active social and public policy is required to mainstream active ageing as the leading paradigm for ageing policy across the European Union (EU). The designation of 2012 as the EuropeanYear of Active Ageing offers a potential focus for renewed policy action in the EU and is discussed in the context of our conclusions", "author" : [ { "dropping-particle" : "", "family" : "Walker", "given" : "Alan", "non-dropping-particle" : "", "parse-names" : false, "suffix" : "" }, { "dropping-particle" : "", "family" : "Maltby", "given" : "Tony", "non-dropping-particle" : "", "parse-names" : false, "suffix" : "" } ], "container-title" : "International Journal of Social Welfare", "id" : "ITEM-1", "issue" : "SUPPL.1", "issued" : { "date-parts" : [ [ "2012" ] ] }, "page" : "117-130", "title" : "Active ageing: A strategic policy solution to demographic ageing in the European Union", "type" : "article-journal", "volume" : "21" }, "uris" : [ "http://www.mendeley.com/documents/?uuid=2008f46f-ead4-4add-94cf-578cdbb7c3dc" ] } ], "mendeley" : { "formattedCitation" : "(Walker and Maltby 2012)", "plainTextFormattedCitation" : "(Walker and Maltby 2012)", "previouslyFormattedCitation" : "(Walker and Maltby 2012)" }, "properties" : { "noteIndex" : 0 }, "schema" : "https://github.com/citation-style-language/schema/raw/master/csl-citation.json" }</w:instrText>
      </w:r>
      <w:r w:rsidRPr="00C3671E">
        <w:rPr>
          <w:lang w:val="en-GB"/>
        </w:rPr>
        <w:fldChar w:fldCharType="separate"/>
      </w:r>
      <w:r w:rsidRPr="00C3671E">
        <w:rPr>
          <w:noProof/>
          <w:lang w:val="en-GB"/>
        </w:rPr>
        <w:t>(Walker and Maltby 2012)</w:t>
      </w:r>
      <w:r w:rsidRPr="00C3671E">
        <w:rPr>
          <w:lang w:val="en-GB"/>
        </w:rPr>
        <w:fldChar w:fldCharType="end"/>
      </w:r>
      <w:r w:rsidRPr="00C3671E">
        <w:rPr>
          <w:lang w:val="en-GB"/>
        </w:rPr>
        <w:t xml:space="preserve">. </w:t>
      </w:r>
    </w:p>
    <w:p w14:paraId="63C84B24" w14:textId="7B40E529" w:rsidR="007302A0" w:rsidRPr="00C3671E" w:rsidRDefault="007302A0" w:rsidP="006B7F0B">
      <w:pPr>
        <w:pStyle w:val="Newparagraph"/>
        <w:jc w:val="both"/>
        <w:rPr>
          <w:i/>
        </w:rPr>
      </w:pPr>
      <w:r w:rsidRPr="00C3671E">
        <w:t xml:space="preserve">According </w:t>
      </w:r>
      <w:r w:rsidRPr="00C3671E">
        <w:rPr>
          <w:noProof/>
        </w:rPr>
        <w:t>to</w:t>
      </w:r>
      <w:r w:rsidRPr="00C3671E">
        <w:t xml:space="preserve"> </w:t>
      </w:r>
      <w:r w:rsidRPr="00C3671E">
        <w:rPr>
          <w:noProof/>
        </w:rPr>
        <w:fldChar w:fldCharType="begin" w:fldLock="1"/>
      </w:r>
      <w:r w:rsidR="00AA6335" w:rsidRPr="00C3671E">
        <w:rPr>
          <w:noProof/>
        </w:rPr>
        <w:instrText>ADDIN CSL_CITATION { "citationItems" : [ { "id" : "ITEM-1", "itemData" : { "ISBN" : "9789287152404", "abstract" : "Foreword\\n\\nThe Council of Europe has a long tradition of producing population studies, and the work of the European Population Committee contributes to the understanding of the relationship between social policy and demographic issues in Europe. The findings of this work are published in the series Population studies, where topics covered include migration flows, national minorities, demographic\\nchanges and the labour market, the ageing of European populations and the demographic consequences of economic transition. These publications provide essential background information for implementing the Council of Europe\u2019s strategy for social cohesion: an integrated policy approach aimed at combating poverty and social exclusion through promoting access to social rights in areas\\nsuch as employment and training, health, social protection, housing, education and social services.\\n\\nThis volume takes as its starting point the changing age structure in European countries. This is characterised by the increase in the number of elderly persons and the decrease in the young and working populations. It reviews the demographic differences between European countries. The authors note that improved living conditions and effective health and social policies mean that the majority of younger elderly Europeans reach the third age in relatively good health and under conditions of some income security. They point out\\nthat whilst the effective age at retirement has been declining, it is only a minority of elderly people who use their free time in an active manner.\\n\\nThe authors examine the different public policy approaches and individual strategies developed in response to these societal changes and they make wide-ranging policy proposals for the development of active ageing strategies which address issues of employment, health, leisure and social cohesion.", "author" : [ { "dropping-particle" : "", "family" : "Avramov", "given" : "Dragana", "non-dropping-particle" : "", "parse-names" : false, "suffix" : "" }, { "dropping-particle" : "", "family" : "Maskova", "given" : "Miroslava", "non-dropping-particle" : "", "parse-names" : false, "suffix" : "" } ], "container-title" : "Population studies", "id" : "ITEM-1", "issue" : "41", "issued" : { "date-parts" : [ [ "2003" ] ] }, "number-of-pages" : "1-152", "publisher" : "Council of Europe Publishing", "publisher-place" : "Strasbourg", "title" : "Active ageing in Europe", "type" : "book", "volume" : "1" }, "uris" : [ "http://www.mendeley.com/documents/?uuid=7db55846-516c-430d-834c-164bd53456b9" ] } ], "mendeley" : { "formattedCitation" : "(Avramov and Maskova 2003)", "manualFormatting" : "Avramov and Maskova (2003)", "plainTextFormattedCitation" : "(Avramov and Maskova 2003)", "previouslyFormattedCitation" : "(Avramov and Maskova 2003)" }, "properties" : { "noteIndex" : 0 }, "schema" : "https://github.com/citation-style-language/schema/raw/master/csl-citation.json" }</w:instrText>
      </w:r>
      <w:r w:rsidRPr="00C3671E">
        <w:rPr>
          <w:noProof/>
        </w:rPr>
        <w:fldChar w:fldCharType="separate"/>
      </w:r>
      <w:r w:rsidRPr="00C3671E">
        <w:rPr>
          <w:noProof/>
        </w:rPr>
        <w:t>Avramov and Maskova (2003)</w:t>
      </w:r>
      <w:r w:rsidRPr="00C3671E">
        <w:rPr>
          <w:noProof/>
        </w:rPr>
        <w:fldChar w:fldCharType="end"/>
      </w:r>
      <w:r w:rsidRPr="00C3671E">
        <w:rPr>
          <w:noProof/>
        </w:rPr>
        <w:t xml:space="preserve"> </w:t>
      </w:r>
      <w:r w:rsidRPr="00C3671E">
        <w:t xml:space="preserve">or </w:t>
      </w:r>
      <w:r w:rsidRPr="00C3671E">
        <w:fldChar w:fldCharType="begin" w:fldLock="1"/>
      </w:r>
      <w:r w:rsidR="00AA6335" w:rsidRPr="00C3671E">
        <w:instrText>ADDIN CSL_CITATION { "citationItems" : [ { "id" : "ITEM-1", "itemData" : { "author" : [ { "dropping-particle" : "", "family" : "EU Council", "given" : "", "non-dropping-particle" : "", "parse-names" : false, "suffix" : "" } ], "id" : "ITEM-1", "issued" : { "date-parts" : [ [ "2012" ] ] }, "publisher" : "EU Council", "publisher-place" : "Brussels", "title" : "Council Declaration on the European Year for Active Ageing and Solidarity between Generations (2012): The Way Forward", "type" : "book" }, "uris" : [ "http://www.mendeley.com/documents/?uuid=bc232528-fad4-4b15-bede-b113103dbe49" ] } ], "mendeley" : { "formattedCitation" : "(EU Council 2012)", "manualFormatting" : "EU Council (2012)", "plainTextFormattedCitation" : "(EU Council 2012)", "previouslyFormattedCitation" : "(EU Council 2012)" }, "properties" : { "noteIndex" : 0 }, "schema" : "https://github.com/citation-style-language/schema/raw/master/csl-citation.json" }</w:instrText>
      </w:r>
      <w:r w:rsidRPr="00C3671E">
        <w:fldChar w:fldCharType="separate"/>
      </w:r>
      <w:r w:rsidRPr="00C3671E">
        <w:rPr>
          <w:noProof/>
        </w:rPr>
        <w:t>EU Council (2012)</w:t>
      </w:r>
      <w:r w:rsidRPr="00C3671E">
        <w:fldChar w:fldCharType="end"/>
      </w:r>
      <w:r w:rsidRPr="00C3671E">
        <w:t xml:space="preserve">, the three main pillars of the active ageing policy are independent living, labour force participation, and social participation. While the beneficial effect of some activities promoted by this approach (employment, caregiving) are under dispute </w:t>
      </w:r>
      <w:r w:rsidRPr="00C3671E">
        <w:fldChar w:fldCharType="begin" w:fldLock="1"/>
      </w:r>
      <w:r w:rsidR="004F5010" w:rsidRPr="00C3671E">
        <w:instrText>ADDIN CSL_CITATION { "citationItems" : [ { "id" : "ITEM-1", "itemData" : { "DOI" : "10.1136/jech-2013-202820", "ISBN" : "0143-005x", "ISSN" : "1470-2738", "PMID" : "22156662", "abstract" : "BACKGROUND: 'Active ageing' has been promoted as a strategy for extending quality of life and healthy life expectancy. However, there is limited evidence from nationally representative longitudinal studies on whether engagement among older adults is associated with better outcomes and few studies have considered possible bias arising from differential study attrition. METHODS: We investigate associations between the engagement of people aged 50-69 in three types of activity with self-rated health and depression 2 years later using nationally representative longitudinal data from four European countries (Denmark, France, Italy and England). Data were drawn from waves 1 and 2 of the Survey of Health, Ageing and Retirement in Europe and the English Longitudinal Study of Ageing. Multivariable analysis was used to analyse associations between baseline activity and outcomes at follow-up controlling for socioeconomic, demographic and health-related variables at baseline. Multiple imputation techniques and sensitivity analyses were undertaken to investigate possible bias arising from sample attrition. RESULTS: Respondents in paid work at baseline were less likely to be depressed or to report poor or fair health at follow-up than those who were 'inactive', although not in Italy. Engagement in formal and informal activities was not significantly associated with health at follow-up. Sensitivity analyses showed that assuming that those in bad health were over-represented among study attritors weakened the association between work at baseline and health at follow-up. CONCLUSIONS: Engagement in paid work may help maintain health in later life, although mechanisms and contextual influences need further investigation.", "author" : [ { "dropping-particle" : "", "family" : "Gessa", "given" : "Giorgio", "non-dropping-particle" : "Di", "parse-names" : false, "suffix" : "" }, { "dropping-particle" : "", "family" : "Grundy", "given" : "Emily", "non-dropping-particle" : "", "parse-names" : false, "suffix" : "" } ], "container-title" : "Journal of Epidemiology and Community Health", "id" : "ITEM-1", "issue" : "3", "issued" : { "date-parts" : [ [ "2013" ] ] }, "note" : "Gessa, Grundy 2013: The relationship between active ageing and health using longitudinal data from Denmark, France, Italy and England\n\u2018Active ageing\u2019 has been promoted as a strategy for extending quality of life and healthy life expectancy\nEngagement of older people occurs within a socio-political context and may be influenced by the provision of services and generosity of benefits, pension schemes and labour, retirement and early retirement policies, as well as norms and values.14 15 It is well recognised that these contextual factors vary within Europe, and typologies have been developed that group together countries with similar policies\nEngagement in formal and informal activities was not significantly associated with health at follow-up - higher attrition\nof ill respondents\npossitive impact of work in three countries except Italy\npaid work - prestige, power, status + physical activity + economic resources\nNo associations were found between engagement in the other types of activity considered and either depression or SRH\nEngagement in paid work may help maintain health in later life, although mechanisms and contextual influences need further investigation\n\u2192\nIndividual consequences of volunteer and paid work in old age: health and mortality\nIs work good for your health and well-being?\nPolicy and practices relating to the active engagement of older people in the community\nVariations in older people\u2019s social and productive ageing activities across different social welfare regimes", "page" : "261-267", "title" : "The relationship between active ageing and health using longitudinal data from Denmark, France, Italy and England", "type" : "article-journal", "volume" : "68" }, "uris" : [ "http://www.mendeley.com/documents/?uuid=099505a4-8bdf-490c-ae2d-b130a8bcf814" ] }, { "id" : "ITEM-2", "itemData" : { "DOI" : "10.1111/1467-8721.00121", "ISBN" : "09637214", "ISSN" : "0963-7214", "abstract" : "Retirement has been viewed either as a transition that is accompanied by psychological distress or as a time of continued, or even enhanced, subjective well-being. Existing evidence is mixed, with some studies reporting retirement as positively related to well-being and other reporting a negative relationship or none at all. Our research indicates that developmental and social contexts shape an individual's retirement decisions and experiences, so that retirement should be studied in its ecological and life-course context. Research on marital quality and subjective well-being in retirement has demonstrated both similarities and differences between men and women, as well as the need to consider couples conjointly (rather than viewing individuals in isolation). Future research focusing on the retirement process as it unfolds over time and in ecological context can serve to illuminate the circumstances under which retirement promotes or detracts from the quality of life.", "author" : [ { "dropping-particle" : "", "family" : "Kim", "given" : "Jungmeen E", "non-dropping-particle" : "", "parse-names" : false, "suffix" : "" }, { "dropping-particle" : "", "family" : "Moen", "given" : "Phyllis", "non-dropping-particle" : "", "parse-names" : false, "suffix" : "" } ], "container-title" : "Current Directions in Psychological Science", "id" : "ITEM-2", "issue" : "3", "issued" : { "date-parts" : [ [ "2001" ] ] }, "page" : "83-86", "title" : "Is Retirement Good or Bad for Subjective Well-Being?", "type" : "article-journal", "volume" : "10" }, "uris" : [ "http://www.mendeley.com/documents/?uuid=d06e4216-f8ef-4e4d-8d67-2a892de0433e" ] } ], "mendeley" : { "formattedCitation" : "(Di Gessa and Grundy 2013; Kim and Moen 2001)", "plainTextFormattedCitation" : "(Di Gessa and Grundy 2013; Kim and Moen 2001)", "previouslyFormattedCitation" : "(Di Gessa and Grundy 2013; Kim and Moen 2001)" }, "properties" : { "noteIndex" : 0 }, "schema" : "https://github.com/citation-style-language/schema/raw/master/csl-citation.json" }</w:instrText>
      </w:r>
      <w:r w:rsidRPr="00C3671E">
        <w:fldChar w:fldCharType="separate"/>
      </w:r>
      <w:r w:rsidR="00224AA0" w:rsidRPr="00C3671E">
        <w:rPr>
          <w:noProof/>
        </w:rPr>
        <w:t>(Di Gessa and Grundy 2013; Kim and Moen 2001)</w:t>
      </w:r>
      <w:r w:rsidRPr="00C3671E">
        <w:fldChar w:fldCharType="end"/>
      </w:r>
      <w:r w:rsidRPr="00C3671E">
        <w:t xml:space="preserve">, the beneficial effect of social participation is more evident </w:t>
      </w:r>
      <w:r w:rsidRPr="00C3671E">
        <w:fldChar w:fldCharType="begin" w:fldLock="1"/>
      </w:r>
      <w:r w:rsidR="001257AA" w:rsidRPr="00C3671E">
        <w:instrText>ADDIN CSL_CITATION { "citationItems" : [ { "id" : "ITEM-1", "itemData" : { "DOI" : "10.1017/S0144686X10001091", "ISBN" : "0144686X (ISSN)", "ISSN" : "0144-686X", "PMID" : "59665633", "abstract" : "An engaged lifestyle is seen as an important component of successful ageing. Many older adults with high participation in social and leisure activities report positive wellbeing, a fact that fuelled the original activity theory and that continues to influence researchers, theorists and practitioners. This study's purpose is to review the conceptualisation and measurement of activity among older adults and the associations reported in the gerontological literature between specific dimensions of activity and wellbeing. We searched published studies that focused on social and leisure activity and wellbeing, and found 42 studies in 44 articles published between 1995 and 2009. They reported from one to 13 activity domains, the majority reporting two or three, such as informal , formal and solitary , or productive versus leisure . Domains associated with subjective wellbeing, health or survival included social, leisure, productive, physical, intellectual, service and solitary activities. Informal social activity has accumulated the most evidence of an influence on wellbeing. Individual descriptors such as gender or physical functioning sometimes moderate these associations, while contextual variables such as choice, meaning or perceived quality play intervening roles. Differences in definitions and measurement make it difficult to draw inferences about this body of evidence on the associations between activity and wellbeing. Activity theory serves as shorthand for these associations, but gerontology must better integrate developmental and psychological constructs into a refined, comprehensive activity theory.", "author" : [ { "dropping-particle" : "", "family" : "Adams", "given" : "Kathryn Betts", "non-dropping-particle" : "", "parse-names" : false, "suffix" : "" }, { "dropping-particle" : "", "family" : "Leibbrandt", "given" : "Sylvia", "non-dropping-particle" : "", "parse-names" : false, "suffix" : "" }, { "dropping-particle" : "", "family" : "Moon", "given" : "Heehyul", "non-dropping-particle" : "", "parse-names" : false, "suffix" : "" } ], "container-title" : "Ageing and Society", "id" : "ITEM-1", "issue" : "04", "issued" : { "date-parts" : [ [ "2011" ] ] }, "page" : "683-712", "title" : "A critical review of the literature on social and leisure activity and wellbeing in later life", "type" : "article-journal", "volume" : "31" }, "uris" : [ "http://www.mendeley.com/documents/?uuid=28bf1c76-83b5-46ba-8c9c-efd885614e50" ] }, { "id" : "ITEM-2", "itemData" : { "DOI" : "10.1016/j.maturitas.2011.08.010", "ISBN" : "1912156083", "ISSN" : "03785122", "PMID" : "21958942", "abstract" : "The year 2011 was declared the 'European Year of Volunteering' to recognise the contribution volunteers make to society. Such cross-national events reflect the high profile of volunteering and political imperatives to promote it. The purpose of this review is to provide a comprehensive review of current knowledge (articles published between 2005 and 2011) regarding the role of volunteering in improving older people's quality of life (QoL) and to identify areas requiring further research. Volunteering was defined as an activity that is freely chosen, does not involve remuneration and helps or benefits those beyond an individual's immediate family. Our search identified 22 studies and 5 review articles that addressed the benefits of volunteering on older people's quality of life. Most of the research had been conducted in the United States, Canada and Australia using data from longitudinal studies. The majority of the studies concluded that there is a positive association between older people's quality of life and engagement in volunteering. Due to the study designs and the heterogeneity of the research, causality is difficult to demonstrate and the knowledge the studies bring to the subject is variable. This review shows that volunteering may help to maintain and possibly improve some older adults' quality of life. However, there are still major gaps in our understanding of who actually benefits, the social and cultural context of volunteering and its role in reducing health and social inequalities. ?? 2011 Elsevier Ireland Ltd.", "author" : [ { "dropping-particle" : "", "family" : "Cattan", "given" : "Mima", "non-dropping-particle" : "", "parse-names" : false, "suffix" : "" }, { "dropping-particle" : "", "family" : "Hogg", "given" : "Eddy", "non-dropping-particle" : "", "parse-names" : false, "suffix" : "" }, { "dropping-particle" : "", "family" : "Hardill", "given" : "Irene", "non-dropping-particle" : "", "parse-names" : false, "suffix" : "" } ], "container-title" : "Maturitas", "id" : "ITEM-2", "issue" : "4", "issued" : { "date-parts" : [ [ "2011" ] ] }, "page" : "328-332", "publisher" : "Elsevier Ireland Ltd", "title" : "Improving quality of life in ageing populations: What can volunteering do?", "type" : "article-journal", "volume" : "70" }, "uris" : [ "http://www.mendeley.com/documents/?uuid=7cb6e6b7-58ca-474e-a4fe-923493357f55" ] }, { "id" : "ITEM-3", "itemData" : { "DOI" : "10.1111/joop.12003", "ISBN" : "09631798", "ISSN" : "09631798", "PMID" : "90563210", "abstract" : "This study examines the impact of engaging in seven types of activities on depression and quality of life in retirees and older workers over a period of 2 years, using a sample from the survey of health, ageing and retirement in Europe. Longitudinal data were available from 2,813 retirees and 1,372 older employees. Our results showed that volunteering, providing help and going to sports or social clubs at the baseline improved retirees\u2019 quality of lifeover a period of 2 years. No direct effects of engaging in activities were found for older employees. Moreover, higher depression at the baseline fostered the depression experience at the follow-up in those retirees and older employees who were caring for disabled adults at baseline. In retirees with higher depression at baseline, participation in religious organizations was associated with a greater decrease in depression at follow-up than in those who had lower levels of depression at baseline. For older employees, taking part in political or community organizations at baselinewas related to a greater decrease in depression at follow-up than in those employees who experienced higher initial depression.", "author" : [ { "dropping-particle" : "", "family" : "Poto\u010dnik", "given" : "Kristina", "non-dropping-particle" : "", "parse-names" : false, "suffix" : "" }, { "dropping-particle" : "", "family" : "Sonnentag", "given" : "Sabine", "non-dropping-particle" : "", "parse-names" : false, "suffix" : "" } ], "container-title" : "Journal of Occupational and Organizational Psychology", "id" : "ITEM-3", "issue" : "4", "issued" : { "date-parts" : [ [ "2013" ] ] }, "page" : "497-521", "title" : "A longitudinal study of well-being in older workers and retirees: The role of engaging in different types of activities", "type" : "article-journal", "volume" : "86" }, "uris" : [ "http://www.mendeley.com/documents/?uuid=5889bc5d-921b-416d-a3eb-706b9facb5cf" ] } ], "mendeley" : { "formattedCitation" : "(Adams et al. 2011; Cattan et al. 2011; Poto\u010dnik and Sonnentag 2013)", "plainTextFormattedCitation" : "(Adams et al. 2011; Cattan et al. 2011; Poto\u010dnik and Sonnentag 2013)", "previouslyFormattedCitation" : "(Adams et al. 2011; Cattan et al. 2011; Poto\u010dnik and Sonnentag 2013)" }, "properties" : { "noteIndex" : 0 }, "schema" : "https://github.com/citation-style-language/schema/raw/master/csl-citation.json" }</w:instrText>
      </w:r>
      <w:r w:rsidRPr="00C3671E">
        <w:fldChar w:fldCharType="separate"/>
      </w:r>
      <w:r w:rsidR="00A91559" w:rsidRPr="00C3671E">
        <w:rPr>
          <w:noProof/>
        </w:rPr>
        <w:t>(Adams et al. 2011; Cattan et al. 2011; Potočnik and Sonnentag 2013)</w:t>
      </w:r>
      <w:r w:rsidRPr="00C3671E">
        <w:fldChar w:fldCharType="end"/>
      </w:r>
      <w:r w:rsidRPr="00C3671E">
        <w:t xml:space="preserve">. However, even the support of social participation does not fulfil proclaimed goals of active ageing policy to provide a general good </w:t>
      </w:r>
      <w:r w:rsidRPr="00C3671E">
        <w:fldChar w:fldCharType="begin" w:fldLock="1"/>
      </w:r>
      <w:r w:rsidR="00AA6335" w:rsidRPr="00C3671E">
        <w:instrText>ADDIN CSL_CITATION { "citationItems" : [ { "id" : "ITEM-1", "itemData" : { "DOI" : "10.1111/1468-246X.00118", "ISBN" : "0020871X", "ISSN" : "0020-871X", "abstract" : "This article argues that a strategy of active ageing, by linking the key policy domains of employment, pensions, retirement, health and citizenship, provides a sound basis for industrialized countries to respond to the challenges presented by population ageing. The article outlines the genesis of the concept of active ageing and the principles that should be embodied in a modernized, comprehensive approach fit for the twenty-first century. It then considers the potential for active ageing to address problems in the five key policy domains. Finally the article sets out a strategy on active ageing and illustrates how it might be operationalized at different stages of the life cycle. In conclusion the potentially beneficial nature of a comprehensive strategy on active ageing is emphasized: it represents the unusual combination of a morally correct policy that also makes sound economic sense.", "author" : [ { "dropping-particle" : "", "family" : "Walker", "given" : "Alan", "non-dropping-particle" : "", "parse-names" : false, "suffix" : "" } ], "container-title" : "International Social Security Review", "id" : "ITEM-1", "issue" : "1", "issued" : { "date-parts" : [ [ "2002" ] ] }, "page" : "121-139", "title" : "A strategy for active ageing", "type" : "article-journal", "volume" : "55" }, "uris" : [ "http://www.mendeley.com/documents/?uuid=bac7ad5d-dc20-46b2-82e4-4f90b0a76f71" ] } ], "mendeley" : { "formattedCitation" : "(Walker 2002a)", "plainTextFormattedCitation" : "(Walker 2002a)", "previouslyFormattedCitation" : "(Walker 2002a)" }, "properties" : { "noteIndex" : 0 }, "schema" : "https://github.com/citation-style-language/schema/raw/master/csl-citation.json" }</w:instrText>
      </w:r>
      <w:r w:rsidRPr="00C3671E">
        <w:fldChar w:fldCharType="separate"/>
      </w:r>
      <w:r w:rsidR="00C004DA" w:rsidRPr="00C3671E">
        <w:rPr>
          <w:noProof/>
        </w:rPr>
        <w:t>(Walker 2002a)</w:t>
      </w:r>
      <w:r w:rsidRPr="00C3671E">
        <w:fldChar w:fldCharType="end"/>
      </w:r>
      <w:r w:rsidRPr="00C3671E">
        <w:t xml:space="preserve">. These goals illustrates for instance a central claim of the European Commission that ‘mobilising the potential of both older women and men is crucial to ensure prosperity for all generations in ageing societies’ </w:t>
      </w:r>
      <w:r w:rsidRPr="00C3671E">
        <w:fldChar w:fldCharType="begin" w:fldLock="1"/>
      </w:r>
      <w:r w:rsidR="00AA6335" w:rsidRPr="00C3671E">
        <w:instrText>ADDIN CSL_CITATION { "citationItems" : [ { "id" : "ITEM-1", "itemData" : { "author" : [ { "dropping-particle" : "", "family" : "European Commission", "given" : "", "non-dropping-particle" : "", "parse-names" : false, "suffix" : "" } ], "id" : "ITEM-1", "issued" : { "date-parts" : [ [ "2013" ] ] }, "publisher" : "European Comission", "publisher-place" : "Brussels", "title" : "Introducing the Active Ageing Index. Policy brief", "type" : "book" }, "uris" : [ "http://www.mendeley.com/documents/?uuid=15ea840e-806d-4ce4-88d2-b847e7b3756b" ] } ], "mendeley" : { "formattedCitation" : "(European Commission 2013)", "manualFormatting" : "(European Comission 2013", "plainTextFormattedCitation" : "(European Commission 2013)", "previouslyFormattedCitation" : "(European Commission 2013)" }, "properties" : { "noteIndex" : 0 }, "schema" : "https://github.com/citation-style-language/schema/raw/master/csl-citation.json" }</w:instrText>
      </w:r>
      <w:r w:rsidRPr="00C3671E">
        <w:fldChar w:fldCharType="separate"/>
      </w:r>
      <w:r w:rsidRPr="00C3671E">
        <w:rPr>
          <w:noProof/>
        </w:rPr>
        <w:t>(European Comission 2013</w:t>
      </w:r>
      <w:r w:rsidRPr="00C3671E">
        <w:fldChar w:fldCharType="end"/>
      </w:r>
      <w:r w:rsidRPr="00C3671E">
        <w:t xml:space="preserve">: 1). It seems that more well-off part of older adults can benefit much more from support of social participation, as others are not willing or cannot participate, because opportunities for social participation are strongly connected to macro-context </w:t>
      </w:r>
      <w:r w:rsidRPr="00C3671E">
        <w:fldChar w:fldCharType="begin" w:fldLock="1"/>
      </w:r>
      <w:r w:rsidR="001257AA" w:rsidRPr="00C3671E">
        <w:instrText>ADDIN CSL_CITATION { "citationItems" : [ { "id" : "ITEM-1", "itemData" : { "DOI" : "10.1093/esr/jcq023", "ISBN" : "0266-7215", "ISSN" : "02667215", "abstract" : "This article aims to improve our understanding of the societal determinants of older people\u2019s participation in non-market productive activities. Based on micro-data from the Survey of Health, Ageing and Retirement in Europe, we estimate logistic multilevel models for individuals\u2019 engagement in formal volunteering, informal helping, and caring across 11 countries. The results partially support hypotheses regarding the relationship between specific macro-level variables and individuals\u2019 productive engagement at older ages. While our measure of societal images of aging does not exhibit statistically significant associations with any of the activities considered here, our hypotheses concerning a positive relationship between greater political and religious freedom as well as the provision of welfare state services and older individuals\u2019 propensity to engage in productive aging are largely confirmed. We interpret these findings as evidence suggesting that both longstanding cultural elements of a society as well as contemporary welfare state interventions constitute reference frames and opportunity structures which older individuals perceive as relevant for their decision whether to participate in volunteering, helping, or caring.", "author" : [ { "dropping-particle" : "", "family" : "Hank", "given" : "Karsten", "non-dropping-particle" : "", "parse-names" : false, "suffix" : "" } ], "container-title" : "European Sociological Review", "id" : "ITEM-1", "issue" : "4", "issued" : { "date-parts" : [ [ "2011" ] ] }, "page" : "526-541", "title" : "Societal determinants of productive aging: A multilevel analysis across 11 European Countries", "type" : "article-journal", "volume" : "27" }, "uris" : [ "http://www.mendeley.com/documents/?uuid=fbcecccf-f864-4ae9-9b90-33a7d02f7393" ] }, { "id" : "ITEM-2", "itemData" : { "DOI" : "10.1111/j.1468-2397.2009.00691.x", "ISBN" : "1369-6866\\r1468-2397", "ISSN" : "13696866", "abstract" : "This study explores voluntary association involvement by seniors using a six-regime model with Esping-Andersen's three worlds of welfare as a starting point. Current literature is then used to argue for the inclusion of three additional regime types. The model, with its six illustrative countries, is then used to compare type and level of voluntary association membership and volunteering by older people. The first set of findings is a descriptive account of the context of ageing and social welfare in the six countries and the relationship between this context and volunteering by older people. The second set of findings utilises a broad comparative dataset, the World Values Survey (2005-2006), to explore differences in voluntary association involvement more specifically. The analyses suggest that differences across regime types are explainable in terms of the social welfare context. These findings suggest a possible line of approach to understanding differences across countries. (PsycINFO Database Record (c) 2012 APA, all rights reserved) (journal abstract).", "author" : [ { "dropping-particle" : "", "family" : "Warburton", "given" : "Jeni", "non-dropping-particle" : "", "parse-names" : false, "suffix" : "" }, { "dropping-particle" : "", "family" : "Jeppsson Grassman", "given" : "Eva", "non-dropping-particle" : "", "parse-names" : false, "suffix" : "" } ], "container-title" : "International Journal of Social Welfare", "id" : "ITEM-2", "issue" : "2", "issued" : { "date-parts" : [ [ "2011" ] ] }, "note" : "Warburton, Jeppson Grassman 2011: Variations in older people\u2019s social and productive ageing activities across different social welfare regimes\na six-regime model with Esping-Andersen\u2019s threeworlds of welfare as a starting point + sourthern Europe, eastern Asia and wage-earners model (Australia)\nWorld Values Survey concerning civic involvement by people aged 65+\nThe analyses suggest that differences across regime types are explainable in terms of the social welfare context\nactive membership in volunteering in UK, Australia and Sweden, the opposite in Italy and Germany (more religious organizations)", "page" : "180-191", "title" : "Variations in older people's social and productive ageing activities across different social welfare regimes", "type" : "article-journal", "volume" : "20" }, "uris" : [ "http://www.mendeley.com/documents/?uuid=2c5bf896-7f7f-43c0-b80a-b07ff5c6ef59" ] } ], "mendeley" : { "formattedCitation" : "(Hank 2011; Warburton and Jeppsson Grassman 2011)", "plainTextFormattedCitation" : "(Hank 2011; Warburton and Jeppsson Grassman 2011)", "previouslyFormattedCitation" : "(Hank 2011; Warburton and Jeppsson Grassman 2011)" }, "properties" : { "noteIndex" : 0 }, "schema" : "https://github.com/citation-style-language/schema/raw/master/csl-citation.json" }</w:instrText>
      </w:r>
      <w:r w:rsidRPr="00C3671E">
        <w:fldChar w:fldCharType="separate"/>
      </w:r>
      <w:r w:rsidR="00A91559" w:rsidRPr="00C3671E">
        <w:rPr>
          <w:noProof/>
        </w:rPr>
        <w:t>(Hank 2011; Warburton and Jeppsson Grassman 2011)</w:t>
      </w:r>
      <w:r w:rsidRPr="00C3671E">
        <w:fldChar w:fldCharType="end"/>
      </w:r>
      <w:r w:rsidRPr="00C3671E">
        <w:t xml:space="preserve"> and individual resources </w:t>
      </w:r>
      <w:r w:rsidRPr="00C3671E">
        <w:fldChar w:fldCharType="begin" w:fldLock="1"/>
      </w:r>
      <w:r w:rsidR="001257AA" w:rsidRPr="00C3671E">
        <w:instrText>ADDIN CSL_CITATION { "citationItems" : [ { "id" : "ITEM-1", "itemData" : { "DOI" : "10.1007/s10433-015-0341-4", "ISSN" : "16139380", "abstract" : "This study explores older people\u2019s membership in political organizations by using data from the Survey on older people 2010, carried out by Spain\u2019s National Institute for older people and social services. The objectives were to describe the extent of this kind of participation among Spaniards aged 65 and over, and to analyze the factors that are associated with it. Results show that only slightly less than 7 % of the sample belonged to a political organization. To analyze the factors related to this membership, a set of models of multivariate analyses were run, including socioeconomic resources and participation in other types of active aging activity (participation in leisure, learning, and productive activities). Educational level, leisure activities, learning activities, and only volunteering in the case of productive activities were found to be associated with membership in political organizations. Results provide partial support for the socioeconomic resources model and suggest that engagement in leisure activities, learning activities, and volunteering might have an enhancing effect on membership in political organizations.", "author" : [ { "dropping-particle" : "", "family" : "Serrat", "given" : "Rodrigo", "non-dropping-particle" : "", "parse-names" : false, "suffix" : "" }, { "dropping-particle" : "", "family" : "Villar", "given" : "Feliciano", "non-dropping-particle" : "", "parse-names" : false, "suffix" : "" }, { "dropping-particle" : "", "family" : "Celdr\u00e1n", "given" : "Montserrat", "non-dropping-particle" : "", "parse-names" : false, "suffix" : "" } ], "container-title" : "European Journal of Ageing", "id" : "ITEM-1", "issue" : "3", "issued" : { "date-parts" : [ [ "2015" ] ] }, "page" : "239-247", "title" : "Factors associated with Spanish older people\u2019s membership in political organizations: the role of active aging activities", "type" : "article-journal", "volume" : "12" }, "uris" : [ "http://www.mendeley.com/documents/?uuid=916b36f3-3dc6-4f85-86e1-c170aa0e0234" ] }, { "id" : "ITEM-2", "itemData" : { "DOI" : "10.1177/1350506809341513", "ISBN" : "0958-9287", "ISSN" : "0958-9287", "PMID" : "44896743", "abstract" : "In order to understand variations of quality of life in early old age, associations between economic status, socially productive activities and well-being are studied across 14 European countries. Information on three different types of productive activities and their exchange characteristics is included. We used the first two waves of the Survey of Health, Ageing and Retirement in Europe (SHARE) including some 15,000 retired men and women. Well-being is measured by a standardized quality of life measure (CASP-12). Findings of multilevel analyses show larger within country than between-country variability in prospective quality of life. Strong individual predictors were the experience of reciprocity in social productive activities and high socio-economic position. Continued participation in socially productive activities, in particular those that offer opportunities of experiencing reciprocity in exchange, improves prospective quality of life in early old age.", "author" : [ { "dropping-particle" : "", "family" : "Siegrist", "given" : "Johannes", "non-dropping-particle" : "", "parse-names" : false, "suffix" : "" }, { "dropping-particle" : "", "family" : "Wahrendorf", "given" : "Morten", "non-dropping-particle" : "", "parse-names" : false, "suffix" : "" } ], "container-title" : "Journal of European Social Policy", "id" : "ITEM-2", "issue" : "4", "issued" : { "date-parts" : [ [ "2009" ] ] }, "page" : "317-326", "title" : "Participation in socially productive activities and quality of life in early old age: findings from SHARE", "type" : "article-journal", "volume" : "19" }, "uris" : [ "http://www.mendeley.com/documents/?uuid=d6184dc7-ff41-4c97-a30a-bb2bd49a4212" ] }, { "id" : "ITEM-3", "itemData" : { "author" : [ { "dropping-particle" : "", "family" : "Timonen", "given" : "Virpi", "non-dropping-particle" : "", "parse-names" : false, "suffix" : "" } ], "id" : "ITEM-3", "issued" : { "date-parts" : [ [ "2016" ] ] }, "publisher" : "Policy Press Shorts Research", "publisher-place" : "Bristol", "title" : "Beyond successful and active ageing: A theory of model ageing", "type" : "book" }, "uris" : [ "http://www.mendeley.com/documents/?uuid=4c41af4a-05f8-46fd-bb8a-a893aaadda0a" ] } ], "mendeley" : { "formattedCitation" : "(Serrat et al. 2015; Siegrist and Wahrendorf 2009; Timonen 2016)", "plainTextFormattedCitation" : "(Serrat et al. 2015; Siegrist and Wahrendorf 2009; Timonen 2016)", "previouslyFormattedCitation" : "(Serrat et al. 2015; Siegrist and Wahrendorf 2009; Timonen 2016)" }, "properties" : { "noteIndex" : 0 }, "schema" : "https://github.com/citation-style-language/schema/raw/master/csl-citation.json" }</w:instrText>
      </w:r>
      <w:r w:rsidRPr="00C3671E">
        <w:fldChar w:fldCharType="separate"/>
      </w:r>
      <w:r w:rsidR="00A91559" w:rsidRPr="00C3671E">
        <w:rPr>
          <w:noProof/>
        </w:rPr>
        <w:t>(Serrat et al. 2015; Siegrist and Wahrendorf 2009; Timonen 2016)</w:t>
      </w:r>
      <w:r w:rsidRPr="00C3671E">
        <w:fldChar w:fldCharType="end"/>
      </w:r>
      <w:r w:rsidRPr="00C3671E">
        <w:t xml:space="preserve">. To examine this issue, the paper is </w:t>
      </w:r>
      <w:r w:rsidRPr="00C3671E">
        <w:lastRenderedPageBreak/>
        <w:t xml:space="preserve">answering the following question: </w:t>
      </w:r>
      <w:r w:rsidRPr="00C3671E">
        <w:rPr>
          <w:i/>
        </w:rPr>
        <w:t>How is participation in social activities in later life structured by macro-context and individual resources and how these inequalities develop over time?</w:t>
      </w:r>
    </w:p>
    <w:p w14:paraId="15F7923A" w14:textId="77777777" w:rsidR="007302A0" w:rsidRPr="00C3671E" w:rsidRDefault="007302A0" w:rsidP="006B7F0B">
      <w:pPr>
        <w:pStyle w:val="Newparagraph"/>
        <w:jc w:val="both"/>
      </w:pPr>
      <w:r w:rsidRPr="00C3671E">
        <w:t xml:space="preserve">This research </w:t>
      </w:r>
      <w:r w:rsidRPr="00C3671E">
        <w:rPr>
          <w:noProof/>
        </w:rPr>
        <w:t>answers</w:t>
      </w:r>
      <w:r w:rsidRPr="00C3671E">
        <w:t xml:space="preserve"> the question through a secondary data analysis of the Survey of Health, Ageing and Retirement in Europe (SHARE). This source of data enables to study the development of social participation over time in various socio-geographical contexts within various social groups. The results, which are generally descriptive to illustrate the real-life differences, show that social participation is strongly structured by welfare regime, education, financial situation, and health status. Then, these structuring societal and individual conditions have a cumulative effect when combined. While the prevalence of social participation among retired older people moderately increased in time, the inequalities in access to beneficial activities remain stable, but still strong. Hence, </w:t>
      </w:r>
      <w:r w:rsidRPr="00C3671E">
        <w:rPr>
          <w:i/>
        </w:rPr>
        <w:t>the active ageing policy does not strengthen inequalities among older adults according to these findings, but it neither reduces them.</w:t>
      </w:r>
    </w:p>
    <w:p w14:paraId="55B16EFF" w14:textId="77777777" w:rsidR="007302A0" w:rsidRPr="00C3671E" w:rsidRDefault="007302A0" w:rsidP="007E6D8E">
      <w:pPr>
        <w:pStyle w:val="Nadpis2"/>
        <w:spacing w:line="480" w:lineRule="auto"/>
        <w:rPr>
          <w:sz w:val="26"/>
          <w:szCs w:val="26"/>
          <w:lang w:val="en-GB"/>
        </w:rPr>
      </w:pPr>
      <w:bookmarkStart w:id="62" w:name="_Toc512687765"/>
      <w:r w:rsidRPr="00C3671E">
        <w:rPr>
          <w:sz w:val="26"/>
          <w:szCs w:val="26"/>
          <w:lang w:val="en-GB"/>
        </w:rPr>
        <w:t>Literature review</w:t>
      </w:r>
      <w:bookmarkEnd w:id="62"/>
    </w:p>
    <w:p w14:paraId="12FC01C2" w14:textId="77777777" w:rsidR="007302A0" w:rsidRPr="00C3671E" w:rsidRDefault="007302A0" w:rsidP="007E6D8E">
      <w:pPr>
        <w:pStyle w:val="Nadpis3"/>
        <w:spacing w:line="480" w:lineRule="auto"/>
        <w:rPr>
          <w:rFonts w:ascii="Times New Roman" w:hAnsi="Times New Roman" w:cs="Times New Roman"/>
          <w:b w:val="0"/>
          <w:i/>
          <w:lang w:val="en-GB" w:eastAsia="zh-CN"/>
        </w:rPr>
      </w:pPr>
      <w:bookmarkStart w:id="63" w:name="_Toc512687766"/>
      <w:r w:rsidRPr="00C3671E">
        <w:rPr>
          <w:rFonts w:ascii="Times New Roman" w:hAnsi="Times New Roman" w:cs="Times New Roman"/>
          <w:b w:val="0"/>
          <w:i/>
          <w:lang w:val="en-GB" w:eastAsia="zh-CN"/>
        </w:rPr>
        <w:t>What is active ageing and social participation?</w:t>
      </w:r>
      <w:bookmarkEnd w:id="63"/>
    </w:p>
    <w:p w14:paraId="68DC3023" w14:textId="26739104" w:rsidR="007302A0" w:rsidRPr="00C3671E" w:rsidRDefault="007302A0" w:rsidP="006B7F0B">
      <w:pPr>
        <w:suppressAutoHyphens/>
        <w:spacing w:line="480" w:lineRule="auto"/>
        <w:jc w:val="both"/>
        <w:rPr>
          <w:lang w:val="en-GB"/>
        </w:rPr>
      </w:pPr>
      <w:r w:rsidRPr="00C3671E">
        <w:rPr>
          <w:lang w:val="en-GB"/>
        </w:rPr>
        <w:t xml:space="preserve">Active ageing has </w:t>
      </w:r>
      <w:r w:rsidRPr="00C3671E">
        <w:rPr>
          <w:rFonts w:eastAsia="Calibri"/>
          <w:noProof/>
          <w:lang w:val="en-GB" w:eastAsia="en-US"/>
        </w:rPr>
        <w:t>many</w:t>
      </w:r>
      <w:r w:rsidRPr="00C3671E">
        <w:rPr>
          <w:lang w:val="en-GB"/>
        </w:rPr>
        <w:t xml:space="preserve"> definitions created by academics, bodies of social policy, and even older adults themselves </w:t>
      </w:r>
      <w:r w:rsidRPr="00C3671E">
        <w:rPr>
          <w:lang w:val="en-GB"/>
        </w:rPr>
        <w:fldChar w:fldCharType="begin" w:fldLock="1"/>
      </w:r>
      <w:r w:rsidR="00AA6335" w:rsidRPr="00C3671E">
        <w:rPr>
          <w:lang w:val="en-GB"/>
        </w:rPr>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"mendeley" : { "formattedCitation" : "(Timonen 2016)", "plainTextFormattedCitation" : "(Timonen 2016)", "previouslyFormattedCitation" : "(Timonen 2016)" }, "properties" : { "noteIndex" : 0 }, "schema" : "https://github.com/citation-style-language/schema/raw/master/csl-citation.json" }</w:instrText>
      </w:r>
      <w:r w:rsidRPr="00C3671E">
        <w:rPr>
          <w:lang w:val="en-GB"/>
        </w:rPr>
        <w:fldChar w:fldCharType="separate"/>
      </w:r>
      <w:r w:rsidRPr="00C3671E">
        <w:rPr>
          <w:noProof/>
          <w:lang w:val="en-GB"/>
        </w:rPr>
        <w:t>(Timonen 2016)</w:t>
      </w:r>
      <w:r w:rsidRPr="00C3671E">
        <w:rPr>
          <w:lang w:val="en-GB"/>
        </w:rPr>
        <w:fldChar w:fldCharType="end"/>
      </w:r>
      <w:r w:rsidRPr="00C3671E">
        <w:rPr>
          <w:lang w:val="en-GB"/>
        </w:rPr>
        <w:t xml:space="preserve">. Therefore, some definitions are based on research conceptualization, some on programmes and interventions based on principles of active ageing, and other on lay perspectives of what is perceived as ageing actively. Still, we can at least say that this concept and policy tool has roots in the academic discussion from the early 1960s, when </w:t>
      </w:r>
      <w:r w:rsidRPr="00C3671E">
        <w:rPr>
          <w:lang w:val="en-GB"/>
        </w:rPr>
        <w:fldChar w:fldCharType="begin" w:fldLock="1"/>
      </w:r>
      <w:r w:rsidR="00AA6335" w:rsidRPr="00C3671E">
        <w:rPr>
          <w:lang w:val="en-GB"/>
        </w:rPr>
        <w:instrText>ADDIN CSL_CITATION { "citationItems" : [ { "id" : "ITEM-1", "itemData" : { "DOI" : "10.1093/geront/1.1.8", "abstract" : "Substantial increases in the relative and absolute number of older persons in our society pose a challenge for biology, social and behavioral science, and medicine. Successful aging is multidimensional, encompassing the avoidance of disease and disability, the maintenance of high physical and cognitive function, and sustained engagement in social and productive activities. Research has identified factors predictive of success in these critical domains. The stage is set for intervention studies to enhance the proportion of our population aging successfully.", "author" : [ { "dropping-particle" : "", "family" : "Havighurst", "given" : "Robert J", "non-dropping-particle" : "", "parse-names" : false, "suffix" : "" } ], "container-title" : "The Gerontologist", "id" : "ITEM-1", "issue" : "1", "issued" : { "date-parts" : [ [ "1961" ] ] }, "page" : "8-13", "title" : "Successful Aging", "type" : "article-journal", "volume" : "1" }, "uris" : [ "http://www.mendeley.com/documents/?uuid=67d7e72c-655e-4df5-8029-f3c1efddc5da" ] } ], "mendeley" : { "formattedCitation" : "(Havighurst 1961)", "manualFormatting" : "Havighurst (1961)", "plainTextFormattedCitation" : "(Havighurst 1961)", "previouslyFormattedCitation" : "(Havighurst 1961)" }, "properties" : { "noteIndex" : 0 }, "schema" : "https://github.com/citation-style-language/schema/raw/master/csl-citation.json" }</w:instrText>
      </w:r>
      <w:r w:rsidRPr="00C3671E">
        <w:rPr>
          <w:lang w:val="en-GB"/>
        </w:rPr>
        <w:fldChar w:fldCharType="separate"/>
      </w:r>
      <w:r w:rsidRPr="00C3671E">
        <w:rPr>
          <w:noProof/>
          <w:lang w:val="en-GB"/>
        </w:rPr>
        <w:t>Havighurst (1961)</w:t>
      </w:r>
      <w:r w:rsidRPr="00C3671E">
        <w:rPr>
          <w:lang w:val="en-GB"/>
        </w:rPr>
        <w:fldChar w:fldCharType="end"/>
      </w:r>
      <w:r w:rsidRPr="00C3671E">
        <w:rPr>
          <w:lang w:val="en-GB"/>
        </w:rPr>
        <w:t xml:space="preserve"> in his article </w:t>
      </w:r>
      <w:r w:rsidRPr="00C3671E">
        <w:rPr>
          <w:i/>
          <w:lang w:val="en-GB"/>
        </w:rPr>
        <w:t>Successful aging</w:t>
      </w:r>
      <w:r w:rsidRPr="00C3671E">
        <w:rPr>
          <w:lang w:val="en-GB"/>
        </w:rPr>
        <w:t xml:space="preserve"> formulated activity theory as a reaction to the dominant disengagement theory stated by </w:t>
      </w:r>
      <w:r w:rsidRPr="00C3671E">
        <w:rPr>
          <w:lang w:val="en-GB"/>
        </w:rPr>
        <w:fldChar w:fldCharType="begin" w:fldLock="1"/>
      </w:r>
      <w:r w:rsidR="00AA6335" w:rsidRPr="00C3671E">
        <w:rPr>
          <w:lang w:val="en-GB"/>
        </w:rPr>
        <w:instrText>ADDIN CSL_CITATION { "citationItems" : [ { "id" : "ITEM-1", "itemData" : { "author" : [ { "dropping-particle" : "", "family" : "Cumming", "given" : "Elaine", "non-dropping-particle" : "", "parse-names" : false, "suffix" : "" }, { "dropping-particle" : "", "family" : "Henry", "given" : "William Earl", "non-dropping-particle" : "", "parse-names" : false, "suffix" : "" } ], "id" : "ITEM-1", "issued" : { "date-parts" : [ [ "1961" ] ] }, "publisher" : "Basic Books", "publisher-place" : "New York", "title" : "Growing old, the process of disengagement", "type" : "book" }, "uris" : [ "http://www.mendeley.com/documents/?uuid=b7f05d8b-128f-4438-8949-5f168bee8bd7" ] } ], "mendeley" : { "formattedCitation" : "(Cumming and Henry 1961)", "manualFormatting" : "Cumming and Henry (1961)", "plainTextFormattedCitation" : "(Cumming and Henry 1961)", "previouslyFormattedCitation" : "(Cumming and Henry 1961)" }, "properties" : { "noteIndex" : 0 }, "schema" : "https://github.com/citation-style-language/schema/raw/master/csl-citation.json" }</w:instrText>
      </w:r>
      <w:r w:rsidRPr="00C3671E">
        <w:rPr>
          <w:lang w:val="en-GB"/>
        </w:rPr>
        <w:fldChar w:fldCharType="separate"/>
      </w:r>
      <w:r w:rsidRPr="00C3671E">
        <w:rPr>
          <w:noProof/>
          <w:lang w:val="en-GB"/>
        </w:rPr>
        <w:t>Cumming and Henry (1961)</w:t>
      </w:r>
      <w:r w:rsidRPr="00C3671E">
        <w:rPr>
          <w:lang w:val="en-GB"/>
        </w:rPr>
        <w:fldChar w:fldCharType="end"/>
      </w:r>
      <w:r w:rsidRPr="00C3671E">
        <w:rPr>
          <w:lang w:val="en-GB"/>
        </w:rPr>
        <w:t xml:space="preserve">. This connection between activity and successful ageing then became an evergreen of gerontological debates </w:t>
      </w:r>
      <w:r w:rsidRPr="00C3671E">
        <w:rPr>
          <w:lang w:val="en-GB"/>
        </w:rPr>
        <w:fldChar w:fldCharType="begin" w:fldLock="1"/>
      </w:r>
      <w:r w:rsidR="00AA6335" w:rsidRPr="00C3671E">
        <w:rPr>
          <w:lang w:val="en-GB"/>
        </w:rPr>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"mendeley" : { "formattedCitation" : "(Timonen 2016)", "plainTextFormattedCitation" : "(Timonen 2016)", "previouslyFormattedCitation" : "(Timonen 2016)" }, "properties" : { "noteIndex" : 0 }, "schema" : "https://github.com/citation-style-language/schema/raw/master/csl-citation.json" }</w:instrText>
      </w:r>
      <w:r w:rsidRPr="00C3671E">
        <w:rPr>
          <w:lang w:val="en-GB"/>
        </w:rPr>
        <w:fldChar w:fldCharType="separate"/>
      </w:r>
      <w:r w:rsidRPr="00C3671E">
        <w:rPr>
          <w:noProof/>
          <w:lang w:val="en-GB"/>
        </w:rPr>
        <w:t>(Timonen 2016)</w:t>
      </w:r>
      <w:r w:rsidRPr="00C3671E">
        <w:rPr>
          <w:lang w:val="en-GB"/>
        </w:rPr>
        <w:fldChar w:fldCharType="end"/>
      </w:r>
      <w:r w:rsidRPr="00C3671E">
        <w:rPr>
          <w:lang w:val="en-GB"/>
        </w:rPr>
        <w:t xml:space="preserve">. These debates were subsequently implemented into official statements and </w:t>
      </w:r>
      <w:r w:rsidRPr="00C3671E">
        <w:rPr>
          <w:lang w:val="en-GB"/>
        </w:rPr>
        <w:lastRenderedPageBreak/>
        <w:t xml:space="preserve">policy tools of the </w:t>
      </w:r>
      <w:r w:rsidRPr="00C3671E">
        <w:rPr>
          <w:lang w:val="en-GB"/>
        </w:rPr>
        <w:fldChar w:fldCharType="begin" w:fldLock="1"/>
      </w:r>
      <w:r w:rsidR="00AA6335" w:rsidRPr="00C3671E">
        <w:rPr>
          <w:lang w:val="en-GB"/>
        </w:rPr>
        <w:instrText>ADDIN CSL_CITATION { "citationItems" : [ { "id" : "ITEM-1", "itemData" : { "DOI" : "10.1080/713604647", "ISBN" : "1757-9139 (Print)\\r1757-9147 (Linking)", "ISSN" : "1368-5538", "PMID" : "21692392", "abstract" : "his Policy Framework is intended to inform discussion and the formulation of action plans that promote healthy and active ageing. It was developed by WHO\u2019s Ageing and Life Course Programme as a contribution to the Second United Nations World Assembly on Ageing, held in April 2002, in Madrid, Spain. The preliminary version, published in 2001 entitled Health and Ageing: A Discussion Paper, was translated into French and Spanish and widely circulated for feedback throughout 2001 (including at special workshops held in Brazil, Canada, the Netherlands, Spain and the United Kingdom). In January 2002, an expert group meeting was convened at the WHO Centre for Health Development (WKC) in Kobe, Japan, with 29 participants from 21 countries. De- tailed comments and recommendations from this meeting, as well as those received through the previous consultation process, were com- piled to complete this fi nal version. A complementary monograph entitled Active Ageing: From Evidence to Action is being prepared in collaboration with the Inter- national Association of Gerontology (IAG) and will be available at http://www.who.int/hpr/ ageing where more information about ageing from a life course perspective is also provided.", "author" : [ { "dropping-particle" : "", "family" : "WHO", "given" : "", "non-dropping-particle" : "", "parse-names" : false, "suffix" : "" } ], "id" : "ITEM-1", "issued" : { "date-parts" : [ [ "2002" ] ] }, "page" : "1-60", "publisher" : "World Health Organization", "publisher-place" : "Geneva", "title" : "Active Ageing: A Policy Framework", "type" : "article" }, "uris" : [ "http://www.mendeley.com/documents/?uuid=10ba559d-500f-4111-baae-06ebd9b96a0f" ] } ], "mendeley" : { "formattedCitation" : "(WHO 2002)", "manualFormatting" : "World Health Organization (2002)", "plainTextFormattedCitation" : "(WHO 2002)", "previouslyFormattedCitation" : "(WHO 2002)" }, "properties" : { "noteIndex" : 0 }, "schema" : "https://github.com/citation-style-language/schema/raw/master/csl-citation.json" }</w:instrText>
      </w:r>
      <w:r w:rsidRPr="00C3671E">
        <w:rPr>
          <w:lang w:val="en-GB"/>
        </w:rPr>
        <w:fldChar w:fldCharType="separate"/>
      </w:r>
      <w:r w:rsidRPr="00C3671E">
        <w:rPr>
          <w:noProof/>
          <w:lang w:val="en-GB"/>
        </w:rPr>
        <w:t>World Health Organization (2002)</w:t>
      </w:r>
      <w:r w:rsidRPr="00C3671E">
        <w:rPr>
          <w:lang w:val="en-GB"/>
        </w:rPr>
        <w:fldChar w:fldCharType="end"/>
      </w:r>
      <w:r w:rsidRPr="00C3671E">
        <w:rPr>
          <w:lang w:val="en-GB"/>
        </w:rPr>
        <w:t xml:space="preserve">, </w:t>
      </w:r>
      <w:r w:rsidRPr="00C3671E">
        <w:rPr>
          <w:lang w:val="en-GB"/>
        </w:rPr>
        <w:fldChar w:fldCharType="begin" w:fldLock="1"/>
      </w:r>
      <w:r w:rsidR="00AA6335" w:rsidRPr="00C3671E">
        <w:rPr>
          <w:lang w:val="en-GB"/>
        </w:rPr>
        <w:instrText>ADDIN CSL_CITATION { "citationItems" : [ { "id" : "ITEM-1", "itemData" : { "DOI" : "10.2767/67267", "ISBN" : "9789279251238", "abstract" : "This study is intended to improve and extend the available knowledge about learning for active ageing and the role of intergenerational learning in active ageing. It brings together key findings from academic and other literature on the subject identified up to the end of May 2012, primary and secondary sources collected for 22 case studies, and material created by activities and projects funded through the European Commission\u2019s Grundtvig programme actions. This report brings together and summarises the key findings of the literature review, case studies and analysis of Grundtvig programme funded projects to demonstrate the benefits of investing in and supporting learning for older people, how these benefits can be realised and what can be done to achieve them more widely", "author" : [ { "dropping-particle" : "", "family" : "European Union", "given" : "", "non-dropping-particle" : "", "parse-names" : false, "suffix" : "" } ], "id" : "ITEM-1", "issued" : { "date-parts" : [ [ "2012" ] ] }, "publisher" : "Publications Office of the European Union", "publisher-place" : "Luxembourg", "title" : "The EU Contribution to Active Ageing and Solidarity between Generations", "type" : "book" }, "uris" : [ "http://www.mendeley.com/documents/?uuid=c3161470-2983-4214-8711-93c687e3f758" ] } ], "mendeley" : { "formattedCitation" : "(European Union 2012)", "manualFormatting" : "European Union (2012)", "plainTextFormattedCitation" : "(European Union 2012)", "previouslyFormattedCitation" : "(European Union 2012)" }, "properties" : { "noteIndex" : 0 }, "schema" : "https://github.com/citation-style-language/schema/raw/master/csl-citation.json" }</w:instrText>
      </w:r>
      <w:r w:rsidRPr="00C3671E">
        <w:rPr>
          <w:lang w:val="en-GB"/>
        </w:rPr>
        <w:fldChar w:fldCharType="separate"/>
      </w:r>
      <w:r w:rsidRPr="00C3671E">
        <w:rPr>
          <w:noProof/>
          <w:lang w:val="en-GB"/>
        </w:rPr>
        <w:t>European Union (2012)</w:t>
      </w:r>
      <w:r w:rsidRPr="00C3671E">
        <w:rPr>
          <w:lang w:val="en-GB"/>
        </w:rPr>
        <w:fldChar w:fldCharType="end"/>
      </w:r>
      <w:r w:rsidRPr="00C3671E">
        <w:rPr>
          <w:lang w:val="en-GB"/>
        </w:rPr>
        <w:t xml:space="preserve">, and local governments </w:t>
      </w:r>
      <w:r w:rsidRPr="00C3671E">
        <w:rPr>
          <w:lang w:val="en-GB"/>
        </w:rPr>
        <w:fldChar w:fldCharType="begin" w:fldLock="1"/>
      </w:r>
      <w:r w:rsidR="00AA6335" w:rsidRPr="00C3671E">
        <w:rPr>
          <w:lang w:val="en-GB"/>
        </w:rPr>
        <w:instrText>ADDIN CSL_CITATION { "citationItems" : [ { "id" : "ITEM-1", "itemData" : { "ISBN" : "9788086878669", "author" : [ { "dropping-particle" : "", "family" : "Ministry of Labour and Social Affairs", "given" : "", "non-dropping-particle" : "", "parse-names" : false, "suffix" : "" } ], "id" : "ITEM-1", "issued" : { "date-parts" : [ [ "2008" ] ] }, "number-of-pages" : "1-58", "publisher" : "Ministry of Labour and Social Affairs", "publisher-place" : "Prague", "title" : "Quality of Life in Old Age", "type" : "book" }, "uris" : [ "http://www.mendeley.com/documents/?uuid=846f2636-918b-4150-8fe2-40acd692c4d9" ] } ], "mendeley" : { "formattedCitation" : "(Ministry of Labour and Social Affairs 2008)", "plainTextFormattedCitation" : "(Ministry of Labour and Social Affairs 2008)", "previouslyFormattedCitation" : "(Ministry of Labour and Social Affairs 2008)" }, "properties" : { "noteIndex" : 0 }, "schema" : "https://github.com/citation-style-language/schema/raw/master/csl-citation.json" }</w:instrText>
      </w:r>
      <w:r w:rsidRPr="00C3671E">
        <w:rPr>
          <w:lang w:val="en-GB"/>
        </w:rPr>
        <w:fldChar w:fldCharType="separate"/>
      </w:r>
      <w:r w:rsidRPr="00C3671E">
        <w:rPr>
          <w:noProof/>
          <w:lang w:val="en-GB"/>
        </w:rPr>
        <w:t>(Ministry of Labour and Social Affairs 2008)</w:t>
      </w:r>
      <w:r w:rsidRPr="00C3671E">
        <w:rPr>
          <w:lang w:val="en-GB"/>
        </w:rPr>
        <w:fldChar w:fldCharType="end"/>
      </w:r>
      <w:r w:rsidRPr="00C3671E">
        <w:rPr>
          <w:lang w:val="en-GB"/>
        </w:rPr>
        <w:t xml:space="preserve"> and then criticized from several points of view – for instance by claim that active ageing approach constructed by ‘experts’ do not reflect perceptions of older people themselves </w:t>
      </w:r>
      <w:r w:rsidRPr="00C3671E">
        <w:rPr>
          <w:lang w:val="en-GB"/>
        </w:rPr>
        <w:fldChar w:fldCharType="begin" w:fldLock="1"/>
      </w:r>
      <w:r w:rsidR="001257AA" w:rsidRPr="00C3671E">
        <w:rPr>
          <w:lang w:val="en-GB"/>
        </w:rPr>
        <w:instrText>ADDIN CSL_CITATION { "citationItems" : [ { "id" : "ITEM-1", "itemData" : { "DOI" : "10.1080/13607860802120979", "ISBN" : "13607863", "ISSN" : "1360-7863", "PMID" : "18728941", "abstract" : "OBJECTIVE: To identify older people's perceptions of active ageing, and to compare them with the literature, and with older people's perceptions of successful ageing and quality of life. DESIGN: Face-to-face interview survey with 337 people aged 65+ living at home in Britain. RESULTS: The most common perceptions of active ageing were having/maintaining physical health and functioning (43%), leisure and social activities (34%), mental functioning and activity (18%) and social relationships and contacts (15%). A third rated themselves as ageing 'Very actively', and almost half as 'Fairly actively'. Independent predictors of positive self-rated active ageing were optimum health and quality of life. DISCUSSION: Main sub-themes of active ageing included exercising the body and mind in order to maintain health and functioning. People's views focussed on basic definitions such as social, physical and mental health and activity, probably reflecting the novelty of the concept to them, thereby excluding frail older people from active ageing. Comparisons with definitions of successful ageing and quality of life showed overlap, but the latter were portrayed as 'states of being'. This is consistent with models which propose quality of life as the end-point of active ageing.", "author" : [ { "dropping-particle" : "", "family" : "Bowling", "given" : "Ann", "non-dropping-particle" : "", "parse-names" : false, "suffix" : "" } ], "container-title" : "Aging &amp; Mental Health", "id" : "ITEM-1", "issue" : "3", "issued" : { "date-parts" : [ [ "2008" ] ] }, "page" : "293-301", "title" : "Enhancing later life: How older people perceive active ageing?", "type" : "article-journal", "volume" : "12" }, "uris" : [ "http://www.mendeley.com/documents/?uuid=b6382bf3-15c8-420f-88c4-2ae47b434407" ] }, { "id" : "ITEM-2", "itemData" : { "DOI" : "10.1177/1359105310384298", "ISBN" : "1461-7277", "ISSN" : "1359-1053", "PMID" : "21224334", "abstract" : "Following a critical overview of the active ageing concept, a thematic decomposition of 42 transcribed interviews with British people aged 72 years and over indicates that active ageing is understood in relation to physical, cognitive, psychological and social factors, but that these co-exist in complex combinations. The notion of activity in active ageing is grasped in relation to an active/passive distinction which emphasizes the enhancement or diminishment of concrete powers of activity. A 'challenge and response' framework is suggested for future research on active ageing.", "author" : [ { "dropping-particle" : "", "family" : "Stenner", "given" : "Paul", "non-dropping-particle" : "", "parse-names" : false, "suffix" : "" }, { "dropping-particle" : "", "family" : "McFarquhar", "given" : "Tara", "non-dropping-particle" : "", "parse-names" : false, "suffix" : "" }, { "dropping-particle" : "", "family" : "Bowling", "given" : "Ann", "non-dropping-particle" : "", "parse-names" : false, "suffix" : "" } ], "container-title" : "Journal of Health Psychology", "id" : "ITEM-2", "issue" : "3", "issued" : { "date-parts" : [ [ "2011" ] ] }, "page" : "467-477", "title" : "Older people and \u2018Active ageing\u2019: Subjective aspects of ageing actively", "type" : "article-journal", "volume" : "16" }, "uris" : [ "http://www.mendeley.com/documents/?uuid=f1aac278-08f8-4b5c-bcf9-e7adeca4c316" ] } ], "mendeley" : { "formattedCitation" : "(Bowling 2008; Stenner, McFarquhar, and Bowling 2011)", "plainTextFormattedCitation" : "(Bowling 2008; Stenner, McFarquhar, and Bowling 2011)", "previouslyFormattedCitation" : "(Bowling 2008; Stenner, McFarquhar, and Bowling 2011)" }, "properties" : { "noteIndex" : 0 }, "schema" : "https://github.com/citation-style-language/schema/raw/master/csl-citation.json" }</w:instrText>
      </w:r>
      <w:r w:rsidRPr="00C3671E">
        <w:rPr>
          <w:lang w:val="en-GB"/>
        </w:rPr>
        <w:fldChar w:fldCharType="separate"/>
      </w:r>
      <w:r w:rsidR="00A91559" w:rsidRPr="00C3671E">
        <w:rPr>
          <w:noProof/>
          <w:lang w:val="en-GB"/>
        </w:rPr>
        <w:t>(Bowling 2008; Stenner, McFarquhar, and Bowling 2011)</w:t>
      </w:r>
      <w:r w:rsidRPr="00C3671E">
        <w:rPr>
          <w:lang w:val="en-GB"/>
        </w:rPr>
        <w:fldChar w:fldCharType="end"/>
      </w:r>
      <w:r w:rsidRPr="00C3671E">
        <w:rPr>
          <w:lang w:val="en-GB"/>
        </w:rPr>
        <w:t>.</w:t>
      </w:r>
    </w:p>
    <w:p w14:paraId="622FA58D" w14:textId="689AA55B" w:rsidR="007302A0" w:rsidRPr="00C3671E" w:rsidRDefault="007302A0" w:rsidP="006B7F0B">
      <w:pPr>
        <w:pStyle w:val="Newparagraph"/>
        <w:jc w:val="both"/>
      </w:pPr>
      <w:r w:rsidRPr="00C3671E">
        <w:t xml:space="preserve">The aim of this </w:t>
      </w:r>
      <w:r w:rsidRPr="00C3671E">
        <w:rPr>
          <w:noProof/>
        </w:rPr>
        <w:t>article</w:t>
      </w:r>
      <w:r w:rsidRPr="00C3671E">
        <w:t xml:space="preserve"> is to assess some possible consequences of active ageing as the dominant approach in (not only) European social gerontology and social policy and not to encompass the whole development and set of definitions formed so far. Thus, the paper uses the definitions of active ageing with the highest societal impact. The active ageing approach ‘led the transition from the perception of older adults as largely passive recipients of welfare to a more active’ </w:t>
      </w:r>
      <w:r w:rsidRPr="00C3671E">
        <w:fldChar w:fldCharType="begin" w:fldLock="1"/>
      </w:r>
      <w:r w:rsidR="00AA6335" w:rsidRPr="00C3671E">
        <w:instrText>ADDIN CSL_CITATION { "citationItems" : [ { "id" : "ITEM-1", "itemData" : { "DOI" : "10.1111/j.1468-2397.2012.00871.x", "ISBN" : "1468-2397", "ISSN" : "13696866", "abstract" : "The ageing of European countries has widespread implications for current and future social and economic policies across the region.The major policy response to demographic ageing that has emerged over the past 10 years is called \u2018active ageing\u2019, yet there is little clarity in practice about what it means for individuals and society beyond a crude economic reduction in terms of working longer.The main purposes of this article are to explain why this strategy has emerged and its impor- tance. Despite a great deal of positive political rhetoric, the response at all levels of policy making has been rather limited. An active social and public policy is required to mainstream active ageing as the leading paradigm for ageing policy across the European Union (EU). The designation of 2012 as the EuropeanYear of Active Ageing offers a potential focus for renewed policy action in the EU and is discussed in the context of our conclusions", "author" : [ { "dropping-particle" : "", "family" : "Walker", "given" : "Alan", "non-dropping-particle" : "", "parse-names" : false, "suffix" : "" }, { "dropping-particle" : "", "family" : "Maltby", "given" : "Tony", "non-dropping-particle" : "", "parse-names" : false, "suffix" : "" } ], "container-title" : "International Journal of Social Welfare", "id" : "ITEM-1", "issue" : "SUPPL.1", "issued" : { "date-parts" : [ [ "2012" ] ] }, "page" : "117-130", "title" : "Active ageing: A strategic policy solution to demographic ageing in the European Union", "type" : "article-journal", "volume" : "21" }, "uris" : [ "http://www.mendeley.com/documents/?uuid=2008f46f-ead4-4add-94cf-578cdbb7c3dc" ] } ], "mendeley" : { "formattedCitation" : "(Walker and Maltby 2012)", "manualFormatting" : "(Walker and Maltby 2012", "plainTextFormattedCitation" : "(Walker and Maltby 2012)", "previouslyFormattedCitation" : "(Walker and Maltby 2012)" }, "properties" : { "noteIndex" : 0 }, "schema" : "https://github.com/citation-style-language/schema/raw/master/csl-citation.json" }</w:instrText>
      </w:r>
      <w:r w:rsidRPr="00C3671E">
        <w:fldChar w:fldCharType="separate"/>
      </w:r>
      <w:r w:rsidRPr="00C3671E">
        <w:rPr>
          <w:noProof/>
        </w:rPr>
        <w:t>(Walker and Maltby 2012</w:t>
      </w:r>
      <w:r w:rsidRPr="00C3671E">
        <w:fldChar w:fldCharType="end"/>
      </w:r>
      <w:r w:rsidRPr="00C3671E">
        <w:t xml:space="preserve">: 127) participants on social, economic, and political life, which makes older people healthier, more satisfied, and more useful </w:t>
      </w:r>
      <w:r w:rsidRPr="00C3671E">
        <w:fldChar w:fldCharType="begin" w:fldLock="1"/>
      </w:r>
      <w:r w:rsidR="001257AA" w:rsidRPr="00C3671E">
        <w:instrText>ADDIN CSL_CITATION { "citationItems" : [ { "id" : "ITEM-1", "itemData" : { "author" : [ { "dropping-particle" : "", "family" : "EU Council", "given" : "", "non-dropping-particle" : "", "parse-names" : false, "suffix" : "" } ], "id" : "ITEM-1", "issued" : { "date-parts" : [ [ "2012" ] ] }, "publisher" : "EU Council", "publisher-place" : "Brussels", "title" : "Council Declaration on the European Year for Active Ageing and Solidarity between Generations (2012): The Way Forward", "type" : "book" }, "uris" : [ "http://www.mendeley.com/documents/?uuid=bc232528-fad4-4b15-bede-b113103dbe49" ] }, { "id" : "ITEM-2", "itemData" : { "DOI" : "10.1111/1468-246X.00118", "ISBN" : "0020871X", "ISSN" : "0020-871X", "abstract" : "This article argues that a strategy of active ageing, by linking the key policy domains of employment, pensions, retirement, health and citizenship, provides a sound basis for industrialized countries to respond to the challenges presented by population ageing. The article outlines the genesis of the concept of active ageing and the principles that should be embodied in a modernized, comprehensive approach fit for the twenty-first century. It then considers the potential for active ageing to address problems in the five key policy domains. Finally the article sets out a strategy on active ageing and illustrates how it might be operationalized at different stages of the life cycle. In conclusion the potentially beneficial nature of a comprehensive strategy on active ageing is emphasized: it represents the unusual combination of a morally correct policy that also makes sound economic sense.", "author" : [ { "dropping-particle" : "", "family" : "Walker", "given" : "Alan", "non-dropping-particle" : "", "parse-names" : false, "suffix" : "" } ], "container-title" : "International Social Security Review", "id" : "ITEM-2", "issue" : "1", "issued" : { "date-parts" : [ [ "2002" ] ] }, "page" : "121-139", "title" : "A strategy for active ageing", "type" : "article-journal", "volume" : "55" }, "uris" : [ "http://www.mendeley.com/documents/?uuid=bac7ad5d-dc20-46b2-82e4-4f90b0a76f71" ] } ], "mendeley" : { "formattedCitation" : "(EU Council 2012; Walker 2002a)", "plainTextFormattedCitation" : "(EU Council 2012; Walker 2002a)", "previouslyFormattedCitation" : "(EU Council 2012; Walker 2002a)" }, "properties" : { "noteIndex" : 0 }, "schema" : "https://github.com/citation-style-language/schema/raw/master/csl-citation.json" }</w:instrText>
      </w:r>
      <w:r w:rsidRPr="00C3671E">
        <w:fldChar w:fldCharType="separate"/>
      </w:r>
      <w:r w:rsidR="00A91559" w:rsidRPr="00C3671E">
        <w:rPr>
          <w:noProof/>
        </w:rPr>
        <w:t>(EU Council 2012; Walker 2002a)</w:t>
      </w:r>
      <w:r w:rsidRPr="00C3671E">
        <w:fldChar w:fldCharType="end"/>
      </w:r>
      <w:r w:rsidRPr="00C3671E">
        <w:t xml:space="preserve">. These goals should be accomplished by support of the following areas of life of older adults: independent living, labour force participation, and social participation </w:t>
      </w:r>
      <w:r w:rsidRPr="00C3671E">
        <w:fldChar w:fldCharType="begin" w:fldLock="1"/>
      </w:r>
      <w:r w:rsidR="001257AA" w:rsidRPr="00C3671E">
        <w:instrText>ADDIN CSL_CITATION { "citationItems" : [ { "id" : "ITEM-1", "itemData" : { "ISBN" : "9789287152404", "abstract" : "Foreword\\n\\nThe Council of Europe has a long tradition of producing population studies, and the work of the European Population Committee contributes to the understanding of the relationship between social policy and demographic issues in Europe. The findings of this work are published in the series Population studies, where topics covered include migration flows, national minorities, demographic\\nchanges and the labour market, the ageing of European populations and the demographic consequences of economic transition. These publications provide essential background information for implementing the Council of Europe\u2019s strategy for social cohesion: an integrated policy approach aimed at combating poverty and social exclusion through promoting access to social rights in areas\\nsuch as employment and training, health, social protection, housing, education and social services.\\n\\nThis volume takes as its starting point the changing age structure in European countries. This is characterised by the increase in the number of elderly persons and the decrease in the young and working populations. It reviews the demographic differences between European countries. The authors note that improved living conditions and effective health and social policies mean that the majority of younger elderly Europeans reach the third age in relatively good health and under conditions of some income security. They point out\\nthat whilst the effective age at retirement has been declining, it is only a minority of elderly people who use their free time in an active manner.\\n\\nThe authors examine the different public policy approaches and individual strategies developed in response to these societal changes and they make wide-ranging policy proposals for the development of active ageing strategies which address issues of employment, health, leisure and social cohesion.", "author" : [ { "dropping-particle" : "", "family" : "Avramov", "given" : "Dragana", "non-dropping-particle" : "", "parse-names" : false, "suffix" : "" }, { "dropping-particle" : "", "family" : "Maskova", "given" : "Miroslava", "non-dropping-particle" : "", "parse-names" : false, "suffix" : "" } ], "container-title" : "Population studies", "id" : "ITEM-1", "issue" : "41", "issued" : { "date-parts" : [ [ "2003" ] ] }, "number-of-pages" : "1-152", "publisher" : "Council of Europe Publishing", "publisher-place" : "Strasbourg", "title" : "Active ageing in Europe", "type" : "book", "volume" : "1" }, "uris" : [ "http://www.mendeley.com/documents/?uuid=7db55846-516c-430d-834c-164bd53456b9" ] }, { "id" : "ITEM-2", "itemData" : { "author" : [ { "dropping-particle" : "", "family" : "EU Council", "given" : "", "non-dropping-particle" : "", "parse-names" : false, "suffix" : "" } ], "id" : "ITEM-2", "issued" : { "date-parts" : [ [ "2012" ] ] }, "publisher" : "EU Council", "publisher-place" : "Brussels", "title" : "Council Declaration on the European Year for Active Ageing and Solidarity between Generations (2012): The Way Forward", "type" : "book" }, "uris" : [ "http://www.mendeley.com/documents/?uuid=bc232528-fad4-4b15-bede-b113103dbe49" ] } ], "mendeley" : { "formattedCitation" : "(Avramov and Maskova 2003; EU Council 2012)", "plainTextFormattedCitation" : "(Avramov and Maskova 2003; EU Council 2012)", "previouslyFormattedCitation" : "(Avramov and Maskova 2003; EU Council 2012)" }, "properties" : { "noteIndex" : 0 }, "schema" : "https://github.com/citation-style-language/schema/raw/master/csl-citation.json" }</w:instrText>
      </w:r>
      <w:r w:rsidRPr="00C3671E">
        <w:fldChar w:fldCharType="separate"/>
      </w:r>
      <w:r w:rsidR="00A91559" w:rsidRPr="00C3671E">
        <w:rPr>
          <w:noProof/>
        </w:rPr>
        <w:t>(Avramov and Maskova 2003; EU Council 2012)</w:t>
      </w:r>
      <w:r w:rsidRPr="00C3671E">
        <w:fldChar w:fldCharType="end"/>
      </w:r>
      <w:r w:rsidRPr="00C3671E">
        <w:t>.</w:t>
      </w:r>
    </w:p>
    <w:p w14:paraId="58EEEF35" w14:textId="3FD1B7BC" w:rsidR="007302A0" w:rsidRPr="00C3671E" w:rsidRDefault="007302A0" w:rsidP="006B7F0B">
      <w:pPr>
        <w:pStyle w:val="Newparagraph"/>
        <w:jc w:val="both"/>
      </w:pPr>
      <w:r w:rsidRPr="00C3671E">
        <w:t xml:space="preserve">The political will to support these so-called pillars of active ageing is strong, which is also reflected in the Active Ageing Index (AAI) initiative. AAI measures the level of success in these three areas (and area ‘enabling environment’) for all EU and some non-EU countries every two years and </w:t>
      </w:r>
      <w:r w:rsidRPr="00C3671E">
        <w:fldChar w:fldCharType="begin" w:fldLock="1"/>
      </w:r>
      <w:r w:rsidR="00AA6335" w:rsidRPr="00C3671E">
        <w:instrText>ADDIN CSL_CITATION { "citationItems" : [ { "id" : "ITEM-1", "itemData" : { "author" : [ { "dropping-particle" : "", "family" : "European Commission", "given" : "", "non-dropping-particle" : "", "parse-names" : false, "suffix" : "" } ], "id" : "ITEM-1", "issued" : { "date-parts" : [ [ "2013" ] ] }, "publisher" : "European Comission", "publisher-place" : "Brussels", "title" : "Introducing the Active Ageing Index. Policy brief", "type" : "book" }, "uris" : [ "http://www.mendeley.com/documents/?uuid=15ea840e-806d-4ce4-88d2-b847e7b3756b" ] } ], "mendeley" : { "formattedCitation" : "(European Commission 2013)", "plainTextFormattedCitation" : "(European Commission 2013)", "previouslyFormattedCitation" : "(European Commission 2013)" }, "properties" : { "noteIndex" : 0 }, "schema" : "https://github.com/citation-style-language/schema/raw/master/csl-citation.json" }</w:instrText>
      </w:r>
      <w:r w:rsidRPr="00C3671E">
        <w:fldChar w:fldCharType="separate"/>
      </w:r>
      <w:r w:rsidRPr="00C3671E">
        <w:rPr>
          <w:noProof/>
        </w:rPr>
        <w:t>(European Commission 2013)</w:t>
      </w:r>
      <w:r w:rsidRPr="00C3671E">
        <w:fldChar w:fldCharType="end"/>
      </w:r>
      <w:r w:rsidRPr="00C3671E">
        <w:t xml:space="preserve">. Moreover, the initiative evaluates the rate of success of every country and appeals for increase of these indicators </w:t>
      </w:r>
      <w:r w:rsidRPr="00C3671E">
        <w:fldChar w:fldCharType="begin" w:fldLock="1"/>
      </w:r>
      <w:r w:rsidR="00AA6335" w:rsidRPr="00C3671E">
        <w:instrText>ADDIN CSL_CITATION { "citationItems" : [ { "id" : "ITEM-1", "itemData" : { "abstract" : "The report should be referred to as: UNECE/ European Commission (2015) \u201cActive Ageing Index 2014: Analytical Report\u201d, Report prepared by Asghar Zaidi of Centre for Research on Ageing, University of Southampton and David Stanton, under contract with United Nations Economic Commission for Europe (Geneva), co-funded by the European Commission\u2019s Directorate General for Employment, Social Affairs and Inclusion (Brussels).", "author" : [ { "dropping-particle" : "", "family" : "Zaidi", "given" : "Asghar", "non-dropping-particle" : "", "parse-names" : false, "suffix" : "" } ], "id" : "ITEM-1", "issue" : "April", "issued" : { "date-parts" : [ [ "2015" ] ] }, "number-of-pages" : "1-9", "publisher" : "UNECE", "publisher-place" : "Geneva", "title" : "Active Ageing Index 2014 Analytical Report", "type" : "book" }, "uris" : [ "http://www.mendeley.com/documents/?uuid=e5502369-34dc-4c1e-ad2d-b04716a04efe" ] } ], "mendeley" : { "formattedCitation" : "(Zaidi 2015)", "plainTextFormattedCitation" : "(Zaidi 2015)", "previouslyFormattedCitation" : "(Zaidi 2015)" }, "properties" : { "noteIndex" : 0 }, "schema" : "https://github.com/citation-style-language/schema/raw/master/csl-citation.json" }</w:instrText>
      </w:r>
      <w:r w:rsidRPr="00C3671E">
        <w:fldChar w:fldCharType="separate"/>
      </w:r>
      <w:r w:rsidRPr="00C3671E">
        <w:rPr>
          <w:noProof/>
        </w:rPr>
        <w:t>(Zaidi 2015)</w:t>
      </w:r>
      <w:r w:rsidRPr="00C3671E">
        <w:fldChar w:fldCharType="end"/>
      </w:r>
      <w:r w:rsidRPr="00C3671E">
        <w:t>. The focus of this paper is to assess potential consequences of the support of social participation via active ageing policy.</w:t>
      </w:r>
    </w:p>
    <w:p w14:paraId="615BAE0D" w14:textId="6EB9EA98" w:rsidR="007302A0" w:rsidRPr="00C3671E" w:rsidRDefault="007302A0" w:rsidP="006B7F0B">
      <w:pPr>
        <w:pStyle w:val="Newparagraph"/>
        <w:jc w:val="both"/>
      </w:pPr>
      <w:r w:rsidRPr="00C3671E">
        <w:t xml:space="preserve">Social participation has </w:t>
      </w:r>
      <w:r w:rsidRPr="00C3671E">
        <w:rPr>
          <w:noProof/>
        </w:rPr>
        <w:t>several</w:t>
      </w:r>
      <w:r w:rsidRPr="00C3671E">
        <w:t xml:space="preserve"> types of definitions in a similar way to active ageing, but it is generally understood as ‘the person’s involvement in activities providing interactions with others in society or the community’ </w:t>
      </w:r>
      <w:r w:rsidRPr="00C3671E">
        <w:fldChar w:fldCharType="begin" w:fldLock="1"/>
      </w:r>
      <w:r w:rsidR="001257AA" w:rsidRPr="00C3671E">
        <w:instrText>ADDIN CSL_CITATION { "citationItems" : [ { "id" : "ITEM-1", "itemData" : { "DOI" : "10.1016/j.socscimed.2010.09.041", "ISBN" : "0277-9536", "ISSN" : "02779536", "PMID" : "21044812", "abstract" : "Social participation is a key determinant of successful and healthy aging and therefore an important emerging intervention goal for health professionals. Despite the interest shown in the concept of social participation over the last decade, there is no agreement on its definition and underlying dimensions. This paper provides an inventory and content analysis of definitions of social participation in older adults. Based on these results, a taxonomy of social activities is proposed. Four databases (Medline, CINAHL, AgeLine and PsycInfo) were searched with relevant keywords (Aging OR Ageing OR Elderly OR Older OR Seniors AND Community involvement/participation OR Social engagement/involvement/participation) resulting in the identification of 43 definitions. Using content analysis, definitions were deconstructed as a function of who, how, what, where, with whom, when, and why dimensions. Then, using activity analysis, we explored the typical contexts, demands and potential meanings of activities (main dimension). Content analysis showed that social participation definitions (n = 43) mostly focused on the person's involvement in activities providing interactions with others in society or the community. Depending on the main goal of these social activities, six proximal to distal levels of involvement of the individual with others were identified: 1) doing an activity in preparation for connecting with others, 2) being with others, 3) interacting with others without doing a specific activity with them, 4) doing an activity with others, 5) helping others, and 6) contributing to society. These levels are discussed in a continuum that can help distinguish social participation (levels 3 through 6) from parallel but different concepts such as participation (levels 1 through 6) and social engagement (levels 5 and 6). This taxonomy might be useful in pinpointing the focus of future investigations and clarifying dimensions specific to social participation. ?? 2010.", "author" : [ { "dropping-particle" : "", "family" : "Levasseur", "given" : "Melanie", "non-dropping-particle" : "", "parse-names" : false, "suffix" : "" }, { "dropping-particle" : "", "family" : "Richard", "given" : "Lucie", "non-dropping-particle" : "", "parse-names" : false, "suffix" : "" }, { "dropping-particle" : "", "family" : "Gauvin", "given" : "Lise", "non-dropping-particle" : "", "parse-names" : false, "suffix" : "" }, { "dropping-particle" : "", "family" : "Raymond", "given" : "Emilie", "non-dropping-particle" : "", "parse-names" : false, "suffix" : "" } ], "container-title" : "Social Science and Medicine", "id" : "ITEM-1", "issue" : "12", "issued" : { "date-parts" : [ [ "2010" ] ] }, "page" : "2141-2149", "publisher" : "Elsevier Ltd", "title" : "Inventory and analysis of definitions of social participation found in the aging literature: Proposed taxonomy of social activities", "type" : "article-journal", "volume" : "71" }, "uris" : [ "http://www.mendeley.com/documents/?uuid=78cf270f-8585-432d-b2b5-15deb879862f" ] } ], "mendeley" : { "formattedCitation" : "(Levasseur et al. 2010)", "manualFormatting" : "(Levasseur et al. 2010", "plainTextFormattedCitation" : "(Levasseur et al. 2010)", "previouslyFormattedCitation" : "(Levasseur et al. 2010)" }, "properties" : { "noteIndex" : 0 }, "schema" : "https://github.com/citation-style-language/schema/raw/master/csl-citation.json" }</w:instrText>
      </w:r>
      <w:r w:rsidRPr="00C3671E">
        <w:fldChar w:fldCharType="separate"/>
      </w:r>
      <w:r w:rsidRPr="00C3671E">
        <w:rPr>
          <w:noProof/>
        </w:rPr>
        <w:t>(Levasseur et al. 2010</w:t>
      </w:r>
      <w:r w:rsidRPr="00C3671E">
        <w:fldChar w:fldCharType="end"/>
      </w:r>
      <w:r w:rsidRPr="00C3671E">
        <w:t xml:space="preserve">: 2146), which has various levels </w:t>
      </w:r>
      <w:r w:rsidRPr="00C3671E">
        <w:lastRenderedPageBreak/>
        <w:t xml:space="preserve">of (in)formality </w:t>
      </w:r>
      <w:r w:rsidRPr="00C3671E">
        <w:fldChar w:fldCharType="begin" w:fldLock="1"/>
      </w:r>
      <w:r w:rsidR="001257AA" w:rsidRPr="00C3671E">
        <w:instrText>ADDIN CSL_CITATION { "citationItems" : [ { "id" : "ITEM-1", "itemData" : { "DOI" : "10.1017/S0144686X10001091", "ISBN" : "0144686X (ISSN)", "ISSN" : "0144-686X", "PMID" : "59665633", "abstract" : "An engaged lifestyle is seen as an important component of successful ageing. Many older adults with high participation in social and leisure activities report positive wellbeing, a fact that fuelled the original activity theory and that continues to influence researchers, theorists and practitioners. This study's purpose is to review the conceptualisation and measurement of activity among older adults and the associations reported in the gerontological literature between specific dimensions of activity and wellbeing. We searched published studies that focused on social and leisure activity and wellbeing, and found 42 studies in 44 articles published between 1995 and 2009. They reported from one to 13 activity domains, the majority reporting two or three, such as informal , formal and solitary , or productive versus leisure . Domains associated with subjective wellbeing, health or survival included social, leisure, productive, physical, intellectual, service and solitary activities. Informal social activity has accumulated the most evidence of an influence on wellbeing. Individual descriptors such as gender or physical functioning sometimes moderate these associations, while contextual variables such as choice, meaning or perceived quality play intervening roles. Differences in definitions and measurement make it difficult to draw inferences about this body of evidence on the associations between activity and wellbeing. Activity theory serves as shorthand for these associations, but gerontology must better integrate developmental and psychological constructs into a refined, comprehensive activity theory.", "author" : [ { "dropping-particle" : "", "family" : "Adams", "given" : "Kathryn Betts", "non-dropping-particle" : "", "parse-names" : false, "suffix" : "" }, { "dropping-particle" : "", "family" : "Leibbrandt", "given" : "Sylvia", "non-dropping-particle" : "", "parse-names" : false, "suffix" : "" }, { "dropping-particle" : "", "family" : "Moon", "given" : "Heehyul", "non-dropping-particle" : "", "parse-names" : false, "suffix" : "" } ], "container-title" : "Ageing and Society", "id" : "ITEM-1", "issue" : "04", "issued" : { "date-parts" : [ [ "2011" ] ] }, "page" : "683-712", "title" : "A critical review of the literature on social and leisure activity and wellbeing in later life", "type" : "article-journal", "volume" : "31" }, "uris" : [ "http://www.mendeley.com/documents/?uuid=28bf1c76-83b5-46ba-8c9c-efd885614e50" ] }, { "id" : "ITEM-2", "itemData" : { "DOI" : "10.1177/0733464804267579", "ISBN" : "0733-4648", "ISSN" : "0733-4648", "abstract" : "The present study examines social engagement (social network and participationin social activities) and its relation to life satisfaction among 354 community-dwelling, cognitively intact older individuals (M age = 72.4 years) with different combinations of disease and disability. Specifically, the analysis focused on individuals with disease but no disability (N = 186) and those with both disease and disability (N = 168). Individuals with both disease and disability had significantly lower levels of participation in social activities and life satisfaction; however, their level of social engagement was more strongly associated with life satisfaction as compared with individuals with disease but no disability. Disabled individuals may compensate for their lower physical function by placing more emphasis on social networks and social activities. Implications for enhancing social engagement and improving the quality of life among disabled older individuals are discussed.", "author" : [ { "dropping-particle" : "", "family" : "Jang", "given" : "Yuri", "non-dropping-particle" : "", "parse-names" : false, "suffix" : "" }, { "dropping-particle" : "", "family" : "Mortimer", "given" : "James A.", "non-dropping-particle" : "", "parse-names" : false, "suffix" : "" }, { "dropping-particle" : "", "family" : "Haley", "given" : "William E.", "non-dropping-particle" : "", "parse-names" : false, "suffix" : "" }, { "dropping-particle" : "", "family" : "Graves", "given" : "Amy R. Borenstein", "non-dropping-particle" : "", "parse-names" : false, "suffix" : "" } ], "container-title" : "Journal of Applied Gerontology", "id" : "ITEM-2", "issue" : "3", "issued" : { "date-parts" : [ [ "2004" ] ] }, "page" : "266-278", "title" : "The Role of Social Engagement in Life Satisfaction: Its Significance among Older Individuals with Disease and Disability", "type" : "article-journal", "volume" : "23" }, "uris" : [ "http://www.mendeley.com/documents/?uuid=4b9d5243-3e11-4c07-8e1f-64f963c2dac6" ] } ], "mendeley" : { "formattedCitation" : "(Adams et al. 2011; Jang et al. 2004)", "plainTextFormattedCitation" : "(Adams et al. 2011; Jang et al. 2004)", "previouslyFormattedCitation" : "(Adams et al. 2011; Jang et al. 2004)" }, "properties" : { "noteIndex" : 0 }, "schema" : "https://github.com/citation-style-language/schema/raw/master/csl-citation.json" }</w:instrText>
      </w:r>
      <w:r w:rsidRPr="00C3671E">
        <w:fldChar w:fldCharType="separate"/>
      </w:r>
      <w:r w:rsidR="00A91559" w:rsidRPr="00C3671E">
        <w:rPr>
          <w:noProof/>
        </w:rPr>
        <w:t>(Adams et al. 2011; Jang et al. 2004)</w:t>
      </w:r>
      <w:r w:rsidRPr="00C3671E">
        <w:fldChar w:fldCharType="end"/>
      </w:r>
      <w:r w:rsidRPr="00C3671E">
        <w:t xml:space="preserve">. This definition usually involves different forms of interactions, leisure activities, and participating in the operation of clubs or organizations. Many studies employing existing data on ageing (mostly the SHARE data) use indicators of social activities measured by a survey </w:t>
      </w:r>
      <w:r w:rsidRPr="00C3671E">
        <w:fldChar w:fldCharType="begin" w:fldLock="1"/>
      </w:r>
      <w:r w:rsidR="001257AA" w:rsidRPr="00C3671E">
        <w:instrText>ADDIN CSL_CITATION { "citationItems" : [ { "id" : "ITEM-1", "itemData" : { "ISBN" : "9783110295467", "author" : [ { "dropping-particle" : "", "family" : "Croezen", "given" : "Simone", "non-dropping-particle" : "", "parse-names" : false, "suffix" : "" }, { "dropping-particle" : "", "family" : "Avendano", "given" : "Mauricio", "non-dropping-particle" : "", "parse-names" : false, "suffix" : "" }, { "dropping-particle" : "", "family" : "Burdorf", "given" : "Alex", "non-dropping-particle" : "", "parse-names" : false, "suffix" : "" } ], "chapter-number" : "34", "container-title" : "Active ageing and solidarity between generations in Europe: First results from SHARE after the economic crisis", "editor" : [ { "dropping-particle" : "", "family" : "B\u00f6rsch-Supan", "given" : "Axel", "non-dropping-particle" : "", "parse-names" : false, "suffix" : "" }, { "dropping-particle" : "", "family" : "Brandt", "given" : "Martina", "non-dropping-particle" : "", "parse-names" : false, "suffix" : "" }, { "dropping-particle" : "", "family" : "Litwin", "given" : "Howard", "non-dropping-particle" : "", "parse-names" : false, "suffix" : "" }, { "dropping-particle" : "", "family" : "Weber", "given" : "Guglielmo", "non-dropping-particle" : "", "parse-names" : false, "suffix" : "" } ], "id" : "ITEM-1", "issued" : { "date-parts" : [ [ "2013" ] ] }, "page" : "391-402", "publisher" : "De Gruyter", "publisher-place" : "Berlin", "title" : "Does social participation decrease depressive symptoms in old age?", "type" : "chapter" }, "uris" : [ "http://www.mendeley.com/documents/?uuid=ac0f02d7-45a6-437f-93fb-193db48b3ba4" ] }, { "id" : "ITEM-2", "itemData" : { "DOI" : "10.1111/joop.12003", "ISBN" : "09631798", "ISSN" : "09631798", "PMID" : "90563210", "abstract" : "This study examines the impact of engaging in seven types of activities on depression and quality of life in retirees and older workers over a period of 2 years, using a sample from the survey of health, ageing and retirement in Europe. Longitudinal data were available from 2,813 retirees and 1,372 older employees. Our results showed that volunteering, providing help and going to sports or social clubs at the baseline improved retirees\u2019 quality of lifeover a period of 2 years. No direct effects of engaging in activities were found for older employees. Moreover, higher depression at the baseline fostered the depression experience at the follow-up in those retirees and older employees who were caring for disabled adults at baseline. In retirees with higher depression at baseline, participation in religious organizations was associated with a greater decrease in depression at follow-up than in those who had lower levels of depression at baseline. For older employees, taking part in political or community organizations at baselinewas related to a greater decrease in depression at follow-up than in those employees who experienced higher initial depression.", "author" : [ { "dropping-particle" : "", "family" : "Poto\u010dnik", "given" : "Kristina", "non-dropping-particle" : "", "parse-names" : false, "suffix" : "" }, { "dropping-particle" : "", "family" : "Sonnentag", "given" : "Sabine", "non-dropping-particle" : "", "parse-names" : false, "suffix" : "" } ], "container-title" : "Journal of Occupational and Organizational Psychology", "id" : "ITEM-2", "issue" : "4", "issued" : { "date-parts" : [ [ "2013" ] ] }, "page" : "497-521", "title" : "A longitudinal study of well-being in older workers and retirees: The role of engaging in different types of activities", "type" : "article-journal", "volume" : "86" }, "uris" : [ "http://www.mendeley.com/documents/?uuid=5889bc5d-921b-416d-a3eb-706b9facb5cf" ] }, { "id" : "ITEM-3", "itemData" : { "DOI" : "10.1177/1350506809341513", "ISBN" : "0958-9287", "ISSN" : "0958-9287", "PMID" : "44896743", "abstract" : "In order to understand variations of quality of life in early old age, associations between economic status, socially productive activities and well-being are studied across 14 European countries. Information on three different types of productive activities and their exchange characteristics is included. We used the first two waves of the Survey of Health, Ageing and Retirement in Europe (SHARE) including some 15,000 retired men and women. Well-being is measured by a standardized quality of life measure (CASP-12). Findings of multilevel analyses show larger within country than between-country variability in prospective quality of life. Strong individual predictors were the experience of reciprocity in social productive activities and high socio-economic position. Continued participation in socially productive activities, in particular those that offer opportunities of experiencing reciprocity in exchange, improves prospective quality of life in early old age.", "author" : [ { "dropping-particle" : "", "family" : "Siegrist", "given" : "Johannes", "non-dropping-particle" : "", "parse-names" : false, "suffix" : "" }, { "dropping-particle" : "", "family" : "Wahrendorf", "given" : "Morten", "non-dropping-particle" : "", "parse-names" : false, "suffix" : "" } ], "container-title" : "Journal of European Social Policy", "id" : "ITEM-3", "issue" : "4", "issued" : { "date-parts" : [ [ "2009" ] ] }, "page" : "317-326", "title" : "Participation in socially productive activities and quality of life in early old age: findings from SHARE", "type" : "article-journal", "volume" : "19" }, "uris" : [ "http://www.mendeley.com/documents/?uuid=d6184dc7-ff41-4c97-a30a-bb2bd49a4212" ] }, { "id" : "ITEM-4", "itemData" : { "abstract" : "The report should be referred to as: UNECE/ European Commission (2015) \u201cActive Ageing Index 2014: Analytical Report\u201d, Report prepared by Asghar Zaidi of Centre for Research on Ageing, University of Southampton and David Stanton, under contract with United Nations Economic Commission for Europe (Geneva), co-funded by the European Commission\u2019s Directorate General for Employment, Social Affairs and Inclusion (Brussels).", "author" : [ { "dropping-particle" : "", "family" : "Zaidi", "given" : "Asghar", "non-dropping-particle" : "", "parse-names" : false, "suffix" : "" } ], "id" : "ITEM-4", "issue" : "April", "issued" : { "date-parts" : [ [ "2015" ] ] }, "number-of-pages" : "1-9", "publisher" : "UNECE", "publisher-place" : "Geneva", "title" : "Active Ageing Index 2014 Analytical Report", "type" : "book" }, "uris" : [ "http://www.mendeley.com/documents/?uuid=e5502369-34dc-4c1e-ad2d-b04716a04efe" ] } ], "mendeley" : { "formattedCitation" : "(Croezen, Avendano, and Burdorf 2013; Poto\u010dnik and Sonnentag 2013; Siegrist and Wahrendorf 2009; Zaidi 2015)", "plainTextFormattedCitation" : "(Croezen, Avendano, and Burdorf 2013; Poto\u010dnik and Sonnentag 2013; Siegrist and Wahrendorf 2009; Zaidi 2015)", "previouslyFormattedCitation" : "(Croezen, Avendano, and Burdorf 2013; Poto\u010dnik and Sonnentag 2013; Siegrist and Wahrendorf 2009; Zaidi 2015)" }, "properties" : { "noteIndex" : 0 }, "schema" : "https://github.com/citation-style-language/schema/raw/master/csl-citation.json" }</w:instrText>
      </w:r>
      <w:r w:rsidRPr="00C3671E">
        <w:fldChar w:fldCharType="separate"/>
      </w:r>
      <w:r w:rsidR="00A91559" w:rsidRPr="00C3671E">
        <w:rPr>
          <w:noProof/>
        </w:rPr>
        <w:t>(Croezen, Avendano, and Burdorf 2013; Potočnik and Sonnentag 2013; Siegrist and Wahrendorf 2009; Zaidi 2015)</w:t>
      </w:r>
      <w:r w:rsidRPr="00C3671E">
        <w:fldChar w:fldCharType="end"/>
      </w:r>
      <w:r w:rsidRPr="00C3671E">
        <w:t>. This is also the case of this paper, which indicates four components of social participation – being active in volunteering, learning, social club, or political organization.</w:t>
      </w:r>
    </w:p>
    <w:p w14:paraId="153114D9" w14:textId="77777777" w:rsidR="007302A0" w:rsidRPr="00C3671E" w:rsidRDefault="007302A0" w:rsidP="007E6D8E">
      <w:pPr>
        <w:pStyle w:val="Nadpis3"/>
        <w:spacing w:line="480" w:lineRule="auto"/>
        <w:rPr>
          <w:rFonts w:ascii="Times New Roman" w:hAnsi="Times New Roman" w:cs="Times New Roman"/>
          <w:b w:val="0"/>
          <w:i/>
          <w:lang w:val="en-GB" w:eastAsia="zh-CN"/>
        </w:rPr>
      </w:pPr>
      <w:bookmarkStart w:id="64" w:name="_Toc512687767"/>
      <w:r w:rsidRPr="00C3671E">
        <w:rPr>
          <w:rFonts w:ascii="Times New Roman" w:hAnsi="Times New Roman" w:cs="Times New Roman"/>
          <w:b w:val="0"/>
          <w:i/>
          <w:lang w:val="en-GB" w:eastAsia="zh-CN"/>
        </w:rPr>
        <w:t>Effect of social participation and its conditioning</w:t>
      </w:r>
      <w:bookmarkEnd w:id="64"/>
    </w:p>
    <w:p w14:paraId="16F9806F" w14:textId="18D8654E" w:rsidR="007302A0" w:rsidRPr="00C3671E" w:rsidRDefault="007302A0" w:rsidP="006B7F0B">
      <w:pPr>
        <w:suppressAutoHyphens/>
        <w:spacing w:line="480" w:lineRule="auto"/>
        <w:jc w:val="both"/>
        <w:rPr>
          <w:lang w:val="en-GB"/>
        </w:rPr>
      </w:pPr>
      <w:r w:rsidRPr="00C3671E">
        <w:rPr>
          <w:lang w:val="en-GB"/>
        </w:rPr>
        <w:t xml:space="preserve">The first question we need to ask is, if the social participation is really beneficial for health and quality of life of older adults. While the beneficial effect of another pillars of active ageing is highly speculative for labour force participation </w:t>
      </w:r>
      <w:r w:rsidRPr="00C3671E">
        <w:rPr>
          <w:lang w:val="en-GB"/>
        </w:rPr>
        <w:fldChar w:fldCharType="begin" w:fldLock="1"/>
      </w:r>
      <w:r w:rsidR="004F5010" w:rsidRPr="00C3671E">
        <w:rPr>
          <w:lang w:val="en-GB"/>
        </w:rPr>
        <w:instrText>ADDIN CSL_CITATION { "citationItems" : [ { "id" : "ITEM-1", "itemData" : { "DOI" : "10.1136/jech-2013-202820", "ISBN" : "0143-005x", "ISSN" : "1470-2738", "PMID" : "22156662", "abstract" : "BACKGROUND: 'Active ageing' has been promoted as a strategy for extending quality of life and healthy life expectancy. However, there is limited evidence from nationally representative longitudinal studies on whether engagement among older adults is associated with better outcomes and few studies have considered possible bias arising from differential study attrition. METHODS: We investigate associations between the engagement of people aged 50-69 in three types of activity with self-rated health and depression 2 years later using nationally representative longitudinal data from four European countries (Denmark, France, Italy and England). Data were drawn from waves 1 and 2 of the Survey of Health, Ageing and Retirement in Europe and the English Longitudinal Study of Ageing. Multivariable analysis was used to analyse associations between baseline activity and outcomes at follow-up controlling for socioeconomic, demographic and health-related variables at baseline. Multiple imputation techniques and sensitivity analyses were undertaken to investigate possible bias arising from sample attrition. RESULTS: Respondents in paid work at baseline were less likely to be depressed or to report poor or fair health at follow-up than those who were 'inactive', although not in Italy. Engagement in formal and informal activities was not significantly associated with health at follow-up. Sensitivity analyses showed that assuming that those in bad health were over-represented among study attritors weakened the association between work at baseline and health at follow-up. CONCLUSIONS: Engagement in paid work may help maintain health in later life, although mechanisms and contextual influences need further investigation.", "author" : [ { "dropping-particle" : "", "family" : "Gessa", "given" : "Giorgio", "non-dropping-particle" : "Di", "parse-names" : false, "suffix" : "" }, { "dropping-particle" : "", "family" : "Grundy", "given" : "Emily", "non-dropping-particle" : "", "parse-names" : false, "suffix" : "" } ], "container-title" : "Journal of Epidemiology and Community Health", "id" : "ITEM-1", "issue" : "3", "issued" : { "date-parts" : [ [ "2013" ] ] }, "note" : "Gessa, Grundy 2013: The relationship between active ageing and health using longitudinal data from Denmark, France, Italy and England\n\u2018Active ageing\u2019 has been promoted as a strategy for extending quality of life and healthy life expectancy\nEngagement of older people occurs within a socio-political context and may be influenced by the provision of services and generosity of benefits, pension schemes and labour, retirement and early retirement policies, as well as norms and values.14 15 It is well recognised that these contextual factors vary within Europe, and typologies have been developed that group together countries with similar policies\nEngagement in formal and informal activities was not significantly associated with health at follow-up - higher attrition\nof ill respondents\npossitive impact of work in three countries except Italy\npaid work - prestige, power, status + physical activity + economic resources\nNo associations were found between engagement in the other types of activity considered and either depression or SRH\nEngagement in paid work may help maintain health in later life, although mechanisms and contextual influences need further investigation\n\u2192\nIndividual consequences of volunteer and paid work in old age: health and mortality\nIs work good for your health and well-being?\nPolicy and practices relating to the active engagement of older people in the community\nVariations in older people\u2019s social and productive ageing activities across different social welfare regimes", "page" : "261-267", "title" : "The relationship between active ageing and health using longitudinal data from Denmark, France, Italy and England", "type" : "article-journal", "volume" : "68" }, "uris" : [ "http://www.mendeley.com/documents/?uuid=099505a4-8bdf-490c-ae2d-b130a8bcf814" ] }, { "id" : "ITEM-2", "itemData" : { "DOI" : "10.1111/1467-8721.00121", "ISBN" : "09637214", "ISSN" : "0963-7214", "abstract" : "Retirement has been viewed either as a transition that is accompanied by psychological distress or as a time of continued, or even enhanced, subjective well-being. Existing evidence is mixed, with some studies reporting retirement as positively related to well-being and other reporting a negative relationship or none at all. Our research indicates that developmental and social contexts shape an individual's retirement decisions and experiences, so that retirement should be studied in its ecological and life-course context. Research on marital quality and subjective well-being in retirement has demonstrated both similarities and differences between men and women, as well as the need to consider couples conjointly (rather than viewing individuals in isolation). Future research focusing on the retirement process as it unfolds over time and in ecological context can serve to illuminate the circumstances under which retirement promotes or detracts from the quality of life.", "author" : [ { "dropping-particle" : "", "family" : "Kim", "given" : "Jungmeen E", "non-dropping-particle" : "", "parse-names" : false, "suffix" : "" }, { "dropping-particle" : "", "family" : "Moen", "given" : "Phyllis", "non-dropping-particle" : "", "parse-names" : false, "suffix" : "" } ], "container-title" : "Current Directions in Psychological Science", "id" : "ITEM-2", "issue" : "3", "issued" : { "date-parts" : [ [ "2001" ] ] }, "page" : "83-86", "title" : "Is Retirement Good or Bad for Subjective Well-Being?", "type" : "article-journal", "volume" : "10" }, "uris" : [ "http://www.mendeley.com/documents/?uuid=d06e4216-f8ef-4e4d-8d67-2a892de0433e" ] } ], "mendeley" : { "formattedCitation" : "(Di Gessa and Grundy 2013; Kim and Moen 2001)", "plainTextFormattedCitation" : "(Di Gessa and Grundy 2013; Kim and Moen 2001)", "previouslyFormattedCitation" : "(Di Gessa and Grundy 2013; Kim and Moen 2001)" }, "properties" : { "noteIndex" : 0 }, "schema" : "https://github.com/citation-style-language/schema/raw/master/csl-citation.json" }</w:instrText>
      </w:r>
      <w:r w:rsidRPr="00C3671E">
        <w:rPr>
          <w:lang w:val="en-GB"/>
        </w:rPr>
        <w:fldChar w:fldCharType="separate"/>
      </w:r>
      <w:r w:rsidR="00224AA0" w:rsidRPr="00C3671E">
        <w:rPr>
          <w:noProof/>
          <w:lang w:val="en-GB"/>
        </w:rPr>
        <w:t>(Di Gessa and Grundy 2013; Kim and Moen 2001)</w:t>
      </w:r>
      <w:r w:rsidRPr="00C3671E">
        <w:rPr>
          <w:lang w:val="en-GB"/>
        </w:rPr>
        <w:fldChar w:fldCharType="end"/>
      </w:r>
      <w:r w:rsidRPr="00C3671E">
        <w:rPr>
          <w:lang w:val="en-GB"/>
        </w:rPr>
        <w:t xml:space="preserve"> and independent living is more the outcome dependent on structural conditions than activity </w:t>
      </w:r>
      <w:r w:rsidRPr="00C3671E">
        <w:rPr>
          <w:lang w:val="en-GB"/>
        </w:rPr>
        <w:fldChar w:fldCharType="begin" w:fldLock="1"/>
      </w:r>
      <w:r w:rsidR="00AA6335" w:rsidRPr="00C3671E">
        <w:rPr>
          <w:lang w:val="en-GB"/>
        </w:rPr>
        <w:instrText>ADDIN CSL_CITATION { "citationItems" : [ { "id" : "ITEM-1", "itemData" : { "ISBN" : "9789279458590", "author" : [ { "dropping-particle" : "", "family" : "Karpinska", "given" : "Kasia", "non-dropping-particle" : "", "parse-names" : false, "suffix" : "" }, { "dropping-particle" : "", "family" : "Dykstra", "given" : "Pearl", "non-dropping-particle" : "", "parse-names" : false, "suffix" : "" } ], "container-title" : "Peer Review on the Active Ageing Index", "id" : "ITEM-1", "issue" : "15-16 October", "issued" : { "date-parts" : [ [ "2014" ] ] }, "page" : "1-40", "publisher-place" : "Cracow", "title" : "The Active Ageing Index and its extension to the regional level", "type" : "paper-conference" }, "uris" : [ "http://www.mendeley.com/documents/?uuid=679d0341-1b56-43f5-a340-4315f24ebbb0" ] } ], "mendeley" : { "formattedCitation" : "(Karpinska and Dykstra 2014)", "plainTextFormattedCitation" : "(Karpinska and Dykstra 2014)", "previouslyFormattedCitation" : "(Karpinska and Dykstra 2014)" }, "properties" : { "noteIndex" : 0 }, "schema" : "https://github.com/citation-style-language/schema/raw/master/csl-citation.json" }</w:instrText>
      </w:r>
      <w:r w:rsidRPr="00C3671E">
        <w:rPr>
          <w:lang w:val="en-GB"/>
        </w:rPr>
        <w:fldChar w:fldCharType="separate"/>
      </w:r>
      <w:r w:rsidRPr="00C3671E">
        <w:rPr>
          <w:noProof/>
          <w:lang w:val="en-GB"/>
        </w:rPr>
        <w:t>(Karpinska and Dykstra 2014)</w:t>
      </w:r>
      <w:r w:rsidRPr="00C3671E">
        <w:rPr>
          <w:lang w:val="en-GB"/>
        </w:rPr>
        <w:fldChar w:fldCharType="end"/>
      </w:r>
      <w:r w:rsidRPr="00C3671E">
        <w:rPr>
          <w:lang w:val="en-GB"/>
        </w:rPr>
        <w:t xml:space="preserve">, this effect seems to be relative confirmed for social participation. </w:t>
      </w:r>
      <w:r w:rsidRPr="00C3671E">
        <w:rPr>
          <w:lang w:val="en-GB"/>
        </w:rPr>
        <w:fldChar w:fldCharType="begin" w:fldLock="1"/>
      </w:r>
      <w:r w:rsidR="001257AA" w:rsidRPr="00C3671E">
        <w:rPr>
          <w:lang w:val="en-GB"/>
        </w:rPr>
        <w:instrText>ADDIN CSL_CITATION { "citationItems" : [ { "id" : "ITEM-1", "itemData" : { "DOI" : "10.1017/S0144686X10001091", "ISBN" : "0144686X (ISSN)", "ISSN" : "0144-686X", "PMID" : "59665633", "abstract" : "An engaged lifestyle is seen as an important component of successful ageing. Many older adults with high participation in social and leisure activities report positive wellbeing, a fact that fuelled the original activity theory and that continues to influence researchers, theorists and practitioners. This study's purpose is to review the conceptualisation and measurement of activity among older adults and the associations reported in the gerontological literature between specific dimensions of activity and wellbeing. We searched published studies that focused on social and leisure activity and wellbeing, and found 42 studies in 44 articles published between 1995 and 2009. They reported from one to 13 activity domains, the majority reporting two or three, such as informal , formal and solitary , or productive versus leisure . Domains associated with subjective wellbeing, health or survival included social, leisure, productive, physical, intellectual, service and solitary activities. Informal social activity has accumulated the most evidence of an influence on wellbeing. Individual descriptors such as gender or physical functioning sometimes moderate these associations, while contextual variables such as choice, meaning or perceived quality play intervening roles. Differences in definitions and measurement make it difficult to draw inferences about this body of evidence on the associations between activity and wellbeing. Activity theory serves as shorthand for these associations, but gerontology must better integrate developmental and psychological constructs into a refined, comprehensive activity theory.", "author" : [ { "dropping-particle" : "", "family" : "Adams", "given" : "Kathryn Betts", "non-dropping-particle" : "", "parse-names" : false, "suffix" : "" }, { "dropping-particle" : "", "family" : "Leibbrandt", "given" : "Sylvia", "non-dropping-particle" : "", "parse-names" : false, "suffix" : "" }, { "dropping-particle" : "", "family" : "Moon", "given" : "Heehyul", "non-dropping-particle" : "", "parse-names" : false, "suffix" : "" } ], "container-title" : "Ageing and Society", "id" : "ITEM-1", "issue" : "04", "issued" : { "date-parts" : [ [ "2011" ] ] }, "page" : "683-712", "title" : "A critical review of the literature on social and leisure activity and wellbeing in later life", "type" : "article-journal", "volume" : "31" }, "uris" : [ "http://www.mendeley.com/documents/?uuid=28bf1c76-83b5-46ba-8c9c-efd885614e50" ] } ], "mendeley" : { "formattedCitation" : "(Adams et al. 2011)", "manualFormatting" : "Adams et al. (2011)", "plainTextFormattedCitation" : "(Adams et al. 2011)", "previouslyFormattedCitation" : "(Adams et al. 2011)" }, "properties" : { "noteIndex" : 0 }, "schema" : "https://github.com/citation-style-language/schema/raw/master/csl-citation.json" }</w:instrText>
      </w:r>
      <w:r w:rsidRPr="00C3671E">
        <w:rPr>
          <w:lang w:val="en-GB"/>
        </w:rPr>
        <w:fldChar w:fldCharType="separate"/>
      </w:r>
      <w:r w:rsidRPr="00C3671E">
        <w:rPr>
          <w:noProof/>
          <w:lang w:val="en-GB"/>
        </w:rPr>
        <w:t>Adams et al. (2011)</w:t>
      </w:r>
      <w:r w:rsidRPr="00C3671E">
        <w:rPr>
          <w:lang w:val="en-GB"/>
        </w:rPr>
        <w:fldChar w:fldCharType="end"/>
      </w:r>
      <w:r w:rsidRPr="00C3671E">
        <w:rPr>
          <w:lang w:val="en-GB"/>
        </w:rPr>
        <w:t xml:space="preserve"> reviewed 42 studies published between 1995 and 2009, which focus on the connection between social and leisure activities and wellbeing. This review encompasses various conceptualizations of mentioned activities and outcome (wellbeing includes affect, satisfaction, health, and survival), but the general tendency of the results is quite clear. The authors conclude that ‘methodologically rigorous studies generally find positive associations between activity and wellbeing’ </w:t>
      </w:r>
      <w:r w:rsidRPr="00C3671E">
        <w:rPr>
          <w:lang w:val="en-GB"/>
        </w:rPr>
        <w:fldChar w:fldCharType="begin" w:fldLock="1"/>
      </w:r>
      <w:r w:rsidR="001257AA" w:rsidRPr="00C3671E">
        <w:rPr>
          <w:lang w:val="en-GB"/>
        </w:rPr>
        <w:instrText>ADDIN CSL_CITATION { "citationItems" : [ { "id" : "ITEM-1", "itemData" : { "DOI" : "10.1017/S0144686X10001091", "ISBN" : "0144686X (ISSN)", "ISSN" : "0144-686X", "PMID" : "59665633", "abstract" : "An engaged lifestyle is seen as an important component of successful ageing. Many older adults with high participation in social and leisure activities report positive wellbeing, a fact that fuelled the original activity theory and that continues to influence researchers, theorists and practitioners. This study's purpose is to review the conceptualisation and measurement of activity among older adults and the associations reported in the gerontological literature between specific dimensions of activity and wellbeing. We searched published studies that focused on social and leisure activity and wellbeing, and found 42 studies in 44 articles published between 1995 and 2009. They reported from one to 13 activity domains, the majority reporting two or three, such as informal , formal and solitary , or productive versus leisure . Domains associated with subjective wellbeing, health or survival included social, leisure, productive, physical, intellectual, service and solitary activities. Informal social activity has accumulated the most evidence of an influence on wellbeing. Individual descriptors such as gender or physical functioning sometimes moderate these associations, while contextual variables such as choice, meaning or perceived quality play intervening roles. Differences in definitions and measurement make it difficult to draw inferences about this body of evidence on the associations between activity and wellbeing. Activity theory serves as shorthand for these associations, but gerontology must better integrate developmental and psychological constructs into a refined, comprehensive activity theory.", "author" : [ { "dropping-particle" : "", "family" : "Adams", "given" : "Kathryn Betts", "non-dropping-particle" : "", "parse-names" : false, "suffix" : "" }, { "dropping-particle" : "", "family" : "Leibbrandt", "given" : "Sylvia", "non-dropping-particle" : "", "parse-names" : false, "suffix" : "" }, { "dropping-particle" : "", "family" : "Moon", "given" : "Heehyul", "non-dropping-particle" : "", "parse-names" : false, "suffix" : "" } ], "container-title" : "Ageing and Society", "id" : "ITEM-1", "issue" : "04", "issued" : { "date-parts" : [ [ "2011" ] ] }, "page" : "683-712", "title" : "A critical review of the literature on social and leisure activity and wellbeing in later life", "type" : "article-journal", "volume" : "31" }, "uris" : [ "http://www.mendeley.com/documents/?uuid=28bf1c76-83b5-46ba-8c9c-efd885614e50" ] } ], "mendeley" : { "formattedCitation" : "(Adams et al. 2011)", "manualFormatting" : "(Adams et al. 2011", "plainTextFormattedCitation" : "(Adams et al. 2011)", "previouslyFormattedCitation" : "(Adams et al. 2011)" }, "properties" : { "noteIndex" : 0 }, "schema" : "https://github.com/citation-style-language/schema/raw/master/csl-citation.json" }</w:instrText>
      </w:r>
      <w:r w:rsidRPr="00C3671E">
        <w:rPr>
          <w:lang w:val="en-GB"/>
        </w:rPr>
        <w:fldChar w:fldCharType="separate"/>
      </w:r>
      <w:r w:rsidRPr="00C3671E">
        <w:rPr>
          <w:noProof/>
          <w:lang w:val="en-GB"/>
        </w:rPr>
        <w:t>(Adams et al. 2011</w:t>
      </w:r>
      <w:r w:rsidRPr="00C3671E">
        <w:rPr>
          <w:lang w:val="en-GB"/>
        </w:rPr>
        <w:fldChar w:fldCharType="end"/>
      </w:r>
      <w:r w:rsidRPr="00C3671E">
        <w:rPr>
          <w:lang w:val="en-GB"/>
        </w:rPr>
        <w:t>: 704).</w:t>
      </w:r>
    </w:p>
    <w:p w14:paraId="7CC0CD41" w14:textId="1FBD0D49" w:rsidR="007302A0" w:rsidRPr="00C3671E" w:rsidRDefault="007302A0" w:rsidP="006B7F0B">
      <w:pPr>
        <w:pStyle w:val="Newparagraph"/>
        <w:jc w:val="both"/>
      </w:pPr>
      <w:r w:rsidRPr="00C3671E">
        <w:t xml:space="preserve">More recent articles </w:t>
      </w:r>
      <w:r w:rsidRPr="00C3671E">
        <w:rPr>
          <w:noProof/>
        </w:rPr>
        <w:t>investigating</w:t>
      </w:r>
      <w:r w:rsidRPr="00C3671E">
        <w:t xml:space="preserve"> the effect of social participation on wellbeing after the review of </w:t>
      </w:r>
      <w:r w:rsidRPr="00C3671E">
        <w:fldChar w:fldCharType="begin" w:fldLock="1"/>
      </w:r>
      <w:r w:rsidR="001257AA" w:rsidRPr="00C3671E">
        <w:instrText>ADDIN CSL_CITATION { "citationItems" : [ { "id" : "ITEM-1", "itemData" : { "DOI" : "10.1017/S0144686X10001091", "ISBN" : "0144686X (ISSN)", "ISSN" : "0144-686X", "PMID" : "59665633", "abstract" : "An engaged lifestyle is seen as an important component of successful ageing. Many older adults with high participation in social and leisure activities report positive wellbeing, a fact that fuelled the original activity theory and that continues to influence researchers, theorists and practitioners. This study's purpose is to review the conceptualisation and measurement of activity among older adults and the associations reported in the gerontological literature between specific dimensions of activity and wellbeing. We searched published studies that focused on social and leisure activity and wellbeing, and found 42 studies in 44 articles published between 1995 and 2009. They reported from one to 13 activity domains, the majority reporting two or three, such as informal , formal and solitary , or productive versus leisure . Domains associated with subjective wellbeing, health or survival included social, leisure, productive, physical, intellectual, service and solitary activities. Informal social activity has accumulated the most evidence of an influence on wellbeing. Individual descriptors such as gender or physical functioning sometimes moderate these associations, while contextual variables such as choice, meaning or perceived quality play intervening roles. Differences in definitions and measurement make it difficult to draw inferences about this body of evidence on the associations between activity and wellbeing. Activity theory serves as shorthand for these associations, but gerontology must better integrate developmental and psychological constructs into a refined, comprehensive activity theory.", "author" : [ { "dropping-particle" : "", "family" : "Adams", "given" : "Kathryn Betts", "non-dropping-particle" : "", "parse-names" : false, "suffix" : "" }, { "dropping-particle" : "", "family" : "Leibbrandt", "given" : "Sylvia", "non-dropping-particle" : "", "parse-names" : false, "suffix" : "" }, { "dropping-particle" : "", "family" : "Moon", "given" : "Heehyul", "non-dropping-particle" : "", "parse-names" : false, "suffix" : "" } ], "container-title" : "Ageing and Society", "id" : "ITEM-1", "issue" : "04", "issued" : { "date-parts" : [ [ "2011" ] ] }, "page" : "683-712", "title" : "A critical review of the literature on social and leisure activity and wellbeing in later life", "type" : "article-journal", "volume" : "31" }, "uris" : [ "http://www.mendeley.com/documents/?uuid=28bf1c76-83b5-46ba-8c9c-efd885614e50" ] } ], "mendeley" : { "formattedCitation" : "(Adams et al. 2011)", "manualFormatting" : "Adams and colleagues (2011)", "plainTextFormattedCitation" : "(Adams et al. 2011)", "previouslyFormattedCitation" : "(Adams et al. 2011)" }, "properties" : { "noteIndex" : 0 }, "schema" : "https://github.com/citation-style-language/schema/raw/master/csl-citation.json" }</w:instrText>
      </w:r>
      <w:r w:rsidRPr="00C3671E">
        <w:fldChar w:fldCharType="separate"/>
      </w:r>
      <w:r w:rsidRPr="00C3671E">
        <w:rPr>
          <w:noProof/>
        </w:rPr>
        <w:t>Adams and colleagues (2011)</w:t>
      </w:r>
      <w:r w:rsidRPr="00C3671E">
        <w:fldChar w:fldCharType="end"/>
      </w:r>
      <w:r w:rsidRPr="00C3671E">
        <w:t xml:space="preserve"> reached very similar conclusions. </w:t>
      </w:r>
      <w:bookmarkStart w:id="65" w:name="_Hlk482432062"/>
      <w:r w:rsidRPr="00C3671E">
        <w:fldChar w:fldCharType="begin" w:fldLock="1"/>
      </w:r>
      <w:r w:rsidR="00AA6335" w:rsidRPr="00C3671E">
        <w:instrText>ADDIN CSL_CITATION { "citationItems" : [ { "id" : "ITEM-1", "itemData" : { "DOI" : "10.1111/joop.12003", "ISBN" : "09631798", "ISSN" : "09631798", "PMID" : "90563210", "abstract" : "This study examines the impact of engaging in seven types of activities on depression and quality of life in retirees and older workers over a period of 2 years, using a sample from the survey of health, ageing and retirement in Europe. Longitudinal data were available from 2,813 retirees and 1,372 older employees. Our results showed that volunteering, providing help and going to sports or social clubs at the baseline improved retirees\u2019 quality of lifeover a period of 2 years. No direct effects of engaging in activities were found for older employees. Moreover, higher depression at the baseline fostered the depression experience at the follow-up in those retirees and older employees who were caring for disabled adults at baseline. In retirees with higher depression at baseline, participation in religious organizations was associated with a greater decrease in depression at follow-up than in those who had lower levels of depression at baseline. For older employees, taking part in political or community organizations at baselinewas related to a greater decrease in depression at follow-up than in those employees who experienced higher initial depression.", "author" : [ { "dropping-particle" : "", "family" : "Poto\u010dnik", "given" : "Kristina", "non-dropping-particle" : "", "parse-names" : false, "suffix" : "" }, { "dropping-particle" : "", "family" : "Sonnentag", "given" : "Sabine", "non-dropping-particle" : "", "parse-names" : false, "suffix" : "" } ], "container-title" : "Journal of Occupational and Organizational Psychology", "id" : "ITEM-1", "issue" : "4", "issued" : { "date-parts" : [ [ "2013" ] ] }, "page" : "497-521", "title" : "A longitudinal study of well-being in older workers and retirees: The role of engaging in different types of activities", "type" : "article-journal", "volume" : "86" }, "uris" : [ "http://www.mendeley.com/documents/?uuid=5889bc5d-921b-416d-a3eb-706b9facb5cf" ] } ], "mendeley" : { "formattedCitation" : "(Poto\u010dnik and Sonnentag 2013)", "manualFormatting" : "Poto\u010dnik and Sonnentag (2013)", "plainTextFormattedCitation" : "(Poto\u010dnik and Sonnentag 2013)", "previouslyFormattedCitation" : "(Poto\u010dnik and Sonnentag 2013)" }, "properties" : { "noteIndex" : 0 }, "schema" : "https://github.com/citation-style-language/schema/raw/master/csl-citation.json" }</w:instrText>
      </w:r>
      <w:r w:rsidRPr="00C3671E">
        <w:fldChar w:fldCharType="separate"/>
      </w:r>
      <w:r w:rsidRPr="00C3671E">
        <w:rPr>
          <w:noProof/>
        </w:rPr>
        <w:t>Potočnik and Sonnentag (2013)</w:t>
      </w:r>
      <w:r w:rsidRPr="00C3671E">
        <w:fldChar w:fldCharType="end"/>
      </w:r>
      <w:r w:rsidRPr="00C3671E">
        <w:t xml:space="preserve"> on a sample from 11 European countries found a positive effect of volunteering, going to sports and providing help in retirees (and no effect in older workers). Another study of cross-national data indicated a positive effect of church activities on depression </w:t>
      </w:r>
      <w:r w:rsidRPr="00C3671E">
        <w:fldChar w:fldCharType="begin" w:fldLock="1"/>
      </w:r>
      <w:r w:rsidR="001257AA" w:rsidRPr="00C3671E">
        <w:instrText>ADDIN CSL_CITATION { "citationItems" : [ { "id" : "ITEM-1", "itemData" : { "ISBN" : "9783110295467", "author" : [ { "dropping-particle" : "", "family" : "Croezen", "given" : "Simone", "non-dropping-particle" : "", "parse-names" : false, "suffix" : "" }, { "dropping-particle" : "", "family" : "Avendano", "given" : "Mauricio", "non-dropping-particle" : "", "parse-names" : false, "suffix" : "" }, { "dropping-particle" : "", "family" : "Burdorf", "given" : "Alex", "non-dropping-particle" : "", "parse-names" : false, "suffix" : "" } ], "chapter-number" : "34", "container-title" : "Active ageing and solidarity between generations in Europe: First results from SHARE after the economic crisis", "editor" : [ { "dropping-particle" : "", "family" : "B\u00f6rsch-Supan", "given" : "Axel", "non-dropping-particle" : "", "parse-names" : false, "suffix" : "" }, { "dropping-particle" : "", "family" : "Brandt", "given" : "Martina", "non-dropping-particle" : "", "parse-names" : false, "suffix" : "" }, { "dropping-particle" : "", "family" : "Litwin", "given" : "Howard", "non-dropping-particle" : "", "parse-names" : false, "suffix" : "" }, { "dropping-particle" : "", "family" : "Weber", "given" : "Guglielmo", "non-dropping-particle" : "", "parse-names" : false, "suffix" : "" } ], "id" : "ITEM-1", "issued" : { "date-parts" : [ [ "2013" ] ] }, "page" : "391-402", "publisher" : "De Gruyter", "publisher-place" : "Berlin", "title" : "Does social participation decrease depressive symptoms in old age?", "type" : "chapter" }, "uris" : [ "http://www.mendeley.com/documents/?uuid=ac0f02d7-45a6-437f-93fb-193db48b3ba4" ] } ], "mendeley" : { "formattedCitation" : "(Croezen et al. 2013)", "plainTextFormattedCitation" : "(Croezen et al. 2013)", "previouslyFormattedCitation" : "(Croezen et al. 2013)" }, "properties" : { "noteIndex" : 0 }, "schema" : "https://github.com/citation-style-language/schema/raw/master/csl-citation.json" }</w:instrText>
      </w:r>
      <w:r w:rsidRPr="00C3671E">
        <w:fldChar w:fldCharType="separate"/>
      </w:r>
      <w:r w:rsidR="00C004DA" w:rsidRPr="00C3671E">
        <w:rPr>
          <w:noProof/>
        </w:rPr>
        <w:t>(Croezen et al. 2013)</w:t>
      </w:r>
      <w:r w:rsidRPr="00C3671E">
        <w:fldChar w:fldCharType="end"/>
      </w:r>
      <w:r w:rsidRPr="00C3671E">
        <w:t xml:space="preserve"> and researchers from the U.S. found higher well-being even </w:t>
      </w:r>
      <w:r w:rsidRPr="00C3671E">
        <w:lastRenderedPageBreak/>
        <w:t xml:space="preserve">among more active older adults with cognitive impairment </w:t>
      </w:r>
      <w:r w:rsidRPr="00C3671E">
        <w:fldChar w:fldCharType="begin" w:fldLock="1"/>
      </w:r>
      <w:r w:rsidR="001257AA" w:rsidRPr="00C3671E">
        <w:instrText>ADDIN CSL_CITATION { "citationItems" : [ { "id" : "ITEM-1", "itemData" : { "DOI" : "10.1177/0164027512470703", "ISSN" : "0164-0275", "author" : [ { "dropping-particle" : "", "family" : "Johnson", "given" : "J. D.", "non-dropping-particle" : "", "parse-names" : false, "suffix" : "" }, { "dropping-particle" : "", "family" : "Whitlatch", "given" : "C. J.", "non-dropping-particle" : "", "parse-names" : false, "suffix" : "" }, { "dropping-particle" : "", "family" : "Menne", "given" : "H. L.", "non-dropping-particle" : "", "parse-names" : false, "suffix" : "" } ], "container-title" : "Research on Aging", "id" : "ITEM-1", "issue" : "2", "issued" : { "date-parts" : [ [ "2014" ] ] }, "page" : "147-160", "title" : "Activity and Well-Being of Older Adults: Does Cognitive Impairment Play a Role?", "type" : "article-journal", "volume" : "36" }, "uris" : [ "http://www.mendeley.com/documents/?uuid=e82a9955-e7e3-49fa-8e2b-bc0fa83e1e03" ] } ], "mendeley" : { "formattedCitation" : "(Johnson, Whitlatch, and Menne 2014)", "plainTextFormattedCitation" : "(Johnson, Whitlatch, and Menne 2014)", "previouslyFormattedCitation" : "(Johnson, Whitlatch, and Menne 2014)" }, "properties" : { "noteIndex" : 0 }, "schema" : "https://github.com/citation-style-language/schema/raw/master/csl-citation.json" }</w:instrText>
      </w:r>
      <w:r w:rsidRPr="00C3671E">
        <w:fldChar w:fldCharType="separate"/>
      </w:r>
      <w:r w:rsidR="00A91559" w:rsidRPr="00C3671E">
        <w:rPr>
          <w:noProof/>
        </w:rPr>
        <w:t>(Johnson, Whitlatch, and Menne 2014)</w:t>
      </w:r>
      <w:r w:rsidRPr="00C3671E">
        <w:fldChar w:fldCharType="end"/>
      </w:r>
      <w:r w:rsidRPr="00C3671E">
        <w:t xml:space="preserve">. Finally, one review focused on the effect of volunteering (which is one of the social activities) on older people’s quality of life and indicated a predominantly positive relationship in 27 reviewed articles </w:t>
      </w:r>
      <w:bookmarkEnd w:id="65"/>
      <w:r w:rsidRPr="00C3671E">
        <w:fldChar w:fldCharType="begin" w:fldLock="1"/>
      </w:r>
      <w:r w:rsidR="001257AA" w:rsidRPr="00C3671E">
        <w:instrText>ADDIN CSL_CITATION { "citationItems" : [ { "id" : "ITEM-1", "itemData" : { "DOI" : "10.1016/j.maturitas.2011.08.010", "ISBN" : "1912156083", "ISSN" : "03785122", "PMID" : "21958942", "abstract" : "The year 2011 was declared the 'European Year of Volunteering' to recognise the contribution volunteers make to society. Such cross-national events reflect the high profile of volunteering and political imperatives to promote it. The purpose of this review is to provide a comprehensive review of current knowledge (articles published between 2005 and 2011) regarding the role of volunteering in improving older people's quality of life (QoL) and to identify areas requiring further research. Volunteering was defined as an activity that is freely chosen, does not involve remuneration and helps or benefits those beyond an individual's immediate family. Our search identified 22 studies and 5 review articles that addressed the benefits of volunteering on older people's quality of life. Most of the research had been conducted in the United States, Canada and Australia using data from longitudinal studies. The majority of the studies concluded that there is a positive association between older people's quality of life and engagement in volunteering. Due to the study designs and the heterogeneity of the research, causality is difficult to demonstrate and the knowledge the studies bring to the subject is variable. This review shows that volunteering may help to maintain and possibly improve some older adults' quality of life. However, there are still major gaps in our understanding of who actually benefits, the social and cultural context of volunteering and its role in reducing health and social inequalities. ?? 2011 Elsevier Ireland Ltd.", "author" : [ { "dropping-particle" : "", "family" : "Cattan", "given" : "Mima", "non-dropping-particle" : "", "parse-names" : false, "suffix" : "" }, { "dropping-particle" : "", "family" : "Hogg", "given" : "Eddy", "non-dropping-particle" : "", "parse-names" : false, "suffix" : "" }, { "dropping-particle" : "", "family" : "Hardill", "given" : "Irene", "non-dropping-particle" : "", "parse-names" : false, "suffix" : "" } ], "container-title" : "Maturitas", "id" : "ITEM-1", "issue" : "4", "issued" : { "date-parts" : [ [ "2011" ] ] }, "page" : "328-332", "publisher" : "Elsevier Ireland Ltd", "title" : "Improving quality of life in ageing populations: What can volunteering do?", "type" : "article-journal", "volume" : "70" }, "uris" : [ "http://www.mendeley.com/documents/?uuid=7cb6e6b7-58ca-474e-a4fe-923493357f55" ] } ], "mendeley" : { "formattedCitation" : "(Cattan et al. 2011)", "plainTextFormattedCitation" : "(Cattan et al. 2011)", "previouslyFormattedCitation" : "(Cattan et al. 2011)" }, "properties" : { "noteIndex" : 0 }, "schema" : "https://github.com/citation-style-language/schema/raw/master/csl-citation.json" }</w:instrText>
      </w:r>
      <w:r w:rsidRPr="00C3671E">
        <w:fldChar w:fldCharType="separate"/>
      </w:r>
      <w:r w:rsidR="00C004DA" w:rsidRPr="00C3671E">
        <w:rPr>
          <w:noProof/>
        </w:rPr>
        <w:t>(Cattan et al. 2011)</w:t>
      </w:r>
      <w:r w:rsidRPr="00C3671E">
        <w:fldChar w:fldCharType="end"/>
      </w:r>
      <w:r w:rsidRPr="00C3671E">
        <w:t>.</w:t>
      </w:r>
    </w:p>
    <w:p w14:paraId="0B8F39E4" w14:textId="026C3172" w:rsidR="007302A0" w:rsidRPr="00C3671E" w:rsidRDefault="007302A0" w:rsidP="006B7F0B">
      <w:pPr>
        <w:pStyle w:val="Newparagraph"/>
        <w:jc w:val="both"/>
      </w:pPr>
      <w:r w:rsidRPr="00C3671E">
        <w:t xml:space="preserve">What benefits of social participation imply? Does this mean that making these activities accessible (or even obligatory) for every older person overtake the negative side of ageing? Although this assumption is often present in the heart of active ageing approach </w:t>
      </w:r>
      <w:r w:rsidRPr="00C3671E">
        <w:fldChar w:fldCharType="begin" w:fldLock="1"/>
      </w:r>
      <w:r w:rsidR="001257AA" w:rsidRPr="00C3671E">
        <w:instrText>ADDIN CSL_CITATION { "citationItems" : [ { "id" : "ITEM-1", "itemData" : { "author" : [ { "dropping-particle" : "", "family" : "EU Council", "given" : "", "non-dropping-particle" : "", "parse-names" : false, "suffix" : "" } ], "id" : "ITEM-1", "issued" : { "date-parts" : [ [ "2012" ] ] }, "publisher" : "EU Council", "publisher-place" : "Brussels", "title" : "Council Declaration on the European Year for Active Ageing and Solidarity between Generations (2012): The Way Forward", "type" : "book" }, "uris" : [ "http://www.mendeley.com/documents/?uuid=bc232528-fad4-4b15-bede-b113103dbe49" ] }, { "id" : "ITEM-2", "itemData" : { "DOI" : "10.1007/s10433-005-0015-8", "ISBN" : "1613-9372", "ISSN" : "16139372", "abstract" : "This article focuses on the scientific study of quality of life in old age and summarises, on the one hand, what we know and, on the other, what further research is needed. It consists of three main parts, with an extended introduction charting the recent evolution of a European perspective on ageing. First of all, it emphasises the amorphous, multidimensional and complex nature of quality of life and the high level of inconsistency between scientists in their approach to this subject. Secondly, the article summarises the main areas of consensus about quality of life in old age - its dynamic multifaceted nature, the combination of life course and immediate influences, the similarities and differences in the factors determining quality of life between younger and older people, the most common associations with quality of life and the likely variations between groups, and the powerful role of subjective self-assessment. Thirdly, the main research priorities and gaps in knowledge are outlined, together with the key methodological issues which must be tackled if comparative, interdisciplinary research on quality of life is to develop further. The main sources for the article are two European Framework Programme projects-the one a small five-country comparison and the other a large multidimensional project which, among other things, has been developing recommendations for research on quality of life in old age and included an extensive literature review on this topic. The article also draws on the recently completed UK Growing Older Programme of research on extending quality of life. \u00a9 Springer-Verlag 2005.", "author" : [ { "dropping-particle" : "", "family" : "Walker", "given" : "Alan", "non-dropping-particle" : "", "parse-names" : false, "suffix" : "" } ], "container-title" : "European Journal of Ageing", "id" : "ITEM-2", "issue" : "1", "issued" : { "date-parts" : [ [ "2005" ] ] }, "page" : "2-12", "title" : "A European perspective on quality of life in old age", "type" : "article-journal", "volume" : "2" }, "uris" : [ "http://www.mendeley.com/documents/?uuid=cf601aee-0bb9-4c93-8902-46ae526562ed" ] } ], "mendeley" : { "formattedCitation" : "(EU Council 2012; Walker 2005a)", "plainTextFormattedCitation" : "(EU Council 2012; Walker 2005a)", "previouslyFormattedCitation" : "(EU Council 2012; Walker 2005a)" }, "properties" : { "noteIndex" : 0 }, "schema" : "https://github.com/citation-style-language/schema/raw/master/csl-citation.json" }</w:instrText>
      </w:r>
      <w:r w:rsidRPr="00C3671E">
        <w:fldChar w:fldCharType="separate"/>
      </w:r>
      <w:r w:rsidR="00A91559" w:rsidRPr="00C3671E">
        <w:rPr>
          <w:noProof/>
        </w:rPr>
        <w:t>(EU Council 2012; Walker 2005a)</w:t>
      </w:r>
      <w:r w:rsidRPr="00C3671E">
        <w:fldChar w:fldCharType="end"/>
      </w:r>
      <w:r w:rsidRPr="00C3671E">
        <w:t xml:space="preserve">, </w:t>
      </w:r>
      <w:r w:rsidRPr="00C3671E">
        <w:rPr>
          <w:noProof/>
        </w:rPr>
        <w:t>several</w:t>
      </w:r>
      <w:r w:rsidRPr="00C3671E">
        <w:t xml:space="preserve"> problems are connected to it in the real world: the issue of normativity, the issue of macro-contextual factors shaping opportunities for social participation, and the issue of individual resources connected to them. </w:t>
      </w:r>
    </w:p>
    <w:p w14:paraId="10AC9C4C" w14:textId="77777777" w:rsidR="007302A0" w:rsidRPr="00C3671E" w:rsidRDefault="007302A0" w:rsidP="007E6D8E">
      <w:pPr>
        <w:pStyle w:val="Nadpis3"/>
        <w:spacing w:line="480" w:lineRule="auto"/>
        <w:rPr>
          <w:rFonts w:ascii="Times New Roman" w:hAnsi="Times New Roman" w:cs="Times New Roman"/>
          <w:b w:val="0"/>
          <w:i/>
          <w:lang w:val="en-GB" w:eastAsia="zh-CN"/>
        </w:rPr>
      </w:pPr>
      <w:bookmarkStart w:id="66" w:name="_Toc512687768"/>
      <w:r w:rsidRPr="00C3671E">
        <w:rPr>
          <w:rFonts w:ascii="Times New Roman" w:hAnsi="Times New Roman" w:cs="Times New Roman"/>
          <w:b w:val="0"/>
          <w:i/>
          <w:lang w:val="en-GB" w:eastAsia="zh-CN"/>
        </w:rPr>
        <w:t>Three concerns with support of social participation</w:t>
      </w:r>
      <w:bookmarkEnd w:id="66"/>
    </w:p>
    <w:p w14:paraId="48F4D97D" w14:textId="01C6C101" w:rsidR="007302A0" w:rsidRPr="00C3671E" w:rsidRDefault="007302A0" w:rsidP="006B7F0B">
      <w:pPr>
        <w:suppressAutoHyphens/>
        <w:spacing w:line="480" w:lineRule="auto"/>
        <w:jc w:val="both"/>
        <w:rPr>
          <w:lang w:val="en-GB"/>
        </w:rPr>
      </w:pPr>
      <w:r w:rsidRPr="00C3671E">
        <w:rPr>
          <w:lang w:val="en-GB"/>
        </w:rPr>
        <w:t xml:space="preserve">First, several authors noted </w:t>
      </w:r>
      <w:r w:rsidRPr="00C3671E">
        <w:rPr>
          <w:rFonts w:eastAsia="Calibri"/>
          <w:noProof/>
          <w:lang w:val="en-GB" w:eastAsia="en-US"/>
        </w:rPr>
        <w:t>that</w:t>
      </w:r>
      <w:r w:rsidRPr="00C3671E">
        <w:rPr>
          <w:lang w:val="en-GB"/>
        </w:rPr>
        <w:t xml:space="preserve"> active ageing present ageing through activities as the only good way how to age without reflections of consequences of this approach </w:t>
      </w:r>
      <w:r w:rsidRPr="00C3671E">
        <w:rPr>
          <w:lang w:val="en-GB"/>
        </w:rPr>
        <w:fldChar w:fldCharType="begin" w:fldLock="1"/>
      </w:r>
      <w:r w:rsidR="001257AA" w:rsidRPr="00C3671E">
        <w:rPr>
          <w:lang w:val="en-GB"/>
        </w:rPr>
        <w:instrText>ADDIN CSL_CITATION { "citationItems" : [ { "id" : "ITEM-1", "itemData" : { "author" : [ { "dropping-particle" : "", "family" : "Hasmanov\u00e1 Marh\u00e1nkov\u00e1", "given" : "Jaroslava", "non-dropping-particle" : "", "parse-names" : false, "suffix" : "" } ], "id" : "ITEM-1", "issued" : { "date-parts" : [ [ "2013" ] ] }, "publisher" : "Sociologick\u00e9 nakladatelstv\u00ed", "publisher-place" : "Prague", "title" : "Aktivita jako projekt: Diskurz aktivn\u00edho st\u00e1rnut\u00ed a jeho odezvy v \u017eivotech \u010desk\u00fdch senior a seniorek", "type" : "book" }, "uris" : [ "http://www.mendeley.com/documents/?uuid=2b17407a-d9c5-41bb-8e50-e22022d7fb0d" ] }, { "id" : "ITEM-2", "itemData" : { "author" : [ { "dropping-particle" : "", "family" : "Holstein", "given" : "Martha B.", "non-dropping-particle" : "", "parse-names" : false, "suffix" : "" }, { "dropping-particle" : "", "family" : "Minkler", "given" : "Meredith", "non-dropping-particle" : "", "parse-names" : false, "suffix" : "" } ], "container-title" : "The Gerontologist", "id" : "ITEM-2", "issue" : "6", "issued" : { "date-parts" : [ [ "2003" ] ] }, "page" : "787-796", "title" : "Self, Society, and the \u2018\u2018New Gerontology\u2019\u2019", "type" : "article-journal", "volume" : "43" }, "uris" : [ "http://www.mendeley.com/documents/?uuid=7cd41c86-4367-404d-98af-62e6a77581cf" ] }, { "id" : "ITEM-3", "itemData" : { "DOI" : "10.1007/s10433-011-0200-x", "ISSN" : "16139372", "author" : [ { "dropping-particle" : "", "family" : "Leinonen", "given" : "Anu", "non-dropping-particle" : "", "parse-names" : false, "suffix" : "" } ], "container-title" : "European Journal of Ageing", "id" : "ITEM-3", "issue" : "4", "issued" : { "date-parts" : [ [ "2011" ] ] }, "page" : "243-253", "title" : "Masters of their own time? Working carers' visions of retirement", "type" : "article-journal", "volume" : "8" }, "uris" : [ "http://www.mendeley.com/documents/?uuid=b4adf742-488c-46b8-a905-f42c2571a7f4" ] }, { "id" : "ITEM-4", "itemData" : { "DOI" : "10.5172/hesr.2013.22.2.174", "ISBN" : "14461242", "ISSN" : "14461242", "PMID" : "89768704", "abstract" : "It was in the developed countries that the increase in the ageing of the population began, though it has evolved most markedly in the developing countries in recent years. It is estimated that global ageing in the 21st Century will result in a substantial increase in demand for social, economic and health solutions all over the world, at unsustainable costs for future generations. Active ageing emerges today as a concept that, according to the World Health Organisation, refl ects the importance of psychological, psychosocial and social factors when devising intervention to foster adaptation to ageing. WHO considers the word active to mean ongoing participation in social, economic, cultural, spiritual and civic issues and not just a person\u2019s ability to be physically active or continue to work. Social, demographic, fi nancial and political incentives to bear the costs of longevity have sanctioned and consolidated the paradigm of active ageing, which, anchored in its social utility, has gradually become compulsory. The discussion of the assumptions underlying this paradigm brings us to this analysis, which conducts critical refl ection on the current concept of active ageing and the way in which this concept is understood and implemented in the political, economic and social sphere. The conclusion is that the ideology of people\u2019s obligation and implicit responsibility makes active ageing compulsory and an exclusion practice to which only a few have access. We also fi nd that critical sociological analysis has failed to address this issue", "author" : [ { "dropping-particle" : "", "family" : "Mendes", "given" : "Felismina Rosa", "non-dropping-particle" : "", "parse-names" : false, "suffix" : "" } ], "container-title" : "Health Sociology Review", "id" : "ITEM-4", "issue" : "2", "issued" : { "date-parts" : [ [ "2013" ] ] }, "page" : "174-185", "title" : "Active ageing: A right or a duty?", "type" : "article-journal", "volume" : "22" }, "uris" : [ "http://www.mendeley.com/documents/?uuid=9f586af0-9360-45b3-a6b3-c3aafe1f2449" ] }, { "id" : "ITEM-5", "itemData" : { "author" : [ { "dropping-particle" : "", "family" : "Timonen", "given" : "Virpi", "non-dropping-particle" : "", "parse-names" : false, "suffix" : "" } ], "id" : "ITEM-5", "issued" : { "date-parts" : [ [ "2016" ] ] }, "publisher" : "Policy Press Shorts Research", "publisher-place" : "Bristol", "title" : "Beyond successful and active ageing: A theory of model ageing", "type" : "book" }, "uris" : [ "http://www.mendeley.com/documents/?uuid=4c41af4a-05f8-46fd-bb8a-a893aaadda0a" ] } ], "mendeley" : { "formattedCitation" : "(Hasmanov\u00e1 Marh\u00e1nkov\u00e1 2013; Holstein and Minkler 2003; Leinonen 2011; Mendes 2013; Timonen 2016)", "plainTextFormattedCitation" : "(Hasmanov\u00e1 Marh\u00e1nkov\u00e1 2013; Holstein and Minkler 2003; Leinonen 2011; Mendes 2013; Timonen 2016)", "previouslyFormattedCitation" : "(Hasmanov\u00e1 Marh\u00e1nkov\u00e1 2013; Holstein and Minkler 2003; Leinonen 2011; Mendes 2013; Timonen 2016)" }, "properties" : { "noteIndex" : 0 }, "schema" : "https://github.com/citation-style-language/schema/raw/master/csl-citation.json" }</w:instrText>
      </w:r>
      <w:r w:rsidRPr="00C3671E">
        <w:rPr>
          <w:lang w:val="en-GB"/>
        </w:rPr>
        <w:fldChar w:fldCharType="separate"/>
      </w:r>
      <w:r w:rsidR="00A91559" w:rsidRPr="00C3671E">
        <w:rPr>
          <w:noProof/>
          <w:lang w:val="en-GB"/>
        </w:rPr>
        <w:t>(Hasmanová Marhánková 2013; Holstein and Minkler 2003; Leinonen 2011; Mendes 2013; Timonen 2016)</w:t>
      </w:r>
      <w:r w:rsidRPr="00C3671E">
        <w:rPr>
          <w:lang w:val="en-GB"/>
        </w:rPr>
        <w:fldChar w:fldCharType="end"/>
      </w:r>
      <w:r w:rsidRPr="00C3671E">
        <w:rPr>
          <w:lang w:val="en-GB"/>
        </w:rPr>
        <w:t xml:space="preserve">. </w:t>
      </w:r>
      <w:r w:rsidRPr="00C3671E">
        <w:rPr>
          <w:lang w:val="en-GB"/>
        </w:rPr>
        <w:fldChar w:fldCharType="begin" w:fldLock="1"/>
      </w:r>
      <w:r w:rsidR="00AA6335" w:rsidRPr="00C3671E">
        <w:rPr>
          <w:lang w:val="en-GB"/>
        </w:rPr>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"mendeley" : { "formattedCitation" : "(Timonen 2016)", "manualFormatting" : "Timonen (2016)", "plainTextFormattedCitation" : "(Timonen 2016)", "previouslyFormattedCitation" : "(Timonen 2016)" }, "properties" : { "noteIndex" : 0 }, "schema" : "https://github.com/citation-style-language/schema/raw/master/csl-citation.json" }</w:instrText>
      </w:r>
      <w:r w:rsidRPr="00C3671E">
        <w:rPr>
          <w:lang w:val="en-GB"/>
        </w:rPr>
        <w:fldChar w:fldCharType="separate"/>
      </w:r>
      <w:r w:rsidRPr="00C3671E">
        <w:rPr>
          <w:noProof/>
          <w:lang w:val="en-GB"/>
        </w:rPr>
        <w:t>Timonen (2016)</w:t>
      </w:r>
      <w:r w:rsidRPr="00C3671E">
        <w:rPr>
          <w:lang w:val="en-GB"/>
        </w:rPr>
        <w:fldChar w:fldCharType="end"/>
      </w:r>
      <w:r w:rsidRPr="00C3671E">
        <w:rPr>
          <w:lang w:val="en-GB"/>
        </w:rPr>
        <w:t xml:space="preserve"> argues that some older people cannot and some do not want to participate in these activities, which should be both legitimate options. Other authors write about active ageing as a strongly normative discourse of self-discipline </w:t>
      </w:r>
      <w:r w:rsidRPr="00C3671E">
        <w:rPr>
          <w:lang w:val="en-GB"/>
        </w:rPr>
        <w:fldChar w:fldCharType="begin" w:fldLock="1"/>
      </w:r>
      <w:r w:rsidR="001257AA" w:rsidRPr="00C3671E">
        <w:rPr>
          <w:lang w:val="en-GB"/>
        </w:rPr>
        <w:instrText>ADDIN CSL_CITATION { "citationItems" : [ { "id" : "ITEM-1", "itemData" : { "author" : [ { "dropping-particle" : "", "family" : "Hasmanov\u00e1 Marh\u00e1nkov\u00e1", "given" : "Jaroslava", "non-dropping-particle" : "", "parse-names" : false, "suffix" : "" } ], "id" : "ITEM-1", "issued" : { "date-parts" : [ [ "2013" ] ] }, "publisher" : "Sociologick\u00e9 nakladatelstv\u00ed", "publisher-place" : "Prague", "title" : "Aktivita jako projekt: Diskurz aktivn\u00edho st\u00e1rnut\u00ed a jeho odezvy v \u017eivotech \u010desk\u00fdch senior a seniorek", "type" : "book" }, "uris" : [ "http://www.mendeley.com/documents/?uuid=2b17407a-d9c5-41bb-8e50-e22022d7fb0d" ] }, { "id" : "ITEM-2", "itemData" : { "DOI" : "10.1007/s10433-011-0200-x", "ISSN" : "16139372", "author" : [ { "dropping-particle" : "", "family" : "Leinonen", "given" : "Anu", "non-dropping-particle" : "", "parse-names" : false, "suffix" : "" } ], "container-title" : "European Journal of Ageing", "id" : "ITEM-2", "issue" : "4", "issued" : { "date-parts" : [ [ "2011" ] ] }, "page" : "243-253", "title" : "Masters of their own time? Working carers' visions of retirement", "type" : "article-journal", "volume" : "8" }, "uris" : [ "http://www.mendeley.com/documents/?uuid=b4adf742-488c-46b8-a905-f42c2571a7f4" ] } ], "mendeley" : { "formattedCitation" : "(Hasmanov\u00e1 Marh\u00e1nkov\u00e1 2013; Leinonen 2011)", "plainTextFormattedCitation" : "(Hasmanov\u00e1 Marh\u00e1nkov\u00e1 2013; Leinonen 2011)", "previouslyFormattedCitation" : "(Hasmanov\u00e1 Marh\u00e1nkov\u00e1 2013; Leinonen 2011)" }, "properties" : { "noteIndex" : 0 }, "schema" : "https://github.com/citation-style-language/schema/raw/master/csl-citation.json" }</w:instrText>
      </w:r>
      <w:r w:rsidRPr="00C3671E">
        <w:rPr>
          <w:lang w:val="en-GB"/>
        </w:rPr>
        <w:fldChar w:fldCharType="separate"/>
      </w:r>
      <w:r w:rsidR="00A91559" w:rsidRPr="00C3671E">
        <w:rPr>
          <w:noProof/>
          <w:lang w:val="en-GB"/>
        </w:rPr>
        <w:t>(Hasmanová Marhánková 2013; Leinonen 2011)</w:t>
      </w:r>
      <w:r w:rsidRPr="00C3671E">
        <w:rPr>
          <w:lang w:val="en-GB"/>
        </w:rPr>
        <w:fldChar w:fldCharType="end"/>
      </w:r>
      <w:r w:rsidRPr="00C3671E">
        <w:rPr>
          <w:lang w:val="en-GB"/>
        </w:rPr>
        <w:t xml:space="preserve">, which is more a duty than a right, and this duty can lead to an exclusion of these, who do not fulfil it </w:t>
      </w:r>
      <w:r w:rsidRPr="00C3671E">
        <w:rPr>
          <w:lang w:val="en-GB"/>
        </w:rPr>
        <w:fldChar w:fldCharType="begin" w:fldLock="1"/>
      </w:r>
      <w:r w:rsidR="00AA6335" w:rsidRPr="00C3671E">
        <w:rPr>
          <w:lang w:val="en-GB"/>
        </w:rPr>
        <w:instrText>ADDIN CSL_CITATION { "citationItems" : [ { "id" : "ITEM-1", "itemData" : { "DOI" : "10.5172/hesr.2013.22.2.174", "ISBN" : "14461242", "ISSN" : "14461242", "PMID" : "89768704", "abstract" : "It was in the developed countries that the increase in the ageing of the population began, though it has evolved most markedly in the developing countries in recent years. It is estimated that global ageing in the 21st Century will result in a substantial increase in demand for social, economic and health solutions all over the world, at unsustainable costs for future generations. Active ageing emerges today as a concept that, according to the World Health Organisation, refl ects the importance of psychological, psychosocial and social factors when devising intervention to foster adaptation to ageing. WHO considers the word active to mean ongoing participation in social, economic, cultural, spiritual and civic issues and not just a person\u2019s ability to be physically active or continue to work. Social, demographic, fi nancial and political incentives to bear the costs of longevity have sanctioned and consolidated the paradigm of active ageing, which, anchored in its social utility, has gradually become compulsory. The discussion of the assumptions underlying this paradigm brings us to this analysis, which conducts critical refl ection on the current concept of active ageing and the way in which this concept is understood and implemented in the political, economic and social sphere. The conclusion is that the ideology of people\u2019s obligation and implicit responsibility makes active ageing compulsory and an exclusion practice to which only a few have access. We also fi nd that critical sociological analysis has failed to address this issue", "author" : [ { "dropping-particle" : "", "family" : "Mendes", "given" : "Felismina Rosa", "non-dropping-particle" : "", "parse-names" : false, "suffix" : "" } ], "container-title" : "Health Sociology Review", "id" : "ITEM-1", "issue" : "2", "issued" : { "date-parts" : [ [ "2013" ] ] }, "page" : "174-185", "title" : "Active ageing: A right or a duty?", "type" : "article-journal", "volume" : "22" }, "uris" : [ "http://www.mendeley.com/documents/?uuid=9f586af0-9360-45b3-a6b3-c3aafe1f2449" ] } ], "mendeley" : { "formattedCitation" : "(Mendes 2013)", "plainTextFormattedCitation" : "(Mendes 2013)", "previouslyFormattedCitation" : "(Mendes 2013)" }, "properties" : { "noteIndex" : 0 }, "schema" : "https://github.com/citation-style-language/schema/raw/master/csl-citation.json" }</w:instrText>
      </w:r>
      <w:r w:rsidRPr="00C3671E">
        <w:rPr>
          <w:lang w:val="en-GB"/>
        </w:rPr>
        <w:fldChar w:fldCharType="separate"/>
      </w:r>
      <w:r w:rsidRPr="00C3671E">
        <w:rPr>
          <w:noProof/>
          <w:lang w:val="en-GB"/>
        </w:rPr>
        <w:t>(Mendes 2013)</w:t>
      </w:r>
      <w:r w:rsidRPr="00C3671E">
        <w:rPr>
          <w:lang w:val="en-GB"/>
        </w:rPr>
        <w:fldChar w:fldCharType="end"/>
      </w:r>
      <w:r w:rsidRPr="00C3671E">
        <w:rPr>
          <w:lang w:val="en-GB"/>
        </w:rPr>
        <w:t xml:space="preserve">. As a result, those who cannot participate, such as the poor, older women, and people of colour, are marginalized even more than without this social policy approach </w:t>
      </w:r>
      <w:r w:rsidRPr="00C3671E">
        <w:rPr>
          <w:lang w:val="en-GB"/>
        </w:rPr>
        <w:fldChar w:fldCharType="begin" w:fldLock="1"/>
      </w:r>
      <w:r w:rsidR="00AA6335" w:rsidRPr="00C3671E">
        <w:rPr>
          <w:lang w:val="en-GB"/>
        </w:rPr>
        <w:instrText>ADDIN CSL_CITATION { "citationItems" : [ { "id" : "ITEM-1", "itemData" : { "author" : [ { "dropping-particle" : "", "family" : "Holstein", "given" : "Martha B.", "non-dropping-particle" : "", "parse-names" : false, "suffix" : "" }, { "dropping-particle" : "", "family" : "Minkler", "given" : "Meredith", "non-dropping-particle" : "", "parse-names" : false, "suffix" : "" } ], "container-title" : "The Gerontologist", "id" : "ITEM-1", "issue" : "6", "issued" : { "date-parts" : [ [ "2003" ] ] }, "page" : "787-796", "title" : "Self, Society, and the \u2018\u2018New Gerontology\u2019\u2019", "type" : "article-journal", "volume" : "43" }, "uris" : [ "http://www.mendeley.com/documents/?uuid=7cd41c86-4367-404d-98af-62e6a77581cf" ] } ], "mendeley" : { "formattedCitation" : "(Holstein and Minkler 2003)", "plainTextFormattedCitation" : "(Holstein and Minkler 2003)", "previouslyFormattedCitation" : "(Holstein and Minkler 2003)" }, "properties" : { "noteIndex" : 0 }, "schema" : "https://github.com/citation-style-language/schema/raw/master/csl-citation.json" }</w:instrText>
      </w:r>
      <w:r w:rsidRPr="00C3671E">
        <w:rPr>
          <w:lang w:val="en-GB"/>
        </w:rPr>
        <w:fldChar w:fldCharType="separate"/>
      </w:r>
      <w:r w:rsidRPr="00C3671E">
        <w:rPr>
          <w:noProof/>
          <w:lang w:val="en-GB"/>
        </w:rPr>
        <w:t>(Holstein and Minkler 2003)</w:t>
      </w:r>
      <w:r w:rsidRPr="00C3671E">
        <w:rPr>
          <w:lang w:val="en-GB"/>
        </w:rPr>
        <w:fldChar w:fldCharType="end"/>
      </w:r>
      <w:r w:rsidRPr="00C3671E">
        <w:rPr>
          <w:lang w:val="en-GB"/>
        </w:rPr>
        <w:t>. This critique concerns mostly active ageing as a whole, but it can be applied just to social participation as well.</w:t>
      </w:r>
    </w:p>
    <w:p w14:paraId="74486DFE" w14:textId="4AE5598B" w:rsidR="007302A0" w:rsidRPr="00C3671E" w:rsidRDefault="007302A0" w:rsidP="006B7F0B">
      <w:pPr>
        <w:pStyle w:val="Newparagraph"/>
        <w:jc w:val="both"/>
      </w:pPr>
      <w:r w:rsidRPr="00C3671E">
        <w:t xml:space="preserve">The second problem with </w:t>
      </w:r>
      <w:r w:rsidRPr="00C3671E">
        <w:rPr>
          <w:noProof/>
        </w:rPr>
        <w:t>promoting</w:t>
      </w:r>
      <w:r w:rsidRPr="00C3671E">
        <w:t xml:space="preserve"> social participation is that some contexts create more opportunities than others. ‘Both longstanding cultural elements of a society, such as its religious tradition, as well as contemporary welfare state interventions constitute reference </w:t>
      </w:r>
      <w:r w:rsidRPr="00C3671E">
        <w:lastRenderedPageBreak/>
        <w:t xml:space="preserve">frames’ </w:t>
      </w:r>
      <w:r w:rsidRPr="00C3671E">
        <w:fldChar w:fldCharType="begin" w:fldLock="1"/>
      </w:r>
      <w:r w:rsidR="00AA6335" w:rsidRPr="00C3671E">
        <w:instrText>ADDIN CSL_CITATION { "citationItems" : [ { "id" : "ITEM-1", "itemData" : { "DOI" : "10.1093/esr/jcq023", "ISBN" : "0266-7215", "ISSN" : "02667215", "abstract" : "This article aims to improve our understanding of the societal determinants of older people\u2019s participation in non-market productive activities. Based on micro-data from the Survey of Health, Ageing and Retirement in Europe, we estimate logistic multilevel models for individuals\u2019 engagement in formal volunteering, informal helping, and caring across 11 countries. The results partially support hypotheses regarding the relationship between specific macro-level variables and individuals\u2019 productive engagement at older ages. While our measure of societal images of aging does not exhibit statistically significant associations with any of the activities considered here, our hypotheses concerning a positive relationship between greater political and religious freedom as well as the provision of welfare state services and older individuals\u2019 propensity to engage in productive aging are largely confirmed. We interpret these findings as evidence suggesting that both longstanding cultural elements of a society as well as contemporary welfare state interventions constitute reference frames and opportunity structures which older individuals perceive as relevant for their decision whether to participate in volunteering, helping, or caring.", "author" : [ { "dropping-particle" : "", "family" : "Hank", "given" : "Karsten", "non-dropping-particle" : "", "parse-names" : false, "suffix" : "" } ], "container-title" : "European Sociological Review", "id" : "ITEM-1", "issue" : "4", "issued" : { "date-parts" : [ [ "2011" ] ] }, "page" : "526-541", "title" : "Societal determinants of productive aging: A multilevel analysis across 11 European Countries", "type" : "article-journal", "volume" : "27" }, "uris" : [ "http://www.mendeley.com/documents/?uuid=fbcecccf-f864-4ae9-9b90-33a7d02f7393" ] } ], "mendeley" : { "formattedCitation" : "(Hank 2011)", "manualFormatting" : "(Hank 2011", "plainTextFormattedCitation" : "(Hank 2011)", "previouslyFormattedCitation" : "(Hank 2011)" }, "properties" : { "noteIndex" : 0 }, "schema" : "https://github.com/citation-style-language/schema/raw/master/csl-citation.json" }</w:instrText>
      </w:r>
      <w:r w:rsidRPr="00C3671E">
        <w:fldChar w:fldCharType="separate"/>
      </w:r>
      <w:r w:rsidRPr="00C3671E">
        <w:rPr>
          <w:noProof/>
        </w:rPr>
        <w:t>(Hank 2011</w:t>
      </w:r>
      <w:r w:rsidRPr="00C3671E">
        <w:fldChar w:fldCharType="end"/>
      </w:r>
      <w:r w:rsidRPr="00C3671E">
        <w:t xml:space="preserve">: 536) for social participation of older adults. Prevalence of social activities in later life varies strongly across countries </w:t>
      </w:r>
      <w:r w:rsidRPr="00C3671E">
        <w:fldChar w:fldCharType="begin" w:fldLock="1"/>
      </w:r>
      <w:r w:rsidR="00AA6335" w:rsidRPr="00C3671E">
        <w:instrText>ADDIN CSL_CITATION { "citationItems" : [ { "id" : "ITEM-1", "itemData" : { "DOI" : "10.1111/j.1468-2397.2009.00691.x", "ISBN" : "1369-6866\\r1468-2397", "ISSN" : "13696866", "abstract" : "This study explores voluntary association involvement by seniors using a six-regime model with Esping-Andersen's three worlds of welfare as a starting point. Current literature is then used to argue for the inclusion of three additional regime types. The model, with its six illustrative countries, is then used to compare type and level of voluntary association membership and volunteering by older people. The first set of findings is a descriptive account of the context of ageing and social welfare in the six countries and the relationship between this context and volunteering by older people. The second set of findings utilises a broad comparative dataset, the World Values Survey (2005-2006), to explore differences in voluntary association involvement more specifically. The analyses suggest that differences across regime types are explainable in terms of the social welfare context. These findings suggest a possible line of approach to understanding differences across countries. (PsycINFO Database Record (c) 2012 APA, all rights reserved) (journal abstract).", "author" : [ { "dropping-particle" : "", "family" : "Warburton", "given" : "Jeni", "non-dropping-particle" : "", "parse-names" : false, "suffix" : "" }, { "dropping-particle" : "", "family" : "Jeppsson Grassman", "given" : "Eva", "non-dropping-particle" : "", "parse-names" : false, "suffix" : "" } ], "container-title" : "International Journal of Social Welfare", "id" : "ITEM-1", "issue" : "2", "issued" : { "date-parts" : [ [ "2011" ] ] }, "note" : "Warburton, Jeppson Grassman 2011: Variations in older people\u2019s social and productive ageing activities across different social welfare regimes\na six-regime model with Esping-Andersen\u2019s threeworlds of welfare as a starting point + sourthern Europe, eastern Asia and wage-earners model (Australia)\nWorld Values Survey concerning civic involvement by people aged 65+\nThe analyses suggest that differences across regime types are explainable in terms of the social welfare context\nactive membership in volunteering in UK, Australia and Sweden, the opposite in Italy and Germany (more religious organizations)", "page" : "180-191", "title" : "Variations in older people's social and productive ageing activities across different social welfare regimes", "type" : "article-journal", "volume" : "20" }, "uris" : [ "http://www.mendeley.com/documents/?uuid=2c5bf896-7f7f-43c0-b80a-b07ff5c6ef59" ] } ], "mendeley" : { "formattedCitation" : "(Warburton and Jeppsson Grassman 2011)", "plainTextFormattedCitation" : "(Warburton and Jeppsson Grassman 2011)", "previouslyFormattedCitation" : "(Warburton and Jeppsson Grassman 2011)" }, "properties" : { "noteIndex" : 0 }, "schema" : "https://github.com/citation-style-language/schema/raw/master/csl-citation.json" }</w:instrText>
      </w:r>
      <w:r w:rsidRPr="00C3671E">
        <w:fldChar w:fldCharType="separate"/>
      </w:r>
      <w:r w:rsidRPr="00C3671E">
        <w:rPr>
          <w:noProof/>
        </w:rPr>
        <w:t>(Warburton and Jeppsson Grassman 2011)</w:t>
      </w:r>
      <w:r w:rsidRPr="00C3671E">
        <w:fldChar w:fldCharType="end"/>
      </w:r>
      <w:r w:rsidRPr="00C3671E">
        <w:t xml:space="preserve">, which is structured especially by the north/south (and potentially west/east) axis formatting a whole set of societal characteristics </w:t>
      </w:r>
      <w:r w:rsidRPr="00C3671E">
        <w:fldChar w:fldCharType="begin" w:fldLock="1"/>
      </w:r>
      <w:r w:rsidR="00AA6335" w:rsidRPr="00C3671E">
        <w:instrText>ADDIN CSL_CITATION { "citationItems" : [ { "id" : "ITEM-1", "itemData" : { "ISBN" : "0-335-21513-0", "author" : [ { "dropping-particle" : "", "family" : "Walker", "given" : "Alan", "non-dropping-particle" : "", "parse-names" : false, "suffix" : "" } ], "chapter-number" : "1", "container-title" : "Growing older in Europe", "editor" : [ { "dropping-particle" : "", "family" : "Walker", "given" : "Alan", "non-dropping-particle" : "", "parse-names" : false, "suffix" : "" } ], "id" : "ITEM-1", "issued" : { "date-parts" : [ [ "2004" ] ] }, "page" : "1-30", "publisher" : "Open University Press", "publisher-place" : "Maidenhead", "title" : "Quality of life in old age in Europe", "type" : "chapter" }, "uris" : [ "http://www.mendeley.com/documents/?uuid=50d6f5fc-128c-4195-b27d-ab7f3f67bfab" ] } ], "mendeley" : { "formattedCitation" : "(Walker 2004)", "plainTextFormattedCitation" : "(Walker 2004)", "previouslyFormattedCitation" : "(Walker 2004)" }, "properties" : { "noteIndex" : 0 }, "schema" : "https://github.com/citation-style-language/schema/raw/master/csl-citation.json" }</w:instrText>
      </w:r>
      <w:r w:rsidRPr="00C3671E">
        <w:fldChar w:fldCharType="separate"/>
      </w:r>
      <w:r w:rsidRPr="00C3671E">
        <w:rPr>
          <w:noProof/>
        </w:rPr>
        <w:t>(Walker 2004)</w:t>
      </w:r>
      <w:r w:rsidRPr="00C3671E">
        <w:fldChar w:fldCharType="end"/>
      </w:r>
      <w:r w:rsidRPr="00C3671E">
        <w:t xml:space="preserve">. This variation can be illustrated by correlations of AAI with GDP per capita and average life satisfaction, which are 0.52 and 0.78, respectively </w:t>
      </w:r>
      <w:r w:rsidRPr="00C3671E">
        <w:fldChar w:fldCharType="begin" w:fldLock="1"/>
      </w:r>
      <w:r w:rsidR="00AA6335" w:rsidRPr="00C3671E">
        <w:instrText>ADDIN CSL_CITATION { "citationItems" : [ { "id" : "ITEM-1", "itemData" : { "author" : [ { "dropping-particle" : "", "family" : "European Commission", "given" : "", "non-dropping-particle" : "", "parse-names" : false, "suffix" : "" } ], "id" : "ITEM-1", "issued" : { "date-parts" : [ [ "2013" ] ] }, "publisher" : "European Comission", "publisher-place" : "Brussels", "title" : "Introducing the Active Ageing Index. Policy brief", "type" : "book" }, "uris" : [ "http://www.mendeley.com/documents/?uuid=15ea840e-806d-4ce4-88d2-b847e7b3756b" ] } ], "mendeley" : { "formattedCitation" : "(European Commission 2013)", "plainTextFormattedCitation" : "(European Commission 2013)", "previouslyFormattedCitation" : "(European Commission 2013)" }, "properties" : { "noteIndex" : 0 }, "schema" : "https://github.com/citation-style-language/schema/raw/master/csl-citation.json" }</w:instrText>
      </w:r>
      <w:r w:rsidRPr="00C3671E">
        <w:fldChar w:fldCharType="separate"/>
      </w:r>
      <w:r w:rsidRPr="00C3671E">
        <w:rPr>
          <w:noProof/>
        </w:rPr>
        <w:t>(European Commission 2013)</w:t>
      </w:r>
      <w:r w:rsidRPr="00C3671E">
        <w:fldChar w:fldCharType="end"/>
      </w:r>
      <w:r w:rsidRPr="00C3671E">
        <w:t xml:space="preserve">. Strong context-dependence of social participation means that not all countries can easily support these activities. Hence, strong support for social participation may even strengthen inequalities among countries, as this support is more probable (i.e. more feasible and more legitimate) in countries with already established opportunities for social participation of older people. This paper illustrates the effect of macro-context by separate analysis for representatives of all European welfare regimes </w:t>
      </w:r>
      <w:r w:rsidRPr="00C3671E">
        <w:fldChar w:fldCharType="begin" w:fldLock="1"/>
      </w:r>
      <w:r w:rsidR="00AA6335" w:rsidRPr="00C3671E">
        <w:instrText>ADDIN CSL_CITATION { "citationItems" : [ { "id" : "ITEM-1", "itemData" : { "author" : [ { "dropping-particle" : "", "family" : "Esping-Andersen", "given" : "G\u00f8sta", "non-dropping-particle" : "", "parse-names" : false, "suffix" : "" } ], "id" : "ITEM-1", "issued" : { "date-parts" : [ [ "1990" ] ] }, "publisher" : "Princeton University Press", "publisher-place" : "Princeton", "title" : "Three worlds of welfare capitalism", "type" : "book" }, "uris" : [ "http://www.mendeley.com/documents/?uuid=c50cbab9-24c1-47b9-9489-01afe4d84202" ] } ], "mendeley" : { "formattedCitation" : "(Esping-Andersen 1990)", "plainTextFormattedCitation" : "(Esping-Andersen 1990)", "previouslyFormattedCitation" : "(Esping-Andersen 1990)" }, "properties" : { "noteIndex" : 0 }, "schema" : "https://github.com/citation-style-language/schema/raw/master/csl-citation.json" }</w:instrText>
      </w:r>
      <w:r w:rsidRPr="00C3671E">
        <w:fldChar w:fldCharType="separate"/>
      </w:r>
      <w:r w:rsidRPr="00C3671E">
        <w:rPr>
          <w:noProof/>
        </w:rPr>
        <w:t>(Esping-Andersen 1990)</w:t>
      </w:r>
      <w:r w:rsidRPr="00C3671E">
        <w:fldChar w:fldCharType="end"/>
      </w:r>
      <w:r w:rsidRPr="00C3671E">
        <w:t>.</w:t>
      </w:r>
    </w:p>
    <w:p w14:paraId="19B0A475" w14:textId="4A078D0A" w:rsidR="007302A0" w:rsidRPr="00C3671E" w:rsidRDefault="007302A0" w:rsidP="006B7F0B">
      <w:pPr>
        <w:pStyle w:val="Newparagraph"/>
        <w:jc w:val="both"/>
      </w:pPr>
      <w:r w:rsidRPr="00C3671E">
        <w:t xml:space="preserve">Finally, opportunities for social </w:t>
      </w:r>
      <w:r w:rsidRPr="00C3671E">
        <w:rPr>
          <w:noProof/>
        </w:rPr>
        <w:t>participation</w:t>
      </w:r>
      <w:r w:rsidRPr="00C3671E">
        <w:t xml:space="preserve"> (as well as an option not to participate) are strongly connected to individual resources </w:t>
      </w:r>
      <w:r w:rsidRPr="00C3671E">
        <w:fldChar w:fldCharType="begin" w:fldLock="1"/>
      </w:r>
      <w:r w:rsidR="00AA6335" w:rsidRPr="00C3671E">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"mendeley" : { "formattedCitation" : "(Timonen 2016)", "plainTextFormattedCitation" : "(Timonen 2016)", "previouslyFormattedCitation" : "(Timonen 2016)" }, "properties" : { "noteIndex" : 0 }, "schema" : "https://github.com/citation-style-language/schema/raw/master/csl-citation.json" }</w:instrText>
      </w:r>
      <w:r w:rsidRPr="00C3671E">
        <w:fldChar w:fldCharType="separate"/>
      </w:r>
      <w:r w:rsidRPr="00C3671E">
        <w:rPr>
          <w:noProof/>
        </w:rPr>
        <w:t>(Timonen 2016)</w:t>
      </w:r>
      <w:r w:rsidRPr="00C3671E">
        <w:fldChar w:fldCharType="end"/>
      </w:r>
      <w:r w:rsidRPr="00C3671E">
        <w:t xml:space="preserve">. These resources are not only represented by different location within country </w:t>
      </w:r>
      <w:r w:rsidRPr="00C3671E">
        <w:fldChar w:fldCharType="begin" w:fldLock="1"/>
      </w:r>
      <w:r w:rsidR="00AA6335" w:rsidRPr="00C3671E">
        <w:instrText>ADDIN CSL_CITATION { "citationItems" : [ { "id" : "ITEM-1", "itemData" : { "DOI" : "10.1016/j.socscimed.2007.03.009", "ISBN" : "0277-9536", "ISSN" : "02779536", "PMID" : "17433509", "abstract" : "The objective was to investigate associations between type of area, individuals' perceptions of their neighbourhoods, and indicators of social and physical functioning. Social functioning was measured using numbers of social activities and frequency of social contacts in the past month. Physical functioning was measured with Townsend's Activities of Daily Living scale. The study was a British cross-sectional population survey of people aged 65 plus living at home. Multilevel analyses indicated that respondents who lived in affluent areas were less likely to have low levels of social activity independently of individual demographic and socio-economic characteristics. Individuals' perceptions of the area as neighbourly and having good facilities were also independently associated with lower likelihood of low social activities. Affluence of the area and perceived neighbourhood were associated with physical functioning, although these associations disappeared once adjustment was made for individuals' characteristics. Both objective and more subjective measures of the neighbourhood independently contributed to our understanding of the determinants of social and physical functioning in older age. The unique value of this paper is its inclusion of the influence of perceived neighbourhood on the social and physical functioning of an older population, which are key components of active ageing. ?? 2007 Elsevier Ltd. All rights reserved.", "author" : [ { "dropping-particle" : "", "family" : "Bowling", "given" : "Ann", "non-dropping-particle" : "", "parse-names" : false, "suffix" : "" }, { "dropping-particle" : "", "family" : "Stafford", "given" : "Mai", "non-dropping-particle" : "", "parse-names" : false, "suffix" : "" } ], "container-title" : "Social Science and Medicine", "id" : "ITEM-1", "issue" : "12", "issued" : { "date-parts" : [ [ "2007" ] ] }, "page" : "2533-2549", "title" : "How do objective and subjective assessments of neighbourhood influence social and physical functioning in older age? Findings from a British survey of ageing", "type" : "article-journal", "volume" : "64" }, "uris" : [ "http://www.mendeley.com/documents/?uuid=8741e0aa-28ca-4c08-9f6f-b2ecc18a5d23" ] } ], "mendeley" : { "formattedCitation" : "(Bowling and Stafford 2007)", "plainTextFormattedCitation" : "(Bowling and Stafford 2007)", "previouslyFormattedCitation" : "(Bowling and Stafford 2007)" }, "properties" : { "noteIndex" : 0 }, "schema" : "https://github.com/citation-style-language/schema/raw/master/csl-citation.json" }</w:instrText>
      </w:r>
      <w:r w:rsidRPr="00C3671E">
        <w:fldChar w:fldCharType="separate"/>
      </w:r>
      <w:r w:rsidRPr="00C3671E">
        <w:rPr>
          <w:noProof/>
        </w:rPr>
        <w:t>(Bowling and Stafford 2007)</w:t>
      </w:r>
      <w:r w:rsidRPr="00C3671E">
        <w:fldChar w:fldCharType="end"/>
      </w:r>
      <w:r w:rsidRPr="00C3671E">
        <w:t xml:space="preserve">, but also by a set of individual characteristics. These characteristics are for instance gender, ethnicity </w:t>
      </w:r>
      <w:r w:rsidRPr="00C3671E">
        <w:fldChar w:fldCharType="begin" w:fldLock="1"/>
      </w:r>
      <w:r w:rsidR="00AA6335" w:rsidRPr="00C3671E">
        <w:instrText>ADDIN CSL_CITATION { "citationItems" : [ { "id" : "ITEM-1", "itemData" : { "author" : [ { "dropping-particle" : "", "family" : "Holstein", "given" : "Martha B.", "non-dropping-particle" : "", "parse-names" : false, "suffix" : "" }, { "dropping-particle" : "", "family" : "Minkler", "given" : "Meredith", "non-dropping-particle" : "", "parse-names" : false, "suffix" : "" } ], "container-title" : "The Gerontologist", "id" : "ITEM-1", "issue" : "6", "issued" : { "date-parts" : [ [ "2003" ] ] }, "page" : "787-796", "title" : "Self, Society, and the \u2018\u2018New Gerontology\u2019\u2019", "type" : "article-journal", "volume" : "43" }, "uris" : [ "http://www.mendeley.com/documents/?uuid=7cd41c86-4367-404d-98af-62e6a77581cf" ] } ], "mendeley" : { "formattedCitation" : "(Holstein and Minkler 2003)", "plainTextFormattedCitation" : "(Holstein and Minkler 2003)", "previouslyFormattedCitation" : "(Holstein and Minkler 2003)" }, "properties" : { "noteIndex" : 0 }, "schema" : "https://github.com/citation-style-language/schema/raw/master/csl-citation.json" }</w:instrText>
      </w:r>
      <w:r w:rsidRPr="00C3671E">
        <w:fldChar w:fldCharType="separate"/>
      </w:r>
      <w:r w:rsidRPr="00C3671E">
        <w:rPr>
          <w:noProof/>
        </w:rPr>
        <w:t>(Holstein and Minkler 2003)</w:t>
      </w:r>
      <w:r w:rsidRPr="00C3671E">
        <w:fldChar w:fldCharType="end"/>
      </w:r>
      <w:r w:rsidRPr="00C3671E">
        <w:t xml:space="preserve">, age </w:t>
      </w:r>
      <w:r w:rsidRPr="00C3671E">
        <w:fldChar w:fldCharType="begin" w:fldLock="1"/>
      </w:r>
      <w:r w:rsidR="001257AA" w:rsidRPr="00C3671E">
        <w:instrText>ADDIN CSL_CITATION { "citationItems" : [ { "id" : "ITEM-1", "itemData" : { "DOI" : "10.1007/s10433-012-0245-5", "ISBN" : "1613-9372", "ISSN" : "16139372", "abstract" : "Driven by socioemotional selectivity theory, this study examined whether age moderated the associations of volunteering motives with physical and psychological well-being in a sample of Hong Kong Chinese volunteers. Volunteering motives were measured by the volunteer functions inventory. Findings revealed that even after controlling for demographic characteristics and volunteering experience, age was related to higher social and value motives but lower career motives, and moderated the associations of social and protective motives with well-being. The associations of social motives with physical well-being were positive among older volunteers, but were negative among younger- and middle-aged volunteers. While protective motives were positively related to psychological well-being among all the volunteers, such effects were stronger among younger- and middle-aged volunteers than among older volunteers. Findings highlight the role of age in determining the relationship between volunteering motives and well-being. (PsycINFO Database Record (c) 2013 APA, all rights reserved) (journal abstract)", "author" : [ { "dropping-particle" : "", "family" : "Ho", "given" : "Yuen Wan", "non-dropping-particle" : "", "parse-names" : false, "suffix" : "" }, { "dropping-particle" : "", "family" : "You", "given" : "Jin", "non-dropping-particle" : "", "parse-names" : false, "suffix" : "" }, { "dropping-particle" : "", "family" : "Fung", "given" : "Helene H.", "non-dropping-particle" : "", "parse-names" : false, "suffix" : "" } ], "container-title" : "European Journal of Ageing", "id" : "ITEM-1", "issue" : "4", "issued" : { "date-parts" : [ [ "2012" ] ] }, "page" : "319-327", "title" : "The moderating role of age in the relationship between volunteering motives and well-being", "type" : "article-journal", "volume" : "9" }, "uris" : [ "http://www.mendeley.com/documents/?uuid=9df75077-3cf4-4bc0-a29d-323764e949fc" ] } ], "mendeley" : { "formattedCitation" : "(Ho et al. 2012)", "plainTextFormattedCitation" : "(Ho et al. 2012)", "previouslyFormattedCitation" : "(Ho et al. 2012)" }, "properties" : { "noteIndex" : 0 }, "schema" : "https://github.com/citation-style-language/schema/raw/master/csl-citation.json" }</w:instrText>
      </w:r>
      <w:r w:rsidRPr="00C3671E">
        <w:fldChar w:fldCharType="separate"/>
      </w:r>
      <w:r w:rsidR="00C004DA" w:rsidRPr="00C3671E">
        <w:rPr>
          <w:noProof/>
        </w:rPr>
        <w:t>(Ho et al. 2012)</w:t>
      </w:r>
      <w:r w:rsidRPr="00C3671E">
        <w:fldChar w:fldCharType="end"/>
      </w:r>
      <w:r w:rsidRPr="00C3671E">
        <w:t xml:space="preserve">, socio-economic status </w:t>
      </w:r>
      <w:r w:rsidRPr="00C3671E">
        <w:fldChar w:fldCharType="begin" w:fldLock="1"/>
      </w:r>
      <w:r w:rsidR="001257AA" w:rsidRPr="00C3671E">
        <w:instrText>ADDIN CSL_CITATION { "citationItems" : [ { "id" : "ITEM-1", "itemData" : { "DOI" : "10.1016/j.maturitas.2013.05.002", "ISBN" : "doi:10.1016/j.maturitas.2013.05.002", "ISSN" : "03785122", "PMID" : "23746413", "abstract" : "Objectives As populations age it is important to minimize the time people live in a less than successful state of ageing. Our aim was to identify predictors of successful ageing. Study design At baseline (1990-1994), demographic, anthropometric, health, social connectedness and behavioural data were collected for 41,514 men and women participating in the Melbourne Collaborative Cohort Study. Only those born in Australia, New Zealand and UK were included in this analysis. At follow-up in 2003-2007 data on health conditions, physical disability and psychological stress were collected and used to define successful ageing. A total of 5512 eligible participants with full data who were aged 70 and over, were included in this longitudinal analysis. Outcome measures Successful ageing at follow-up was defined as aged 70 years or over and absence of diabetes, heart attack, coronary artery bypass graft surgery, angioplasty, stroke, cancer; impairment, perceived major difficulty with physical functioning; and low risk of psychological distress. Results A body mass index in the healthy range, low waist/hip ratio, not smoking, being physically active, and not having arthritis, asthma, hypertension, or gallstones were associated prospectively with successful ageing. There was no evidence for an association of social connectedness with successful ageing. Conclusions A healthy lifestyle and maintenance of healthy weight, but not social connectedness, may improve the chances of ageing successfully by our definition. Social connectedness may be related to a perception of ageing well, but it does not appear to help avoid the usual conditions associated with ageing. \u00a9 2013 Elsevier Ireland Ltd.", "author" : [ { "dropping-particle" : "", "family" : "Hodge", "given" : "Allison M.", "non-dropping-particle" : "", "parse-names" : false, "suffix" : "" }, { "dropping-particle" : "", "family" : "English", "given" : "Dallas R.", "non-dropping-particle" : "", "parse-names" : false, "suffix" : "" }, { "dropping-particle" : "", "family" : "Giles", "given" : "Graham G.", "non-dropping-particle" : "", "parse-names" : false, "suffix" : "" }, { "dropping-particle" : "", "family" : "Flicker", "given" : "Leon", "non-dropping-particle" : "", "parse-names" : false, "suffix" : "" } ], "container-title" : "Maturitas", "id" : "ITEM-1", "issue" : "4", "issued" : { "date-parts" : [ [ "2013" ] ] }, "page" : "361-366", "publisher" : "Elsevier Ireland Ltd", "title" : "Social connectedness and predictors of successful ageing", "type" : "article-journal", "volume" : "75" }, "uris" : [ "http://www.mendeley.com/documents/?uuid=feda0808-8f49-4678-a53a-3485351601d7" ] }, { "id" : "ITEM-2", "itemData" : { "DOI" : "10.1007/s10433-015-0341-4", "ISSN" : "16139380", "abstract" : "This study explores older people\u2019s membership in political organizations by using data from the Survey on older people 2010, carried out by Spain\u2019s National Institute for older people and social services. The objectives were to describe the extent of this kind of participation among Spaniards aged 65 and over, and to analyze the factors that are associated with it. Results show that only slightly less than 7 % of the sample belonged to a political organization. To analyze the factors related to this membership, a set of models of multivariate analyses were run, including socioeconomic resources and participation in other types of active aging activity (participation in leisure, learning, and productive activities). Educational level, leisure activities, learning activities, and only volunteering in the case of productive activities were found to be associated with membership in political organizations. Results provide partial support for the socioeconomic resources model and suggest that engagement in leisure activities, learning activities, and volunteering might have an enhancing effect on membership in political organizations.", "author" : [ { "dropping-particle" : "", "family" : "Serrat", "given" : "Rodrigo", "non-dropping-particle" : "", "parse-names" : false, "suffix" : "" }, { "dropping-particle" : "", "family" : "Villar", "given" : "Feliciano", "non-dropping-particle" : "", "parse-names" : false, "suffix" : "" }, { "dropping-particle" : "", "family" : "Celdr\u00e1n", "given" : "Montserrat", "non-dropping-particle" : "", "parse-names" : false, "suffix" : "" } ], "container-title" : "European Journal of Ageing", "id" : "ITEM-2", "issue" : "3", "issued" : { "date-parts" : [ [ "2015" ] ] }, "page" : "239-247", "title" : "Factors associated with Spanish older people\u2019s membership in political organizations: the role of active aging activities", "type" : "article-journal", "volume" : "12" }, "uris" : [ "http://www.mendeley.com/documents/?uuid=916b36f3-3dc6-4f85-86e1-c170aa0e0234" ] }, { "id" : "ITEM-3", "itemData" : { "DOI" : "10.1177/1350506809341513", "ISBN" : "0958-9287", "ISSN" : "0958-9287", "PMID" : "44896743", "abstract" : "In order to understand variations of quality of life in early old age, associations between economic status, socially productive activities and well-being are studied across 14 European countries. Information on three different types of productive activities and their exchange characteristics is included. We used the first two waves of the Survey of Health, Ageing and Retirement in Europe (SHARE) including some 15,000 retired men and women. Well-being is measured by a standardized quality of life measure (CASP-12). Findings of multilevel analyses show larger within country than between-country variability in prospective quality of life. Strong individual predictors were the experience of reciprocity in social productive activities and high socio-economic position. Continued participation in socially productive activities, in particular those that offer opportunities of experiencing reciprocity in exchange, improves prospective quality of life in early old age.", "author" : [ { "dropping-particle" : "", "family" : "Siegrist", "given" : "Johannes", "non-dropping-particle" : "", "parse-names" : false, "suffix" : "" }, { "dropping-particle" : "", "family" : "Wahrendorf", "given" : "Morten", "non-dropping-particle" : "", "parse-names" : false, "suffix" : "" } ], "container-title" : "Journal of European Social Policy", "id" : "ITEM-3", "issue" : "4", "issued" : { "date-parts" : [ [ "2009" ] ] }, "page" : "317-326", "title" : "Participation in socially productive activities and quality of life in early old age: findings from SHARE", "type" : "article-journal", "volume" : "19" }, "uris" : [ "http://www.mendeley.com/documents/?uuid=d6184dc7-ff41-4c97-a30a-bb2bd49a4212" ] } ], "mendeley" : { "formattedCitation" : "(Hodge et al. 2013; Serrat et al. 2015; Siegrist and Wahrendorf 2009)", "plainTextFormattedCitation" : "(Hodge et al. 2013; Serrat et al. 2015; Siegrist and Wahrendorf 2009)", "previouslyFormattedCitation" : "(Hodge et al. 2013; Serrat et al. 2015; Siegrist and Wahrendorf 2009)" }, "properties" : { "noteIndex" : 0 }, "schema" : "https://github.com/citation-style-language/schema/raw/master/csl-citation.json" }</w:instrText>
      </w:r>
      <w:r w:rsidRPr="00C3671E">
        <w:fldChar w:fldCharType="separate"/>
      </w:r>
      <w:r w:rsidR="00A91559" w:rsidRPr="00C3671E">
        <w:rPr>
          <w:noProof/>
        </w:rPr>
        <w:t>(Hodge et al. 2013; Serrat et al. 2015; Siegrist and Wahrendorf 2009)</w:t>
      </w:r>
      <w:r w:rsidRPr="00C3671E">
        <w:fldChar w:fldCharType="end"/>
      </w:r>
      <w:r w:rsidRPr="00C3671E">
        <w:t xml:space="preserve">, and health </w:t>
      </w:r>
      <w:r w:rsidRPr="00C3671E">
        <w:fldChar w:fldCharType="begin" w:fldLock="1"/>
      </w:r>
      <w:r w:rsidR="001257AA" w:rsidRPr="00C3671E">
        <w:instrText>ADDIN CSL_CITATION { "citationItems" : [ { "id" : "ITEM-1", "itemData" : { "DOI" : "10.1007/s10433-016-0379-y", "ISSN" : "16139380", "author" : [ { "dropping-particle" : "", "family" : "Galenkamp", "given" : "Henrike", "non-dropping-particle" : "", "parse-names" : false, "suffix" : "" }, { "dropping-particle" : "", "family" : "Deeg", "given" : "Dorly J H", "non-dropping-particle" : "", "parse-names" : false, "suffix" : "" } ], "container-title" : "European Journal of Ageing", "id" : "ITEM-1", "issue" : "2", "issued" : { "date-parts" : [ [ "2016" ] ] }, "page" : "87-90", "publisher" : "Springer Netherlands", "title" : "Increasing social participation of older people: are there different barriers for those in poor health? Introduction to the special section", "type" : "article-journal", "volume" : "13" }, "uris" : [ "http://www.mendeley.com/documents/?uuid=1c5be590-ab80-4c8a-8b4f-58b175ad58fd" ] }, { "id" : "ITEM-2", "itemData" : { "DOI" : "10.1007/s10433-016-0375-2", "ISBN" : "16139372", "ISSN" : "16139380", "PMID" : "1795616958", "abstract" : "Older people spend much time participating in leisure activities, such as taking part in organized activities and going out, but the extent of participation may differ according to both individual and environmental resources available. Chronic health problems become more prevalent at higher ages and likely necessitate tapping different resources to maintain social participation. This paper compares predictors of participation in social leisure activities between older people with and those without multimorbidity. The European Project on Osteoarthritis (EPOSA) was conducted in Germany, UK, Italy, The Netherlands, Spain and Sweden (N\u00a0=\u00a02942, mean age 74.2 (5.2)). Multivariate regression was used to predict social leisure participation and degree of participation in people with and without multimorbidity. Fewer older people with multimorbidity participated in social leisure activities (90.6\u00a0{%}), compared to those without multimorbidity (93.9\u00a0{%}). The frequency of participation was also lower compared to people without multimorbidity. Higher socioeconomic status, widowhood, a larger network of friends, volunteering, transportation possibilities and having fewer depressive symptoms were important for (the degree of) social leisure participation. Statistically significant differences between the multimorbidity groups were observed for volunteering and driving a car, which were more important predictors of participation in those with multimorbidity. In contrast, self-reported income appeared more important for those without multimorbidity, compared to those who had multimorbidity. Policies focusing on social (network of friends), physical (physical performance) and psychological factors (depressive symptoms) and on transportation possibilities are recommended to enable all older people to participate in social leisure activities.", "author" : [ { "dropping-particle" : "", "family" : "Galenkamp", "given" : "Henrike", "non-dropping-particle" : "", "parse-names" : false, "suffix" : "" }, { "dropping-particle" : "", "family" : "Gagliardi", "given" : "Cristina", "non-dropping-particle" : "", "parse-names" : false, "suffix" : "" }, { "dropping-particle" : "", "family" : "Principi", "given" : "Andrea", "non-dropping-particle" : "", "parse-names" : false, "suffix" : "" }, { "dropping-particle" : "", "family" : "Golinowska", "given" : "Stanislawa", "non-dropping-particle" : "", "parse-names" : false, "suffix" : "" }, { "dropping-particle" : "", "family" : "Moreira", "given" : "Amilcar", "non-dropping-particle" : "", "parse-names" : false, "suffix" : "" }, { "dropping-particle" : "", "family" : "Schmidt", "given" : "Andrea E.", "non-dropping-particle" : "", "parse-names" : false, "suffix" : "" }, { "dropping-particle" : "", "family" : "Winkelmann", "given" : "Juliane", "non-dropping-particle" : "", "parse-names" : false, "suffix" : "" }, { "dropping-particle" : "", "family" : "Sowa", "given" : "Agnieszka", "non-dropping-particle" : "", "parse-names" : false, "suffix" : "" }, { "dropping-particle" : "", "family" : "Pas", "given" : "Suzan", "non-dropping-particle" : "van der", "parse-names" : false, "suffix" : "" }, { "dropping-particle" : "", "family" : "Deeg", "given" : "Dorly J H", "non-dropping-particle" : "", "parse-names" : false, "suffix" : "" } ], "container-title" : "European Journal of Ageing", "id" : "ITEM-2", "issue" : "2", "issued" : { "date-parts" : [ [ "2016" ] ] }, "page" : "129-143", "publisher" : "Springer Netherlands", "title" : "Predictors of social leisure activities in older Europeans with and without multimorbidity", "type" : "article-journal", "volume" : "13" }, "uris" : [ "http://www.mendeley.com/documents/?uuid=c90311f2-d6be-42a3-b06e-1167d6eb2ad6" ] } ], "mendeley" : { "formattedCitation" : "(Galenkamp et al. 2016; Galenkamp and Deeg 2016)", "plainTextFormattedCitation" : "(Galenkamp et al. 2016; Galenkamp and Deeg 2016)", "previouslyFormattedCitation" : "(Galenkamp et al. 2016; Galenkamp and Deeg 2016)" }, "properties" : { "noteIndex" : 0 }, "schema" : "https://github.com/citation-style-language/schema/raw/master/csl-citation.json" }</w:instrText>
      </w:r>
      <w:r w:rsidRPr="00C3671E">
        <w:fldChar w:fldCharType="separate"/>
      </w:r>
      <w:r w:rsidR="00A91559" w:rsidRPr="00C3671E">
        <w:rPr>
          <w:noProof/>
        </w:rPr>
        <w:t>(Galenkamp et al. 2016; Galenkamp and Deeg 2016)</w:t>
      </w:r>
      <w:r w:rsidRPr="00C3671E">
        <w:fldChar w:fldCharType="end"/>
      </w:r>
      <w:r w:rsidRPr="00C3671E">
        <w:t xml:space="preserve">. These characteristics are so important that they can mediate the presumed beneficial effect of social activities in later life </w:t>
      </w:r>
      <w:r w:rsidRPr="00C3671E">
        <w:fldChar w:fldCharType="begin" w:fldLock="1"/>
      </w:r>
      <w:r w:rsidR="001257AA" w:rsidRPr="00C3671E">
        <w:instrText>ADDIN CSL_CITATION { "citationItems" : [ { "id" : "ITEM-1", "itemData" : { "DOI" : "10.1007/s10433-012-0245-5", "ISBN" : "1613-9372", "ISSN" : "16139372", "abstract" : "Driven by socioemotional selectivity theory, this study examined whether age moderated the associations of volunteering motives with physical and psychological well-being in a sample of Hong Kong Chinese volunteers. Volunteering motives were measured by the volunteer functions inventory. Findings revealed that even after controlling for demographic characteristics and volunteering experience, age was related to higher social and value motives but lower career motives, and moderated the associations of social and protective motives with well-being. The associations of social motives with physical well-being were positive among older volunteers, but were negative among younger- and middle-aged volunteers. While protective motives were positively related to psychological well-being among all the volunteers, such effects were stronger among younger- and middle-aged volunteers than among older volunteers. Findings highlight the role of age in determining the relationship between volunteering motives and well-being. (PsycINFO Database Record (c) 2013 APA, all rights reserved) (journal abstract)", "author" : [ { "dropping-particle" : "", "family" : "Ho", "given" : "Yuen Wan", "non-dropping-particle" : "", "parse-names" : false, "suffix" : "" }, { "dropping-particle" : "", "family" : "You", "given" : "Jin", "non-dropping-particle" : "", "parse-names" : false, "suffix" : "" }, { "dropping-particle" : "", "family" : "Fung", "given" : "Helene H.", "non-dropping-particle" : "", "parse-names" : false, "suffix" : "" } ], "container-title" : "European Journal of Ageing", "id" : "ITEM-1", "issue" : "4", "issued" : { "date-parts" : [ [ "2012" ] ] }, "page" : "319-327", "title" : "The moderating role of age in the relationship between volunteering motives and well-being", "type" : "article-journal", "volume" : "9" }, "uris" : [ "http://www.mendeley.com/documents/?uuid=9df75077-3cf4-4bc0-a29d-323764e949fc" ] }, { "id" : "ITEM-2", "itemData" : { "DOI" : "10.1007/s10433-005-0018-5", "ISBN" : "1613-9372", "ISSN" : "16139372", "abstract" : "Social participation, defined as socially oriented sharing of individual resources, is often regarded as an important criterion of quality of life in old age. We distinguished three types of participation with respect to content, context, and resources required to participate: collective, productive, and political participation. Data from the multidisciplinary Berlin Aging Study were used to describe social participation of a very old population and to examine individual differences and changes over time. Analyses showed that social participation is cumulative. Individuals who engaged in political activities also took part in the other two types, and those who engaged in productive activities also participated in collective activities. Although many persons changed their social participation over the 4-year period, the cumulative pattern within the population remained unchanged. Educational and occupational resources were positively related to the intensity of social participation in old age, but changes in social participation could be better explained by age and health.", "author" : [ { "dropping-particle" : "", "family" : "Maier", "given" : "Heiner", "non-dropping-particle" : "", "parse-names" : false, "suffix" : "" }, { "dropping-particle" : "", "family" : "Klumb", "given" : "Petra L.", "non-dropping-particle" : "", "parse-names" : false, "suffix" : "" } ], "container-title" : "European Journal of Ageing", "id" : "ITEM-2", "issue" : "1", "issued" : { "date-parts" : [ [ "2005" ] ] }, "note" : "Maier, Klumb 2005: Social participation and survival at older ages: is the effect driven by activity content or context?\nbenefits of social activities: need for affiliation, role support, self-concept\nis it social interations (activity content) or presence of others (social context) what matters?\ninteresting diagram of all activities\nBerlin Aging Study, 70+\nmeasuring of all activities done yesterday\nsocial activities (interactions), social contexts (presence of others) \u2192 survival 10 years later\npresence of friends beneficial, presence of family not really\nsocial contexts significant predictor, social activities only without controls\neven nonsocial leisure activities positive effect: probably cognitive simulation+experience of competence", "page" : "31-39", "title" : "Social participation and survival at older ages: Is the effect driven by activity content or context?", "type" : "article-journal", "volume" : "2" }, "uris" : [ "http://www.mendeley.com/documents/?uuid=042b4337-82fd-4e1d-b5d5-fe5dc8b02102" ] } ], "mendeley" : { "formattedCitation" : "(Ho et al. 2012; Maier and Klumb 2005)", "plainTextFormattedCitation" : "(Ho et al. 2012; Maier and Klumb 2005)", "previouslyFormattedCitation" : "(Ho et al. 2012; Maier and Klumb 2005)" }, "properties" : { "noteIndex" : 0 }, "schema" : "https://github.com/citation-style-language/schema/raw/master/csl-citation.json" }</w:instrText>
      </w:r>
      <w:r w:rsidRPr="00C3671E">
        <w:fldChar w:fldCharType="separate"/>
      </w:r>
      <w:r w:rsidR="00A91559" w:rsidRPr="00C3671E">
        <w:rPr>
          <w:noProof/>
        </w:rPr>
        <w:t>(Ho et al. 2012; Maier and Klumb 2005)</w:t>
      </w:r>
      <w:r w:rsidRPr="00C3671E">
        <w:fldChar w:fldCharType="end"/>
      </w:r>
      <w:r w:rsidRPr="00C3671E">
        <w:t xml:space="preserve">. </w:t>
      </w:r>
    </w:p>
    <w:p w14:paraId="28A1E7A9" w14:textId="77777777" w:rsidR="007302A0" w:rsidRPr="00C3671E" w:rsidRDefault="007302A0" w:rsidP="006B7F0B">
      <w:pPr>
        <w:pStyle w:val="Newparagraph"/>
        <w:jc w:val="both"/>
      </w:pPr>
      <w:r w:rsidRPr="00C3671E">
        <w:t xml:space="preserve">Social class and health are </w:t>
      </w:r>
      <w:r w:rsidRPr="00C3671E">
        <w:rPr>
          <w:noProof/>
        </w:rPr>
        <w:t>characteristics</w:t>
      </w:r>
      <w:r w:rsidRPr="00C3671E">
        <w:t xml:space="preserve"> which really matter in Europe, as the studies cited in the previous paragraph suggest (opposite to ethnicity, which is hard to study quantitatively in these settings). Thus, the impact of social class and health are studied by this paper, which states the following hypotheses. 1. Older adults with a) higher education, b) more satisfactory financial situation, and c) better health have higher levels of social participation. 2. </w:t>
      </w:r>
      <w:r w:rsidRPr="00C3671E">
        <w:lastRenderedPageBreak/>
        <w:t>These differences become even larger if the prevalence of social participation increases in time (since some groups of population can capitalize on new opportunities more). 3. The disadvantages in social participation connected to the three individual characteristics are cumulative. 4. The differences are also magnified by differences in welfare regime.</w:t>
      </w:r>
    </w:p>
    <w:p w14:paraId="6640F8FD" w14:textId="77777777" w:rsidR="007302A0" w:rsidRPr="00C3671E" w:rsidRDefault="007302A0" w:rsidP="007E6D8E">
      <w:pPr>
        <w:pStyle w:val="Nadpis2"/>
        <w:spacing w:line="480" w:lineRule="auto"/>
        <w:rPr>
          <w:sz w:val="26"/>
          <w:szCs w:val="26"/>
          <w:lang w:val="en-GB"/>
        </w:rPr>
      </w:pPr>
      <w:bookmarkStart w:id="67" w:name="_Toc512687769"/>
      <w:r w:rsidRPr="00C3671E">
        <w:rPr>
          <w:sz w:val="26"/>
          <w:szCs w:val="26"/>
          <w:lang w:val="en-GB"/>
        </w:rPr>
        <w:t>Data, measurement, and methods</w:t>
      </w:r>
      <w:bookmarkEnd w:id="67"/>
    </w:p>
    <w:p w14:paraId="659CDD65" w14:textId="77777777" w:rsidR="007302A0" w:rsidRPr="00C3671E" w:rsidRDefault="007302A0" w:rsidP="007E6D8E">
      <w:pPr>
        <w:pStyle w:val="Nadpis3"/>
        <w:spacing w:line="480" w:lineRule="auto"/>
        <w:rPr>
          <w:rFonts w:ascii="Times New Roman" w:hAnsi="Times New Roman" w:cs="Times New Roman"/>
          <w:b w:val="0"/>
          <w:i/>
          <w:lang w:val="en-GB" w:eastAsia="zh-CN"/>
        </w:rPr>
      </w:pPr>
      <w:bookmarkStart w:id="68" w:name="_Toc512687770"/>
      <w:r w:rsidRPr="00C3671E">
        <w:rPr>
          <w:rFonts w:ascii="Times New Roman" w:hAnsi="Times New Roman" w:cs="Times New Roman"/>
          <w:b w:val="0"/>
          <w:i/>
          <w:lang w:val="en-GB" w:eastAsia="zh-CN"/>
        </w:rPr>
        <w:t>Data</w:t>
      </w:r>
      <w:bookmarkEnd w:id="68"/>
    </w:p>
    <w:p w14:paraId="4DE66393" w14:textId="2F080976" w:rsidR="007302A0" w:rsidRPr="00C3671E" w:rsidRDefault="007302A0" w:rsidP="006B7F0B">
      <w:pPr>
        <w:suppressAutoHyphens/>
        <w:spacing w:line="480" w:lineRule="auto"/>
        <w:jc w:val="both"/>
        <w:rPr>
          <w:lang w:val="en-GB"/>
        </w:rPr>
      </w:pPr>
      <w:r w:rsidRPr="00C3671E">
        <w:rPr>
          <w:lang w:val="en-GB"/>
        </w:rPr>
        <w:t xml:space="preserve">This paper tests its assumptions and hypotheses with the data from SHARE. SHARE is a longitudinal survey of ageing collecting the cross-national panel data by computer-assisted personal interviews </w:t>
      </w:r>
      <w:r w:rsidRPr="00C3671E">
        <w:rPr>
          <w:lang w:val="en-GB"/>
        </w:rPr>
        <w:fldChar w:fldCharType="begin" w:fldLock="1"/>
      </w:r>
      <w:r w:rsidR="004F5010" w:rsidRPr="00C3671E">
        <w:rPr>
          <w:lang w:val="en-GB"/>
        </w:rPr>
        <w:instrText>ADDIN CSL_CITATION { "citationItems" : [ { "id" : "ITEM-1", "itemData" : { "DOI" : "10.6103/SHARE.w2.600", "author" : [ { "dropping-particle" : "", "family" : "B\u00f6rsch-Supan", "given" : "Axel", "non-dropping-particle" : "", "parse-names" : false, "suffix" : "" } ], "id" : "ITEM-1", "issued" : { "date-parts" : [ [ "2017" ] ] }, "title" : "Survey of Health, Ageing and Retirement in Europe (SHARE) Wave 2. Release version: 6.0.0. SHARE-ERIC. Data set.", "type" : "article" }, "uris" : [ "http://www.mendeley.com/documents/?uuid=c7b42e49-495a-4340-8507-ce954c3e97fa" ] }, { "id" : "ITEM-2", "itemData" : { "DOI" : "10.6103/SHARE.w4.600", "author" : [ { "dropping-particle" : "", "family" : "B\u00f6rsch-Supan", "given" : "Axel", "non-dropping-particle" : "", "parse-names" : false, "suffix" : "" } ], "id" : "ITEM-2", "issued" : { "date-parts" : [ [ "2017" ] ] }, "title" : "Survey of Health, Ageing and Retirement in Europe (SHARE) Wave 4. Release version: 6.0.0. SHARE-ERIC. Data set.", "type" : "article" }, "uris" : [ "http://www.mendeley.com/documents/?uuid=7960e2a7-9a68-4c6c-b429-f38b262e12a4" ] }, { "id" : "ITEM-3", "itemData" : { "DOI" : "10.6103/SHARE.w5.600", "author" : [ { "dropping-particle" : "", "family" : "B\u00f6rsch-Supan", "given" : "Axel", "non-dropping-particle" : "", "parse-names" : false, "suffix" : "" } ], "id" : "ITEM-3", "issued" : { "date-parts" : [ [ "2017" ] ] }, "title" : "Survey of Health, Ageing and Retirement in Europe (SHARE) Wave 5. Release version: 6.0.0. SHARE-ERIC. Data set.", "type" : "article" }, "uris" : [ "http://www.mendeley.com/documents/?uuid=405d206e-dfc8-44a6-8abb-51e7bf458eb0" ] }, { "id" : "ITEM-4", "itemData" : { "DOI" : "10.6103/SHARE.w6.600", "author" : [ { "dropping-particle" : "", "family" : "B\u00f6rsch-Supan", "given" : "Axel", "non-dropping-particle" : "", "parse-names" : false, "suffix" : "" } ], "id" : "ITEM-4", "issued" : { "date-parts" : [ [ "2017" ] ] }, "title" : "Survey of Health, Ageing and Retirement in Europe (SHARE) Wave 6. Release version: 6.0.0. SHARE-ERIC. Data set.", "type" : "article" }, "uris" : [ "http://www.mendeley.com/documents/?uuid=509eb8ec-6e26-4145-8fe8-95bd3ced9407" ] }, { "id" : "ITEM-5", "itemData" : { "DOI" : "10.1093/ije/dyt088", "ISBN" : "0300-5771", "ISSN" : "03005771", "PMID" : "23778574", "abstract" : "SHARE is a unique panel database of micro data on health, socio-economic status and social and family networks covering most of the European Union and Israel. To date, SHARE has collected three panel waves (2004, 2006, 2010) of current living circumstances and retrospective life histories (2008, SHARELIFE); 6 additional waves are planned until 2024. The more than 150 000 interviews give a broad picture of life after the age of 50 years, measuring physical and mental health, economic and non-economic activities, income and wealth, transfers of time and money within and outside the family as well as life satisfaction and well-being. The data are available to the scientific community free of charge at www.share-project.org after registration. SHARE is harmonized with the US Health and Retirement Study (HRS) and the English Longitudinal Study of Ageing (ELSA) and has become a role model for several ageing surveys worldwide. SHARE's scientific power is based on its panel design that grasps the dynamic character of the ageing process, its multidisciplinary approach that delivers the full picture of individual and societal ageing, and its cross-nationally ex-ante harmonized design that permits international comparisons of health, economic and social outcomes in Europe and the USA.", "author" : [ { "dropping-particle" : "", "family" : "B\u00f6rsch-Supan", "given" : "Axel", "non-dropping-particle" : "", "parse-names" : false, "suffix" : "" }, { "dropping-particle" : "", "family" : "Brandt", "given" : "Martina", "non-dropping-particle" : "", "parse-names" : false, "suffix" : "" }, { "dropping-particle" : "", "family" : "Hunkler", "given" : "Christian", "non-dropping-particle" : "", "parse-names" : false, "suffix" : "" }, { "dropping-particle" : "", "family" : "Kneip", "given" : "Thorsten", "non-dropping-particle" : "", "parse-names" : false, "suffix" : "" }, { "dropping-particle" : "", "family" : "Korbmacher", "given" : "Julie", "non-dropping-particle" : "", "parse-names" : false, "suffix" : "" }, { "dropping-particle" : "", "family" : "Malter", "given" : "Frederic", "non-dropping-particle" : "", "parse-names" : false, "suffix" : "" }, { "dropping-particle" : "", "family" : "Schaan", "given" : "Barbara", "non-dropping-particle" : "", "parse-names" : false, "suffix" : "" }, { "dropping-particle" : "", "family" : "Stuck", "given" : "Stephanie", "non-dropping-particle" : "", "parse-names" : false, "suffix" : "" }, { "dropping-particle" : "", "family" : "Zuber", "given" : "Sabrina", "non-dropping-particle" : "", "parse-names" : false, "suffix" : "" } ], "container-title" : "International Journal of Epidemiology", "id" : "ITEM-5", "issue" : "4", "issued" : { "date-parts" : [ [ "2013" ] ] }, "page" : "992-1001", "title" : "Data resource profile: The Survey of Health, Ageing and Retirement in Europe (SHARE)", "type" : "article-journal", "volume" : "42" }, "uris" : [ "http://www.mendeley.com/documents/?uuid=a62ea0f6-9469-4439-98a6-a5f414d5782a" ] } ], "mendeley" : { "formattedCitation" : "(B\u00f6rsch-Supan et al. 2013; B\u00f6rsch-Supan 2017b, 2017c, 2017d, 2017e)", "plainTextFormattedCitation" : "(B\u00f6rsch-Supan et al. 2013; B\u00f6rsch-Supan 2017b, 2017c, 2017d, 2017e)", "previouslyFormattedCitation" : "(B\u00f6rsch-Supan 2017b, 2017c, 2017d, 2017e; B\u00f6rsch-Supan et al. 2013)" }, "properties" : { "noteIndex" : 0 }, "schema" : "https://github.com/citation-style-language/schema/raw/master/csl-citation.json" }</w:instrText>
      </w:r>
      <w:r w:rsidRPr="00C3671E">
        <w:rPr>
          <w:lang w:val="en-GB"/>
        </w:rPr>
        <w:fldChar w:fldCharType="separate"/>
      </w:r>
      <w:r w:rsidR="004F5010" w:rsidRPr="00C3671E">
        <w:rPr>
          <w:noProof/>
          <w:lang w:val="en-GB"/>
        </w:rPr>
        <w:t>(Börsch-Supan et al. 2013; Börsch-Supan 2017b, 2017c, 2017d, 2017e)</w:t>
      </w:r>
      <w:r w:rsidRPr="00C3671E">
        <w:rPr>
          <w:lang w:val="en-GB"/>
        </w:rPr>
        <w:fldChar w:fldCharType="end"/>
      </w:r>
      <w:r w:rsidRPr="00C3671E">
        <w:rPr>
          <w:lang w:val="en-GB"/>
        </w:rPr>
        <w:t>. SHARE has already performed 6 waves of data collection from its initiation in 2004 and overall 21 (mostly) European countries participated in at least one of them. This research excluded wave 1 due to an absence of Post-communist countries and wave 3 due to different content of interviews from its analysis. Hence, we have a comparable information from four time</w:t>
      </w:r>
      <w:r w:rsidR="006B7F0B" w:rsidRPr="00C3671E">
        <w:rPr>
          <w:lang w:val="en-GB"/>
        </w:rPr>
        <w:t>-</w:t>
      </w:r>
      <w:r w:rsidRPr="00C3671E">
        <w:rPr>
          <w:lang w:val="en-GB"/>
        </w:rPr>
        <w:t>points collected in 2007, 2011, 2013, and 2015. As a result, the data enable us to observe not just differences between countries, but also a development over time.</w:t>
      </w:r>
    </w:p>
    <w:p w14:paraId="1A86F039" w14:textId="6A8FAEFF" w:rsidR="007302A0" w:rsidRPr="00C3671E" w:rsidRDefault="007302A0" w:rsidP="006B7F0B">
      <w:pPr>
        <w:pStyle w:val="Newparagraph"/>
        <w:jc w:val="both"/>
      </w:pPr>
      <w:r w:rsidRPr="00C3671E">
        <w:t xml:space="preserve">The whole SHARE dataset comes from a culturally diverse set of countries and its analysis can hide an important variability among contexts. Further, the aim of this paper is to </w:t>
      </w:r>
      <w:r w:rsidRPr="00C3671E">
        <w:rPr>
          <w:noProof/>
        </w:rPr>
        <w:t>consider</w:t>
      </w:r>
      <w:r w:rsidRPr="00C3671E">
        <w:t xml:space="preserve"> the effect of cultural and societal settings depicted by types of welfare states. Thus, the final sample contains one typical representative of each welfare regime as defined by </w:t>
      </w:r>
      <w:r w:rsidRPr="00C3671E">
        <w:fldChar w:fldCharType="begin" w:fldLock="1"/>
      </w:r>
      <w:r w:rsidR="00AA6335" w:rsidRPr="00C3671E">
        <w:instrText>ADDIN CSL_CITATION { "citationItems" : [ { "id" : "ITEM-1", "itemData" : { "author" : [ { "dropping-particle" : "", "family" : "Esping-Andersen", "given" : "G\u00f8sta", "non-dropping-particle" : "", "parse-names" : false, "suffix" : "" } ], "id" : "ITEM-1", "issued" : { "date-parts" : [ [ "1990" ] ] }, "publisher" : "Princeton University Press", "publisher-place" : "Princeton", "title" : "Three worlds of welfare capitalism", "type" : "book" }, "uris" : [ "http://www.mendeley.com/documents/?uuid=c50cbab9-24c1-47b9-9489-01afe4d84202" ] } ], "mendeley" : { "formattedCitation" : "(Esping-Andersen 1990)", "manualFormatting" : "Esping-Andersen (1990)", "plainTextFormattedCitation" : "(Esping-Andersen 1990)", "previouslyFormattedCitation" : "(Esping-Andersen 1990)" }, "properties" : { "noteIndex" : 0 }, "schema" : "https://github.com/citation-style-language/schema/raw/master/csl-citation.json" }</w:instrText>
      </w:r>
      <w:r w:rsidRPr="00C3671E">
        <w:fldChar w:fldCharType="separate"/>
      </w:r>
      <w:r w:rsidRPr="00C3671E">
        <w:rPr>
          <w:noProof/>
        </w:rPr>
        <w:t>Esping-Andersen (1990)</w:t>
      </w:r>
      <w:r w:rsidRPr="00C3671E">
        <w:fldChar w:fldCharType="end"/>
      </w:r>
      <w:r w:rsidRPr="00C3671E">
        <w:t xml:space="preserve"> – Sweden as a Social Democratic state, Switzerland as a Liberal state, and Austria as a representative of Conservative welfare state. Additionally, two types of welfare states – South European and Post-communist state – defined later by other authors </w:t>
      </w:r>
      <w:r w:rsidRPr="00C3671E">
        <w:fldChar w:fldCharType="begin" w:fldLock="1"/>
      </w:r>
      <w:r w:rsidR="001257AA" w:rsidRPr="00C3671E">
        <w:instrText>ADDIN CSL_CITATION { "citationItems" : [ { "id" : "ITEM-1", "itemData" : { "abstract" : "Comparative welfare state research has been largely based on using typologies to summarize commonalities and differences across few cases. Often these were quantitative analyses of about ten to twenty EU or OECD countries, or a selection of few case studies from these \u201csamples\u201d which explored the peculiarities of a/typical cases. Overcoming linear correlation analysis, configurational regime typologies became the major tool to generalize across the wide variations of advanced welfare states. Most famously Esping\u2010Andersen\u2019s \u201cThree Worlds of Welfare Capitalism\u201d (1990) led to a research industry on the merits of fitting real welfare states across Europe and beyond into the three or more ideal\u2010type categories. The paper will discuss the methodological problems in comparing macro\u2010regime configurations in a medium\u2010N research design, using the substantial comparative research on welfare state regime typologies. The paper will deal with the following methodological questions: To what degree is the comparative analysis already biased through the selection of cases restricted to existing advanced welfare states? Are typologies ideal\u2010type constructs based on analytical concepts or are these only real\u2010type categorizations that summarize cross\u2010national variation of a selected group of countries? Are regime typologies too holistic and too static to provide a realistic account of social policy programme differences and their ongoing restructuration? Are quantitative methods (such as Cluster or Principal Component Analysis) or Qualitative Comparative Analysis (QCA or Fuzzy Set Analysis) more appropriate to deal with the problems of medium\u2010N comparative analysis in welfare state research? The paper will review the literature on comparing welfare state regimes over the last two decades;", "author" : [ { "dropping-particle" : "", "family" : "Ebbinghaus", "given" : "Bernhard", "non-dropping-particle" : "", "parse-names" : false, "suffix" : "" } ], "container-title" : "ESPAnet Conference", "id" : "ITEM-1", "issued" : { "date-parts" : [ [ "2012" ] ] }, "page" : "1-20", "publisher-place" : "Edinburg", "title" : "Comparing Welfare State Regimes: Are Typologies an Ideal or Realistic Strategy?", "type" : "paper-conference" }, "uris" : [ "http://www.mendeley.com/documents/?uuid=77f1c800-497f-46fb-a3a7-5d80209f760b" ] }, { "id" : "ITEM-2", "itemData" : { "ISSN" : "1817-4604", "abstract" : "This article uses hierarchical cluster analysis to empirically assess if the postcommunist welfare states of Central and Eastern Europe can be classified according to any of Esping-Andersen\u2019s well-known welfare types, or if they form a distinct group of their own. It shows that at the start of the twenty-first century, there are clear differences in the governmental programmes and the social situation between traditional Western welfare states and post-communist welfare states. The article argues that the welfare states in post-communist countries might be subdivided into three groups: (1) a group of former-USSR countries, including Russia and Belarus; (2) a group of rather successful Central and Eastern European countries including Poland and the Czech Republic, and (3) a group of developing welfare states, consisting of Romania, Moldova and Georgia.", "author" : [ { "dropping-particle" : "", "family" : "Fenger", "given" : "Menno", "non-dropping-particle" : "", "parse-names" : false, "suffix" : "" } ], "container-title" : "Contemporary Issues and Ideas in Social Sciences", "id" : "ITEM-2", "issue" : "August", "issued" : { "date-parts" : [ [ "2007" ] ] }, "page" : "3-30", "title" : "Welfare regimes in Central and Eastern Europe: incorporating post-communist countries in a welfare regime typology", "type" : "article-journal" }, "uris" : [ "http://www.mendeley.com/documents/?uuid=b950b9ba-55d0-4ecf-a47c-fa8c4f0c76cb" ] }, { "id" : "ITEM-3", "itemData" : { "ISBN" : "9197456551", "author" : [ { "dropping-particle" : "", "family" : "Frisina", "given" : "Annalisa", "non-dropping-particle" : "", "parse-names" : false, "suffix" : "" } ], "container-title" : "Welfare, Church and Gender in Eight European Countries", "editor" : [ { "dropping-particle" : "", "family" : "Beckman", "given" : "Ninna Edgardh", "non-dropping-particle" : "", "parse-names" : false, "suffix" : "" } ], "id" : "ITEM-3", "issued" : { "date-parts" : [ [ "2004" ] ] }, "publisher" : "SLU Repro", "publisher-place" : "Uppsala", "title" : "Welfare, Church and Gender in Italy", "type" : "chapter" }, "uris" : [ "http://www.mendeley.com/documents/?uuid=90062349-4dd1-4217-9130-63d4ce31e042" ] } ], "mendeley" : { "formattedCitation" : "(Ebbinghaus 2012a; Fenger 2007; Frisina 2004)", "plainTextFormattedCitation" : "(Ebbinghaus 2012a; Fenger 2007; Frisina 2004)", "previouslyFormattedCitation" : "(Ebbinghaus 2012a; Fenger 2007; Frisina 2004)" }, "properties" : { "noteIndex" : 0 }, "schema" : "https://github.com/citation-style-language/schema/raw/master/csl-citation.json" }</w:instrText>
      </w:r>
      <w:r w:rsidRPr="00C3671E">
        <w:fldChar w:fldCharType="separate"/>
      </w:r>
      <w:r w:rsidR="00A91559" w:rsidRPr="00C3671E">
        <w:rPr>
          <w:noProof/>
        </w:rPr>
        <w:t>(Ebbinghaus 2012a; Fenger 2007; Frisina 2004)</w:t>
      </w:r>
      <w:r w:rsidRPr="00C3671E">
        <w:fldChar w:fldCharType="end"/>
      </w:r>
      <w:r w:rsidRPr="00C3671E">
        <w:t xml:space="preserve"> are represented by Italy and Czechia. These countries are the most typical representatives of particular welfare regimes available in the dataset. </w:t>
      </w:r>
      <w:r w:rsidRPr="00C3671E">
        <w:lastRenderedPageBreak/>
        <w:t>Altogether, the SHARE data for five selected countries and four waves of the data collection is utilized for the analysis.</w:t>
      </w:r>
    </w:p>
    <w:p w14:paraId="45BA6AD0" w14:textId="3CC791A0" w:rsidR="007302A0" w:rsidRPr="00C3671E" w:rsidRDefault="007302A0" w:rsidP="006B7F0B">
      <w:pPr>
        <w:pStyle w:val="Newparagraph"/>
        <w:jc w:val="both"/>
      </w:pPr>
      <w:r w:rsidRPr="00C3671E">
        <w:t xml:space="preserve">The final sample includes respondents in old age retirement, as the beneficial effect of </w:t>
      </w:r>
      <w:r w:rsidRPr="00C3671E">
        <w:rPr>
          <w:noProof/>
        </w:rPr>
        <w:t>social</w:t>
      </w:r>
      <w:r w:rsidRPr="00C3671E">
        <w:t xml:space="preserve"> participation is stronger and more relevant for retirees </w:t>
      </w:r>
      <w:r w:rsidRPr="00C3671E">
        <w:fldChar w:fldCharType="begin" w:fldLock="1"/>
      </w:r>
      <w:r w:rsidR="001257AA" w:rsidRPr="00C3671E">
        <w:instrText>ADDIN CSL_CITATION { "citationItems" : [ { "id" : "ITEM-1", "itemData" : { "DOI" : "10.1007/s10433-016-0387-y", "ISSN" : "16139380", "author" : [ { "dropping-particle" : "", "family" : "Liu", "given" : "Huiying", "non-dropping-particle" : "", "parse-names" : false, "suffix" : "" }, { "dropping-particle" : "", "family" : "Lou", "given" : "Wei Qun", "non-dropping-particle" : "", "parse-names" : false, "suffix" : "" } ], "container-title" : "European Journal of Ageing", "id" : "ITEM-1", "issue" : "4", "issued" : { "date-parts" : [ [ "2016" ] ] }, "note" : "Liu, Lou 2016: Patterns of productive activity engagement among older adults in urban China\n(CHARLS), we performed a latent class analysis (LCA) on a national representative sample of adults aged 60 years and over\nLCA: working, grandchildren\u2019s care, parental care, spousal care, informal helping, and formal volunteering\nspouse carer (51.2 %), working grandparents (21.7 %), multifaceted contributor (16.6 %), and light-engaged volunteer (10.5 %)\nhow multiple productive activities intersect in later-life stages\nimplications for policy-makers, health care practitioners, and community advocates", "page" : "1-12", "publisher" : "Springer Netherlands", "title" : "Patterns of productive activity engagement among older adults in urban China", "type" : "article-journal", "volume" : "13" }, "uris" : [ "http://www.mendeley.com/documents/?uuid=b3817447-75b9-420d-870a-864efa90df96" ] }, { "id" : "ITEM-2", "itemData" : { "DOI" : "10.1111/joop.12003", "ISBN" : "09631798", "ISSN" : "09631798", "PMID" : "90563210", "abstract" : "This study examines the impact of engaging in seven types of activities on depression and quality of life in retirees and older workers over a period of 2 years, using a sample from the survey of health, ageing and retirement in Europe. Longitudinal data were available from 2,813 retirees and 1,372 older employees. Our results showed that volunteering, providing help and going to sports or social clubs at the baseline improved retirees\u2019 quality of lifeover a period of 2 years. No direct effects of engaging in activities were found for older employees. Moreover, higher depression at the baseline fostered the depression experience at the follow-up in those retirees and older employees who were caring for disabled adults at baseline. In retirees with higher depression at baseline, participation in religious organizations was associated with a greater decrease in depression at follow-up than in those who had lower levels of depression at baseline. For older employees, taking part in political or community organizations at baselinewas related to a greater decrease in depression at follow-up than in those employees who experienced higher initial depression.", "author" : [ { "dropping-particle" : "", "family" : "Poto\u010dnik", "given" : "Kristina", "non-dropping-particle" : "", "parse-names" : false, "suffix" : "" }, { "dropping-particle" : "", "family" : "Sonnentag", "given" : "Sabine", "non-dropping-particle" : "", "parse-names" : false, "suffix" : "" } ], "container-title" : "Journal of Occupational and Organizational Psychology", "id" : "ITEM-2", "issue" : "4", "issued" : { "date-parts" : [ [ "2013" ] ] }, "page" : "497-521", "title" : "A longitudinal study of well-being in older workers and retirees: The role of engaging in different types of activities", "type" : "article-journal", "volume" : "86" }, "uris" : [ "http://www.mendeley.com/documents/?uuid=5889bc5d-921b-416d-a3eb-706b9facb5cf" ] } ], "mendeley" : { "formattedCitation" : "(Liu and Lou 2016; Poto\u010dnik and Sonnentag 2013)", "plainTextFormattedCitation" : "(Liu and Lou 2016; Poto\u010dnik and Sonnentag 2013)", "previouslyFormattedCitation" : "(Liu and Lou 2016; Poto\u010dnik and Sonnentag 2013)" }, "properties" : { "noteIndex" : 0 }, "schema" : "https://github.com/citation-style-language/schema/raw/master/csl-citation.json" }</w:instrText>
      </w:r>
      <w:r w:rsidRPr="00C3671E">
        <w:fldChar w:fldCharType="separate"/>
      </w:r>
      <w:r w:rsidR="00A91559" w:rsidRPr="00C3671E">
        <w:rPr>
          <w:noProof/>
        </w:rPr>
        <w:t>(Liu and Lou 2016; Potočnik and Sonnentag 2013)</w:t>
      </w:r>
      <w:r w:rsidRPr="00C3671E">
        <w:fldChar w:fldCharType="end"/>
      </w:r>
      <w:r w:rsidRPr="00C3671E">
        <w:t xml:space="preserve">, as it helps them to adapt to a loss of one of the crucial roles </w:t>
      </w:r>
      <w:r w:rsidRPr="00C3671E">
        <w:fldChar w:fldCharType="begin" w:fldLock="1"/>
      </w:r>
      <w:r w:rsidR="001257AA" w:rsidRPr="00C3671E">
        <w:instrText>ADDIN CSL_CITATION { "citationItems" : [ { "id" : "ITEM-1", "itemData" : { "DOI" : "10.1093/geronj/27.4.511", "ISBN" : "0022-1422 (Print)\\r0022-1422 (Linking)", "ISSN" : "0022-1422", "PMID" : "5075497", "abstract" : "HPHIS research examines the relationship be-\\n\u2022*- tween types of social activity and life satisfaction\\namong a sample of individuals in a\\nretirement community. The principal intent in\\nthe paper is the statement, formal and explicit,\\nof a theory which has long been implicit in\\ngerontological literature, the so-called activity\\ntheory of aging. The essence of this theory is\\nthat there is a positive relationship between\\nactivity and life satisfaction and that the\\ngreater the role loss, the lower the life satisfaction.\\nA second goal of the paper is to empirically\\ntest hypotheses derived from the\\ntheory thus constructed, using secondary data,\\nas a means of illustrating theory-development\\napplied to a common proposition in gerontology.", "author" : [ { "dropping-particle" : "", "family" : "Lemon", "given" : "Bruce W", "non-dropping-particle" : "", "parse-names" : false, "suffix" : "" }, { "dropping-particle" : "", "family" : "Bengtson", "given" : "Vern L", "non-dropping-particle" : "", "parse-names" : false, "suffix" : "" }, { "dropping-particle" : "", "family" : "Peterson", "given" : "James A", "non-dropping-particle" : "", "parse-names" : false, "suffix" : "" } ], "container-title" : "Journal of Gerontology", "id" : "ITEM-1", "issue" : "4", "issued" : { "date-parts" : [ [ "1972" ] ] }, "page" : "511-523", "title" : "An exploration of the activity theory of aging: activity types and life satisfaction among in-movers to a retirement community", "type" : "article-journal", "volume" : "27" }, "uris" : [ "http://www.mendeley.com/documents/?uuid=b26552e4-b5df-489f-a601-e02f0a47154a" ] }, { "id" : "ITEM-2", "itemData" : { "DOI" : "10.3390/d2081048", "ISSN" : "14242818", "abstract" : "Abstract: In western countries, one of the challenges facing ageing populations is an absence of social roles. One response to this is to volunteer, with evidence suggesting that this assigns meaning to the lives of older people and enhances health and well-being. This holds potential significance for older people from diverse cultural and linguistic backgrounds, and particularly those from Asian cultures, where there is evidence that cultural erosion is diminishing older peoples traditional roles. However, while volunteering can create role identities for older people, it may also further challenge existing cultural values. This paper debates these issues, drawing on a growing body of evidence relating to volunteering within Asian cultures.", "author" : [ { "dropping-particle" : "", "family" : "Warburton", "given" : "Jeni", "non-dropping-particle" : "", "parse-names" : false, "suffix" : "" }, { "dropping-particle" : "", "family" : "Winterton", "given" : "Rachel", "non-dropping-particle" : "", "parse-names" : false, "suffix" : "" } ], "container-title" : "Diversity", "id" : "ITEM-2", "issue" : "8", "issued" : { "date-parts" : [ [ "2010" ] ] }, "page" : "1048-1058", "title" : "The role of volunteering in an era of cultural transition: Can it provide a role identity for older people from Asian cultures?", "type" : "article-journal", "volume" : "2" }, "uris" : [ "http://www.mendeley.com/documents/?uuid=9702d56a-072d-4dee-93f6-efadd92e6039" ] } ], "mendeley" : { "formattedCitation" : "(Lemon, Bengtson, and Peterson 1972; Warburton and Winterton 2010)", "plainTextFormattedCitation" : "(Lemon, Bengtson, and Peterson 1972; Warburton and Winterton 2010)", "previouslyFormattedCitation" : "(Lemon, Bengtson, and Peterson 1972; Warburton and Winterton 2010)" }, "properties" : { "noteIndex" : 0 }, "schema" : "https://github.com/citation-style-language/schema/raw/master/csl-citation.json" }</w:instrText>
      </w:r>
      <w:r w:rsidRPr="00C3671E">
        <w:fldChar w:fldCharType="separate"/>
      </w:r>
      <w:r w:rsidR="00A91559" w:rsidRPr="00C3671E">
        <w:rPr>
          <w:noProof/>
        </w:rPr>
        <w:t>(Lemon, Bengtson, and Peterson 1972; Warburton and Winterton 2010)</w:t>
      </w:r>
      <w:r w:rsidRPr="00C3671E">
        <w:fldChar w:fldCharType="end"/>
      </w:r>
      <w:r w:rsidRPr="00C3671E">
        <w:t xml:space="preserve">. Retirement rules and options vary strongly across countries and gender – from 55 years to 66 years of age for a selected period – and change in time </w:t>
      </w:r>
      <w:r w:rsidRPr="00C3671E">
        <w:fldChar w:fldCharType="begin" w:fldLock="1"/>
      </w:r>
      <w:r w:rsidR="00AA6335" w:rsidRPr="00C3671E">
        <w:instrText>ADDIN CSL_CITATION { "citationItems" : [ { "id" : "ITEM-1", "itemData" : { "URL" : "http://www.etk.fi/en/the-pension-system-2/the-pension-system/international-comparison/retirement-ages/", "accessed" : { "date-parts" : [ [ "2017", "6", "12" ] ] }, "author" : [ { "dropping-particle" : "", "family" : "Finnish Centre for Pensions", "given" : "", "non-dropping-particle" : "", "parse-names" : false, "suffix" : "" } ], "id" : "ITEM-1", "issued" : { "date-parts" : [ [ "2017" ] ] }, "title" : "Retirement Ages in Member States", "type" : "webpage" }, "uris" : [ "http://www.mendeley.com/documents/?uuid=d7922a31-de42-4de3-be35-debac9fc9567" ] } ], "mendeley" : { "formattedCitation" : "(Finnish Centre for Pensions 2017)", "plainTextFormattedCitation" : "(Finnish Centre for Pensions 2017)", "previouslyFormattedCitation" : "(Finnish Centre for Pensions 2017)" }, "properties" : { "noteIndex" : 0 }, "schema" : "https://github.com/citation-style-language/schema/raw/master/csl-citation.json" }</w:instrText>
      </w:r>
      <w:r w:rsidRPr="00C3671E">
        <w:fldChar w:fldCharType="separate"/>
      </w:r>
      <w:r w:rsidRPr="00C3671E">
        <w:rPr>
          <w:noProof/>
        </w:rPr>
        <w:t>(Finnish Centre for Pensions 2017)</w:t>
      </w:r>
      <w:r w:rsidRPr="00C3671E">
        <w:fldChar w:fldCharType="end"/>
      </w:r>
      <w:r w:rsidRPr="00C3671E">
        <w:t xml:space="preserve">. Then, SHARE puts into one category respondents that are fully retired, semi-retired, pre-retired, and early retired, which lead to an age-diverse group of people. Some respondents were considerably younger than the general group of retirees, and people below 55 years of age (about 1% of respondents) were thus excluded from the sample as well as people over 90 years (also about 1% of respondents) to eliminate the effect of outliers. After these adjustments and deleting about 3 % of respondents due to missing values, the final sample for Sweden, Switzerland, Austria, Italy, and Czechia has size between 6,153 and 13,514 adults 55+ for each wave. The main characteristics of the sample for each wave are presented in Table </w:t>
      </w:r>
      <w:r w:rsidR="00F96318" w:rsidRPr="00C3671E">
        <w:t>7</w:t>
      </w:r>
      <w:r w:rsidRPr="00C3671E">
        <w:t>.</w:t>
      </w:r>
    </w:p>
    <w:p w14:paraId="1BA07891" w14:textId="3762BD24" w:rsidR="007302A0" w:rsidRPr="00C3671E" w:rsidRDefault="007302A0" w:rsidP="006B7F0B">
      <w:pPr>
        <w:pStyle w:val="Newparagraph"/>
        <w:jc w:val="both"/>
      </w:pPr>
      <w:r w:rsidRPr="00C3671E">
        <w:t xml:space="preserve">Table </w:t>
      </w:r>
      <w:r w:rsidR="00F96318" w:rsidRPr="00C3671E">
        <w:t>7</w:t>
      </w:r>
      <w:r w:rsidRPr="00C3671E">
        <w:t xml:space="preserve"> illustrates that basic characteristics of the sample used in this article are quite </w:t>
      </w:r>
      <w:r w:rsidRPr="00C3671E">
        <w:rPr>
          <w:noProof/>
        </w:rPr>
        <w:t>stable</w:t>
      </w:r>
      <w:r w:rsidRPr="00C3671E">
        <w:t xml:space="preserve"> across waves. Some more consistent changes of the sample are a decrease of respondents with primary education from 37 % in 2007 to 23 % in 2015 and a similar decrease of respondents in bad financial situation with the respective values of 39 and 25 %. This development can be explained by younger and more educated cohorts entering the retirement over time. Further, this increase of individual resources could explain the increase of social participation among retirees, but this issue will be more elaborated on in the analysis. For now, we can say that the prevalence of social participation is increasing, although the differences are </w:t>
      </w:r>
      <w:r w:rsidRPr="00C3671E">
        <w:lastRenderedPageBreak/>
        <w:t>rather small. Finally, the irregular changes of proportions for countries are caused by differences in sample maintenance among waves and countries.</w:t>
      </w:r>
    </w:p>
    <w:p w14:paraId="763E25B1" w14:textId="19D13078" w:rsidR="007302A0" w:rsidRPr="00C3671E" w:rsidRDefault="006B7F0B" w:rsidP="006B7F0B">
      <w:pPr>
        <w:spacing w:before="100" w:beforeAutospacing="1"/>
        <w:jc w:val="both"/>
        <w:rPr>
          <w:b/>
          <w:lang w:val="en-GB"/>
        </w:rPr>
      </w:pPr>
      <w:bookmarkStart w:id="69" w:name="_Toc512687482"/>
      <w:r w:rsidRPr="00C3671E">
        <w:rPr>
          <w:b/>
          <w:lang w:val="en-GB"/>
        </w:rPr>
        <w:t xml:space="preserve">Table </w:t>
      </w:r>
      <w:r w:rsidRPr="00C3671E">
        <w:rPr>
          <w:b/>
          <w:lang w:val="en-GB"/>
        </w:rPr>
        <w:fldChar w:fldCharType="begin"/>
      </w:r>
      <w:r w:rsidRPr="00C3671E">
        <w:rPr>
          <w:b/>
          <w:lang w:val="en-GB"/>
        </w:rPr>
        <w:instrText xml:space="preserve"> SEQ Table \* ARABIC </w:instrText>
      </w:r>
      <w:r w:rsidRPr="00C3671E">
        <w:rPr>
          <w:b/>
          <w:lang w:val="en-GB"/>
        </w:rPr>
        <w:fldChar w:fldCharType="separate"/>
      </w:r>
      <w:r w:rsidR="00F96318" w:rsidRPr="00C3671E">
        <w:rPr>
          <w:b/>
          <w:noProof/>
          <w:lang w:val="en-GB"/>
        </w:rPr>
        <w:t>7</w:t>
      </w:r>
      <w:r w:rsidRPr="00C3671E">
        <w:rPr>
          <w:b/>
          <w:lang w:val="en-GB"/>
        </w:rPr>
        <w:fldChar w:fldCharType="end"/>
      </w:r>
      <w:r w:rsidRPr="00C3671E">
        <w:rPr>
          <w:b/>
          <w:lang w:val="en-GB"/>
        </w:rPr>
        <w:t xml:space="preserve">: </w:t>
      </w:r>
      <w:r w:rsidR="007302A0" w:rsidRPr="00C3671E">
        <w:rPr>
          <w:b/>
          <w:lang w:val="en-GB"/>
        </w:rPr>
        <w:t>Descriptive statistics for all utilized waves – respective means (only for age) or proportions</w:t>
      </w:r>
      <w:bookmarkEnd w:id="69"/>
    </w:p>
    <w:tbl>
      <w:tblPr>
        <w:tblW w:w="8222" w:type="dxa"/>
        <w:tblLayout w:type="fixed"/>
        <w:tblLook w:val="0000" w:firstRow="0" w:lastRow="0" w:firstColumn="0" w:lastColumn="0" w:noHBand="0" w:noVBand="0"/>
      </w:tblPr>
      <w:tblGrid>
        <w:gridCol w:w="1843"/>
        <w:gridCol w:w="1985"/>
        <w:gridCol w:w="1098"/>
        <w:gridCol w:w="1099"/>
        <w:gridCol w:w="1098"/>
        <w:gridCol w:w="1099"/>
      </w:tblGrid>
      <w:tr w:rsidR="007302A0" w:rsidRPr="00C3671E" w14:paraId="2AE3A4E7" w14:textId="77777777" w:rsidTr="00942EFE">
        <w:trPr>
          <w:trHeight w:val="278"/>
        </w:trPr>
        <w:tc>
          <w:tcPr>
            <w:tcW w:w="1843" w:type="dxa"/>
            <w:tcBorders>
              <w:top w:val="single" w:sz="12" w:space="0" w:color="000000"/>
              <w:bottom w:val="single" w:sz="12" w:space="0" w:color="000000"/>
            </w:tcBorders>
            <w:vAlign w:val="center"/>
          </w:tcPr>
          <w:p w14:paraId="49390165" w14:textId="77777777" w:rsidR="007302A0" w:rsidRPr="00C3671E" w:rsidRDefault="007302A0" w:rsidP="00942EFE">
            <w:pPr>
              <w:rPr>
                <w:bCs/>
                <w:sz w:val="20"/>
                <w:szCs w:val="20"/>
                <w:lang w:val="en-GB"/>
              </w:rPr>
            </w:pPr>
            <w:r w:rsidRPr="00C3671E">
              <w:rPr>
                <w:bCs/>
                <w:sz w:val="20"/>
                <w:szCs w:val="20"/>
                <w:lang w:val="en-GB"/>
              </w:rPr>
              <w:t>Variable</w:t>
            </w:r>
          </w:p>
        </w:tc>
        <w:tc>
          <w:tcPr>
            <w:tcW w:w="1985" w:type="dxa"/>
            <w:tcBorders>
              <w:top w:val="single" w:sz="12" w:space="0" w:color="000000"/>
              <w:bottom w:val="single" w:sz="12" w:space="0" w:color="000000"/>
            </w:tcBorders>
            <w:vAlign w:val="center"/>
          </w:tcPr>
          <w:p w14:paraId="2AF7508A" w14:textId="77777777" w:rsidR="007302A0" w:rsidRPr="00C3671E" w:rsidRDefault="007302A0" w:rsidP="00942EFE">
            <w:pPr>
              <w:rPr>
                <w:bCs/>
                <w:sz w:val="20"/>
                <w:szCs w:val="20"/>
                <w:lang w:val="en-GB"/>
              </w:rPr>
            </w:pPr>
            <w:r w:rsidRPr="00C3671E">
              <w:rPr>
                <w:bCs/>
                <w:sz w:val="20"/>
                <w:szCs w:val="20"/>
                <w:lang w:val="en-GB"/>
              </w:rPr>
              <w:t>Categories or range</w:t>
            </w:r>
          </w:p>
        </w:tc>
        <w:tc>
          <w:tcPr>
            <w:tcW w:w="1098" w:type="dxa"/>
            <w:tcBorders>
              <w:top w:val="single" w:sz="12" w:space="0" w:color="000000"/>
              <w:bottom w:val="single" w:sz="12" w:space="0" w:color="000000"/>
            </w:tcBorders>
          </w:tcPr>
          <w:p w14:paraId="6CD99798" w14:textId="77777777" w:rsidR="007302A0" w:rsidRPr="00C3671E" w:rsidRDefault="007302A0" w:rsidP="00942EFE">
            <w:pPr>
              <w:tabs>
                <w:tab w:val="decimal" w:pos="482"/>
              </w:tabs>
              <w:jc w:val="center"/>
              <w:rPr>
                <w:bCs/>
                <w:sz w:val="20"/>
                <w:szCs w:val="20"/>
                <w:lang w:val="en-GB"/>
              </w:rPr>
            </w:pPr>
            <w:r w:rsidRPr="00C3671E">
              <w:rPr>
                <w:bCs/>
                <w:sz w:val="20"/>
                <w:szCs w:val="20"/>
                <w:lang w:val="en-GB"/>
              </w:rPr>
              <w:t>Wave 2</w:t>
            </w:r>
          </w:p>
        </w:tc>
        <w:tc>
          <w:tcPr>
            <w:tcW w:w="1099" w:type="dxa"/>
            <w:tcBorders>
              <w:top w:val="single" w:sz="12" w:space="0" w:color="000000"/>
              <w:bottom w:val="single" w:sz="12" w:space="0" w:color="000000"/>
            </w:tcBorders>
          </w:tcPr>
          <w:p w14:paraId="72999DC6" w14:textId="77777777" w:rsidR="007302A0" w:rsidRPr="00C3671E" w:rsidRDefault="007302A0" w:rsidP="00942EFE">
            <w:pPr>
              <w:tabs>
                <w:tab w:val="decimal" w:pos="482"/>
              </w:tabs>
              <w:jc w:val="center"/>
              <w:rPr>
                <w:bCs/>
                <w:sz w:val="20"/>
                <w:szCs w:val="20"/>
                <w:lang w:val="en-GB"/>
              </w:rPr>
            </w:pPr>
            <w:r w:rsidRPr="00C3671E">
              <w:rPr>
                <w:bCs/>
                <w:sz w:val="20"/>
                <w:szCs w:val="20"/>
                <w:lang w:val="en-GB"/>
              </w:rPr>
              <w:t>Wave 4</w:t>
            </w:r>
          </w:p>
        </w:tc>
        <w:tc>
          <w:tcPr>
            <w:tcW w:w="1098" w:type="dxa"/>
            <w:tcBorders>
              <w:top w:val="single" w:sz="12" w:space="0" w:color="000000"/>
              <w:bottom w:val="single" w:sz="12" w:space="0" w:color="000000"/>
            </w:tcBorders>
          </w:tcPr>
          <w:p w14:paraId="0A46A301" w14:textId="77777777" w:rsidR="007302A0" w:rsidRPr="00C3671E" w:rsidRDefault="007302A0" w:rsidP="00942EFE">
            <w:pPr>
              <w:tabs>
                <w:tab w:val="decimal" w:pos="482"/>
              </w:tabs>
              <w:jc w:val="center"/>
              <w:rPr>
                <w:bCs/>
                <w:sz w:val="20"/>
                <w:szCs w:val="20"/>
                <w:lang w:val="en-GB"/>
              </w:rPr>
            </w:pPr>
            <w:r w:rsidRPr="00C3671E">
              <w:rPr>
                <w:bCs/>
                <w:sz w:val="20"/>
                <w:szCs w:val="20"/>
                <w:lang w:val="en-GB"/>
              </w:rPr>
              <w:t>Wave 5</w:t>
            </w:r>
          </w:p>
        </w:tc>
        <w:tc>
          <w:tcPr>
            <w:tcW w:w="1099" w:type="dxa"/>
            <w:tcBorders>
              <w:top w:val="single" w:sz="12" w:space="0" w:color="000000"/>
              <w:bottom w:val="single" w:sz="12" w:space="0" w:color="000000"/>
            </w:tcBorders>
          </w:tcPr>
          <w:p w14:paraId="52E80A65" w14:textId="77777777" w:rsidR="007302A0" w:rsidRPr="00C3671E" w:rsidRDefault="007302A0" w:rsidP="00942EFE">
            <w:pPr>
              <w:tabs>
                <w:tab w:val="decimal" w:pos="482"/>
              </w:tabs>
              <w:jc w:val="center"/>
              <w:rPr>
                <w:bCs/>
                <w:sz w:val="20"/>
                <w:szCs w:val="20"/>
                <w:lang w:val="en-GB"/>
              </w:rPr>
            </w:pPr>
            <w:r w:rsidRPr="00C3671E">
              <w:rPr>
                <w:bCs/>
                <w:sz w:val="20"/>
                <w:szCs w:val="20"/>
                <w:lang w:val="en-GB"/>
              </w:rPr>
              <w:t>Wave 6</w:t>
            </w:r>
          </w:p>
        </w:tc>
      </w:tr>
      <w:tr w:rsidR="007302A0" w:rsidRPr="00C3671E" w14:paraId="21FE3FC4" w14:textId="77777777" w:rsidTr="00942EFE">
        <w:trPr>
          <w:trHeight w:val="278"/>
        </w:trPr>
        <w:tc>
          <w:tcPr>
            <w:tcW w:w="1843" w:type="dxa"/>
            <w:vAlign w:val="center"/>
          </w:tcPr>
          <w:p w14:paraId="7A39EE15" w14:textId="77777777" w:rsidR="007302A0" w:rsidRPr="00C3671E" w:rsidRDefault="007302A0" w:rsidP="00942EFE">
            <w:pPr>
              <w:rPr>
                <w:sz w:val="20"/>
                <w:szCs w:val="20"/>
                <w:lang w:val="en-GB"/>
              </w:rPr>
            </w:pPr>
            <w:r w:rsidRPr="00C3671E">
              <w:rPr>
                <w:sz w:val="20"/>
                <w:szCs w:val="20"/>
                <w:lang w:val="en-GB"/>
              </w:rPr>
              <w:t>Age</w:t>
            </w:r>
          </w:p>
        </w:tc>
        <w:tc>
          <w:tcPr>
            <w:tcW w:w="1985" w:type="dxa"/>
            <w:vAlign w:val="center"/>
          </w:tcPr>
          <w:p w14:paraId="1B6F965D" w14:textId="77777777" w:rsidR="007302A0" w:rsidRPr="00C3671E" w:rsidRDefault="007302A0" w:rsidP="00942EFE">
            <w:pPr>
              <w:rPr>
                <w:sz w:val="20"/>
                <w:szCs w:val="20"/>
                <w:lang w:val="en-GB"/>
              </w:rPr>
            </w:pPr>
            <w:r w:rsidRPr="00C3671E">
              <w:rPr>
                <w:sz w:val="20"/>
                <w:szCs w:val="20"/>
                <w:lang w:val="en-GB"/>
              </w:rPr>
              <w:t>55 – 90</w:t>
            </w:r>
          </w:p>
        </w:tc>
        <w:tc>
          <w:tcPr>
            <w:tcW w:w="1098" w:type="dxa"/>
          </w:tcPr>
          <w:p w14:paraId="22E835A5" w14:textId="77777777" w:rsidR="007302A0" w:rsidRPr="00C3671E" w:rsidRDefault="007302A0" w:rsidP="00942EFE">
            <w:pPr>
              <w:tabs>
                <w:tab w:val="decimal" w:pos="482"/>
              </w:tabs>
              <w:rPr>
                <w:sz w:val="20"/>
                <w:szCs w:val="20"/>
                <w:lang w:val="en-GB"/>
              </w:rPr>
            </w:pPr>
            <w:r w:rsidRPr="00C3671E">
              <w:rPr>
                <w:sz w:val="20"/>
                <w:szCs w:val="20"/>
                <w:lang w:val="en-GB"/>
              </w:rPr>
              <w:t>70.4</w:t>
            </w:r>
          </w:p>
        </w:tc>
        <w:tc>
          <w:tcPr>
            <w:tcW w:w="1099" w:type="dxa"/>
          </w:tcPr>
          <w:p w14:paraId="415EB5D6" w14:textId="77777777" w:rsidR="007302A0" w:rsidRPr="00C3671E" w:rsidRDefault="007302A0" w:rsidP="00942EFE">
            <w:pPr>
              <w:tabs>
                <w:tab w:val="decimal" w:pos="551"/>
              </w:tabs>
              <w:rPr>
                <w:sz w:val="20"/>
                <w:szCs w:val="20"/>
                <w:lang w:val="en-GB"/>
              </w:rPr>
            </w:pPr>
            <w:r w:rsidRPr="00C3671E">
              <w:rPr>
                <w:sz w:val="20"/>
                <w:szCs w:val="20"/>
                <w:lang w:val="en-GB"/>
              </w:rPr>
              <w:t>70.7</w:t>
            </w:r>
          </w:p>
        </w:tc>
        <w:tc>
          <w:tcPr>
            <w:tcW w:w="1098" w:type="dxa"/>
          </w:tcPr>
          <w:p w14:paraId="6972A3BD" w14:textId="77777777" w:rsidR="007302A0" w:rsidRPr="00C3671E" w:rsidRDefault="007302A0" w:rsidP="00942EFE">
            <w:pPr>
              <w:tabs>
                <w:tab w:val="decimal" w:pos="482"/>
              </w:tabs>
              <w:rPr>
                <w:sz w:val="20"/>
                <w:szCs w:val="20"/>
                <w:lang w:val="en-GB"/>
              </w:rPr>
            </w:pPr>
            <w:r w:rsidRPr="00C3671E">
              <w:rPr>
                <w:sz w:val="20"/>
                <w:szCs w:val="20"/>
                <w:lang w:val="en-GB"/>
              </w:rPr>
              <w:t>71.4</w:t>
            </w:r>
          </w:p>
        </w:tc>
        <w:tc>
          <w:tcPr>
            <w:tcW w:w="1099" w:type="dxa"/>
          </w:tcPr>
          <w:p w14:paraId="6E00710F" w14:textId="77777777" w:rsidR="007302A0" w:rsidRPr="00C3671E" w:rsidRDefault="007302A0" w:rsidP="00942EFE">
            <w:pPr>
              <w:tabs>
                <w:tab w:val="decimal" w:pos="390"/>
              </w:tabs>
              <w:rPr>
                <w:sz w:val="20"/>
                <w:szCs w:val="20"/>
                <w:lang w:val="en-GB"/>
              </w:rPr>
            </w:pPr>
            <w:r w:rsidRPr="00C3671E">
              <w:rPr>
                <w:sz w:val="20"/>
                <w:szCs w:val="20"/>
                <w:lang w:val="en-GB"/>
              </w:rPr>
              <w:t>72.2</w:t>
            </w:r>
          </w:p>
        </w:tc>
      </w:tr>
      <w:tr w:rsidR="007302A0" w:rsidRPr="00C3671E" w14:paraId="3C8091A3" w14:textId="77777777" w:rsidTr="00942EFE">
        <w:trPr>
          <w:trHeight w:val="278"/>
        </w:trPr>
        <w:tc>
          <w:tcPr>
            <w:tcW w:w="1843" w:type="dxa"/>
            <w:vAlign w:val="center"/>
          </w:tcPr>
          <w:p w14:paraId="31E10AA9" w14:textId="77777777" w:rsidR="007302A0" w:rsidRPr="00C3671E" w:rsidRDefault="007302A0" w:rsidP="00942EFE">
            <w:pPr>
              <w:rPr>
                <w:sz w:val="20"/>
                <w:szCs w:val="20"/>
                <w:lang w:val="en-GB"/>
              </w:rPr>
            </w:pPr>
            <w:r w:rsidRPr="00C3671E">
              <w:rPr>
                <w:sz w:val="20"/>
                <w:szCs w:val="20"/>
                <w:lang w:val="en-GB"/>
              </w:rPr>
              <w:t>Gender</w:t>
            </w:r>
          </w:p>
        </w:tc>
        <w:tc>
          <w:tcPr>
            <w:tcW w:w="1985" w:type="dxa"/>
            <w:vAlign w:val="center"/>
          </w:tcPr>
          <w:p w14:paraId="2162C1AC" w14:textId="77777777" w:rsidR="007302A0" w:rsidRPr="00C3671E" w:rsidRDefault="007302A0" w:rsidP="00942EFE">
            <w:pPr>
              <w:rPr>
                <w:sz w:val="20"/>
                <w:szCs w:val="20"/>
                <w:lang w:val="en-GB"/>
              </w:rPr>
            </w:pPr>
            <w:r w:rsidRPr="00C3671E">
              <w:rPr>
                <w:sz w:val="20"/>
                <w:szCs w:val="20"/>
                <w:lang w:val="en-GB"/>
              </w:rPr>
              <w:t>Male</w:t>
            </w:r>
          </w:p>
        </w:tc>
        <w:tc>
          <w:tcPr>
            <w:tcW w:w="1098" w:type="dxa"/>
          </w:tcPr>
          <w:p w14:paraId="64ACB9E0" w14:textId="77777777" w:rsidR="007302A0" w:rsidRPr="00C3671E" w:rsidRDefault="007302A0" w:rsidP="00942EFE">
            <w:pPr>
              <w:tabs>
                <w:tab w:val="decimal" w:pos="482"/>
              </w:tabs>
              <w:rPr>
                <w:sz w:val="20"/>
                <w:szCs w:val="20"/>
                <w:lang w:val="en-GB"/>
              </w:rPr>
            </w:pPr>
            <w:r w:rsidRPr="00C3671E">
              <w:rPr>
                <w:sz w:val="20"/>
                <w:szCs w:val="20"/>
                <w:lang w:val="en-GB"/>
              </w:rPr>
              <w:t>48.3</w:t>
            </w:r>
          </w:p>
        </w:tc>
        <w:tc>
          <w:tcPr>
            <w:tcW w:w="1099" w:type="dxa"/>
          </w:tcPr>
          <w:p w14:paraId="5163B0C6" w14:textId="77777777" w:rsidR="007302A0" w:rsidRPr="00C3671E" w:rsidRDefault="007302A0" w:rsidP="00942EFE">
            <w:pPr>
              <w:tabs>
                <w:tab w:val="decimal" w:pos="551"/>
              </w:tabs>
              <w:rPr>
                <w:sz w:val="20"/>
                <w:szCs w:val="20"/>
                <w:lang w:val="en-GB"/>
              </w:rPr>
            </w:pPr>
            <w:r w:rsidRPr="00C3671E">
              <w:rPr>
                <w:sz w:val="20"/>
                <w:szCs w:val="20"/>
                <w:lang w:val="en-GB"/>
              </w:rPr>
              <w:t>46.6</w:t>
            </w:r>
          </w:p>
        </w:tc>
        <w:tc>
          <w:tcPr>
            <w:tcW w:w="1098" w:type="dxa"/>
          </w:tcPr>
          <w:p w14:paraId="78817311" w14:textId="77777777" w:rsidR="007302A0" w:rsidRPr="00C3671E" w:rsidRDefault="007302A0" w:rsidP="00942EFE">
            <w:pPr>
              <w:tabs>
                <w:tab w:val="decimal" w:pos="482"/>
              </w:tabs>
              <w:rPr>
                <w:sz w:val="20"/>
                <w:szCs w:val="20"/>
                <w:lang w:val="en-GB"/>
              </w:rPr>
            </w:pPr>
            <w:r w:rsidRPr="00C3671E">
              <w:rPr>
                <w:sz w:val="20"/>
                <w:szCs w:val="20"/>
                <w:lang w:val="en-GB"/>
              </w:rPr>
              <w:t>46.8</w:t>
            </w:r>
          </w:p>
        </w:tc>
        <w:tc>
          <w:tcPr>
            <w:tcW w:w="1099" w:type="dxa"/>
          </w:tcPr>
          <w:p w14:paraId="19285CE6" w14:textId="77777777" w:rsidR="007302A0" w:rsidRPr="00C3671E" w:rsidRDefault="007302A0" w:rsidP="00942EFE">
            <w:pPr>
              <w:tabs>
                <w:tab w:val="decimal" w:pos="390"/>
              </w:tabs>
              <w:rPr>
                <w:sz w:val="20"/>
                <w:szCs w:val="20"/>
                <w:lang w:val="en-GB"/>
              </w:rPr>
            </w:pPr>
            <w:r w:rsidRPr="00C3671E">
              <w:rPr>
                <w:sz w:val="20"/>
                <w:szCs w:val="20"/>
                <w:lang w:val="en-GB"/>
              </w:rPr>
              <w:t>46.7</w:t>
            </w:r>
          </w:p>
        </w:tc>
      </w:tr>
      <w:tr w:rsidR="007302A0" w:rsidRPr="00C3671E" w14:paraId="2EAF669A" w14:textId="77777777" w:rsidTr="00942EFE">
        <w:trPr>
          <w:trHeight w:val="278"/>
        </w:trPr>
        <w:tc>
          <w:tcPr>
            <w:tcW w:w="1843" w:type="dxa"/>
            <w:vAlign w:val="center"/>
          </w:tcPr>
          <w:p w14:paraId="2B5FE8E4" w14:textId="77777777" w:rsidR="007302A0" w:rsidRPr="00C3671E" w:rsidRDefault="007302A0" w:rsidP="00942EFE">
            <w:pPr>
              <w:rPr>
                <w:sz w:val="20"/>
                <w:szCs w:val="20"/>
                <w:lang w:val="en-GB"/>
              </w:rPr>
            </w:pPr>
          </w:p>
        </w:tc>
        <w:tc>
          <w:tcPr>
            <w:tcW w:w="1985" w:type="dxa"/>
            <w:vAlign w:val="center"/>
          </w:tcPr>
          <w:p w14:paraId="19764208" w14:textId="77777777" w:rsidR="007302A0" w:rsidRPr="00C3671E" w:rsidRDefault="007302A0" w:rsidP="00942EFE">
            <w:pPr>
              <w:rPr>
                <w:sz w:val="20"/>
                <w:szCs w:val="20"/>
                <w:lang w:val="en-GB"/>
              </w:rPr>
            </w:pPr>
            <w:r w:rsidRPr="00C3671E">
              <w:rPr>
                <w:sz w:val="20"/>
                <w:szCs w:val="20"/>
                <w:lang w:val="en-GB"/>
              </w:rPr>
              <w:t>Female</w:t>
            </w:r>
          </w:p>
        </w:tc>
        <w:tc>
          <w:tcPr>
            <w:tcW w:w="1098" w:type="dxa"/>
          </w:tcPr>
          <w:p w14:paraId="68CFE028" w14:textId="77777777" w:rsidR="007302A0" w:rsidRPr="00C3671E" w:rsidRDefault="007302A0" w:rsidP="00942EFE">
            <w:pPr>
              <w:tabs>
                <w:tab w:val="decimal" w:pos="482"/>
              </w:tabs>
              <w:rPr>
                <w:sz w:val="20"/>
                <w:szCs w:val="20"/>
                <w:lang w:val="en-GB"/>
              </w:rPr>
            </w:pPr>
            <w:r w:rsidRPr="00C3671E">
              <w:rPr>
                <w:sz w:val="20"/>
                <w:szCs w:val="20"/>
                <w:lang w:val="en-GB"/>
              </w:rPr>
              <w:t>51.7</w:t>
            </w:r>
          </w:p>
        </w:tc>
        <w:tc>
          <w:tcPr>
            <w:tcW w:w="1099" w:type="dxa"/>
          </w:tcPr>
          <w:p w14:paraId="09D741AA" w14:textId="77777777" w:rsidR="007302A0" w:rsidRPr="00C3671E" w:rsidRDefault="007302A0" w:rsidP="00942EFE">
            <w:pPr>
              <w:tabs>
                <w:tab w:val="decimal" w:pos="551"/>
              </w:tabs>
              <w:rPr>
                <w:sz w:val="20"/>
                <w:szCs w:val="20"/>
                <w:lang w:val="en-GB"/>
              </w:rPr>
            </w:pPr>
            <w:r w:rsidRPr="00C3671E">
              <w:rPr>
                <w:sz w:val="20"/>
                <w:szCs w:val="20"/>
                <w:lang w:val="en-GB"/>
              </w:rPr>
              <w:t>53.4</w:t>
            </w:r>
          </w:p>
        </w:tc>
        <w:tc>
          <w:tcPr>
            <w:tcW w:w="1098" w:type="dxa"/>
          </w:tcPr>
          <w:p w14:paraId="21FED626" w14:textId="77777777" w:rsidR="007302A0" w:rsidRPr="00C3671E" w:rsidRDefault="007302A0" w:rsidP="00942EFE">
            <w:pPr>
              <w:tabs>
                <w:tab w:val="decimal" w:pos="482"/>
              </w:tabs>
              <w:rPr>
                <w:sz w:val="20"/>
                <w:szCs w:val="20"/>
                <w:lang w:val="en-GB"/>
              </w:rPr>
            </w:pPr>
            <w:r w:rsidRPr="00C3671E">
              <w:rPr>
                <w:sz w:val="20"/>
                <w:szCs w:val="20"/>
                <w:lang w:val="en-GB"/>
              </w:rPr>
              <w:t>53.2</w:t>
            </w:r>
          </w:p>
        </w:tc>
        <w:tc>
          <w:tcPr>
            <w:tcW w:w="1099" w:type="dxa"/>
          </w:tcPr>
          <w:p w14:paraId="486A3CE8" w14:textId="77777777" w:rsidR="007302A0" w:rsidRPr="00C3671E" w:rsidRDefault="007302A0" w:rsidP="00942EFE">
            <w:pPr>
              <w:tabs>
                <w:tab w:val="decimal" w:pos="390"/>
              </w:tabs>
              <w:rPr>
                <w:sz w:val="20"/>
                <w:szCs w:val="20"/>
                <w:lang w:val="en-GB"/>
              </w:rPr>
            </w:pPr>
            <w:r w:rsidRPr="00C3671E">
              <w:rPr>
                <w:sz w:val="20"/>
                <w:szCs w:val="20"/>
                <w:lang w:val="en-GB"/>
              </w:rPr>
              <w:t>52.9</w:t>
            </w:r>
          </w:p>
        </w:tc>
      </w:tr>
      <w:tr w:rsidR="007302A0" w:rsidRPr="00C3671E" w14:paraId="0EB2B391" w14:textId="77777777" w:rsidTr="00942EFE">
        <w:trPr>
          <w:trHeight w:val="278"/>
        </w:trPr>
        <w:tc>
          <w:tcPr>
            <w:tcW w:w="1843" w:type="dxa"/>
            <w:vAlign w:val="center"/>
          </w:tcPr>
          <w:p w14:paraId="19FFDF04" w14:textId="77777777" w:rsidR="007302A0" w:rsidRPr="00C3671E" w:rsidRDefault="007302A0" w:rsidP="00942EFE">
            <w:pPr>
              <w:rPr>
                <w:sz w:val="20"/>
                <w:szCs w:val="20"/>
                <w:lang w:val="en-GB"/>
              </w:rPr>
            </w:pPr>
            <w:r w:rsidRPr="00C3671E">
              <w:rPr>
                <w:sz w:val="20"/>
                <w:szCs w:val="20"/>
                <w:lang w:val="en-GB"/>
              </w:rPr>
              <w:t>Education (ISCED)</w:t>
            </w:r>
          </w:p>
        </w:tc>
        <w:tc>
          <w:tcPr>
            <w:tcW w:w="1985" w:type="dxa"/>
            <w:vAlign w:val="center"/>
          </w:tcPr>
          <w:p w14:paraId="081B515B" w14:textId="77777777" w:rsidR="007302A0" w:rsidRPr="00C3671E" w:rsidRDefault="007302A0" w:rsidP="00942EFE">
            <w:pPr>
              <w:rPr>
                <w:sz w:val="20"/>
                <w:szCs w:val="20"/>
                <w:lang w:val="en-GB"/>
              </w:rPr>
            </w:pPr>
            <w:r w:rsidRPr="00C3671E">
              <w:rPr>
                <w:sz w:val="20"/>
                <w:szCs w:val="20"/>
                <w:lang w:val="en-GB"/>
              </w:rPr>
              <w:t>ISCED 0,1</w:t>
            </w:r>
          </w:p>
        </w:tc>
        <w:tc>
          <w:tcPr>
            <w:tcW w:w="1098" w:type="dxa"/>
          </w:tcPr>
          <w:p w14:paraId="1B0CCCAE" w14:textId="77777777" w:rsidR="007302A0" w:rsidRPr="00C3671E" w:rsidRDefault="007302A0" w:rsidP="00942EFE">
            <w:pPr>
              <w:tabs>
                <w:tab w:val="decimal" w:pos="482"/>
              </w:tabs>
              <w:rPr>
                <w:sz w:val="20"/>
                <w:szCs w:val="20"/>
                <w:lang w:val="en-GB"/>
              </w:rPr>
            </w:pPr>
            <w:r w:rsidRPr="00C3671E">
              <w:rPr>
                <w:sz w:val="20"/>
                <w:szCs w:val="20"/>
                <w:lang w:val="en-GB"/>
              </w:rPr>
              <w:t>36.9</w:t>
            </w:r>
          </w:p>
        </w:tc>
        <w:tc>
          <w:tcPr>
            <w:tcW w:w="1099" w:type="dxa"/>
          </w:tcPr>
          <w:p w14:paraId="5514E0AA" w14:textId="77777777" w:rsidR="007302A0" w:rsidRPr="00C3671E" w:rsidRDefault="007302A0" w:rsidP="00942EFE">
            <w:pPr>
              <w:tabs>
                <w:tab w:val="decimal" w:pos="551"/>
              </w:tabs>
              <w:rPr>
                <w:sz w:val="20"/>
                <w:szCs w:val="20"/>
                <w:lang w:val="en-GB"/>
              </w:rPr>
            </w:pPr>
            <w:r w:rsidRPr="00C3671E">
              <w:rPr>
                <w:sz w:val="20"/>
                <w:szCs w:val="20"/>
                <w:lang w:val="en-GB"/>
              </w:rPr>
              <w:t>24.8</w:t>
            </w:r>
          </w:p>
        </w:tc>
        <w:tc>
          <w:tcPr>
            <w:tcW w:w="1098" w:type="dxa"/>
          </w:tcPr>
          <w:p w14:paraId="1CFBAF1B" w14:textId="77777777" w:rsidR="007302A0" w:rsidRPr="00C3671E" w:rsidRDefault="007302A0" w:rsidP="00942EFE">
            <w:pPr>
              <w:tabs>
                <w:tab w:val="decimal" w:pos="482"/>
              </w:tabs>
              <w:rPr>
                <w:sz w:val="20"/>
                <w:szCs w:val="20"/>
                <w:lang w:val="en-GB"/>
              </w:rPr>
            </w:pPr>
            <w:r w:rsidRPr="00C3671E">
              <w:rPr>
                <w:sz w:val="20"/>
                <w:szCs w:val="20"/>
                <w:lang w:val="en-GB"/>
              </w:rPr>
              <w:t>24.0</w:t>
            </w:r>
          </w:p>
        </w:tc>
        <w:tc>
          <w:tcPr>
            <w:tcW w:w="1099" w:type="dxa"/>
          </w:tcPr>
          <w:p w14:paraId="7E794E03" w14:textId="77777777" w:rsidR="007302A0" w:rsidRPr="00C3671E" w:rsidRDefault="007302A0" w:rsidP="00942EFE">
            <w:pPr>
              <w:tabs>
                <w:tab w:val="decimal" w:pos="390"/>
              </w:tabs>
              <w:rPr>
                <w:sz w:val="20"/>
                <w:szCs w:val="20"/>
                <w:lang w:val="en-GB"/>
              </w:rPr>
            </w:pPr>
            <w:r w:rsidRPr="00C3671E">
              <w:rPr>
                <w:sz w:val="20"/>
                <w:szCs w:val="20"/>
                <w:lang w:val="en-GB"/>
              </w:rPr>
              <w:t>23.2</w:t>
            </w:r>
          </w:p>
        </w:tc>
      </w:tr>
      <w:tr w:rsidR="007302A0" w:rsidRPr="00C3671E" w14:paraId="331885CC" w14:textId="77777777" w:rsidTr="00942EFE">
        <w:trPr>
          <w:trHeight w:val="278"/>
        </w:trPr>
        <w:tc>
          <w:tcPr>
            <w:tcW w:w="1843" w:type="dxa"/>
            <w:vAlign w:val="center"/>
          </w:tcPr>
          <w:p w14:paraId="789F797F" w14:textId="77777777" w:rsidR="007302A0" w:rsidRPr="00C3671E" w:rsidRDefault="007302A0" w:rsidP="00942EFE">
            <w:pPr>
              <w:rPr>
                <w:sz w:val="20"/>
                <w:szCs w:val="20"/>
                <w:lang w:val="en-GB"/>
              </w:rPr>
            </w:pPr>
          </w:p>
        </w:tc>
        <w:tc>
          <w:tcPr>
            <w:tcW w:w="1985" w:type="dxa"/>
            <w:vAlign w:val="center"/>
          </w:tcPr>
          <w:p w14:paraId="1904E357" w14:textId="77777777" w:rsidR="007302A0" w:rsidRPr="00C3671E" w:rsidRDefault="007302A0" w:rsidP="00942EFE">
            <w:pPr>
              <w:rPr>
                <w:sz w:val="20"/>
                <w:szCs w:val="20"/>
                <w:lang w:val="en-GB"/>
              </w:rPr>
            </w:pPr>
            <w:r w:rsidRPr="00C3671E">
              <w:rPr>
                <w:sz w:val="20"/>
                <w:szCs w:val="20"/>
                <w:lang w:val="en-GB"/>
              </w:rPr>
              <w:t>ISCED 2-4</w:t>
            </w:r>
          </w:p>
        </w:tc>
        <w:tc>
          <w:tcPr>
            <w:tcW w:w="1098" w:type="dxa"/>
          </w:tcPr>
          <w:p w14:paraId="6B925127" w14:textId="77777777" w:rsidR="007302A0" w:rsidRPr="00C3671E" w:rsidRDefault="007302A0" w:rsidP="00942EFE">
            <w:pPr>
              <w:tabs>
                <w:tab w:val="decimal" w:pos="482"/>
              </w:tabs>
              <w:rPr>
                <w:sz w:val="20"/>
                <w:szCs w:val="20"/>
                <w:lang w:val="en-GB"/>
              </w:rPr>
            </w:pPr>
            <w:r w:rsidRPr="00C3671E">
              <w:rPr>
                <w:sz w:val="20"/>
                <w:szCs w:val="20"/>
                <w:lang w:val="en-GB"/>
              </w:rPr>
              <w:t>52.1</w:t>
            </w:r>
          </w:p>
        </w:tc>
        <w:tc>
          <w:tcPr>
            <w:tcW w:w="1099" w:type="dxa"/>
          </w:tcPr>
          <w:p w14:paraId="6740291F" w14:textId="77777777" w:rsidR="007302A0" w:rsidRPr="00C3671E" w:rsidRDefault="007302A0" w:rsidP="00942EFE">
            <w:pPr>
              <w:tabs>
                <w:tab w:val="decimal" w:pos="551"/>
              </w:tabs>
              <w:rPr>
                <w:sz w:val="20"/>
                <w:szCs w:val="20"/>
                <w:lang w:val="en-GB"/>
              </w:rPr>
            </w:pPr>
            <w:r w:rsidRPr="00C3671E">
              <w:rPr>
                <w:sz w:val="20"/>
                <w:szCs w:val="20"/>
                <w:lang w:val="en-GB"/>
              </w:rPr>
              <w:t>60.1</w:t>
            </w:r>
          </w:p>
        </w:tc>
        <w:tc>
          <w:tcPr>
            <w:tcW w:w="1098" w:type="dxa"/>
          </w:tcPr>
          <w:p w14:paraId="23767017" w14:textId="77777777" w:rsidR="007302A0" w:rsidRPr="00C3671E" w:rsidRDefault="007302A0" w:rsidP="00942EFE">
            <w:pPr>
              <w:tabs>
                <w:tab w:val="decimal" w:pos="482"/>
              </w:tabs>
              <w:rPr>
                <w:sz w:val="20"/>
                <w:szCs w:val="20"/>
                <w:lang w:val="en-GB"/>
              </w:rPr>
            </w:pPr>
            <w:r w:rsidRPr="00C3671E">
              <w:rPr>
                <w:sz w:val="20"/>
                <w:szCs w:val="20"/>
                <w:lang w:val="en-GB"/>
              </w:rPr>
              <w:t>59.0</w:t>
            </w:r>
          </w:p>
        </w:tc>
        <w:tc>
          <w:tcPr>
            <w:tcW w:w="1099" w:type="dxa"/>
          </w:tcPr>
          <w:p w14:paraId="11B6F66E" w14:textId="77777777" w:rsidR="007302A0" w:rsidRPr="00C3671E" w:rsidRDefault="007302A0" w:rsidP="00942EFE">
            <w:pPr>
              <w:tabs>
                <w:tab w:val="decimal" w:pos="390"/>
              </w:tabs>
              <w:rPr>
                <w:sz w:val="20"/>
                <w:szCs w:val="20"/>
                <w:lang w:val="en-GB"/>
              </w:rPr>
            </w:pPr>
            <w:r w:rsidRPr="00C3671E">
              <w:rPr>
                <w:sz w:val="20"/>
                <w:szCs w:val="20"/>
                <w:lang w:val="en-GB"/>
              </w:rPr>
              <w:t>59.3</w:t>
            </w:r>
          </w:p>
        </w:tc>
      </w:tr>
      <w:tr w:rsidR="007302A0" w:rsidRPr="00C3671E" w14:paraId="5E5A7183" w14:textId="77777777" w:rsidTr="00942EFE">
        <w:trPr>
          <w:trHeight w:val="278"/>
        </w:trPr>
        <w:tc>
          <w:tcPr>
            <w:tcW w:w="1843" w:type="dxa"/>
            <w:vAlign w:val="center"/>
          </w:tcPr>
          <w:p w14:paraId="4ED1A08D" w14:textId="77777777" w:rsidR="007302A0" w:rsidRPr="00C3671E" w:rsidRDefault="007302A0" w:rsidP="00942EFE">
            <w:pPr>
              <w:rPr>
                <w:sz w:val="20"/>
                <w:szCs w:val="20"/>
                <w:lang w:val="en-GB"/>
              </w:rPr>
            </w:pPr>
          </w:p>
        </w:tc>
        <w:tc>
          <w:tcPr>
            <w:tcW w:w="1985" w:type="dxa"/>
            <w:vAlign w:val="center"/>
          </w:tcPr>
          <w:p w14:paraId="5B0918F6" w14:textId="77777777" w:rsidR="007302A0" w:rsidRPr="00C3671E" w:rsidRDefault="007302A0" w:rsidP="00942EFE">
            <w:pPr>
              <w:rPr>
                <w:sz w:val="20"/>
                <w:szCs w:val="20"/>
                <w:lang w:val="en-GB"/>
              </w:rPr>
            </w:pPr>
            <w:r w:rsidRPr="00C3671E">
              <w:rPr>
                <w:sz w:val="20"/>
                <w:szCs w:val="20"/>
                <w:lang w:val="en-GB"/>
              </w:rPr>
              <w:t>ISCED 5,6</w:t>
            </w:r>
          </w:p>
        </w:tc>
        <w:tc>
          <w:tcPr>
            <w:tcW w:w="1098" w:type="dxa"/>
          </w:tcPr>
          <w:p w14:paraId="070F8A1C" w14:textId="77777777" w:rsidR="007302A0" w:rsidRPr="00C3671E" w:rsidRDefault="007302A0" w:rsidP="00942EFE">
            <w:pPr>
              <w:tabs>
                <w:tab w:val="decimal" w:pos="482"/>
              </w:tabs>
              <w:rPr>
                <w:sz w:val="20"/>
                <w:szCs w:val="20"/>
                <w:lang w:val="en-GB"/>
              </w:rPr>
            </w:pPr>
            <w:r w:rsidRPr="00C3671E">
              <w:rPr>
                <w:sz w:val="20"/>
                <w:szCs w:val="20"/>
                <w:lang w:val="en-GB"/>
              </w:rPr>
              <w:t>11.0</w:t>
            </w:r>
          </w:p>
        </w:tc>
        <w:tc>
          <w:tcPr>
            <w:tcW w:w="1099" w:type="dxa"/>
          </w:tcPr>
          <w:p w14:paraId="7A32077F" w14:textId="77777777" w:rsidR="007302A0" w:rsidRPr="00C3671E" w:rsidRDefault="007302A0" w:rsidP="00942EFE">
            <w:pPr>
              <w:tabs>
                <w:tab w:val="decimal" w:pos="551"/>
              </w:tabs>
              <w:rPr>
                <w:sz w:val="20"/>
                <w:szCs w:val="20"/>
                <w:lang w:val="en-GB"/>
              </w:rPr>
            </w:pPr>
            <w:r w:rsidRPr="00C3671E">
              <w:rPr>
                <w:sz w:val="20"/>
                <w:szCs w:val="20"/>
                <w:lang w:val="en-GB"/>
              </w:rPr>
              <w:t>15.1</w:t>
            </w:r>
          </w:p>
        </w:tc>
        <w:tc>
          <w:tcPr>
            <w:tcW w:w="1098" w:type="dxa"/>
          </w:tcPr>
          <w:p w14:paraId="6C567D3C" w14:textId="77777777" w:rsidR="007302A0" w:rsidRPr="00C3671E" w:rsidRDefault="007302A0" w:rsidP="00942EFE">
            <w:pPr>
              <w:tabs>
                <w:tab w:val="decimal" w:pos="482"/>
              </w:tabs>
              <w:rPr>
                <w:sz w:val="20"/>
                <w:szCs w:val="20"/>
                <w:lang w:val="en-GB"/>
              </w:rPr>
            </w:pPr>
            <w:r w:rsidRPr="00C3671E">
              <w:rPr>
                <w:sz w:val="20"/>
                <w:szCs w:val="20"/>
                <w:lang w:val="en-GB"/>
              </w:rPr>
              <w:t>17.0</w:t>
            </w:r>
          </w:p>
        </w:tc>
        <w:tc>
          <w:tcPr>
            <w:tcW w:w="1099" w:type="dxa"/>
          </w:tcPr>
          <w:p w14:paraId="4D0F486E" w14:textId="77777777" w:rsidR="007302A0" w:rsidRPr="00C3671E" w:rsidRDefault="007302A0" w:rsidP="00942EFE">
            <w:pPr>
              <w:tabs>
                <w:tab w:val="decimal" w:pos="390"/>
              </w:tabs>
              <w:rPr>
                <w:sz w:val="20"/>
                <w:szCs w:val="20"/>
                <w:lang w:val="en-GB"/>
              </w:rPr>
            </w:pPr>
            <w:r w:rsidRPr="00C3671E">
              <w:rPr>
                <w:sz w:val="20"/>
                <w:szCs w:val="20"/>
                <w:lang w:val="en-GB"/>
              </w:rPr>
              <w:t>17.5</w:t>
            </w:r>
          </w:p>
        </w:tc>
      </w:tr>
      <w:tr w:rsidR="007302A0" w:rsidRPr="00C3671E" w14:paraId="29A3FAD6" w14:textId="77777777" w:rsidTr="00942EFE">
        <w:trPr>
          <w:trHeight w:val="278"/>
        </w:trPr>
        <w:tc>
          <w:tcPr>
            <w:tcW w:w="1843" w:type="dxa"/>
            <w:vAlign w:val="center"/>
          </w:tcPr>
          <w:p w14:paraId="4EC1885A" w14:textId="77777777" w:rsidR="007302A0" w:rsidRPr="00C3671E" w:rsidRDefault="007302A0" w:rsidP="00942EFE">
            <w:pPr>
              <w:rPr>
                <w:sz w:val="20"/>
                <w:szCs w:val="20"/>
                <w:lang w:val="en-GB"/>
              </w:rPr>
            </w:pPr>
            <w:r w:rsidRPr="00C3671E">
              <w:rPr>
                <w:sz w:val="20"/>
                <w:szCs w:val="20"/>
                <w:lang w:val="en-GB"/>
              </w:rPr>
              <w:t>Financial situation</w:t>
            </w:r>
          </w:p>
        </w:tc>
        <w:tc>
          <w:tcPr>
            <w:tcW w:w="1985" w:type="dxa"/>
            <w:vAlign w:val="center"/>
          </w:tcPr>
          <w:p w14:paraId="7198D5C2" w14:textId="77777777" w:rsidR="007302A0" w:rsidRPr="00C3671E" w:rsidRDefault="007302A0" w:rsidP="00942EFE">
            <w:pPr>
              <w:rPr>
                <w:sz w:val="20"/>
                <w:szCs w:val="20"/>
                <w:lang w:val="en-GB"/>
              </w:rPr>
            </w:pPr>
            <w:r w:rsidRPr="00C3671E">
              <w:rPr>
                <w:sz w:val="20"/>
                <w:szCs w:val="20"/>
                <w:lang w:val="en-GB"/>
              </w:rPr>
              <w:t>Bad</w:t>
            </w:r>
          </w:p>
        </w:tc>
        <w:tc>
          <w:tcPr>
            <w:tcW w:w="1098" w:type="dxa"/>
          </w:tcPr>
          <w:p w14:paraId="0F4D775B" w14:textId="77777777" w:rsidR="007302A0" w:rsidRPr="00C3671E" w:rsidRDefault="007302A0" w:rsidP="00942EFE">
            <w:pPr>
              <w:tabs>
                <w:tab w:val="decimal" w:pos="482"/>
              </w:tabs>
              <w:rPr>
                <w:sz w:val="20"/>
                <w:szCs w:val="20"/>
                <w:lang w:val="en-GB"/>
              </w:rPr>
            </w:pPr>
            <w:r w:rsidRPr="00C3671E">
              <w:rPr>
                <w:sz w:val="20"/>
                <w:szCs w:val="20"/>
                <w:lang w:val="en-GB"/>
              </w:rPr>
              <w:t>39.4</w:t>
            </w:r>
          </w:p>
        </w:tc>
        <w:tc>
          <w:tcPr>
            <w:tcW w:w="1099" w:type="dxa"/>
          </w:tcPr>
          <w:p w14:paraId="29E8858C" w14:textId="77777777" w:rsidR="007302A0" w:rsidRPr="00C3671E" w:rsidRDefault="007302A0" w:rsidP="00942EFE">
            <w:pPr>
              <w:tabs>
                <w:tab w:val="decimal" w:pos="551"/>
              </w:tabs>
              <w:rPr>
                <w:sz w:val="20"/>
                <w:szCs w:val="20"/>
                <w:lang w:val="en-GB"/>
              </w:rPr>
            </w:pPr>
            <w:r w:rsidRPr="00C3671E">
              <w:rPr>
                <w:sz w:val="20"/>
                <w:szCs w:val="20"/>
                <w:lang w:val="en-GB"/>
              </w:rPr>
              <w:t>32.3</w:t>
            </w:r>
          </w:p>
        </w:tc>
        <w:tc>
          <w:tcPr>
            <w:tcW w:w="1098" w:type="dxa"/>
          </w:tcPr>
          <w:p w14:paraId="58581B22" w14:textId="77777777" w:rsidR="007302A0" w:rsidRPr="00C3671E" w:rsidRDefault="007302A0" w:rsidP="00942EFE">
            <w:pPr>
              <w:tabs>
                <w:tab w:val="decimal" w:pos="482"/>
              </w:tabs>
              <w:rPr>
                <w:sz w:val="20"/>
                <w:szCs w:val="20"/>
                <w:lang w:val="en-GB"/>
              </w:rPr>
            </w:pPr>
            <w:r w:rsidRPr="00C3671E">
              <w:rPr>
                <w:sz w:val="20"/>
                <w:szCs w:val="20"/>
                <w:lang w:val="en-GB"/>
              </w:rPr>
              <w:t>29.0</w:t>
            </w:r>
          </w:p>
        </w:tc>
        <w:tc>
          <w:tcPr>
            <w:tcW w:w="1099" w:type="dxa"/>
          </w:tcPr>
          <w:p w14:paraId="4715C7EF" w14:textId="77777777" w:rsidR="007302A0" w:rsidRPr="00C3671E" w:rsidRDefault="007302A0" w:rsidP="00942EFE">
            <w:pPr>
              <w:tabs>
                <w:tab w:val="decimal" w:pos="390"/>
              </w:tabs>
              <w:rPr>
                <w:sz w:val="20"/>
                <w:szCs w:val="20"/>
                <w:lang w:val="en-GB"/>
              </w:rPr>
            </w:pPr>
            <w:r w:rsidRPr="00C3671E">
              <w:rPr>
                <w:sz w:val="20"/>
                <w:szCs w:val="20"/>
                <w:lang w:val="en-GB"/>
              </w:rPr>
              <w:t>24.8</w:t>
            </w:r>
          </w:p>
        </w:tc>
      </w:tr>
      <w:tr w:rsidR="007302A0" w:rsidRPr="00C3671E" w14:paraId="276C6632" w14:textId="77777777" w:rsidTr="00942EFE">
        <w:trPr>
          <w:trHeight w:val="278"/>
        </w:trPr>
        <w:tc>
          <w:tcPr>
            <w:tcW w:w="1843" w:type="dxa"/>
            <w:vAlign w:val="center"/>
          </w:tcPr>
          <w:p w14:paraId="12DAA382" w14:textId="77777777" w:rsidR="007302A0" w:rsidRPr="00C3671E" w:rsidRDefault="007302A0" w:rsidP="00942EFE">
            <w:pPr>
              <w:rPr>
                <w:sz w:val="20"/>
                <w:szCs w:val="20"/>
                <w:lang w:val="en-GB"/>
              </w:rPr>
            </w:pPr>
          </w:p>
        </w:tc>
        <w:tc>
          <w:tcPr>
            <w:tcW w:w="1985" w:type="dxa"/>
            <w:vAlign w:val="center"/>
          </w:tcPr>
          <w:p w14:paraId="68BF7BCE" w14:textId="77777777" w:rsidR="007302A0" w:rsidRPr="00C3671E" w:rsidRDefault="007302A0" w:rsidP="00942EFE">
            <w:pPr>
              <w:rPr>
                <w:sz w:val="20"/>
                <w:szCs w:val="20"/>
                <w:lang w:val="en-GB"/>
              </w:rPr>
            </w:pPr>
            <w:r w:rsidRPr="00C3671E">
              <w:rPr>
                <w:sz w:val="20"/>
                <w:szCs w:val="20"/>
                <w:lang w:val="en-GB"/>
              </w:rPr>
              <w:t>Good</w:t>
            </w:r>
          </w:p>
        </w:tc>
        <w:tc>
          <w:tcPr>
            <w:tcW w:w="1098" w:type="dxa"/>
          </w:tcPr>
          <w:p w14:paraId="14FD75EA" w14:textId="77777777" w:rsidR="007302A0" w:rsidRPr="00C3671E" w:rsidRDefault="007302A0" w:rsidP="00942EFE">
            <w:pPr>
              <w:tabs>
                <w:tab w:val="decimal" w:pos="482"/>
              </w:tabs>
              <w:rPr>
                <w:sz w:val="20"/>
                <w:szCs w:val="20"/>
                <w:lang w:val="en-GB"/>
              </w:rPr>
            </w:pPr>
            <w:r w:rsidRPr="00C3671E">
              <w:rPr>
                <w:sz w:val="20"/>
                <w:szCs w:val="20"/>
                <w:lang w:val="en-GB"/>
              </w:rPr>
              <w:t>37.0</w:t>
            </w:r>
          </w:p>
        </w:tc>
        <w:tc>
          <w:tcPr>
            <w:tcW w:w="1099" w:type="dxa"/>
          </w:tcPr>
          <w:p w14:paraId="5AA150F2" w14:textId="77777777" w:rsidR="007302A0" w:rsidRPr="00C3671E" w:rsidRDefault="007302A0" w:rsidP="00942EFE">
            <w:pPr>
              <w:tabs>
                <w:tab w:val="decimal" w:pos="551"/>
              </w:tabs>
              <w:rPr>
                <w:sz w:val="20"/>
                <w:szCs w:val="20"/>
                <w:lang w:val="en-GB"/>
              </w:rPr>
            </w:pPr>
            <w:r w:rsidRPr="00C3671E">
              <w:rPr>
                <w:sz w:val="20"/>
                <w:szCs w:val="20"/>
                <w:lang w:val="en-GB"/>
              </w:rPr>
              <w:t>37.1</w:t>
            </w:r>
          </w:p>
        </w:tc>
        <w:tc>
          <w:tcPr>
            <w:tcW w:w="1098" w:type="dxa"/>
          </w:tcPr>
          <w:p w14:paraId="79AB43EE" w14:textId="77777777" w:rsidR="007302A0" w:rsidRPr="00C3671E" w:rsidRDefault="007302A0" w:rsidP="00942EFE">
            <w:pPr>
              <w:tabs>
                <w:tab w:val="decimal" w:pos="482"/>
              </w:tabs>
              <w:rPr>
                <w:sz w:val="20"/>
                <w:szCs w:val="20"/>
                <w:lang w:val="en-GB"/>
              </w:rPr>
            </w:pPr>
            <w:r w:rsidRPr="00C3671E">
              <w:rPr>
                <w:sz w:val="20"/>
                <w:szCs w:val="20"/>
                <w:lang w:val="en-GB"/>
              </w:rPr>
              <w:t>33.3</w:t>
            </w:r>
          </w:p>
        </w:tc>
        <w:tc>
          <w:tcPr>
            <w:tcW w:w="1099" w:type="dxa"/>
          </w:tcPr>
          <w:p w14:paraId="3A59F081" w14:textId="77777777" w:rsidR="007302A0" w:rsidRPr="00C3671E" w:rsidRDefault="007302A0" w:rsidP="00942EFE">
            <w:pPr>
              <w:tabs>
                <w:tab w:val="decimal" w:pos="390"/>
              </w:tabs>
              <w:rPr>
                <w:sz w:val="20"/>
                <w:szCs w:val="20"/>
                <w:lang w:val="en-GB"/>
              </w:rPr>
            </w:pPr>
            <w:r w:rsidRPr="00C3671E">
              <w:rPr>
                <w:sz w:val="20"/>
                <w:szCs w:val="20"/>
                <w:lang w:val="en-GB"/>
              </w:rPr>
              <w:t>33.1</w:t>
            </w:r>
          </w:p>
        </w:tc>
      </w:tr>
      <w:tr w:rsidR="007302A0" w:rsidRPr="00C3671E" w14:paraId="072D0A7C" w14:textId="77777777" w:rsidTr="00942EFE">
        <w:trPr>
          <w:trHeight w:val="278"/>
        </w:trPr>
        <w:tc>
          <w:tcPr>
            <w:tcW w:w="1843" w:type="dxa"/>
            <w:vAlign w:val="center"/>
          </w:tcPr>
          <w:p w14:paraId="04996422" w14:textId="77777777" w:rsidR="007302A0" w:rsidRPr="00C3671E" w:rsidRDefault="007302A0" w:rsidP="00942EFE">
            <w:pPr>
              <w:rPr>
                <w:sz w:val="20"/>
                <w:szCs w:val="20"/>
                <w:lang w:val="en-GB"/>
              </w:rPr>
            </w:pPr>
          </w:p>
        </w:tc>
        <w:tc>
          <w:tcPr>
            <w:tcW w:w="1985" w:type="dxa"/>
            <w:vAlign w:val="center"/>
          </w:tcPr>
          <w:p w14:paraId="0BA32946" w14:textId="77777777" w:rsidR="007302A0" w:rsidRPr="00C3671E" w:rsidRDefault="007302A0" w:rsidP="00942EFE">
            <w:pPr>
              <w:rPr>
                <w:sz w:val="20"/>
                <w:szCs w:val="20"/>
                <w:lang w:val="en-GB"/>
              </w:rPr>
            </w:pPr>
            <w:r w:rsidRPr="00C3671E">
              <w:rPr>
                <w:sz w:val="20"/>
                <w:szCs w:val="20"/>
                <w:lang w:val="en-GB"/>
              </w:rPr>
              <w:t>Very good</w:t>
            </w:r>
          </w:p>
        </w:tc>
        <w:tc>
          <w:tcPr>
            <w:tcW w:w="1098" w:type="dxa"/>
          </w:tcPr>
          <w:p w14:paraId="0D730965" w14:textId="77777777" w:rsidR="007302A0" w:rsidRPr="00C3671E" w:rsidRDefault="007302A0" w:rsidP="00942EFE">
            <w:pPr>
              <w:tabs>
                <w:tab w:val="decimal" w:pos="482"/>
              </w:tabs>
              <w:rPr>
                <w:sz w:val="20"/>
                <w:szCs w:val="20"/>
                <w:lang w:val="en-GB"/>
              </w:rPr>
            </w:pPr>
            <w:r w:rsidRPr="00C3671E">
              <w:rPr>
                <w:sz w:val="20"/>
                <w:szCs w:val="20"/>
                <w:lang w:val="en-GB"/>
              </w:rPr>
              <w:t>23.6</w:t>
            </w:r>
          </w:p>
        </w:tc>
        <w:tc>
          <w:tcPr>
            <w:tcW w:w="1099" w:type="dxa"/>
          </w:tcPr>
          <w:p w14:paraId="113C2C8E" w14:textId="77777777" w:rsidR="007302A0" w:rsidRPr="00C3671E" w:rsidRDefault="007302A0" w:rsidP="00942EFE">
            <w:pPr>
              <w:tabs>
                <w:tab w:val="decimal" w:pos="551"/>
              </w:tabs>
              <w:rPr>
                <w:sz w:val="20"/>
                <w:szCs w:val="20"/>
                <w:lang w:val="en-GB"/>
              </w:rPr>
            </w:pPr>
            <w:r w:rsidRPr="00C3671E">
              <w:rPr>
                <w:sz w:val="20"/>
                <w:szCs w:val="20"/>
                <w:lang w:val="en-GB"/>
              </w:rPr>
              <w:t>30.6</w:t>
            </w:r>
          </w:p>
        </w:tc>
        <w:tc>
          <w:tcPr>
            <w:tcW w:w="1098" w:type="dxa"/>
          </w:tcPr>
          <w:p w14:paraId="4C85F44A" w14:textId="77777777" w:rsidR="007302A0" w:rsidRPr="00C3671E" w:rsidRDefault="007302A0" w:rsidP="00942EFE">
            <w:pPr>
              <w:tabs>
                <w:tab w:val="decimal" w:pos="482"/>
              </w:tabs>
              <w:rPr>
                <w:sz w:val="20"/>
                <w:szCs w:val="20"/>
                <w:lang w:val="en-GB"/>
              </w:rPr>
            </w:pPr>
            <w:r w:rsidRPr="00C3671E">
              <w:rPr>
                <w:sz w:val="20"/>
                <w:szCs w:val="20"/>
                <w:lang w:val="en-GB"/>
              </w:rPr>
              <w:t>37.7</w:t>
            </w:r>
          </w:p>
        </w:tc>
        <w:tc>
          <w:tcPr>
            <w:tcW w:w="1099" w:type="dxa"/>
          </w:tcPr>
          <w:p w14:paraId="49F99745" w14:textId="77777777" w:rsidR="007302A0" w:rsidRPr="00C3671E" w:rsidRDefault="007302A0" w:rsidP="00942EFE">
            <w:pPr>
              <w:tabs>
                <w:tab w:val="decimal" w:pos="390"/>
              </w:tabs>
              <w:rPr>
                <w:sz w:val="20"/>
                <w:szCs w:val="20"/>
                <w:lang w:val="en-GB"/>
              </w:rPr>
            </w:pPr>
            <w:r w:rsidRPr="00C3671E">
              <w:rPr>
                <w:sz w:val="20"/>
                <w:szCs w:val="20"/>
                <w:lang w:val="en-GB"/>
              </w:rPr>
              <w:t>42.1</w:t>
            </w:r>
          </w:p>
        </w:tc>
      </w:tr>
      <w:tr w:rsidR="007302A0" w:rsidRPr="00C3671E" w14:paraId="64713A19" w14:textId="77777777" w:rsidTr="00942EFE">
        <w:trPr>
          <w:trHeight w:val="278"/>
        </w:trPr>
        <w:tc>
          <w:tcPr>
            <w:tcW w:w="1843" w:type="dxa"/>
            <w:vAlign w:val="center"/>
          </w:tcPr>
          <w:p w14:paraId="65F7F769" w14:textId="77777777" w:rsidR="007302A0" w:rsidRPr="00C3671E" w:rsidRDefault="007302A0" w:rsidP="00942EFE">
            <w:pPr>
              <w:rPr>
                <w:sz w:val="20"/>
                <w:szCs w:val="20"/>
                <w:lang w:val="en-GB"/>
              </w:rPr>
            </w:pPr>
            <w:r w:rsidRPr="00C3671E">
              <w:rPr>
                <w:sz w:val="20"/>
                <w:szCs w:val="20"/>
                <w:lang w:val="en-GB"/>
              </w:rPr>
              <w:t>Health</w:t>
            </w:r>
          </w:p>
        </w:tc>
        <w:tc>
          <w:tcPr>
            <w:tcW w:w="1985" w:type="dxa"/>
            <w:vAlign w:val="center"/>
          </w:tcPr>
          <w:p w14:paraId="74DB521B" w14:textId="77777777" w:rsidR="007302A0" w:rsidRPr="00C3671E" w:rsidRDefault="007302A0" w:rsidP="00942EFE">
            <w:pPr>
              <w:rPr>
                <w:sz w:val="20"/>
                <w:szCs w:val="20"/>
                <w:lang w:val="en-GB"/>
              </w:rPr>
            </w:pPr>
            <w:r w:rsidRPr="00C3671E">
              <w:rPr>
                <w:sz w:val="20"/>
                <w:szCs w:val="20"/>
                <w:lang w:val="en-GB"/>
              </w:rPr>
              <w:t>Fair or poor</w:t>
            </w:r>
          </w:p>
        </w:tc>
        <w:tc>
          <w:tcPr>
            <w:tcW w:w="1098" w:type="dxa"/>
          </w:tcPr>
          <w:p w14:paraId="1CE9C348" w14:textId="77777777" w:rsidR="007302A0" w:rsidRPr="00C3671E" w:rsidRDefault="007302A0" w:rsidP="00942EFE">
            <w:pPr>
              <w:tabs>
                <w:tab w:val="decimal" w:pos="482"/>
              </w:tabs>
              <w:rPr>
                <w:sz w:val="20"/>
                <w:szCs w:val="20"/>
                <w:lang w:val="en-GB"/>
              </w:rPr>
            </w:pPr>
            <w:r w:rsidRPr="00C3671E">
              <w:rPr>
                <w:sz w:val="20"/>
                <w:szCs w:val="20"/>
                <w:lang w:val="en-GB"/>
              </w:rPr>
              <w:t>41.7</w:t>
            </w:r>
          </w:p>
        </w:tc>
        <w:tc>
          <w:tcPr>
            <w:tcW w:w="1099" w:type="dxa"/>
          </w:tcPr>
          <w:p w14:paraId="4EF5632B" w14:textId="77777777" w:rsidR="007302A0" w:rsidRPr="00C3671E" w:rsidRDefault="007302A0" w:rsidP="00942EFE">
            <w:pPr>
              <w:tabs>
                <w:tab w:val="decimal" w:pos="551"/>
              </w:tabs>
              <w:rPr>
                <w:sz w:val="20"/>
                <w:szCs w:val="20"/>
                <w:lang w:val="en-GB"/>
              </w:rPr>
            </w:pPr>
            <w:r w:rsidRPr="00C3671E">
              <w:rPr>
                <w:sz w:val="20"/>
                <w:szCs w:val="20"/>
                <w:lang w:val="en-GB"/>
              </w:rPr>
              <w:t>39.1</w:t>
            </w:r>
          </w:p>
        </w:tc>
        <w:tc>
          <w:tcPr>
            <w:tcW w:w="1098" w:type="dxa"/>
          </w:tcPr>
          <w:p w14:paraId="36EA436F" w14:textId="77777777" w:rsidR="007302A0" w:rsidRPr="00C3671E" w:rsidRDefault="007302A0" w:rsidP="00942EFE">
            <w:pPr>
              <w:tabs>
                <w:tab w:val="decimal" w:pos="482"/>
              </w:tabs>
              <w:rPr>
                <w:sz w:val="20"/>
                <w:szCs w:val="20"/>
                <w:lang w:val="en-GB"/>
              </w:rPr>
            </w:pPr>
            <w:r w:rsidRPr="00C3671E">
              <w:rPr>
                <w:sz w:val="20"/>
                <w:szCs w:val="20"/>
                <w:lang w:val="en-GB"/>
              </w:rPr>
              <w:t>38.0</w:t>
            </w:r>
          </w:p>
        </w:tc>
        <w:tc>
          <w:tcPr>
            <w:tcW w:w="1099" w:type="dxa"/>
          </w:tcPr>
          <w:p w14:paraId="5429D8DB" w14:textId="77777777" w:rsidR="007302A0" w:rsidRPr="00C3671E" w:rsidRDefault="007302A0" w:rsidP="00942EFE">
            <w:pPr>
              <w:tabs>
                <w:tab w:val="decimal" w:pos="390"/>
              </w:tabs>
              <w:rPr>
                <w:sz w:val="20"/>
                <w:szCs w:val="20"/>
                <w:lang w:val="en-GB"/>
              </w:rPr>
            </w:pPr>
            <w:r w:rsidRPr="00C3671E">
              <w:rPr>
                <w:sz w:val="20"/>
                <w:szCs w:val="20"/>
                <w:lang w:val="en-GB"/>
              </w:rPr>
              <w:t>38.4</w:t>
            </w:r>
          </w:p>
        </w:tc>
      </w:tr>
      <w:tr w:rsidR="007302A0" w:rsidRPr="00C3671E" w14:paraId="61B23A79" w14:textId="77777777" w:rsidTr="00942EFE">
        <w:trPr>
          <w:trHeight w:val="278"/>
        </w:trPr>
        <w:tc>
          <w:tcPr>
            <w:tcW w:w="1843" w:type="dxa"/>
            <w:vAlign w:val="center"/>
          </w:tcPr>
          <w:p w14:paraId="66CECA8A" w14:textId="77777777" w:rsidR="007302A0" w:rsidRPr="00C3671E" w:rsidRDefault="007302A0" w:rsidP="00942EFE">
            <w:pPr>
              <w:rPr>
                <w:sz w:val="20"/>
                <w:szCs w:val="20"/>
                <w:lang w:val="en-GB"/>
              </w:rPr>
            </w:pPr>
          </w:p>
        </w:tc>
        <w:tc>
          <w:tcPr>
            <w:tcW w:w="1985" w:type="dxa"/>
            <w:vAlign w:val="center"/>
          </w:tcPr>
          <w:p w14:paraId="263CFAD5" w14:textId="77777777" w:rsidR="007302A0" w:rsidRPr="00C3671E" w:rsidRDefault="007302A0" w:rsidP="00942EFE">
            <w:pPr>
              <w:rPr>
                <w:sz w:val="20"/>
                <w:szCs w:val="20"/>
                <w:lang w:val="en-GB"/>
              </w:rPr>
            </w:pPr>
            <w:r w:rsidRPr="00C3671E">
              <w:rPr>
                <w:sz w:val="20"/>
                <w:szCs w:val="20"/>
                <w:lang w:val="en-GB"/>
              </w:rPr>
              <w:t>Good</w:t>
            </w:r>
          </w:p>
        </w:tc>
        <w:tc>
          <w:tcPr>
            <w:tcW w:w="1098" w:type="dxa"/>
          </w:tcPr>
          <w:p w14:paraId="0C6F8A09" w14:textId="77777777" w:rsidR="007302A0" w:rsidRPr="00C3671E" w:rsidRDefault="007302A0" w:rsidP="00942EFE">
            <w:pPr>
              <w:tabs>
                <w:tab w:val="decimal" w:pos="482"/>
              </w:tabs>
              <w:rPr>
                <w:sz w:val="20"/>
                <w:szCs w:val="20"/>
                <w:lang w:val="en-GB"/>
              </w:rPr>
            </w:pPr>
            <w:r w:rsidRPr="00C3671E">
              <w:rPr>
                <w:sz w:val="20"/>
                <w:szCs w:val="20"/>
                <w:lang w:val="en-GB"/>
              </w:rPr>
              <w:t>36.9</w:t>
            </w:r>
          </w:p>
        </w:tc>
        <w:tc>
          <w:tcPr>
            <w:tcW w:w="1099" w:type="dxa"/>
          </w:tcPr>
          <w:p w14:paraId="2E0F27C7" w14:textId="77777777" w:rsidR="007302A0" w:rsidRPr="00C3671E" w:rsidRDefault="007302A0" w:rsidP="00942EFE">
            <w:pPr>
              <w:tabs>
                <w:tab w:val="decimal" w:pos="551"/>
              </w:tabs>
              <w:rPr>
                <w:sz w:val="20"/>
                <w:szCs w:val="20"/>
                <w:lang w:val="en-GB"/>
              </w:rPr>
            </w:pPr>
            <w:r w:rsidRPr="00C3671E">
              <w:rPr>
                <w:sz w:val="20"/>
                <w:szCs w:val="20"/>
                <w:lang w:val="en-GB"/>
              </w:rPr>
              <w:t>37.2</w:t>
            </w:r>
          </w:p>
        </w:tc>
        <w:tc>
          <w:tcPr>
            <w:tcW w:w="1098" w:type="dxa"/>
          </w:tcPr>
          <w:p w14:paraId="1675D317" w14:textId="77777777" w:rsidR="007302A0" w:rsidRPr="00C3671E" w:rsidRDefault="007302A0" w:rsidP="00942EFE">
            <w:pPr>
              <w:tabs>
                <w:tab w:val="decimal" w:pos="482"/>
              </w:tabs>
              <w:rPr>
                <w:sz w:val="20"/>
                <w:szCs w:val="20"/>
                <w:lang w:val="en-GB"/>
              </w:rPr>
            </w:pPr>
            <w:r w:rsidRPr="00C3671E">
              <w:rPr>
                <w:sz w:val="20"/>
                <w:szCs w:val="20"/>
                <w:lang w:val="en-GB"/>
              </w:rPr>
              <w:t>37.7</w:t>
            </w:r>
          </w:p>
        </w:tc>
        <w:tc>
          <w:tcPr>
            <w:tcW w:w="1099" w:type="dxa"/>
          </w:tcPr>
          <w:p w14:paraId="412FCC02" w14:textId="77777777" w:rsidR="007302A0" w:rsidRPr="00C3671E" w:rsidRDefault="007302A0" w:rsidP="00942EFE">
            <w:pPr>
              <w:tabs>
                <w:tab w:val="decimal" w:pos="390"/>
              </w:tabs>
              <w:rPr>
                <w:sz w:val="20"/>
                <w:szCs w:val="20"/>
                <w:lang w:val="en-GB"/>
              </w:rPr>
            </w:pPr>
            <w:r w:rsidRPr="00C3671E">
              <w:rPr>
                <w:sz w:val="20"/>
                <w:szCs w:val="20"/>
                <w:lang w:val="en-GB"/>
              </w:rPr>
              <w:t>37.5</w:t>
            </w:r>
          </w:p>
        </w:tc>
      </w:tr>
      <w:tr w:rsidR="007302A0" w:rsidRPr="00C3671E" w14:paraId="36FD859C" w14:textId="77777777" w:rsidTr="00942EFE">
        <w:trPr>
          <w:trHeight w:val="278"/>
        </w:trPr>
        <w:tc>
          <w:tcPr>
            <w:tcW w:w="1843" w:type="dxa"/>
            <w:vAlign w:val="center"/>
          </w:tcPr>
          <w:p w14:paraId="0D7A1451" w14:textId="77777777" w:rsidR="007302A0" w:rsidRPr="00C3671E" w:rsidRDefault="007302A0" w:rsidP="00942EFE">
            <w:pPr>
              <w:rPr>
                <w:sz w:val="20"/>
                <w:szCs w:val="20"/>
                <w:lang w:val="en-GB"/>
              </w:rPr>
            </w:pPr>
          </w:p>
        </w:tc>
        <w:tc>
          <w:tcPr>
            <w:tcW w:w="1985" w:type="dxa"/>
            <w:vAlign w:val="center"/>
          </w:tcPr>
          <w:p w14:paraId="1F6A3188" w14:textId="77777777" w:rsidR="007302A0" w:rsidRPr="00C3671E" w:rsidRDefault="007302A0" w:rsidP="00942EFE">
            <w:pPr>
              <w:rPr>
                <w:sz w:val="20"/>
                <w:szCs w:val="20"/>
                <w:lang w:val="en-GB"/>
              </w:rPr>
            </w:pPr>
            <w:r w:rsidRPr="00C3671E">
              <w:rPr>
                <w:sz w:val="20"/>
                <w:szCs w:val="20"/>
                <w:lang w:val="en-GB"/>
              </w:rPr>
              <w:t>Very good</w:t>
            </w:r>
          </w:p>
        </w:tc>
        <w:tc>
          <w:tcPr>
            <w:tcW w:w="1098" w:type="dxa"/>
          </w:tcPr>
          <w:p w14:paraId="47FAFA89" w14:textId="77777777" w:rsidR="007302A0" w:rsidRPr="00C3671E" w:rsidRDefault="007302A0" w:rsidP="00942EFE">
            <w:pPr>
              <w:tabs>
                <w:tab w:val="decimal" w:pos="482"/>
              </w:tabs>
              <w:rPr>
                <w:sz w:val="20"/>
                <w:szCs w:val="20"/>
                <w:lang w:val="en-GB"/>
              </w:rPr>
            </w:pPr>
            <w:r w:rsidRPr="00C3671E">
              <w:rPr>
                <w:sz w:val="20"/>
                <w:szCs w:val="20"/>
                <w:lang w:val="en-GB"/>
              </w:rPr>
              <w:t>21.4</w:t>
            </w:r>
          </w:p>
        </w:tc>
        <w:tc>
          <w:tcPr>
            <w:tcW w:w="1099" w:type="dxa"/>
          </w:tcPr>
          <w:p w14:paraId="026A223B" w14:textId="77777777" w:rsidR="007302A0" w:rsidRPr="00C3671E" w:rsidRDefault="007302A0" w:rsidP="00942EFE">
            <w:pPr>
              <w:tabs>
                <w:tab w:val="decimal" w:pos="551"/>
              </w:tabs>
              <w:rPr>
                <w:sz w:val="20"/>
                <w:szCs w:val="20"/>
                <w:lang w:val="en-GB"/>
              </w:rPr>
            </w:pPr>
            <w:r w:rsidRPr="00C3671E">
              <w:rPr>
                <w:sz w:val="20"/>
                <w:szCs w:val="20"/>
                <w:lang w:val="en-GB"/>
              </w:rPr>
              <w:t>23.7</w:t>
            </w:r>
          </w:p>
        </w:tc>
        <w:tc>
          <w:tcPr>
            <w:tcW w:w="1098" w:type="dxa"/>
          </w:tcPr>
          <w:p w14:paraId="3CAFD759" w14:textId="77777777" w:rsidR="007302A0" w:rsidRPr="00C3671E" w:rsidRDefault="007302A0" w:rsidP="00942EFE">
            <w:pPr>
              <w:tabs>
                <w:tab w:val="decimal" w:pos="482"/>
              </w:tabs>
              <w:rPr>
                <w:sz w:val="20"/>
                <w:szCs w:val="20"/>
                <w:lang w:val="en-GB"/>
              </w:rPr>
            </w:pPr>
            <w:r w:rsidRPr="00C3671E">
              <w:rPr>
                <w:sz w:val="20"/>
                <w:szCs w:val="20"/>
                <w:lang w:val="en-GB"/>
              </w:rPr>
              <w:t>24.3</w:t>
            </w:r>
          </w:p>
        </w:tc>
        <w:tc>
          <w:tcPr>
            <w:tcW w:w="1099" w:type="dxa"/>
          </w:tcPr>
          <w:p w14:paraId="40E547BA" w14:textId="77777777" w:rsidR="007302A0" w:rsidRPr="00C3671E" w:rsidRDefault="007302A0" w:rsidP="00942EFE">
            <w:pPr>
              <w:tabs>
                <w:tab w:val="decimal" w:pos="390"/>
              </w:tabs>
              <w:rPr>
                <w:sz w:val="20"/>
                <w:szCs w:val="20"/>
                <w:lang w:val="en-GB"/>
              </w:rPr>
            </w:pPr>
            <w:r w:rsidRPr="00C3671E">
              <w:rPr>
                <w:sz w:val="20"/>
                <w:szCs w:val="20"/>
                <w:lang w:val="en-GB"/>
              </w:rPr>
              <w:t>24.1</w:t>
            </w:r>
          </w:p>
        </w:tc>
      </w:tr>
      <w:tr w:rsidR="007302A0" w:rsidRPr="00C3671E" w14:paraId="4F133FCA" w14:textId="77777777" w:rsidTr="00942EFE">
        <w:trPr>
          <w:trHeight w:val="278"/>
        </w:trPr>
        <w:tc>
          <w:tcPr>
            <w:tcW w:w="1843" w:type="dxa"/>
            <w:vAlign w:val="center"/>
          </w:tcPr>
          <w:p w14:paraId="36FB7FBF" w14:textId="77777777" w:rsidR="007302A0" w:rsidRPr="00C3671E" w:rsidRDefault="007302A0" w:rsidP="00942EFE">
            <w:pPr>
              <w:rPr>
                <w:sz w:val="20"/>
                <w:szCs w:val="20"/>
                <w:lang w:val="en-GB"/>
              </w:rPr>
            </w:pPr>
            <w:r w:rsidRPr="00C3671E">
              <w:rPr>
                <w:sz w:val="20"/>
                <w:szCs w:val="20"/>
                <w:lang w:val="en-GB"/>
              </w:rPr>
              <w:t>Social participation</w:t>
            </w:r>
          </w:p>
        </w:tc>
        <w:tc>
          <w:tcPr>
            <w:tcW w:w="1985" w:type="dxa"/>
            <w:vAlign w:val="center"/>
          </w:tcPr>
          <w:p w14:paraId="6960A690" w14:textId="77777777" w:rsidR="007302A0" w:rsidRPr="00C3671E" w:rsidRDefault="007302A0" w:rsidP="00942EFE">
            <w:pPr>
              <w:rPr>
                <w:sz w:val="20"/>
                <w:szCs w:val="20"/>
                <w:lang w:val="en-GB"/>
              </w:rPr>
            </w:pPr>
            <w:r w:rsidRPr="00C3671E">
              <w:rPr>
                <w:sz w:val="20"/>
                <w:szCs w:val="20"/>
                <w:lang w:val="en-GB"/>
              </w:rPr>
              <w:t>No</w:t>
            </w:r>
          </w:p>
        </w:tc>
        <w:tc>
          <w:tcPr>
            <w:tcW w:w="1098" w:type="dxa"/>
          </w:tcPr>
          <w:p w14:paraId="3BE2DCE5" w14:textId="77777777" w:rsidR="007302A0" w:rsidRPr="00C3671E" w:rsidRDefault="007302A0" w:rsidP="00942EFE">
            <w:pPr>
              <w:tabs>
                <w:tab w:val="decimal" w:pos="482"/>
              </w:tabs>
              <w:rPr>
                <w:sz w:val="20"/>
                <w:szCs w:val="20"/>
                <w:lang w:val="en-GB"/>
              </w:rPr>
            </w:pPr>
            <w:r w:rsidRPr="00C3671E">
              <w:rPr>
                <w:sz w:val="20"/>
                <w:szCs w:val="20"/>
                <w:lang w:val="en-GB"/>
              </w:rPr>
              <w:t>72.0</w:t>
            </w:r>
          </w:p>
        </w:tc>
        <w:tc>
          <w:tcPr>
            <w:tcW w:w="1099" w:type="dxa"/>
          </w:tcPr>
          <w:p w14:paraId="09411D54" w14:textId="77777777" w:rsidR="007302A0" w:rsidRPr="00C3671E" w:rsidRDefault="007302A0" w:rsidP="00942EFE">
            <w:pPr>
              <w:tabs>
                <w:tab w:val="decimal" w:pos="551"/>
              </w:tabs>
              <w:rPr>
                <w:sz w:val="20"/>
                <w:szCs w:val="20"/>
                <w:lang w:val="en-GB"/>
              </w:rPr>
            </w:pPr>
            <w:r w:rsidRPr="00C3671E">
              <w:rPr>
                <w:sz w:val="20"/>
                <w:szCs w:val="20"/>
                <w:lang w:val="en-GB"/>
              </w:rPr>
              <w:t>66.8</w:t>
            </w:r>
          </w:p>
        </w:tc>
        <w:tc>
          <w:tcPr>
            <w:tcW w:w="1098" w:type="dxa"/>
          </w:tcPr>
          <w:p w14:paraId="220ED4B8" w14:textId="77777777" w:rsidR="007302A0" w:rsidRPr="00C3671E" w:rsidRDefault="007302A0" w:rsidP="00942EFE">
            <w:pPr>
              <w:tabs>
                <w:tab w:val="decimal" w:pos="482"/>
              </w:tabs>
              <w:rPr>
                <w:sz w:val="20"/>
                <w:szCs w:val="20"/>
                <w:lang w:val="en-GB"/>
              </w:rPr>
            </w:pPr>
            <w:r w:rsidRPr="00C3671E">
              <w:rPr>
                <w:sz w:val="20"/>
                <w:szCs w:val="20"/>
                <w:lang w:val="en-GB"/>
              </w:rPr>
              <w:t>64.4</w:t>
            </w:r>
          </w:p>
        </w:tc>
        <w:tc>
          <w:tcPr>
            <w:tcW w:w="1099" w:type="dxa"/>
          </w:tcPr>
          <w:p w14:paraId="2E0348F9" w14:textId="77777777" w:rsidR="007302A0" w:rsidRPr="00C3671E" w:rsidRDefault="007302A0" w:rsidP="00942EFE">
            <w:pPr>
              <w:tabs>
                <w:tab w:val="decimal" w:pos="390"/>
              </w:tabs>
              <w:rPr>
                <w:sz w:val="20"/>
                <w:szCs w:val="20"/>
                <w:lang w:val="en-GB"/>
              </w:rPr>
            </w:pPr>
            <w:r w:rsidRPr="00C3671E">
              <w:rPr>
                <w:sz w:val="20"/>
                <w:szCs w:val="20"/>
                <w:lang w:val="en-GB"/>
              </w:rPr>
              <w:t>63.5</w:t>
            </w:r>
          </w:p>
        </w:tc>
      </w:tr>
      <w:tr w:rsidR="007302A0" w:rsidRPr="00C3671E" w14:paraId="32CB89A3" w14:textId="77777777" w:rsidTr="00942EFE">
        <w:trPr>
          <w:trHeight w:val="278"/>
        </w:trPr>
        <w:tc>
          <w:tcPr>
            <w:tcW w:w="1843" w:type="dxa"/>
            <w:vAlign w:val="center"/>
          </w:tcPr>
          <w:p w14:paraId="3082FF3A" w14:textId="77777777" w:rsidR="007302A0" w:rsidRPr="00C3671E" w:rsidRDefault="007302A0" w:rsidP="00942EFE">
            <w:pPr>
              <w:rPr>
                <w:sz w:val="20"/>
                <w:szCs w:val="20"/>
                <w:lang w:val="en-GB"/>
              </w:rPr>
            </w:pPr>
          </w:p>
        </w:tc>
        <w:tc>
          <w:tcPr>
            <w:tcW w:w="1985" w:type="dxa"/>
            <w:vAlign w:val="center"/>
          </w:tcPr>
          <w:p w14:paraId="2C861B8E" w14:textId="77777777" w:rsidR="007302A0" w:rsidRPr="00C3671E" w:rsidRDefault="007302A0" w:rsidP="00942EFE">
            <w:pPr>
              <w:rPr>
                <w:sz w:val="20"/>
                <w:szCs w:val="20"/>
                <w:lang w:val="en-GB"/>
              </w:rPr>
            </w:pPr>
            <w:r w:rsidRPr="00C3671E">
              <w:rPr>
                <w:sz w:val="20"/>
                <w:szCs w:val="20"/>
                <w:lang w:val="en-GB"/>
              </w:rPr>
              <w:t>Yes</w:t>
            </w:r>
          </w:p>
        </w:tc>
        <w:tc>
          <w:tcPr>
            <w:tcW w:w="1098" w:type="dxa"/>
          </w:tcPr>
          <w:p w14:paraId="2FDBD501" w14:textId="77777777" w:rsidR="007302A0" w:rsidRPr="00C3671E" w:rsidRDefault="007302A0" w:rsidP="00942EFE">
            <w:pPr>
              <w:tabs>
                <w:tab w:val="decimal" w:pos="482"/>
              </w:tabs>
              <w:rPr>
                <w:sz w:val="20"/>
                <w:szCs w:val="20"/>
                <w:lang w:val="en-GB"/>
              </w:rPr>
            </w:pPr>
            <w:r w:rsidRPr="00C3671E">
              <w:rPr>
                <w:sz w:val="20"/>
                <w:szCs w:val="20"/>
                <w:lang w:val="en-GB"/>
              </w:rPr>
              <w:t>28.0</w:t>
            </w:r>
          </w:p>
        </w:tc>
        <w:tc>
          <w:tcPr>
            <w:tcW w:w="1099" w:type="dxa"/>
          </w:tcPr>
          <w:p w14:paraId="1F87469B" w14:textId="77777777" w:rsidR="007302A0" w:rsidRPr="00C3671E" w:rsidRDefault="007302A0" w:rsidP="00942EFE">
            <w:pPr>
              <w:tabs>
                <w:tab w:val="decimal" w:pos="551"/>
              </w:tabs>
              <w:rPr>
                <w:sz w:val="20"/>
                <w:szCs w:val="20"/>
                <w:lang w:val="en-GB"/>
              </w:rPr>
            </w:pPr>
            <w:r w:rsidRPr="00C3671E">
              <w:rPr>
                <w:sz w:val="20"/>
                <w:szCs w:val="20"/>
                <w:lang w:val="en-GB"/>
              </w:rPr>
              <w:t>33.2</w:t>
            </w:r>
          </w:p>
        </w:tc>
        <w:tc>
          <w:tcPr>
            <w:tcW w:w="1098" w:type="dxa"/>
          </w:tcPr>
          <w:p w14:paraId="23AC677A" w14:textId="77777777" w:rsidR="007302A0" w:rsidRPr="00C3671E" w:rsidRDefault="007302A0" w:rsidP="00942EFE">
            <w:pPr>
              <w:tabs>
                <w:tab w:val="decimal" w:pos="482"/>
              </w:tabs>
              <w:rPr>
                <w:sz w:val="20"/>
                <w:szCs w:val="20"/>
                <w:lang w:val="en-GB"/>
              </w:rPr>
            </w:pPr>
            <w:r w:rsidRPr="00C3671E">
              <w:rPr>
                <w:sz w:val="20"/>
                <w:szCs w:val="20"/>
                <w:lang w:val="en-GB"/>
              </w:rPr>
              <w:t>35.6</w:t>
            </w:r>
          </w:p>
        </w:tc>
        <w:tc>
          <w:tcPr>
            <w:tcW w:w="1099" w:type="dxa"/>
          </w:tcPr>
          <w:p w14:paraId="280A6B85" w14:textId="77777777" w:rsidR="007302A0" w:rsidRPr="00C3671E" w:rsidRDefault="007302A0" w:rsidP="00942EFE">
            <w:pPr>
              <w:tabs>
                <w:tab w:val="decimal" w:pos="390"/>
              </w:tabs>
              <w:rPr>
                <w:sz w:val="20"/>
                <w:szCs w:val="20"/>
                <w:lang w:val="en-GB"/>
              </w:rPr>
            </w:pPr>
            <w:r w:rsidRPr="00C3671E">
              <w:rPr>
                <w:sz w:val="20"/>
                <w:szCs w:val="20"/>
                <w:lang w:val="en-GB"/>
              </w:rPr>
              <w:t>36.5</w:t>
            </w:r>
          </w:p>
        </w:tc>
      </w:tr>
      <w:tr w:rsidR="007302A0" w:rsidRPr="00C3671E" w14:paraId="54D3542B" w14:textId="77777777" w:rsidTr="00942EFE">
        <w:trPr>
          <w:trHeight w:val="278"/>
        </w:trPr>
        <w:tc>
          <w:tcPr>
            <w:tcW w:w="1843" w:type="dxa"/>
            <w:vAlign w:val="center"/>
          </w:tcPr>
          <w:p w14:paraId="456BEE28" w14:textId="77777777" w:rsidR="007302A0" w:rsidRPr="00C3671E" w:rsidRDefault="007302A0" w:rsidP="00942EFE">
            <w:pPr>
              <w:rPr>
                <w:sz w:val="20"/>
                <w:szCs w:val="20"/>
                <w:lang w:val="en-GB"/>
              </w:rPr>
            </w:pPr>
            <w:r w:rsidRPr="00C3671E">
              <w:rPr>
                <w:sz w:val="20"/>
                <w:szCs w:val="20"/>
                <w:lang w:val="en-GB"/>
              </w:rPr>
              <w:t>Country</w:t>
            </w:r>
          </w:p>
        </w:tc>
        <w:tc>
          <w:tcPr>
            <w:tcW w:w="1985" w:type="dxa"/>
            <w:vAlign w:val="center"/>
          </w:tcPr>
          <w:p w14:paraId="589C5A5C" w14:textId="77777777" w:rsidR="007302A0" w:rsidRPr="00C3671E" w:rsidRDefault="007302A0" w:rsidP="00942EFE">
            <w:pPr>
              <w:rPr>
                <w:sz w:val="20"/>
                <w:szCs w:val="20"/>
                <w:lang w:val="en-GB"/>
              </w:rPr>
            </w:pPr>
            <w:r w:rsidRPr="00C3671E">
              <w:rPr>
                <w:sz w:val="20"/>
                <w:szCs w:val="20"/>
                <w:lang w:val="en-GB"/>
              </w:rPr>
              <w:t>Austria</w:t>
            </w:r>
          </w:p>
        </w:tc>
        <w:tc>
          <w:tcPr>
            <w:tcW w:w="1098" w:type="dxa"/>
          </w:tcPr>
          <w:p w14:paraId="01434F7F" w14:textId="77777777" w:rsidR="007302A0" w:rsidRPr="00C3671E" w:rsidRDefault="007302A0" w:rsidP="00942EFE">
            <w:pPr>
              <w:tabs>
                <w:tab w:val="decimal" w:pos="482"/>
              </w:tabs>
              <w:rPr>
                <w:sz w:val="20"/>
                <w:szCs w:val="20"/>
                <w:lang w:val="en-GB"/>
              </w:rPr>
            </w:pPr>
            <w:r w:rsidRPr="00C3671E">
              <w:rPr>
                <w:sz w:val="20"/>
                <w:szCs w:val="20"/>
                <w:lang w:val="en-GB"/>
              </w:rPr>
              <w:t>12.7</w:t>
            </w:r>
          </w:p>
        </w:tc>
        <w:tc>
          <w:tcPr>
            <w:tcW w:w="1099" w:type="dxa"/>
          </w:tcPr>
          <w:p w14:paraId="0E4D66F9" w14:textId="77777777" w:rsidR="007302A0" w:rsidRPr="00C3671E" w:rsidRDefault="007302A0" w:rsidP="00942EFE">
            <w:pPr>
              <w:tabs>
                <w:tab w:val="decimal" w:pos="551"/>
              </w:tabs>
              <w:rPr>
                <w:sz w:val="20"/>
                <w:szCs w:val="20"/>
                <w:lang w:val="en-GB"/>
              </w:rPr>
            </w:pPr>
            <w:r w:rsidRPr="00C3671E">
              <w:rPr>
                <w:sz w:val="20"/>
                <w:szCs w:val="20"/>
                <w:lang w:val="en-GB"/>
              </w:rPr>
              <w:t>26.7</w:t>
            </w:r>
          </w:p>
        </w:tc>
        <w:tc>
          <w:tcPr>
            <w:tcW w:w="1098" w:type="dxa"/>
          </w:tcPr>
          <w:p w14:paraId="4A741BE6" w14:textId="77777777" w:rsidR="007302A0" w:rsidRPr="00C3671E" w:rsidRDefault="007302A0" w:rsidP="00942EFE">
            <w:pPr>
              <w:tabs>
                <w:tab w:val="decimal" w:pos="482"/>
              </w:tabs>
              <w:rPr>
                <w:sz w:val="20"/>
                <w:szCs w:val="20"/>
                <w:lang w:val="en-GB"/>
              </w:rPr>
            </w:pPr>
            <w:r w:rsidRPr="00C3671E">
              <w:rPr>
                <w:sz w:val="20"/>
                <w:szCs w:val="20"/>
                <w:lang w:val="en-GB"/>
              </w:rPr>
              <w:t>20.8</w:t>
            </w:r>
          </w:p>
        </w:tc>
        <w:tc>
          <w:tcPr>
            <w:tcW w:w="1099" w:type="dxa"/>
          </w:tcPr>
          <w:p w14:paraId="635F29CC" w14:textId="77777777" w:rsidR="007302A0" w:rsidRPr="00C3671E" w:rsidRDefault="007302A0" w:rsidP="00942EFE">
            <w:pPr>
              <w:tabs>
                <w:tab w:val="decimal" w:pos="390"/>
              </w:tabs>
              <w:rPr>
                <w:sz w:val="20"/>
                <w:szCs w:val="20"/>
                <w:lang w:val="en-GB"/>
              </w:rPr>
            </w:pPr>
            <w:r w:rsidRPr="00C3671E">
              <w:rPr>
                <w:sz w:val="20"/>
                <w:szCs w:val="20"/>
                <w:lang w:val="en-GB"/>
              </w:rPr>
              <w:t>18.3</w:t>
            </w:r>
          </w:p>
        </w:tc>
      </w:tr>
      <w:tr w:rsidR="007302A0" w:rsidRPr="00C3671E" w14:paraId="0562DA09" w14:textId="77777777" w:rsidTr="00942EFE">
        <w:trPr>
          <w:trHeight w:val="278"/>
        </w:trPr>
        <w:tc>
          <w:tcPr>
            <w:tcW w:w="1843" w:type="dxa"/>
            <w:vAlign w:val="center"/>
          </w:tcPr>
          <w:p w14:paraId="4A50E663" w14:textId="77777777" w:rsidR="007302A0" w:rsidRPr="00C3671E" w:rsidRDefault="007302A0" w:rsidP="00942EFE">
            <w:pPr>
              <w:rPr>
                <w:sz w:val="20"/>
                <w:szCs w:val="20"/>
                <w:lang w:val="en-GB"/>
              </w:rPr>
            </w:pPr>
          </w:p>
        </w:tc>
        <w:tc>
          <w:tcPr>
            <w:tcW w:w="1985" w:type="dxa"/>
            <w:vAlign w:val="center"/>
          </w:tcPr>
          <w:p w14:paraId="1CA34BF8" w14:textId="77777777" w:rsidR="007302A0" w:rsidRPr="00C3671E" w:rsidRDefault="007302A0" w:rsidP="00942EFE">
            <w:pPr>
              <w:rPr>
                <w:sz w:val="20"/>
                <w:szCs w:val="20"/>
                <w:lang w:val="en-GB"/>
              </w:rPr>
            </w:pPr>
            <w:r w:rsidRPr="00C3671E">
              <w:rPr>
                <w:sz w:val="20"/>
                <w:szCs w:val="20"/>
                <w:lang w:val="en-GB"/>
              </w:rPr>
              <w:t>Sweden</w:t>
            </w:r>
          </w:p>
        </w:tc>
        <w:tc>
          <w:tcPr>
            <w:tcW w:w="1098" w:type="dxa"/>
          </w:tcPr>
          <w:p w14:paraId="3FA62111" w14:textId="77777777" w:rsidR="007302A0" w:rsidRPr="00C3671E" w:rsidRDefault="007302A0" w:rsidP="00942EFE">
            <w:pPr>
              <w:tabs>
                <w:tab w:val="decimal" w:pos="482"/>
              </w:tabs>
              <w:rPr>
                <w:sz w:val="20"/>
                <w:szCs w:val="20"/>
                <w:lang w:val="en-GB"/>
              </w:rPr>
            </w:pPr>
            <w:r w:rsidRPr="00C3671E">
              <w:rPr>
                <w:sz w:val="20"/>
                <w:szCs w:val="20"/>
                <w:lang w:val="en-GB"/>
              </w:rPr>
              <w:t>24.3</w:t>
            </w:r>
          </w:p>
        </w:tc>
        <w:tc>
          <w:tcPr>
            <w:tcW w:w="1099" w:type="dxa"/>
          </w:tcPr>
          <w:p w14:paraId="634F56F3" w14:textId="77777777" w:rsidR="007302A0" w:rsidRPr="00C3671E" w:rsidRDefault="007302A0" w:rsidP="00942EFE">
            <w:pPr>
              <w:tabs>
                <w:tab w:val="decimal" w:pos="551"/>
              </w:tabs>
              <w:rPr>
                <w:sz w:val="20"/>
                <w:szCs w:val="20"/>
                <w:lang w:val="en-GB"/>
              </w:rPr>
            </w:pPr>
            <w:r w:rsidRPr="00C3671E">
              <w:rPr>
                <w:sz w:val="20"/>
                <w:szCs w:val="20"/>
                <w:lang w:val="en-GB"/>
              </w:rPr>
              <w:t>11.2</w:t>
            </w:r>
          </w:p>
        </w:tc>
        <w:tc>
          <w:tcPr>
            <w:tcW w:w="1098" w:type="dxa"/>
          </w:tcPr>
          <w:p w14:paraId="75C796F2" w14:textId="77777777" w:rsidR="007302A0" w:rsidRPr="00C3671E" w:rsidRDefault="007302A0" w:rsidP="00942EFE">
            <w:pPr>
              <w:tabs>
                <w:tab w:val="decimal" w:pos="482"/>
              </w:tabs>
              <w:rPr>
                <w:sz w:val="20"/>
                <w:szCs w:val="20"/>
                <w:lang w:val="en-GB"/>
              </w:rPr>
            </w:pPr>
            <w:r w:rsidRPr="00C3671E">
              <w:rPr>
                <w:sz w:val="20"/>
                <w:szCs w:val="20"/>
                <w:lang w:val="en-GB"/>
              </w:rPr>
              <w:t>20.8</w:t>
            </w:r>
          </w:p>
        </w:tc>
        <w:tc>
          <w:tcPr>
            <w:tcW w:w="1099" w:type="dxa"/>
          </w:tcPr>
          <w:p w14:paraId="04F6A69F" w14:textId="77777777" w:rsidR="007302A0" w:rsidRPr="00C3671E" w:rsidRDefault="007302A0" w:rsidP="00942EFE">
            <w:pPr>
              <w:tabs>
                <w:tab w:val="decimal" w:pos="390"/>
              </w:tabs>
              <w:rPr>
                <w:sz w:val="20"/>
                <w:szCs w:val="20"/>
                <w:lang w:val="en-GB"/>
              </w:rPr>
            </w:pPr>
            <w:r w:rsidRPr="00C3671E">
              <w:rPr>
                <w:sz w:val="20"/>
                <w:szCs w:val="20"/>
                <w:lang w:val="en-GB"/>
              </w:rPr>
              <w:t>20.9</w:t>
            </w:r>
          </w:p>
        </w:tc>
      </w:tr>
      <w:tr w:rsidR="007302A0" w:rsidRPr="00C3671E" w14:paraId="724A794D" w14:textId="77777777" w:rsidTr="00942EFE">
        <w:trPr>
          <w:trHeight w:val="278"/>
        </w:trPr>
        <w:tc>
          <w:tcPr>
            <w:tcW w:w="1843" w:type="dxa"/>
            <w:vAlign w:val="center"/>
          </w:tcPr>
          <w:p w14:paraId="3C534E8E" w14:textId="77777777" w:rsidR="007302A0" w:rsidRPr="00C3671E" w:rsidRDefault="007302A0" w:rsidP="00942EFE">
            <w:pPr>
              <w:rPr>
                <w:sz w:val="20"/>
                <w:szCs w:val="20"/>
                <w:lang w:val="en-GB"/>
              </w:rPr>
            </w:pPr>
          </w:p>
        </w:tc>
        <w:tc>
          <w:tcPr>
            <w:tcW w:w="1985" w:type="dxa"/>
            <w:vAlign w:val="center"/>
          </w:tcPr>
          <w:p w14:paraId="62F97BC5" w14:textId="77777777" w:rsidR="007302A0" w:rsidRPr="00C3671E" w:rsidRDefault="007302A0" w:rsidP="00942EFE">
            <w:pPr>
              <w:rPr>
                <w:sz w:val="20"/>
                <w:szCs w:val="20"/>
                <w:lang w:val="en-GB"/>
              </w:rPr>
            </w:pPr>
            <w:r w:rsidRPr="00C3671E">
              <w:rPr>
                <w:sz w:val="20"/>
                <w:szCs w:val="20"/>
                <w:lang w:val="en-GB"/>
              </w:rPr>
              <w:t>Italy</w:t>
            </w:r>
          </w:p>
        </w:tc>
        <w:tc>
          <w:tcPr>
            <w:tcW w:w="1098" w:type="dxa"/>
          </w:tcPr>
          <w:p w14:paraId="180E1AC5" w14:textId="77777777" w:rsidR="007302A0" w:rsidRPr="00C3671E" w:rsidRDefault="007302A0" w:rsidP="00942EFE">
            <w:pPr>
              <w:tabs>
                <w:tab w:val="decimal" w:pos="482"/>
              </w:tabs>
              <w:rPr>
                <w:sz w:val="20"/>
                <w:szCs w:val="20"/>
                <w:lang w:val="en-GB"/>
              </w:rPr>
            </w:pPr>
            <w:r w:rsidRPr="00C3671E">
              <w:rPr>
                <w:sz w:val="20"/>
                <w:szCs w:val="20"/>
                <w:lang w:val="en-GB"/>
              </w:rPr>
              <w:t>25.6</w:t>
            </w:r>
          </w:p>
        </w:tc>
        <w:tc>
          <w:tcPr>
            <w:tcW w:w="1099" w:type="dxa"/>
          </w:tcPr>
          <w:p w14:paraId="7025C81D" w14:textId="77777777" w:rsidR="007302A0" w:rsidRPr="00C3671E" w:rsidRDefault="007302A0" w:rsidP="00942EFE">
            <w:pPr>
              <w:tabs>
                <w:tab w:val="decimal" w:pos="551"/>
              </w:tabs>
              <w:rPr>
                <w:sz w:val="20"/>
                <w:szCs w:val="20"/>
                <w:lang w:val="en-GB"/>
              </w:rPr>
            </w:pPr>
            <w:r w:rsidRPr="00C3671E">
              <w:rPr>
                <w:sz w:val="20"/>
                <w:szCs w:val="20"/>
                <w:lang w:val="en-GB"/>
              </w:rPr>
              <w:t>16.0</w:t>
            </w:r>
          </w:p>
        </w:tc>
        <w:tc>
          <w:tcPr>
            <w:tcW w:w="1098" w:type="dxa"/>
          </w:tcPr>
          <w:p w14:paraId="747AE47D" w14:textId="77777777" w:rsidR="007302A0" w:rsidRPr="00C3671E" w:rsidRDefault="007302A0" w:rsidP="00942EFE">
            <w:pPr>
              <w:tabs>
                <w:tab w:val="decimal" w:pos="482"/>
              </w:tabs>
              <w:rPr>
                <w:sz w:val="20"/>
                <w:szCs w:val="20"/>
                <w:lang w:val="en-GB"/>
              </w:rPr>
            </w:pPr>
            <w:r w:rsidRPr="00C3671E">
              <w:rPr>
                <w:sz w:val="20"/>
                <w:szCs w:val="20"/>
                <w:lang w:val="en-GB"/>
              </w:rPr>
              <w:t>17.9</w:t>
            </w:r>
          </w:p>
        </w:tc>
        <w:tc>
          <w:tcPr>
            <w:tcW w:w="1099" w:type="dxa"/>
          </w:tcPr>
          <w:p w14:paraId="299C753D" w14:textId="77777777" w:rsidR="007302A0" w:rsidRPr="00C3671E" w:rsidRDefault="007302A0" w:rsidP="00942EFE">
            <w:pPr>
              <w:tabs>
                <w:tab w:val="decimal" w:pos="390"/>
              </w:tabs>
              <w:rPr>
                <w:sz w:val="20"/>
                <w:szCs w:val="20"/>
                <w:lang w:val="en-GB"/>
              </w:rPr>
            </w:pPr>
            <w:r w:rsidRPr="00C3671E">
              <w:rPr>
                <w:sz w:val="20"/>
                <w:szCs w:val="20"/>
                <w:lang w:val="en-GB"/>
              </w:rPr>
              <w:t>19.9</w:t>
            </w:r>
          </w:p>
        </w:tc>
      </w:tr>
      <w:tr w:rsidR="007302A0" w:rsidRPr="00C3671E" w14:paraId="6DA931F3" w14:textId="77777777" w:rsidTr="00942EFE">
        <w:trPr>
          <w:trHeight w:val="278"/>
        </w:trPr>
        <w:tc>
          <w:tcPr>
            <w:tcW w:w="1843" w:type="dxa"/>
            <w:vAlign w:val="center"/>
          </w:tcPr>
          <w:p w14:paraId="2E1C7E81" w14:textId="77777777" w:rsidR="007302A0" w:rsidRPr="00C3671E" w:rsidRDefault="007302A0" w:rsidP="00942EFE">
            <w:pPr>
              <w:rPr>
                <w:sz w:val="20"/>
                <w:szCs w:val="20"/>
                <w:lang w:val="en-GB"/>
              </w:rPr>
            </w:pPr>
          </w:p>
        </w:tc>
        <w:tc>
          <w:tcPr>
            <w:tcW w:w="1985" w:type="dxa"/>
            <w:vAlign w:val="center"/>
          </w:tcPr>
          <w:p w14:paraId="162DD456" w14:textId="77777777" w:rsidR="007302A0" w:rsidRPr="00C3671E" w:rsidRDefault="007302A0" w:rsidP="00942EFE">
            <w:pPr>
              <w:rPr>
                <w:sz w:val="20"/>
                <w:szCs w:val="20"/>
                <w:lang w:val="en-GB"/>
              </w:rPr>
            </w:pPr>
            <w:r w:rsidRPr="00C3671E">
              <w:rPr>
                <w:sz w:val="20"/>
                <w:szCs w:val="20"/>
                <w:lang w:val="en-GB"/>
              </w:rPr>
              <w:t>Switzerland</w:t>
            </w:r>
          </w:p>
        </w:tc>
        <w:tc>
          <w:tcPr>
            <w:tcW w:w="1098" w:type="dxa"/>
          </w:tcPr>
          <w:p w14:paraId="7737A6EE" w14:textId="77777777" w:rsidR="007302A0" w:rsidRPr="00C3671E" w:rsidRDefault="007302A0" w:rsidP="00942EFE">
            <w:pPr>
              <w:tabs>
                <w:tab w:val="decimal" w:pos="482"/>
              </w:tabs>
              <w:rPr>
                <w:sz w:val="20"/>
                <w:szCs w:val="20"/>
                <w:lang w:val="en-GB"/>
              </w:rPr>
            </w:pPr>
            <w:r w:rsidRPr="00C3671E">
              <w:rPr>
                <w:sz w:val="20"/>
                <w:szCs w:val="20"/>
                <w:lang w:val="en-GB"/>
              </w:rPr>
              <w:t>9.8</w:t>
            </w:r>
          </w:p>
        </w:tc>
        <w:tc>
          <w:tcPr>
            <w:tcW w:w="1099" w:type="dxa"/>
          </w:tcPr>
          <w:p w14:paraId="2D0BE170" w14:textId="77777777" w:rsidR="007302A0" w:rsidRPr="00C3671E" w:rsidRDefault="007302A0" w:rsidP="00942EFE">
            <w:pPr>
              <w:tabs>
                <w:tab w:val="decimal" w:pos="551"/>
              </w:tabs>
              <w:rPr>
                <w:sz w:val="20"/>
                <w:szCs w:val="20"/>
                <w:lang w:val="en-GB"/>
              </w:rPr>
            </w:pPr>
            <w:r w:rsidRPr="00C3671E">
              <w:rPr>
                <w:sz w:val="20"/>
                <w:szCs w:val="20"/>
                <w:lang w:val="en-GB"/>
              </w:rPr>
              <w:t>14.1</w:t>
            </w:r>
          </w:p>
        </w:tc>
        <w:tc>
          <w:tcPr>
            <w:tcW w:w="1098" w:type="dxa"/>
          </w:tcPr>
          <w:p w14:paraId="3BD44B99" w14:textId="77777777" w:rsidR="007302A0" w:rsidRPr="00C3671E" w:rsidRDefault="007302A0" w:rsidP="00942EFE">
            <w:pPr>
              <w:tabs>
                <w:tab w:val="decimal" w:pos="482"/>
              </w:tabs>
              <w:rPr>
                <w:sz w:val="20"/>
                <w:szCs w:val="20"/>
                <w:lang w:val="en-GB"/>
              </w:rPr>
            </w:pPr>
            <w:r w:rsidRPr="00C3671E">
              <w:rPr>
                <w:sz w:val="20"/>
                <w:szCs w:val="20"/>
                <w:lang w:val="en-GB"/>
              </w:rPr>
              <w:t>11.0</w:t>
            </w:r>
          </w:p>
        </w:tc>
        <w:tc>
          <w:tcPr>
            <w:tcW w:w="1099" w:type="dxa"/>
          </w:tcPr>
          <w:p w14:paraId="5A64F21D" w14:textId="77777777" w:rsidR="007302A0" w:rsidRPr="00C3671E" w:rsidRDefault="007302A0" w:rsidP="00942EFE">
            <w:pPr>
              <w:tabs>
                <w:tab w:val="decimal" w:pos="390"/>
              </w:tabs>
              <w:rPr>
                <w:sz w:val="20"/>
                <w:szCs w:val="20"/>
                <w:lang w:val="en-GB"/>
              </w:rPr>
            </w:pPr>
            <w:r w:rsidRPr="00C3671E">
              <w:rPr>
                <w:sz w:val="20"/>
                <w:szCs w:val="20"/>
                <w:lang w:val="en-GB"/>
              </w:rPr>
              <w:t>11.9</w:t>
            </w:r>
          </w:p>
        </w:tc>
      </w:tr>
      <w:tr w:rsidR="007302A0" w:rsidRPr="00C3671E" w14:paraId="1B0030F3" w14:textId="77777777" w:rsidTr="00942EFE">
        <w:trPr>
          <w:trHeight w:val="278"/>
        </w:trPr>
        <w:tc>
          <w:tcPr>
            <w:tcW w:w="1843" w:type="dxa"/>
            <w:tcBorders>
              <w:bottom w:val="single" w:sz="12" w:space="0" w:color="auto"/>
            </w:tcBorders>
            <w:vAlign w:val="center"/>
          </w:tcPr>
          <w:p w14:paraId="0EEE3B4E" w14:textId="77777777" w:rsidR="007302A0" w:rsidRPr="00C3671E" w:rsidRDefault="007302A0" w:rsidP="00942EFE">
            <w:pPr>
              <w:rPr>
                <w:sz w:val="20"/>
                <w:szCs w:val="20"/>
                <w:lang w:val="en-GB"/>
              </w:rPr>
            </w:pPr>
          </w:p>
        </w:tc>
        <w:tc>
          <w:tcPr>
            <w:tcW w:w="1985" w:type="dxa"/>
            <w:tcBorders>
              <w:bottom w:val="single" w:sz="12" w:space="0" w:color="auto"/>
            </w:tcBorders>
            <w:vAlign w:val="center"/>
          </w:tcPr>
          <w:p w14:paraId="6465D4E8" w14:textId="77777777" w:rsidR="007302A0" w:rsidRPr="00C3671E" w:rsidRDefault="007302A0" w:rsidP="00942EFE">
            <w:pPr>
              <w:rPr>
                <w:sz w:val="20"/>
                <w:szCs w:val="20"/>
                <w:lang w:val="en-GB"/>
              </w:rPr>
            </w:pPr>
            <w:r w:rsidRPr="00C3671E">
              <w:rPr>
                <w:sz w:val="20"/>
                <w:szCs w:val="20"/>
                <w:lang w:val="en-GB"/>
              </w:rPr>
              <w:t>Czechia</w:t>
            </w:r>
          </w:p>
        </w:tc>
        <w:tc>
          <w:tcPr>
            <w:tcW w:w="1098" w:type="dxa"/>
            <w:tcBorders>
              <w:bottom w:val="single" w:sz="12" w:space="0" w:color="auto"/>
            </w:tcBorders>
          </w:tcPr>
          <w:p w14:paraId="31A5C39D" w14:textId="77777777" w:rsidR="007302A0" w:rsidRPr="00C3671E" w:rsidRDefault="007302A0" w:rsidP="00942EFE">
            <w:pPr>
              <w:tabs>
                <w:tab w:val="decimal" w:pos="482"/>
              </w:tabs>
              <w:rPr>
                <w:sz w:val="20"/>
                <w:szCs w:val="20"/>
                <w:lang w:val="en-GB"/>
              </w:rPr>
            </w:pPr>
            <w:r w:rsidRPr="00C3671E">
              <w:rPr>
                <w:sz w:val="20"/>
                <w:szCs w:val="20"/>
                <w:lang w:val="en-GB"/>
              </w:rPr>
              <w:t>27.6</w:t>
            </w:r>
          </w:p>
        </w:tc>
        <w:tc>
          <w:tcPr>
            <w:tcW w:w="1099" w:type="dxa"/>
            <w:tcBorders>
              <w:bottom w:val="single" w:sz="12" w:space="0" w:color="auto"/>
            </w:tcBorders>
          </w:tcPr>
          <w:p w14:paraId="3F4E3720" w14:textId="77777777" w:rsidR="007302A0" w:rsidRPr="00C3671E" w:rsidRDefault="007302A0" w:rsidP="00942EFE">
            <w:pPr>
              <w:tabs>
                <w:tab w:val="decimal" w:pos="551"/>
              </w:tabs>
              <w:rPr>
                <w:sz w:val="20"/>
                <w:szCs w:val="20"/>
                <w:lang w:val="en-GB"/>
              </w:rPr>
            </w:pPr>
            <w:r w:rsidRPr="00C3671E">
              <w:rPr>
                <w:sz w:val="20"/>
                <w:szCs w:val="20"/>
                <w:lang w:val="en-GB"/>
              </w:rPr>
              <w:t>32.0</w:t>
            </w:r>
          </w:p>
        </w:tc>
        <w:tc>
          <w:tcPr>
            <w:tcW w:w="1098" w:type="dxa"/>
            <w:tcBorders>
              <w:bottom w:val="single" w:sz="12" w:space="0" w:color="auto"/>
            </w:tcBorders>
          </w:tcPr>
          <w:p w14:paraId="36A59F57" w14:textId="77777777" w:rsidR="007302A0" w:rsidRPr="00C3671E" w:rsidRDefault="007302A0" w:rsidP="00942EFE">
            <w:pPr>
              <w:tabs>
                <w:tab w:val="decimal" w:pos="482"/>
              </w:tabs>
              <w:rPr>
                <w:sz w:val="20"/>
                <w:szCs w:val="20"/>
                <w:lang w:val="en-GB"/>
              </w:rPr>
            </w:pPr>
            <w:r w:rsidRPr="00C3671E">
              <w:rPr>
                <w:sz w:val="20"/>
                <w:szCs w:val="20"/>
                <w:lang w:val="en-GB"/>
              </w:rPr>
              <w:t>29.5</w:t>
            </w:r>
          </w:p>
        </w:tc>
        <w:tc>
          <w:tcPr>
            <w:tcW w:w="1099" w:type="dxa"/>
            <w:tcBorders>
              <w:bottom w:val="single" w:sz="12" w:space="0" w:color="auto"/>
            </w:tcBorders>
          </w:tcPr>
          <w:p w14:paraId="0ADEA8D9" w14:textId="77777777" w:rsidR="007302A0" w:rsidRPr="00C3671E" w:rsidRDefault="007302A0" w:rsidP="00942EFE">
            <w:pPr>
              <w:tabs>
                <w:tab w:val="decimal" w:pos="390"/>
              </w:tabs>
              <w:rPr>
                <w:sz w:val="20"/>
                <w:szCs w:val="20"/>
                <w:lang w:val="en-GB"/>
              </w:rPr>
            </w:pPr>
            <w:r w:rsidRPr="00C3671E">
              <w:rPr>
                <w:sz w:val="20"/>
                <w:szCs w:val="20"/>
                <w:lang w:val="en-GB"/>
              </w:rPr>
              <w:t>29.0</w:t>
            </w:r>
          </w:p>
        </w:tc>
      </w:tr>
      <w:tr w:rsidR="007302A0" w:rsidRPr="00C3671E" w14:paraId="3ECD0A30" w14:textId="77777777" w:rsidTr="00942EFE">
        <w:trPr>
          <w:trHeight w:val="278"/>
        </w:trPr>
        <w:tc>
          <w:tcPr>
            <w:tcW w:w="3828" w:type="dxa"/>
            <w:gridSpan w:val="2"/>
            <w:tcBorders>
              <w:top w:val="single" w:sz="12" w:space="0" w:color="auto"/>
              <w:bottom w:val="single" w:sz="12" w:space="0" w:color="auto"/>
            </w:tcBorders>
            <w:vAlign w:val="center"/>
          </w:tcPr>
          <w:p w14:paraId="7162A2E1" w14:textId="77777777" w:rsidR="007302A0" w:rsidRPr="00C3671E" w:rsidRDefault="007302A0" w:rsidP="00942EFE">
            <w:pPr>
              <w:rPr>
                <w:sz w:val="20"/>
                <w:szCs w:val="20"/>
                <w:lang w:val="en-GB"/>
              </w:rPr>
            </w:pPr>
            <w:r w:rsidRPr="00C3671E">
              <w:rPr>
                <w:sz w:val="20"/>
                <w:szCs w:val="20"/>
                <w:lang w:val="en-GB"/>
              </w:rPr>
              <w:t>Number of respondents</w:t>
            </w:r>
          </w:p>
        </w:tc>
        <w:tc>
          <w:tcPr>
            <w:tcW w:w="1098" w:type="dxa"/>
            <w:tcBorders>
              <w:top w:val="single" w:sz="12" w:space="0" w:color="auto"/>
              <w:bottom w:val="single" w:sz="12" w:space="0" w:color="auto"/>
            </w:tcBorders>
          </w:tcPr>
          <w:p w14:paraId="700F9250" w14:textId="77777777" w:rsidR="007302A0" w:rsidRPr="00C3671E" w:rsidRDefault="007302A0" w:rsidP="00942EFE">
            <w:pPr>
              <w:tabs>
                <w:tab w:val="decimal" w:pos="340"/>
              </w:tabs>
              <w:ind w:left="35"/>
              <w:rPr>
                <w:sz w:val="20"/>
                <w:szCs w:val="20"/>
                <w:lang w:val="en-GB"/>
              </w:rPr>
            </w:pPr>
            <w:r w:rsidRPr="00C3671E">
              <w:rPr>
                <w:sz w:val="20"/>
                <w:szCs w:val="20"/>
                <w:lang w:val="en-GB"/>
              </w:rPr>
              <w:t>6,153</w:t>
            </w:r>
          </w:p>
        </w:tc>
        <w:tc>
          <w:tcPr>
            <w:tcW w:w="1099" w:type="dxa"/>
            <w:tcBorders>
              <w:top w:val="single" w:sz="12" w:space="0" w:color="auto"/>
              <w:bottom w:val="single" w:sz="12" w:space="0" w:color="auto"/>
            </w:tcBorders>
          </w:tcPr>
          <w:p w14:paraId="206CFB94" w14:textId="77777777" w:rsidR="007302A0" w:rsidRPr="00C3671E" w:rsidRDefault="007302A0" w:rsidP="00942EFE">
            <w:pPr>
              <w:tabs>
                <w:tab w:val="decimal" w:pos="267"/>
              </w:tabs>
              <w:ind w:left="267" w:hanging="267"/>
              <w:rPr>
                <w:sz w:val="20"/>
                <w:szCs w:val="20"/>
                <w:lang w:val="en-GB"/>
              </w:rPr>
            </w:pPr>
            <w:r w:rsidRPr="00C3671E">
              <w:rPr>
                <w:sz w:val="20"/>
                <w:szCs w:val="20"/>
                <w:lang w:val="en-GB"/>
              </w:rPr>
              <w:t>11,665</w:t>
            </w:r>
          </w:p>
        </w:tc>
        <w:tc>
          <w:tcPr>
            <w:tcW w:w="1098" w:type="dxa"/>
            <w:tcBorders>
              <w:top w:val="single" w:sz="12" w:space="0" w:color="auto"/>
              <w:bottom w:val="single" w:sz="12" w:space="0" w:color="auto"/>
            </w:tcBorders>
          </w:tcPr>
          <w:p w14:paraId="0FFC21A1" w14:textId="77777777" w:rsidR="007302A0" w:rsidRPr="00C3671E" w:rsidRDefault="007302A0" w:rsidP="00942EFE">
            <w:pPr>
              <w:tabs>
                <w:tab w:val="decimal" w:pos="386"/>
              </w:tabs>
              <w:rPr>
                <w:sz w:val="20"/>
                <w:szCs w:val="20"/>
                <w:lang w:val="en-GB"/>
              </w:rPr>
            </w:pPr>
            <w:r w:rsidRPr="00C3671E">
              <w:rPr>
                <w:sz w:val="20"/>
                <w:szCs w:val="20"/>
                <w:lang w:val="en-GB"/>
              </w:rPr>
              <w:t>13,514</w:t>
            </w:r>
          </w:p>
        </w:tc>
        <w:tc>
          <w:tcPr>
            <w:tcW w:w="1099" w:type="dxa"/>
            <w:tcBorders>
              <w:top w:val="single" w:sz="12" w:space="0" w:color="auto"/>
              <w:bottom w:val="single" w:sz="12" w:space="0" w:color="auto"/>
            </w:tcBorders>
          </w:tcPr>
          <w:p w14:paraId="56A2CE31" w14:textId="77777777" w:rsidR="007302A0" w:rsidRPr="00C3671E" w:rsidRDefault="007302A0" w:rsidP="00942EFE">
            <w:pPr>
              <w:tabs>
                <w:tab w:val="decimal" w:pos="283"/>
              </w:tabs>
              <w:ind w:right="35"/>
              <w:rPr>
                <w:sz w:val="20"/>
                <w:szCs w:val="20"/>
                <w:lang w:val="en-GB"/>
              </w:rPr>
            </w:pPr>
            <w:r w:rsidRPr="00C3671E">
              <w:rPr>
                <w:sz w:val="20"/>
                <w:szCs w:val="20"/>
                <w:lang w:val="en-GB"/>
              </w:rPr>
              <w:t>12,331</w:t>
            </w:r>
          </w:p>
        </w:tc>
      </w:tr>
    </w:tbl>
    <w:p w14:paraId="5B0CABDA" w14:textId="45C06B49" w:rsidR="007302A0" w:rsidRPr="00C3671E" w:rsidRDefault="007302A0" w:rsidP="007302A0">
      <w:pPr>
        <w:ind w:left="426"/>
        <w:rPr>
          <w:sz w:val="20"/>
          <w:lang w:val="en-GB"/>
        </w:rPr>
      </w:pPr>
      <w:r w:rsidRPr="00C3671E">
        <w:rPr>
          <w:i/>
          <w:sz w:val="20"/>
          <w:lang w:val="en-GB"/>
        </w:rPr>
        <w:t xml:space="preserve">Notes: </w:t>
      </w:r>
      <w:r w:rsidRPr="00C3671E">
        <w:rPr>
          <w:sz w:val="20"/>
          <w:lang w:val="en-GB"/>
        </w:rPr>
        <w:t>These calculations use data from SHARE, waves 2, 4, 5, and 6.</w:t>
      </w:r>
    </w:p>
    <w:p w14:paraId="01E0B25B" w14:textId="77777777" w:rsidR="006B7F0B" w:rsidRPr="00C3671E" w:rsidRDefault="006B7F0B" w:rsidP="007302A0">
      <w:pPr>
        <w:ind w:left="426"/>
        <w:rPr>
          <w:sz w:val="20"/>
          <w:lang w:val="en-GB"/>
        </w:rPr>
      </w:pPr>
    </w:p>
    <w:p w14:paraId="1029B0ED" w14:textId="77777777" w:rsidR="007302A0" w:rsidRPr="00C3671E" w:rsidRDefault="007302A0" w:rsidP="007E6D8E">
      <w:pPr>
        <w:pStyle w:val="Nadpis3"/>
        <w:spacing w:line="480" w:lineRule="auto"/>
        <w:rPr>
          <w:rFonts w:ascii="Times New Roman" w:hAnsi="Times New Roman" w:cs="Times New Roman"/>
          <w:b w:val="0"/>
          <w:i/>
          <w:lang w:val="en-GB" w:eastAsia="zh-CN"/>
        </w:rPr>
      </w:pPr>
      <w:bookmarkStart w:id="70" w:name="_Toc512687771"/>
      <w:r w:rsidRPr="00C3671E">
        <w:rPr>
          <w:rFonts w:ascii="Times New Roman" w:hAnsi="Times New Roman" w:cs="Times New Roman"/>
          <w:b w:val="0"/>
          <w:i/>
          <w:lang w:val="en-GB" w:eastAsia="zh-CN"/>
        </w:rPr>
        <w:t>Dependent variable</w:t>
      </w:r>
      <w:bookmarkEnd w:id="70"/>
    </w:p>
    <w:p w14:paraId="2A7528B3" w14:textId="77777777" w:rsidR="007302A0" w:rsidRPr="00C3671E" w:rsidRDefault="007302A0" w:rsidP="006B7F0B">
      <w:pPr>
        <w:suppressAutoHyphens/>
        <w:spacing w:line="480" w:lineRule="auto"/>
        <w:jc w:val="both"/>
        <w:rPr>
          <w:lang w:val="en-GB"/>
        </w:rPr>
      </w:pPr>
      <w:r w:rsidRPr="00C3671E">
        <w:rPr>
          <w:lang w:val="en-GB"/>
        </w:rPr>
        <w:t xml:space="preserve">The analysis uses all four variables measured in all 4 waves of SHARE indicating the social participation of older adults. These variables were measured by question ‘Have you done any of these activities in the last month? 1. Done voluntary or charity work, 4. Attended an educational or training course, 5. Gone to a sport, social or other kind of club, 7. Taken part in a political or </w:t>
      </w:r>
      <w:r w:rsidRPr="00C3671E">
        <w:rPr>
          <w:rFonts w:eastAsia="Calibri"/>
          <w:noProof/>
          <w:lang w:val="en-GB" w:eastAsia="en-US"/>
        </w:rPr>
        <w:t>community</w:t>
      </w:r>
      <w:r w:rsidRPr="00C3671E">
        <w:rPr>
          <w:lang w:val="en-GB"/>
        </w:rPr>
        <w:t>-related organization’ in wave 2 and by question ‘Which of these activities – if any – have you done in the past twelve months?’ with the same four options in waves 4, 5, and 6.</w:t>
      </w:r>
    </w:p>
    <w:p w14:paraId="6BA72222" w14:textId="2CC45E30" w:rsidR="007302A0" w:rsidRPr="00C3671E" w:rsidRDefault="007302A0" w:rsidP="006B7F0B">
      <w:pPr>
        <w:pStyle w:val="Newparagraph"/>
        <w:jc w:val="both"/>
      </w:pPr>
      <w:r w:rsidRPr="00C3671E">
        <w:t xml:space="preserve">This paper is </w:t>
      </w:r>
      <w:r w:rsidRPr="00C3671E">
        <w:rPr>
          <w:noProof/>
        </w:rPr>
        <w:t>interested</w:t>
      </w:r>
      <w:r w:rsidRPr="00C3671E">
        <w:t xml:space="preserve"> only in social participation done on least monthly basis. The reasons for this are twofold: a) the time frame for wave 2 was the last month, while it was last </w:t>
      </w:r>
      <w:r w:rsidRPr="00C3671E">
        <w:lastRenderedPageBreak/>
        <w:t xml:space="preserve">12 months with an additional question for a frequency of the activity for other waves, and b) activity performed less often than monthly does not seem to have a noticeable effect. As all four activities fulfil characteristics of social participation </w:t>
      </w:r>
      <w:r w:rsidRPr="00C3671E">
        <w:fldChar w:fldCharType="begin" w:fldLock="1"/>
      </w:r>
      <w:r w:rsidR="001257AA" w:rsidRPr="00C3671E">
        <w:instrText>ADDIN CSL_CITATION { "citationItems" : [ { "id" : "ITEM-1", "itemData" : { "DOI" : "10.1017/S0144686X10001091", "ISBN" : "0144686X (ISSN)", "ISSN" : "0144-686X", "PMID" : "59665633", "abstract" : "An engaged lifestyle is seen as an important component of successful ageing. Many older adults with high participation in social and leisure activities report positive wellbeing, a fact that fuelled the original activity theory and that continues to influence researchers, theorists and practitioners. This study's purpose is to review the conceptualisation and measurement of activity among older adults and the associations reported in the gerontological literature between specific dimensions of activity and wellbeing. We searched published studies that focused on social and leisure activity and wellbeing, and found 42 studies in 44 articles published between 1995 and 2009. They reported from one to 13 activity domains, the majority reporting two or three, such as informal , formal and solitary , or productive versus leisure . Domains associated with subjective wellbeing, health or survival included social, leisure, productive, physical, intellectual, service and solitary activities. Informal social activity has accumulated the most evidence of an influence on wellbeing. Individual descriptors such as gender or physical functioning sometimes moderate these associations, while contextual variables such as choice, meaning or perceived quality play intervening roles. Differences in definitions and measurement make it difficult to draw inferences about this body of evidence on the associations between activity and wellbeing. Activity theory serves as shorthand for these associations, but gerontology must better integrate developmental and psychological constructs into a refined, comprehensive activity theory.", "author" : [ { "dropping-particle" : "", "family" : "Adams", "given" : "Kathryn Betts", "non-dropping-particle" : "", "parse-names" : false, "suffix" : "" }, { "dropping-particle" : "", "family" : "Leibbrandt", "given" : "Sylvia", "non-dropping-particle" : "", "parse-names" : false, "suffix" : "" }, { "dropping-particle" : "", "family" : "Moon", "given" : "Heehyul", "non-dropping-particle" : "", "parse-names" : false, "suffix" : "" } ], "container-title" : "Ageing and Society", "id" : "ITEM-1", "issue" : "04", "issued" : { "date-parts" : [ [ "2011" ] ] }, "page" : "683-712", "title" : "A critical review of the literature on social and leisure activity and wellbeing in later life", "type" : "article-journal", "volume" : "31" }, "uris" : [ "http://www.mendeley.com/documents/?uuid=28bf1c76-83b5-46ba-8c9c-efd885614e50" ] } ], "mendeley" : { "formattedCitation" : "(Adams et al. 2011)", "plainTextFormattedCitation" : "(Adams et al. 2011)", "previouslyFormattedCitation" : "(Adams et al. 2011)" }, "properties" : { "noteIndex" : 0 }, "schema" : "https://github.com/citation-style-language/schema/raw/master/csl-citation.json" }</w:instrText>
      </w:r>
      <w:r w:rsidRPr="00C3671E">
        <w:fldChar w:fldCharType="separate"/>
      </w:r>
      <w:r w:rsidR="00C004DA" w:rsidRPr="00C3671E">
        <w:rPr>
          <w:noProof/>
        </w:rPr>
        <w:t>(Adams et al. 2011)</w:t>
      </w:r>
      <w:r w:rsidRPr="00C3671E">
        <w:fldChar w:fldCharType="end"/>
      </w:r>
      <w:r w:rsidRPr="00C3671E">
        <w:t xml:space="preserve"> and any of them prevail in the sample quite rarely, they have been recoded into one dependent variable, which distinguishes respondents performing at least one of these activities from these performing none of them. This step of creating one dependent variable also make the analysis and interpretation more concise and understandable, though it leads to some information reduction.</w:t>
      </w:r>
    </w:p>
    <w:p w14:paraId="05D55AA8" w14:textId="77777777" w:rsidR="007302A0" w:rsidRPr="00C3671E" w:rsidRDefault="007302A0" w:rsidP="007E6D8E">
      <w:pPr>
        <w:pStyle w:val="Nadpis3"/>
        <w:spacing w:line="480" w:lineRule="auto"/>
        <w:rPr>
          <w:rFonts w:ascii="Times New Roman" w:hAnsi="Times New Roman" w:cs="Times New Roman"/>
          <w:b w:val="0"/>
          <w:i/>
          <w:lang w:val="en-GB" w:eastAsia="zh-CN"/>
        </w:rPr>
      </w:pPr>
      <w:bookmarkStart w:id="71" w:name="_Toc512687772"/>
      <w:r w:rsidRPr="00C3671E">
        <w:rPr>
          <w:rFonts w:ascii="Times New Roman" w:hAnsi="Times New Roman" w:cs="Times New Roman"/>
          <w:b w:val="0"/>
          <w:i/>
          <w:lang w:val="en-GB" w:eastAsia="zh-CN"/>
        </w:rPr>
        <w:t>Independent variables</w:t>
      </w:r>
      <w:bookmarkEnd w:id="71"/>
    </w:p>
    <w:p w14:paraId="65038C83" w14:textId="7906DD7C" w:rsidR="007302A0" w:rsidRPr="00C3671E" w:rsidRDefault="007302A0" w:rsidP="006B7F0B">
      <w:pPr>
        <w:suppressAutoHyphens/>
        <w:spacing w:line="480" w:lineRule="auto"/>
        <w:jc w:val="both"/>
        <w:rPr>
          <w:lang w:val="en-GB"/>
        </w:rPr>
      </w:pPr>
      <w:r w:rsidRPr="00C3671E">
        <w:rPr>
          <w:lang w:val="en-GB"/>
        </w:rPr>
        <w:t xml:space="preserve">First, the results are </w:t>
      </w:r>
      <w:r w:rsidRPr="00C3671E">
        <w:rPr>
          <w:rFonts w:eastAsia="Calibri"/>
          <w:noProof/>
          <w:lang w:val="en-GB" w:eastAsia="en-US"/>
        </w:rPr>
        <w:t>sorted</w:t>
      </w:r>
      <w:r w:rsidRPr="00C3671E">
        <w:rPr>
          <w:lang w:val="en-GB"/>
        </w:rPr>
        <w:t xml:space="preserve"> by country to illustrate similarities and differences across welfare regimes, and thus country is employed as one of the main explanatory variables. Then, the other explanatory variables are three characteristics – health, education, and income – that seems to be most significant in shaping the lifestyles and opportunities of older adults. For most of the time, the impact of these three predictors is analysed separately, but in a matter of fact, they are strongly interlinked and can intersect into cumulative advantages or disadvantages </w:t>
      </w:r>
      <w:r w:rsidRPr="00C3671E">
        <w:rPr>
          <w:lang w:val="en-GB"/>
        </w:rPr>
        <w:fldChar w:fldCharType="begin" w:fldLock="1"/>
      </w:r>
      <w:r w:rsidR="00AA6335" w:rsidRPr="00C3671E">
        <w:rPr>
          <w:lang w:val="en-GB"/>
        </w:rPr>
        <w:instrText>ADDIN CSL_CITATION { "citationItems" : [ { "id" : "ITEM-1", "itemData" : { "DOI" : "10.1093/geronb", "ISBN" : "1079-5014", "ISSN" : "1079-5014", "PMID" : "16251584", "abstract" : "This article focuses on cumulative adversity and protective resources, both social and biological, that interrupt or deflect individuals from optimal life-course trajectories and contribute to widening gaps in health. Under the guiding framework of cumulative adversity and/or advantage, this narrative discusses the theoretical framework of cumulative adversity, presents identified sources of cumulative adversity and protective resources, and highlights the utilization of the life-course approach. Numerous social and biological adverse conditions are identified across multiple domains. Utilizing the life-course perspective in identifying early life determinants and the paucity of information regarding identified protective factors are discussed. Understanding health inequalities requires attention paid to heterogeneity in the impact of social statuses as well as sources of cumulative adversity and protective resources within diverging trajectories across the life course. Intervention implications are discussed, and suggestions for future research are made.", "author" : [ { "dropping-particle" : "", "family" : "Hatch", "given" : "Stephani L.", "non-dropping-particle" : "", "parse-names" : false, "suffix" : "" } ], "container-title" : "The journals of gerontology. Series B, Psychological sciences and social sciences", "id" : "ITEM-1", "issue" : "August", "issued" : { "date-parts" : [ [ "2005" ] ] }, "page" : "130-134", "title" : "Conceptualizing and identifying cumulative adversity and protective resources: implications for understanding health inequalities.", "type" : "article-journal", "volume" : "60 Spec No" }, "uris" : [ "http://www.mendeley.com/documents/?uuid=812e5e11-8ec3-4b03-894c-1695a99d93b7" ] } ], "mendeley" : { "formattedCitation" : "(Hatch 2005)", "plainTextFormattedCitation" : "(Hatch 2005)", "previouslyFormattedCitation" : "(Hatch 2005)" }, "properties" : { "noteIndex" : 0 }, "schema" : "https://github.com/citation-style-language/schema/raw/master/csl-citation.json" }</w:instrText>
      </w:r>
      <w:r w:rsidRPr="00C3671E">
        <w:rPr>
          <w:lang w:val="en-GB"/>
        </w:rPr>
        <w:fldChar w:fldCharType="separate"/>
      </w:r>
      <w:r w:rsidRPr="00C3671E">
        <w:rPr>
          <w:noProof/>
          <w:lang w:val="en-GB"/>
        </w:rPr>
        <w:t>(Hatch 2005)</w:t>
      </w:r>
      <w:r w:rsidRPr="00C3671E">
        <w:rPr>
          <w:lang w:val="en-GB"/>
        </w:rPr>
        <w:fldChar w:fldCharType="end"/>
      </w:r>
      <w:r w:rsidRPr="00C3671E">
        <w:rPr>
          <w:lang w:val="en-GB"/>
        </w:rPr>
        <w:t>, which is also reflected in a part of the analysis.</w:t>
      </w:r>
    </w:p>
    <w:p w14:paraId="5432613E" w14:textId="6B5C9591" w:rsidR="007302A0" w:rsidRPr="00C3671E" w:rsidRDefault="007302A0" w:rsidP="006B7F0B">
      <w:pPr>
        <w:pStyle w:val="Newparagraph"/>
        <w:jc w:val="both"/>
      </w:pPr>
      <w:r w:rsidRPr="00C3671E">
        <w:t xml:space="preserve">This research capitalizes on several findings illustrating that subjective perceptions of living conditions are in their consequences more important than objectified measurement of the same </w:t>
      </w:r>
      <w:r w:rsidRPr="00C3671E">
        <w:fldChar w:fldCharType="begin" w:fldLock="1"/>
      </w:r>
      <w:r w:rsidR="001257AA" w:rsidRPr="00C3671E">
        <w:instrText>ADDIN CSL_CITATION { "citationItems" : [ { "id" : "ITEM-1", "itemData" : { "DOI" : "10.1016/j.socscimed.2007.03.009", "ISBN" : "0277-9536", "ISSN" : "02779536", "PMID" : "17433509", "abstract" : "The objective was to investigate associations between type of area, individuals' perceptions of their neighbourhoods, and indicators of social and physical functioning. Social functioning was measured using numbers of social activities and frequency of social contacts in the past month. Physical functioning was measured with Townsend's Activities of Daily Living scale. The study was a British cross-sectional population survey of people aged 65 plus living at home. Multilevel analyses indicated that respondents who lived in affluent areas were less likely to have low levels of social activity independently of individual demographic and socio-economic characteristics. Individuals' perceptions of the area as neighbourly and having good facilities were also independently associated with lower likelihood of low social activities. Affluence of the area and perceived neighbourhood were associated with physical functioning, although these associations disappeared once adjustment was made for individuals' characteristics. Both objective and more subjective measures of the neighbourhood independently contributed to our understanding of the determinants of social and physical functioning in older age. The unique value of this paper is its inclusion of the influence of perceived neighbourhood on the social and physical functioning of an older population, which are key components of active ageing. ?? 2007 Elsevier Ltd. All rights reserved.", "author" : [ { "dropping-particle" : "", "family" : "Bowling", "given" : "Ann", "non-dropping-particle" : "", "parse-names" : false, "suffix" : "" }, { "dropping-particle" : "", "family" : "Stafford", "given" : "Mai", "non-dropping-particle" : "", "parse-names" : false, "suffix" : "" } ], "container-title" : "Social Science and Medicine", "id" : "ITEM-1", "issue" : "12", "issued" : { "date-parts" : [ [ "2007" ] ] }, "page" : "2533-2549", "title" : "How do objective and subjective assessments of neighbourhood influence social and physical functioning in older age? Findings from a British survey of ageing", "type" : "article-journal", "volume" : "64" }, "uris" : [ "http://www.mendeley.com/documents/?uuid=8741e0aa-28ca-4c08-9f6f-b2ecc18a5d23" ] }, { "id" : "ITEM-2", "itemData" : { "DOI" : "10.1007/s10433-005-0015-8", "ISBN" : "1613-9372", "ISSN" : "16139372", "abstract" : "This article focuses on the scientific study of quality of life in old age and summarises, on the one hand, what we know and, on the other, what further research is needed. It consists of three main parts, with an extended introduction charting the recent evolution of a European perspective on ageing. First of all, it emphasises the amorphous, multidimensional and complex nature of quality of life and the high level of inconsistency between scientists in their approach to this subject. Secondly, the article summarises the main areas of consensus about quality of life in old age - its dynamic multifaceted nature, the combination of life course and immediate influences, the similarities and differences in the factors determining quality of life between younger and older people, the most common associations with quality of life and the likely variations between groups, and the powerful role of subjective self-assessment. Thirdly, the main research priorities and gaps in knowledge are outlined, together with the key methodological issues which must be tackled if comparative, interdisciplinary research on quality of life is to develop further. The main sources for the article are two European Framework Programme projects-the one a small five-country comparison and the other a large multidimensional project which, among other things, has been developing recommendations for research on quality of life in old age and included an extensive literature review on this topic. The article also draws on the recently completed UK Growing Older Programme of research on extending quality of life. \u00a9 Springer-Verlag 2005.", "author" : [ { "dropping-particle" : "", "family" : "Walker", "given" : "Alan", "non-dropping-particle" : "", "parse-names" : false, "suffix" : "" } ], "container-title" : "European Journal of Ageing", "id" : "ITEM-2", "issue" : "1", "issued" : { "date-parts" : [ [ "2005" ] ] }, "page" : "2-12", "title" : "A European perspective on quality of life in old age", "type" : "article-journal", "volume" : "2" }, "uris" : [ "http://www.mendeley.com/documents/?uuid=cf601aee-0bb9-4c93-8902-46ae526562ed" ] }, { "id" : "ITEM-3", "itemData" : { "ISBN" : "0-335-21513-0", "author" : [ { "dropping-particle" : "", "family" : "Walker", "given" : "Alan", "non-dropping-particle" : "", "parse-names" : false, "suffix" : "" } ], "chapter-number" : "1", "container-title" : "Growing older in Europe", "editor" : [ { "dropping-particle" : "", "family" : "Walker", "given" : "Alan", "non-dropping-particle" : "", "parse-names" : false, "suffix" : "" } ], "id" : "ITEM-3", "issued" : { "date-parts" : [ [ "2004" ] ] }, "page" : "1-30", "publisher" : "Open University Press", "publisher-place" : "Maidenhead", "title" : "Quality of life in old age in Europe", "type" : "chapter" }, "uris" : [ "http://www.mendeley.com/documents/?uuid=50d6f5fc-128c-4195-b27d-ab7f3f67bfab" ] } ], "mendeley" : { "formattedCitation" : "(Bowling and Stafford 2007; Walker 2004, 2005a)", "plainTextFormattedCitation" : "(Bowling and Stafford 2007; Walker 2004, 2005a)", "previouslyFormattedCitation" : "(Bowling and Stafford 2007; Walker 2004, 2005a)" }, "properties" : { "noteIndex" : 0 }, "schema" : "https://github.com/citation-style-language/schema/raw/master/csl-citation.json" }</w:instrText>
      </w:r>
      <w:r w:rsidRPr="00C3671E">
        <w:fldChar w:fldCharType="separate"/>
      </w:r>
      <w:r w:rsidR="00A91559" w:rsidRPr="00C3671E">
        <w:rPr>
          <w:noProof/>
        </w:rPr>
        <w:t>(Bowling and Stafford 2007; Walker 2004, 2005a)</w:t>
      </w:r>
      <w:r w:rsidRPr="00C3671E">
        <w:fldChar w:fldCharType="end"/>
      </w:r>
      <w:r w:rsidRPr="00C3671E">
        <w:t xml:space="preserve">. Financial situation and health status are thus measured by the subjective question, while this is not feasible for education, which is indicated on the International Standard Classification of Education (ISCED) scale. All three characteristics were recoded into three categories (similar in size) to define few groups of respondents that can be compared to each other. The financial situation was asked by the question ‘Thinking of your household's total monthly income, would you say that your household is able to make ends meet... 1. With great difficulty, 2. With some difficulty, 3. Fairly easily, 4. Easily’ and the first two categories were merged. The health status was asked: ‘Would </w:t>
      </w:r>
      <w:r w:rsidRPr="00C3671E">
        <w:lastRenderedPageBreak/>
        <w:t xml:space="preserve">you say your health is 1. Excellent, 2. Very good, 3. Good, 4. Fair, 5. Poor’, from which the first two, as well as the last two categories were merged. Finally, ISCED scale of education was recoded into categories primary education (ISCED 0 and 1), secondary (ISCED 2-4), and tertiary education (ISCED 5-6), which is the most meaningful categorization </w:t>
      </w:r>
      <w:r w:rsidRPr="00C3671E">
        <w:fldChar w:fldCharType="begin" w:fldLock="1"/>
      </w:r>
      <w:r w:rsidR="00AA6335" w:rsidRPr="00C3671E">
        <w:instrText>ADDIN CSL_CITATION { "citationItems" : [ { "id" : "ITEM-1", "itemData" : { "DOI" : "10.13140/RG.2.1.1419.3126", "ISBN" : "978-92-2-125953-4", "ISSN" : "0040-0912", "PMID" : "25246403", "abstract" : "5IJT\u0001WPMVNF\u0001QSFTFOUT\u0001UIF\u0001TUSVDUVSF\u0001BOE\u0001EFmOJUJPOT\u0001PG\u0001BMM\u0001HSPVQT\u0001JO\u0001UIF\u0001*OUFSOBUJPOBM\u00014UBOEBSE\u0001\\r\\n$MBTTJmDBUJPO\u0001PG\u00010DDVQBUJPOT\u0001\u0013\u0011\u0011\u0019\u0001\\t*4$0\u000e\u0011\u0019\\r\\n\u000f\u0001*U\u0001BMTP\u0001JODMVEFT\u0001DPSSFTQPOEFODF\u0001UBCMFT\u0001TIPXJOH\u0001\\r\\nUIF\u0001SFMBUJPOTIJQ\u0001PG\u0001UIFTF\u0001HSPVQT\u0001XJUI\u0001UIPTF\u0001JO\u0001UIF\u0001QSFWJPVT\u0001WFSTJPO\u0001PG\u0001UIF\u0001*OUFSOBUJPOBM\u00014UBOEBSE\u0001\\r\\n$MBTTJmDBUJPO\u0001PG\u00010DDVQBUJPOT\u0001\\t*4$0\u000e\u0019\u0019\\r\\n\\r\\n\u0001XIJDI\u0001JU\u0001TVQFSTFEFT\u000f\u00017PMVNF\u0001\u0013\u0001QSPWJEFT\u0001BO\u0001VQEBUFE\u0001\\r\\nBOE\u0001FYQBOEFE\u0001JOEFY\u0001PG\u0001PDDVQBUJPOBM\u0001UJUMFT\u0001BOE\u0001BTTPDJBUFE\u0001*4$0\u000e\u0011\u0019\u0001BOE\u0001*4$0\u000e\u0019\u0019\u0001DPEFT\u000f\\r\\n*4$0\u000e\u0011\u0019\u0001XBT\u0001BEPQUFE\u0001BT\u0001B\u0001SFTPMVUJPO\u0001PG\u0001B\u0001USJQBSUJUF\u0001.FFUJOH\u0001PG\u0001&amp;YQFSUT\u0001PO\u0001-BCPVS\u00014UBUJTUJDT\u0001PO\u0001\\r\\nVQEBUJOH\u0001UIF\u0001*OUFSOBUJPOBM\u00014UBOEBSE\u0001$MBTTJmDBUJPO\u0001PG\u00010DDVQBUJPOT\u0001\\t*4$0\\r\\n\\r\\n\u0001IFME\u0001\u0014o\u0017\u018e%FDFNCFS\u0001\\r\\n\u0013\u0011\u0011\u0018\u000f\u00015IJT\u0001NFFUJOH\u0001XBT\u0001DPOWFOFE\u0001CZ\u0001UIF\u0001(PWFSOJOH\u0001#PEZ\u0001PG\u0001UIF\u0001*OUFSOBUJPOBM\u0001-BCPVS\u00010\u0110DF\u0001\\r\\n\\t*-0\\r\\n\u0001JO\u0001BDDPSEBODF\u0001XJUI\u0001B\u0001SFTPMVUJPO\\r\\n\u0001JO\u0001\u0013\u0011\u0011\u0014\\r\\n\u0001PG\u0001UIF\u00014FWFOUFFOUI\u0001*OUFSOBUJPOBM\u0001$POGFSFODF\u0001\\r\\nPG\u0001-BCPVS\u00014UBUJTUJDJBOT\u0001\\t*$-4\\r\\n\u000f\u00015IF\u0001SFTPMVUJPO\u0001PG\u0001UIF\u0001.FFUJOH\u0001PG\u0001&amp;YQFSUT\u0001XBT\u0001FOEPSTFE\u0001CZ\u0001UIF\u0001\\r\\n(PWFSOJOH\u0001#PEZ\u0001JO\u0001.BSDI\u0001\u0013\u0011\u0011\u0019\u000f\\r\\n*4$0\u000e\u0011\u0019\\r\\n\u0001MJLF\u0001JUT\u0001QSFEFDFTTPST\\r\\n\u0001IBT\u0001CFFO\u0001EFWFMPQFE\u0001UP\u0001GBDJMJUBUF\u0001JOUFSOBUJPOBM\u0001DPNQBSJTPO\u0001PG\u0001\\r\\nPDDVQBUJPOBM\u0001TUBUJTUJDT\u0001BOE\u0001UP\u0001TFSWF\u0001BT\u0001B\u0001NPEFM\u0001GPS\u0001DPVOUSJFT\u0001EFWFMPQJOH\u0001PS\u0001SFWJTJOH\u0001UIFJS\u0001OBtional\\r\\noccupational classifications. It is fully supported by the international community as an\\r\\naccepted standard for international labour statistics.\\r\\n5IF\u0001EFWFMPQNFOU\u0001PG\u0001 *4$0\u000e\u0011\u0019\u0001CFOFmUFE\u0001 GSPN\u0001 BDDVNVMBUFE\u0001OBUJPOBM\u0001 BOE\u0001JOUFSOBUJPOBM\u0001FYQFSJFODF\u000f\u0001%BWJE\u0001)VOUFS\\r\\n\u0001PG\u0001UIF\u0001*-0\u0001%FQBSUNFOU\u0001PG\u00014UBUJTUJDT\\r\\n\u0001DPPSEJOBUFE\u0001UIF\u0001QSPKFDU\u0001JO\u0001DPMMBCPSBUJPO\u0001XJUI\u0001FYQFSUT\u0001GSPN\u0001NBOZ\u0001DPVOUSJFT\u0001BOE\u0001BHFODJFT\u000f\\r\\n5IF\u0001*-0\u0001JT\u0001HSBUFGVM\u0001 GPS\u0001 UIF\u0001JOWBMVBCMF\u0001BEWJDF\u0001BOE\u0001HVJEBODF\u0001QSPWJEFE\u0001CZ\u0001 UIFTF\u0001FYQFSUT\\r\\n\u0001JODMVEJOH\u0001NFNCFST\u0001PG\u0001UIF\u00016OJUFE\u0001/BUJPOT\u0001&amp;YQFSU\u0001(SPVQ\u0001PO\u0001*OUFSOBUJPOBM\u0001&amp;DPOPNJD\u0001BOE\u00014PDJBM\u0001\\r\\n$MBTTJmDBUJPOT\\r\\n\u0001UIF\u0001USJQBSUJUF\u0001.FFUJOH\u0001PG\u0001&amp;YQFSUT\u0001PO\u0001-BCPVS\u00014UBUJTUJDT\u0001BOE\u0001UIF\u00014FWFOUFFOUI\u0001\\r\\n*$-4\u000f\u00014QFDJBM\u0001 UIBOLT\u0001TIPVME\u0001HP\u0001 UP\u0001NFNCFST\u0001PG\u0001 UIF\u00015FDIOJDBM\u0001&amp;YQFSU\u0001(SPVQ\u0001 GPS\u00016QEBUJOH\u0001\\r\\n*4$0\u0001BOE\u0001UIF\u0001BHFODJFT\u0001JO\u0001XIJDI\u0001UIFZ\u0001BSF\u0001FNQMPZFE\\r\\n\u0001GPS\u0001UIF\u0001IJHI\u0001MFWFM\u0001PG\u0001BEWJDF\\r\\n\u0001TVQQPSU\u0001BOE\u0001\\r\\nEJSFDU\u0001BTTJTUBODF\u0001QSPWJEFE\u000f\\r\\n5IBOLT\u0001 BSF\u0001 BMTP\u0001EVF\u0001 UP\u0001 UIF\u0001NBOZ\u0001 *-0\u0001 TUB\u010f\u0001JO\u0001 UIF\u0001%FQBSUNFOU\u0001PG\u00014UBUJTUJDT\u0001 BOE\u0001FMTFXIFSF\u0001\\r\\nXIP\u018eDPOUSJCVUFE\u0001 UP\u0001 UIF\u0001DPNQMFUJPO\u0001PG\u0001 UIJT\u0001 WPMVNF\\r\\n\u0001JO\u0001QBSUJDVMBS\u0001 UP\u0001\"ESJBOB\u0001.BUB\u000e(SFFOXPPE\u018eXIP\u0001JOJUJBUFE\u0001UIF\u0001QSPKFDU", "author" : [ { "dropping-particle" : "", "family" : "International Labour Office", "given" : "", "non-dropping-particle" : "", "parse-names" : false, "suffix" : "" } ], "id" : "ITEM-1", "issued" : { "date-parts" : [ [ "2012" ] ] }, "number-of-pages" : "1-420", "publisher" : "International Labour Office", "publisher-place" : "Geneva", "title" : "International Standard Classification of Occupations", "type" : "book", "volume" : "I" }, "uris" : [ "http://www.mendeley.com/documents/?uuid=46ad45a0-f7b1-4589-ad5d-fd388f9eb8ee" ] } ], "mendeley" : { "formattedCitation" : "(International Labour Office 2012)", "plainTextFormattedCitation" : "(International Labour Office 2012)", "previouslyFormattedCitation" : "(International Labour Office 2012)" }, "properties" : { "noteIndex" : 0 }, "schema" : "https://github.com/citation-style-language/schema/raw/master/csl-citation.json" }</w:instrText>
      </w:r>
      <w:r w:rsidRPr="00C3671E">
        <w:fldChar w:fldCharType="separate"/>
      </w:r>
      <w:r w:rsidRPr="00C3671E">
        <w:rPr>
          <w:noProof/>
        </w:rPr>
        <w:t>(International Labour Office 2012)</w:t>
      </w:r>
      <w:r w:rsidRPr="00C3671E">
        <w:fldChar w:fldCharType="end"/>
      </w:r>
      <w:r w:rsidRPr="00C3671E">
        <w:t>.</w:t>
      </w:r>
    </w:p>
    <w:p w14:paraId="2BC977B1" w14:textId="4BE1D27F" w:rsidR="007302A0" w:rsidRPr="00C3671E" w:rsidRDefault="007302A0" w:rsidP="006B7F0B">
      <w:pPr>
        <w:pStyle w:val="Newparagraph"/>
        <w:jc w:val="both"/>
      </w:pPr>
      <w:r w:rsidRPr="00C3671E">
        <w:t xml:space="preserve">It is important to keep in mind </w:t>
      </w:r>
      <w:r w:rsidRPr="00C3671E">
        <w:rPr>
          <w:noProof/>
        </w:rPr>
        <w:t>that</w:t>
      </w:r>
      <w:r w:rsidRPr="00C3671E">
        <w:t xml:space="preserve"> division between dependent and independent variables is not ultimate, since these categories are difficult to separate in complexities of social reality. The possibilities of simple covariance or reversed causality – for instance, that social participation improves health instead of the other way around – are hard to exclude with the available data. Still, the use of these categories, which structure the analysis, is driven by their common theoretical and empirical interpretation, </w:t>
      </w:r>
      <w:r w:rsidRPr="00C3671E">
        <w:rPr>
          <w:i/>
        </w:rPr>
        <w:t>i.e.</w:t>
      </w:r>
      <w:r w:rsidRPr="00C3671E">
        <w:t xml:space="preserve"> individual resources (cultural capital, economic capital, and health) create opportunities to social participation </w:t>
      </w:r>
      <w:r w:rsidRPr="00C3671E">
        <w:fldChar w:fldCharType="begin" w:fldLock="1"/>
      </w:r>
      <w:r w:rsidR="001257AA" w:rsidRPr="00C3671E">
        <w:instrText>ADDIN CSL_CITATION { "citationItems" : [ { "id" : "ITEM-1", "itemData" : { "DOI" : "10.1007/s10433-015-0341-4", "ISSN" : "16139380", "abstract" : "This study explores older people\u2019s membership in political organizations by using data from the Survey on older people 2010, carried out by Spain\u2019s National Institute for older people and social services. The objectives were to describe the extent of this kind of participation among Spaniards aged 65 and over, and to analyze the factors that are associated with it. Results show that only slightly less than 7 % of the sample belonged to a political organization. To analyze the factors related to this membership, a set of models of multivariate analyses were run, including socioeconomic resources and participation in other types of active aging activity (participation in leisure, learning, and productive activities). Educational level, leisure activities, learning activities, and only volunteering in the case of productive activities were found to be associated with membership in political organizations. Results provide partial support for the socioeconomic resources model and suggest that engagement in leisure activities, learning activities, and volunteering might have an enhancing effect on membership in political organizations.", "author" : [ { "dropping-particle" : "", "family" : "Serrat", "given" : "Rodrigo", "non-dropping-particle" : "", "parse-names" : false, "suffix" : "" }, { "dropping-particle" : "", "family" : "Villar", "given" : "Feliciano", "non-dropping-particle" : "", "parse-names" : false, "suffix" : "" }, { "dropping-particle" : "", "family" : "Celdr\u00e1n", "given" : "Montserrat", "non-dropping-particle" : "", "parse-names" : false, "suffix" : "" } ], "container-title" : "European Journal of Ageing", "id" : "ITEM-1", "issue" : "3", "issued" : { "date-parts" : [ [ "2015" ] ] }, "page" : "239-247", "title" : "Factors associated with Spanish older people\u2019s membership in political organizations: the role of active aging activities", "type" : "article-journal", "volume" : "12" }, "uris" : [ "http://www.mendeley.com/documents/?uuid=916b36f3-3dc6-4f85-86e1-c170aa0e0234" ] }, { "id" : "ITEM-2", "itemData" : { "author" : [ { "dropping-particle" : "", "family" : "Timonen", "given" : "Virpi", "non-dropping-particle" : "", "parse-names" : false, "suffix" : "" } ], "id" : "ITEM-2", "issued" : { "date-parts" : [ [ "2016" ] ] }, "publisher" : "Policy Press Shorts Research", "publisher-place" : "Bristol", "title" : "Beyond successful and active ageing: A theory of model ageing", "type" : "book" }, "uris" : [ "http://www.mendeley.com/documents/?uuid=4c41af4a-05f8-46fd-bb8a-a893aaadda0a" ] } ], "mendeley" : { "formattedCitation" : "(Serrat et al. 2015; Timonen 2016)", "plainTextFormattedCitation" : "(Serrat et al. 2015; Timonen 2016)", "previouslyFormattedCitation" : "(Serrat et al. 2015; Timonen 2016)" }, "properties" : { "noteIndex" : 0 }, "schema" : "https://github.com/citation-style-language/schema/raw/master/csl-citation.json" }</w:instrText>
      </w:r>
      <w:r w:rsidRPr="00C3671E">
        <w:fldChar w:fldCharType="separate"/>
      </w:r>
      <w:r w:rsidR="00A91559" w:rsidRPr="00C3671E">
        <w:rPr>
          <w:noProof/>
        </w:rPr>
        <w:t>(Serrat et al. 2015; Timonen 2016)</w:t>
      </w:r>
      <w:r w:rsidRPr="00C3671E">
        <w:fldChar w:fldCharType="end"/>
      </w:r>
      <w:r w:rsidRPr="00C3671E">
        <w:t>.</w:t>
      </w:r>
    </w:p>
    <w:p w14:paraId="6B0197EA" w14:textId="77777777" w:rsidR="007302A0" w:rsidRPr="00C3671E" w:rsidRDefault="007302A0" w:rsidP="007E6D8E">
      <w:pPr>
        <w:pStyle w:val="Nadpis3"/>
        <w:spacing w:line="480" w:lineRule="auto"/>
        <w:rPr>
          <w:rFonts w:ascii="Times New Roman" w:hAnsi="Times New Roman" w:cs="Times New Roman"/>
          <w:b w:val="0"/>
          <w:i/>
          <w:lang w:val="en-GB" w:eastAsia="zh-CN"/>
        </w:rPr>
      </w:pPr>
      <w:bookmarkStart w:id="72" w:name="_Toc512687773"/>
      <w:r w:rsidRPr="00C3671E">
        <w:rPr>
          <w:rFonts w:ascii="Times New Roman" w:hAnsi="Times New Roman" w:cs="Times New Roman"/>
          <w:b w:val="0"/>
          <w:i/>
          <w:lang w:val="en-GB" w:eastAsia="zh-CN"/>
        </w:rPr>
        <w:t>Methods</w:t>
      </w:r>
      <w:bookmarkEnd w:id="72"/>
    </w:p>
    <w:p w14:paraId="372DEB50" w14:textId="77777777" w:rsidR="007302A0" w:rsidRPr="00C3671E" w:rsidRDefault="007302A0" w:rsidP="006B7F0B">
      <w:pPr>
        <w:suppressAutoHyphens/>
        <w:spacing w:line="480" w:lineRule="auto"/>
        <w:jc w:val="both"/>
        <w:rPr>
          <w:lang w:val="en-GB"/>
        </w:rPr>
      </w:pPr>
      <w:r w:rsidRPr="00C3671E">
        <w:rPr>
          <w:lang w:val="en-GB"/>
        </w:rPr>
        <w:t xml:space="preserve">Descriptive techniques of data </w:t>
      </w:r>
      <w:r w:rsidRPr="00C3671E">
        <w:rPr>
          <w:rFonts w:eastAsia="Calibri"/>
          <w:noProof/>
          <w:lang w:val="en-GB" w:eastAsia="en-US"/>
        </w:rPr>
        <w:t>analysis</w:t>
      </w:r>
      <w:r w:rsidRPr="00C3671E">
        <w:rPr>
          <w:lang w:val="en-GB"/>
        </w:rPr>
        <w:t xml:space="preserve"> test the presented hypotheses. The results are made for each country separately to illustrate differences among welfare regimes and include following steps. First, the visuals display proportions of retired older adults engaged in predefined social participation and its development in time. Second, the same proportions are presented for subgroups defined by health, income, and education to determine how the social participation depends on these characteristics. The development of these proportions in time then indicate if unequal engagement in social participation decreases or increases with the changing prevalence of these activities. Third, the proportions of retired older adults engaged in social participation are also presented for individuals with more (dis)advantages to see how the unequal access to the social participation can be cumulative under certain conditions.</w:t>
      </w:r>
    </w:p>
    <w:p w14:paraId="77A926EA" w14:textId="77777777" w:rsidR="007302A0" w:rsidRPr="00C3671E" w:rsidRDefault="007302A0" w:rsidP="007E6D8E">
      <w:pPr>
        <w:pStyle w:val="Nadpis2"/>
        <w:spacing w:line="480" w:lineRule="auto"/>
        <w:rPr>
          <w:sz w:val="26"/>
          <w:szCs w:val="26"/>
          <w:lang w:val="en-GB"/>
        </w:rPr>
      </w:pPr>
      <w:bookmarkStart w:id="73" w:name="_Toc512687774"/>
      <w:r w:rsidRPr="00C3671E">
        <w:rPr>
          <w:sz w:val="26"/>
          <w:szCs w:val="26"/>
          <w:lang w:val="en-GB"/>
        </w:rPr>
        <w:lastRenderedPageBreak/>
        <w:t>Results</w:t>
      </w:r>
      <w:bookmarkEnd w:id="73"/>
    </w:p>
    <w:p w14:paraId="2F46CA75" w14:textId="57818EF3" w:rsidR="007302A0" w:rsidRPr="00C3671E" w:rsidRDefault="007302A0" w:rsidP="006B7F0B">
      <w:pPr>
        <w:suppressAutoHyphens/>
        <w:spacing w:line="480" w:lineRule="auto"/>
        <w:jc w:val="both"/>
        <w:rPr>
          <w:lang w:val="en-GB"/>
        </w:rPr>
      </w:pPr>
      <w:r w:rsidRPr="00C3671E">
        <w:rPr>
          <w:lang w:val="en-GB"/>
        </w:rPr>
        <w:t xml:space="preserve">The first step of the analysis is </w:t>
      </w:r>
      <w:r w:rsidRPr="00C3671E">
        <w:rPr>
          <w:rFonts w:eastAsia="Calibri"/>
          <w:noProof/>
          <w:lang w:val="en-GB" w:eastAsia="en-US"/>
        </w:rPr>
        <w:t>to</w:t>
      </w:r>
      <w:r w:rsidRPr="00C3671E">
        <w:rPr>
          <w:lang w:val="en-GB"/>
        </w:rPr>
        <w:t xml:space="preserve"> obtain the prevalence of social participation in given countries and its development over time. This information is displayed in Figure </w:t>
      </w:r>
      <w:r w:rsidR="00643D49" w:rsidRPr="00C3671E">
        <w:rPr>
          <w:lang w:val="en-GB"/>
        </w:rPr>
        <w:t>8</w:t>
      </w:r>
      <w:r w:rsidRPr="00C3671E">
        <w:rPr>
          <w:lang w:val="en-GB"/>
        </w:rPr>
        <w:t>. The differences in social participation in later life among representatives of five welfare regimes are hard to ignore. Regarding the most recent data from 2015, the proportion of retirees involved in social participation is up to 60 % for Sweden, followed by Switzerland, Austria, Czechia, and Italy with respective values of 47, 41, 25, and 22 %. Therefore, the macro-context matters a lot for these activities. The proportions are slightly decreasing over time, but this decrease is neither large nor regular. The public policy initiatives and increasing individual resources are thus not strongly reflected in a prevalence of social participation.</w:t>
      </w:r>
    </w:p>
    <w:p w14:paraId="49D1B043" w14:textId="7D30B361" w:rsidR="007302A0" w:rsidRPr="00C3671E" w:rsidRDefault="006B7F0B" w:rsidP="006B7F0B">
      <w:pPr>
        <w:spacing w:before="100" w:beforeAutospacing="1"/>
        <w:jc w:val="both"/>
        <w:rPr>
          <w:b/>
          <w:lang w:val="en-GB"/>
        </w:rPr>
      </w:pPr>
      <w:bookmarkStart w:id="74" w:name="_Toc512687440"/>
      <w:r w:rsidRPr="00C3671E">
        <w:rPr>
          <w:b/>
          <w:lang w:val="en-GB"/>
        </w:rPr>
        <w:t xml:space="preserve">Figure </w:t>
      </w:r>
      <w:r w:rsidRPr="00C3671E">
        <w:rPr>
          <w:b/>
          <w:lang w:val="en-GB"/>
        </w:rPr>
        <w:fldChar w:fldCharType="begin"/>
      </w:r>
      <w:r w:rsidRPr="00C3671E">
        <w:rPr>
          <w:b/>
          <w:lang w:val="en-GB"/>
        </w:rPr>
        <w:instrText xml:space="preserve"> SEQ Figure \* ARABIC </w:instrText>
      </w:r>
      <w:r w:rsidRPr="00C3671E">
        <w:rPr>
          <w:b/>
          <w:lang w:val="en-GB"/>
        </w:rPr>
        <w:fldChar w:fldCharType="separate"/>
      </w:r>
      <w:r w:rsidR="00A95FE5" w:rsidRPr="00C3671E">
        <w:rPr>
          <w:b/>
          <w:noProof/>
          <w:lang w:val="en-GB"/>
        </w:rPr>
        <w:t>8</w:t>
      </w:r>
      <w:r w:rsidRPr="00C3671E">
        <w:rPr>
          <w:b/>
          <w:lang w:val="en-GB"/>
        </w:rPr>
        <w:fldChar w:fldCharType="end"/>
      </w:r>
      <w:r w:rsidRPr="00C3671E">
        <w:rPr>
          <w:b/>
          <w:lang w:val="en-GB"/>
        </w:rPr>
        <w:t>:</w:t>
      </w:r>
      <w:r w:rsidR="007302A0" w:rsidRPr="00C3671E">
        <w:rPr>
          <w:b/>
          <w:lang w:val="en-GB"/>
        </w:rPr>
        <w:t xml:space="preserve"> Proportional differences in social participation between tertiary and primary education</w:t>
      </w:r>
      <w:bookmarkEnd w:id="74"/>
    </w:p>
    <w:p w14:paraId="0C63D84E" w14:textId="77777777" w:rsidR="007302A0" w:rsidRPr="00C3671E" w:rsidRDefault="007302A0" w:rsidP="007302A0">
      <w:pPr>
        <w:rPr>
          <w:lang w:val="en-GB"/>
        </w:rPr>
      </w:pPr>
      <w:r w:rsidRPr="00C3671E">
        <w:rPr>
          <w:i/>
          <w:sz w:val="20"/>
          <w:lang w:val="en-GB"/>
        </w:rPr>
        <w:t xml:space="preserve"> </w:t>
      </w:r>
      <w:r w:rsidRPr="00C3671E">
        <w:rPr>
          <w:noProof/>
          <w:lang w:val="en-GB"/>
        </w:rPr>
        <w:drawing>
          <wp:inline distT="0" distB="0" distL="0" distR="0" wp14:anchorId="6704D100" wp14:editId="3ED2E017">
            <wp:extent cx="4572000" cy="2533650"/>
            <wp:effectExtent l="0" t="0" r="0" b="0"/>
            <wp:docPr id="8" name="Graf 8">
              <a:extLst xmlns:a="http://schemas.openxmlformats.org/drawingml/2006/main">
                <a:ext uri="{FF2B5EF4-FFF2-40B4-BE49-F238E27FC236}">
                  <a16:creationId xmlns:a16="http://schemas.microsoft.com/office/drawing/2014/main" id="{080CD3FC-BA5A-4C5B-9AA8-68BF47AA35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6DD344" w14:textId="77777777" w:rsidR="007302A0" w:rsidRPr="00C3671E" w:rsidRDefault="007302A0" w:rsidP="007302A0">
      <w:pPr>
        <w:ind w:left="426"/>
        <w:rPr>
          <w:sz w:val="20"/>
          <w:lang w:val="en-GB"/>
        </w:rPr>
      </w:pPr>
      <w:r w:rsidRPr="00C3671E">
        <w:rPr>
          <w:i/>
          <w:sz w:val="20"/>
          <w:lang w:val="en-GB"/>
        </w:rPr>
        <w:t xml:space="preserve">Notes: </w:t>
      </w:r>
      <w:r w:rsidRPr="00C3671E">
        <w:rPr>
          <w:sz w:val="20"/>
          <w:lang w:val="en-GB"/>
        </w:rPr>
        <w:t>These calculations use data from SHARE, waves 2, 4, 5, and 6.</w:t>
      </w:r>
    </w:p>
    <w:p w14:paraId="3C606478" w14:textId="77777777" w:rsidR="006B7F0B" w:rsidRPr="00C3671E" w:rsidRDefault="006B7F0B" w:rsidP="006B7F0B">
      <w:pPr>
        <w:suppressAutoHyphens/>
        <w:spacing w:line="480" w:lineRule="auto"/>
        <w:jc w:val="both"/>
        <w:rPr>
          <w:lang w:val="en-GB"/>
        </w:rPr>
      </w:pPr>
    </w:p>
    <w:p w14:paraId="294EDAFB" w14:textId="47CDC737" w:rsidR="007302A0" w:rsidRPr="00C3671E" w:rsidRDefault="007302A0" w:rsidP="006B7F0B">
      <w:pPr>
        <w:suppressAutoHyphens/>
        <w:spacing w:line="480" w:lineRule="auto"/>
        <w:jc w:val="both"/>
        <w:rPr>
          <w:lang w:val="en-GB"/>
        </w:rPr>
      </w:pPr>
      <w:r w:rsidRPr="00C3671E">
        <w:rPr>
          <w:lang w:val="en-GB"/>
        </w:rPr>
        <w:t xml:space="preserve">The </w:t>
      </w:r>
      <w:r w:rsidRPr="00C3671E">
        <w:rPr>
          <w:rFonts w:eastAsia="Calibri"/>
          <w:noProof/>
          <w:lang w:val="en-GB" w:eastAsia="en-US"/>
        </w:rPr>
        <w:t>next</w:t>
      </w:r>
      <w:r w:rsidRPr="00C3671E">
        <w:rPr>
          <w:lang w:val="en-GB"/>
        </w:rPr>
        <w:t xml:space="preserve"> step is to analyse how individual characteristics – education, financial situation, and health – structure social participation among older adults. All three of them have three categories, which would make figures with five countries and four time-points excessively complex. However, all of them have a regular positive effect on social participation (i.e. older adults in the middle category participate more often than retirees in lower category and less </w:t>
      </w:r>
      <w:r w:rsidRPr="00C3671E">
        <w:rPr>
          <w:lang w:val="en-GB"/>
        </w:rPr>
        <w:lastRenderedPageBreak/>
        <w:t xml:space="preserve">than retirees in higher category). Hence, the analysis can use just proportions for the lower and the higher category without some extensive loss of information, which is also a base of a further analysis. </w:t>
      </w:r>
    </w:p>
    <w:p w14:paraId="51338BA6" w14:textId="23BA29A9" w:rsidR="007302A0" w:rsidRPr="00C3671E" w:rsidRDefault="007302A0" w:rsidP="006B7F0B">
      <w:pPr>
        <w:pStyle w:val="Newparagraph"/>
        <w:jc w:val="both"/>
      </w:pPr>
      <w:r w:rsidRPr="00C3671E">
        <w:t xml:space="preserve">Figure </w:t>
      </w:r>
      <w:r w:rsidR="00643D49" w:rsidRPr="00C3671E">
        <w:t>9</w:t>
      </w:r>
      <w:r w:rsidRPr="00C3671E">
        <w:t xml:space="preserve"> depicts the differences in prevalence of social </w:t>
      </w:r>
      <w:r w:rsidRPr="00C3671E">
        <w:rPr>
          <w:noProof/>
        </w:rPr>
        <w:t>participation</w:t>
      </w:r>
      <w:r w:rsidRPr="00C3671E">
        <w:t xml:space="preserve"> between tertiary and primary education. The differences between these two educational categories are decisive – among 20 and 35 %. However, the country differences are hard to identify in this figure and the development of education effect over time is also unclear (apart from almost universal increase of inequalities during the economic crisis between 2007 and 2011). No significant pattern in the results may be caused by the procedure, which do not consider the differences in overall level of social participation among countries. This aims to be corrected in Figure </w:t>
      </w:r>
      <w:r w:rsidR="00643D49" w:rsidRPr="00C3671E">
        <w:t>10</w:t>
      </w:r>
      <w:r w:rsidRPr="00C3671E">
        <w:t>.</w:t>
      </w:r>
    </w:p>
    <w:p w14:paraId="41814F8C" w14:textId="0F7BAF92" w:rsidR="007302A0" w:rsidRPr="00C3671E" w:rsidRDefault="007302A0" w:rsidP="006B7F0B">
      <w:pPr>
        <w:pStyle w:val="Newparagraph"/>
        <w:jc w:val="both"/>
      </w:pPr>
      <w:r w:rsidRPr="00C3671E">
        <w:t xml:space="preserve">Figure </w:t>
      </w:r>
      <w:r w:rsidR="00643D49" w:rsidRPr="00C3671E">
        <w:t>10</w:t>
      </w:r>
      <w:r w:rsidRPr="00C3671E">
        <w:t xml:space="preserve"> does not give us the absolute, but ‘relative’ differences </w:t>
      </w:r>
      <w:r w:rsidRPr="00C3671E">
        <w:rPr>
          <w:noProof/>
        </w:rPr>
        <w:t>between</w:t>
      </w:r>
      <w:r w:rsidRPr="00C3671E">
        <w:t xml:space="preserve"> tertiary and primary education – the first is divided by the latter one. Thus, for instance in Czechia, the chance of participation was almost four times higher for a respondent with tertiary education than for a respondent with primary education in 2007. This method brought some meaningful patterns into results. The highest inequalities based on the level of education were found in Post-communist Czechia and the lowest inequalities in Social Democratic Sweden. These inequalities are quite stable over time and relatively large for all countries except of Sweden. However, this method does not provide some information generated by simply dividing percentages of two groups of respondents from Figure </w:t>
      </w:r>
      <w:r w:rsidR="00643D49" w:rsidRPr="00C3671E">
        <w:t>9</w:t>
      </w:r>
      <w:r w:rsidRPr="00C3671E">
        <w:t>. Hence, each of the methods is useful from some point of view and the paper use both for testing all three individual characteristics that are elaborated here.</w:t>
      </w:r>
    </w:p>
    <w:p w14:paraId="18D58B73" w14:textId="4BD09C03" w:rsidR="007302A0" w:rsidRPr="00C3671E" w:rsidRDefault="006B7F0B" w:rsidP="006B7F0B">
      <w:pPr>
        <w:spacing w:before="100" w:beforeAutospacing="1"/>
        <w:jc w:val="both"/>
        <w:rPr>
          <w:b/>
          <w:lang w:val="en-GB"/>
        </w:rPr>
      </w:pPr>
      <w:bookmarkStart w:id="75" w:name="_Toc512687441"/>
      <w:r w:rsidRPr="00C3671E">
        <w:rPr>
          <w:b/>
          <w:lang w:val="en-GB"/>
        </w:rPr>
        <w:t xml:space="preserve">Figure </w:t>
      </w:r>
      <w:r w:rsidRPr="00C3671E">
        <w:rPr>
          <w:b/>
          <w:lang w:val="en-GB"/>
        </w:rPr>
        <w:fldChar w:fldCharType="begin"/>
      </w:r>
      <w:r w:rsidRPr="00C3671E">
        <w:rPr>
          <w:b/>
          <w:lang w:val="en-GB"/>
        </w:rPr>
        <w:instrText xml:space="preserve"> SEQ Figure \* ARABIC </w:instrText>
      </w:r>
      <w:r w:rsidRPr="00C3671E">
        <w:rPr>
          <w:b/>
          <w:lang w:val="en-GB"/>
        </w:rPr>
        <w:fldChar w:fldCharType="separate"/>
      </w:r>
      <w:r w:rsidR="00A95FE5" w:rsidRPr="00C3671E">
        <w:rPr>
          <w:b/>
          <w:noProof/>
          <w:lang w:val="en-GB"/>
        </w:rPr>
        <w:t>9</w:t>
      </w:r>
      <w:r w:rsidRPr="00C3671E">
        <w:rPr>
          <w:b/>
          <w:lang w:val="en-GB"/>
        </w:rPr>
        <w:fldChar w:fldCharType="end"/>
      </w:r>
      <w:r w:rsidRPr="00C3671E">
        <w:rPr>
          <w:b/>
          <w:lang w:val="en-GB"/>
        </w:rPr>
        <w:t>:</w:t>
      </w:r>
      <w:r w:rsidR="007302A0" w:rsidRPr="00C3671E">
        <w:rPr>
          <w:b/>
          <w:lang w:val="en-GB"/>
        </w:rPr>
        <w:t xml:space="preserve"> Proportional differences in social participation between tertiary and primary education</w:t>
      </w:r>
      <w:bookmarkEnd w:id="75"/>
    </w:p>
    <w:p w14:paraId="5353693B" w14:textId="77777777" w:rsidR="007302A0" w:rsidRPr="00C3671E" w:rsidRDefault="007302A0" w:rsidP="007302A0">
      <w:pPr>
        <w:rPr>
          <w:lang w:val="en-GB"/>
        </w:rPr>
      </w:pPr>
      <w:r w:rsidRPr="00C3671E">
        <w:rPr>
          <w:noProof/>
          <w:lang w:val="en-GB"/>
        </w:rPr>
        <w:lastRenderedPageBreak/>
        <w:drawing>
          <wp:inline distT="0" distB="0" distL="0" distR="0" wp14:anchorId="3AEBAC32" wp14:editId="7E39CBD5">
            <wp:extent cx="4572000" cy="2533650"/>
            <wp:effectExtent l="0" t="0" r="0" b="0"/>
            <wp:docPr id="2" name="Graf 2">
              <a:extLst xmlns:a="http://schemas.openxmlformats.org/drawingml/2006/main">
                <a:ext uri="{FF2B5EF4-FFF2-40B4-BE49-F238E27FC236}">
                  <a16:creationId xmlns:a16="http://schemas.microsoft.com/office/drawing/2014/main" id="{D81208A3-5A03-468A-BD80-EEBCA38C23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F8EDF3" w14:textId="1D073546" w:rsidR="007302A0" w:rsidRPr="00C3671E" w:rsidRDefault="007302A0" w:rsidP="007302A0">
      <w:pPr>
        <w:ind w:left="426"/>
        <w:rPr>
          <w:sz w:val="20"/>
          <w:lang w:val="en-GB"/>
        </w:rPr>
      </w:pPr>
      <w:r w:rsidRPr="00C3671E">
        <w:rPr>
          <w:i/>
          <w:sz w:val="20"/>
          <w:lang w:val="en-GB"/>
        </w:rPr>
        <w:t xml:space="preserve">Notes: </w:t>
      </w:r>
      <w:r w:rsidRPr="00C3671E">
        <w:rPr>
          <w:sz w:val="20"/>
          <w:lang w:val="en-GB"/>
        </w:rPr>
        <w:t>These calculations use data from SHARE, waves 2, 4, 5, and 6.</w:t>
      </w:r>
    </w:p>
    <w:p w14:paraId="38937318" w14:textId="77777777" w:rsidR="006B7F0B" w:rsidRPr="00C3671E" w:rsidRDefault="006B7F0B" w:rsidP="007302A0">
      <w:pPr>
        <w:ind w:left="426"/>
        <w:rPr>
          <w:sz w:val="20"/>
          <w:lang w:val="en-GB"/>
        </w:rPr>
      </w:pPr>
    </w:p>
    <w:p w14:paraId="05CD643D" w14:textId="5212C35D" w:rsidR="007302A0" w:rsidRPr="00C3671E" w:rsidRDefault="006B7F0B" w:rsidP="006B7F0B">
      <w:pPr>
        <w:spacing w:before="100" w:beforeAutospacing="1"/>
        <w:jc w:val="both"/>
        <w:rPr>
          <w:b/>
          <w:lang w:val="en-GB"/>
        </w:rPr>
      </w:pPr>
      <w:bookmarkStart w:id="76" w:name="_Toc512687442"/>
      <w:r w:rsidRPr="00C3671E">
        <w:rPr>
          <w:b/>
          <w:lang w:val="en-GB"/>
        </w:rPr>
        <w:t xml:space="preserve">Figure </w:t>
      </w:r>
      <w:r w:rsidRPr="00C3671E">
        <w:rPr>
          <w:b/>
          <w:lang w:val="en-GB"/>
        </w:rPr>
        <w:fldChar w:fldCharType="begin"/>
      </w:r>
      <w:r w:rsidRPr="00C3671E">
        <w:rPr>
          <w:b/>
          <w:lang w:val="en-GB"/>
        </w:rPr>
        <w:instrText xml:space="preserve"> SEQ Figure \* ARABIC </w:instrText>
      </w:r>
      <w:r w:rsidRPr="00C3671E">
        <w:rPr>
          <w:b/>
          <w:lang w:val="en-GB"/>
        </w:rPr>
        <w:fldChar w:fldCharType="separate"/>
      </w:r>
      <w:r w:rsidR="00A95FE5" w:rsidRPr="00C3671E">
        <w:rPr>
          <w:b/>
          <w:noProof/>
          <w:lang w:val="en-GB"/>
        </w:rPr>
        <w:t>10</w:t>
      </w:r>
      <w:r w:rsidRPr="00C3671E">
        <w:rPr>
          <w:b/>
          <w:lang w:val="en-GB"/>
        </w:rPr>
        <w:fldChar w:fldCharType="end"/>
      </w:r>
      <w:r w:rsidRPr="00C3671E">
        <w:rPr>
          <w:b/>
          <w:lang w:val="en-GB"/>
        </w:rPr>
        <w:t>:</w:t>
      </w:r>
      <w:r w:rsidR="007302A0" w:rsidRPr="00C3671E">
        <w:rPr>
          <w:b/>
          <w:lang w:val="en-GB"/>
        </w:rPr>
        <w:t xml:space="preserve"> Ratios of social participation between tertiary and primary education</w:t>
      </w:r>
      <w:bookmarkEnd w:id="76"/>
    </w:p>
    <w:p w14:paraId="338B2D49" w14:textId="77777777" w:rsidR="007302A0" w:rsidRPr="00C3671E" w:rsidRDefault="007302A0" w:rsidP="007302A0">
      <w:pPr>
        <w:rPr>
          <w:lang w:val="en-GB"/>
        </w:rPr>
      </w:pPr>
      <w:r w:rsidRPr="00C3671E">
        <w:rPr>
          <w:noProof/>
          <w:lang w:val="en-GB"/>
        </w:rPr>
        <w:drawing>
          <wp:inline distT="0" distB="0" distL="0" distR="0" wp14:anchorId="0A4DAA23" wp14:editId="6084A8A6">
            <wp:extent cx="4572000" cy="2533650"/>
            <wp:effectExtent l="0" t="0" r="0" b="0"/>
            <wp:docPr id="4" name="Graf 4">
              <a:extLst xmlns:a="http://schemas.openxmlformats.org/drawingml/2006/main">
                <a:ext uri="{FF2B5EF4-FFF2-40B4-BE49-F238E27FC236}">
                  <a16:creationId xmlns:a16="http://schemas.microsoft.com/office/drawing/2014/main" id="{62B24114-98F4-4A23-8E31-FB032ED6CB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551B0A" w14:textId="77777777" w:rsidR="007302A0" w:rsidRPr="00C3671E" w:rsidRDefault="007302A0" w:rsidP="007302A0">
      <w:pPr>
        <w:ind w:left="426"/>
        <w:rPr>
          <w:sz w:val="20"/>
          <w:lang w:val="en-GB"/>
        </w:rPr>
      </w:pPr>
      <w:r w:rsidRPr="00C3671E">
        <w:rPr>
          <w:i/>
          <w:sz w:val="20"/>
          <w:lang w:val="en-GB"/>
        </w:rPr>
        <w:t xml:space="preserve">Notes: </w:t>
      </w:r>
      <w:r w:rsidRPr="00C3671E">
        <w:rPr>
          <w:sz w:val="20"/>
          <w:lang w:val="en-GB"/>
        </w:rPr>
        <w:t>These calculations use data from SHARE, waves 2, 4, 5, and 6.</w:t>
      </w:r>
    </w:p>
    <w:p w14:paraId="57ADB661" w14:textId="77777777" w:rsidR="006B7F0B" w:rsidRPr="00C3671E" w:rsidRDefault="006B7F0B" w:rsidP="006B7F0B">
      <w:pPr>
        <w:suppressAutoHyphens/>
        <w:spacing w:line="480" w:lineRule="auto"/>
        <w:jc w:val="both"/>
        <w:rPr>
          <w:rFonts w:eastAsia="Calibri"/>
          <w:noProof/>
          <w:lang w:val="en-GB" w:eastAsia="en-US"/>
        </w:rPr>
      </w:pPr>
    </w:p>
    <w:p w14:paraId="44FB4073" w14:textId="7FC922A3" w:rsidR="007302A0" w:rsidRPr="00C3671E" w:rsidRDefault="007302A0" w:rsidP="006B7F0B">
      <w:pPr>
        <w:suppressAutoHyphens/>
        <w:spacing w:line="480" w:lineRule="auto"/>
        <w:jc w:val="both"/>
        <w:rPr>
          <w:lang w:val="en-GB"/>
        </w:rPr>
      </w:pPr>
      <w:r w:rsidRPr="00C3671E">
        <w:rPr>
          <w:rFonts w:eastAsia="Calibri"/>
          <w:noProof/>
          <w:lang w:val="en-GB" w:eastAsia="en-US"/>
        </w:rPr>
        <w:t>The</w:t>
      </w:r>
      <w:r w:rsidRPr="00C3671E">
        <w:rPr>
          <w:lang w:val="en-GB"/>
        </w:rPr>
        <w:t xml:space="preserve"> financial situation is the second indicator of social class, and thus it is expected to have a similar effect on social participation as the level of education. Nevertheless, Figure </w:t>
      </w:r>
      <w:r w:rsidR="00643D49" w:rsidRPr="00C3671E">
        <w:rPr>
          <w:lang w:val="en-GB"/>
        </w:rPr>
        <w:t>11</w:t>
      </w:r>
      <w:r w:rsidRPr="00C3671E">
        <w:rPr>
          <w:lang w:val="en-GB"/>
        </w:rPr>
        <w:t xml:space="preserve"> shows that this is not the case. Difference between respondents in bad and respondents in very good financial situation are much lower – from 3 to 23 % - and not stable in time. Liberal Switzerland has somewhat higher inequalities in social participation based on financial situation, which is the only distinctive country difference. Figure </w:t>
      </w:r>
      <w:r w:rsidR="00643D49" w:rsidRPr="00C3671E">
        <w:rPr>
          <w:lang w:val="en-GB"/>
        </w:rPr>
        <w:t>12</w:t>
      </w:r>
      <w:r w:rsidRPr="00C3671E">
        <w:rPr>
          <w:lang w:val="en-GB"/>
        </w:rPr>
        <w:t xml:space="preserve"> also shows the weak effect of financial situation. Respondents in the very good situation generally had about 1.5 higher chance on social participation than respondents in the bad financial situation. These differences did not </w:t>
      </w:r>
      <w:r w:rsidRPr="00C3671E">
        <w:rPr>
          <w:lang w:val="en-GB"/>
        </w:rPr>
        <w:lastRenderedPageBreak/>
        <w:t>develop systematically over time. The inequalities tend to be higher in Italy and lower in Sweden, but the differences are not strong.</w:t>
      </w:r>
    </w:p>
    <w:p w14:paraId="75E45251" w14:textId="7C4877D9" w:rsidR="007302A0" w:rsidRPr="00C3671E" w:rsidRDefault="006B7F0B" w:rsidP="006B7F0B">
      <w:pPr>
        <w:spacing w:before="100" w:beforeAutospacing="1"/>
        <w:jc w:val="both"/>
        <w:rPr>
          <w:b/>
          <w:lang w:val="en-GB"/>
        </w:rPr>
      </w:pPr>
      <w:bookmarkStart w:id="77" w:name="_Toc512687443"/>
      <w:r w:rsidRPr="00C3671E">
        <w:rPr>
          <w:b/>
          <w:lang w:val="en-GB"/>
        </w:rPr>
        <w:t xml:space="preserve">Figure </w:t>
      </w:r>
      <w:r w:rsidRPr="00C3671E">
        <w:rPr>
          <w:b/>
          <w:lang w:val="en-GB"/>
        </w:rPr>
        <w:fldChar w:fldCharType="begin"/>
      </w:r>
      <w:r w:rsidRPr="00C3671E">
        <w:rPr>
          <w:b/>
          <w:lang w:val="en-GB"/>
        </w:rPr>
        <w:instrText xml:space="preserve"> SEQ Figure \* ARABIC </w:instrText>
      </w:r>
      <w:r w:rsidRPr="00C3671E">
        <w:rPr>
          <w:b/>
          <w:lang w:val="en-GB"/>
        </w:rPr>
        <w:fldChar w:fldCharType="separate"/>
      </w:r>
      <w:r w:rsidR="00A95FE5" w:rsidRPr="00C3671E">
        <w:rPr>
          <w:b/>
          <w:noProof/>
          <w:lang w:val="en-GB"/>
        </w:rPr>
        <w:t>11</w:t>
      </w:r>
      <w:r w:rsidRPr="00C3671E">
        <w:rPr>
          <w:b/>
          <w:lang w:val="en-GB"/>
        </w:rPr>
        <w:fldChar w:fldCharType="end"/>
      </w:r>
      <w:r w:rsidRPr="00C3671E">
        <w:rPr>
          <w:b/>
          <w:lang w:val="en-GB"/>
        </w:rPr>
        <w:t>:</w:t>
      </w:r>
      <w:r w:rsidR="007302A0" w:rsidRPr="00C3671E">
        <w:rPr>
          <w:b/>
          <w:lang w:val="en-GB"/>
        </w:rPr>
        <w:t xml:space="preserve"> Proportional differences in social participation between very good and bad financial situation</w:t>
      </w:r>
      <w:bookmarkEnd w:id="77"/>
    </w:p>
    <w:p w14:paraId="5336E5C3" w14:textId="77777777" w:rsidR="007302A0" w:rsidRPr="00C3671E" w:rsidRDefault="007302A0" w:rsidP="007302A0">
      <w:pPr>
        <w:rPr>
          <w:lang w:val="en-GB"/>
        </w:rPr>
      </w:pPr>
      <w:r w:rsidRPr="00C3671E">
        <w:rPr>
          <w:noProof/>
          <w:lang w:val="en-GB"/>
        </w:rPr>
        <w:drawing>
          <wp:inline distT="0" distB="0" distL="0" distR="0" wp14:anchorId="5C46E163" wp14:editId="26418130">
            <wp:extent cx="4572000" cy="2543175"/>
            <wp:effectExtent l="0" t="0" r="0" b="9525"/>
            <wp:docPr id="5" name="Graf 5">
              <a:extLst xmlns:a="http://schemas.openxmlformats.org/drawingml/2006/main">
                <a:ext uri="{FF2B5EF4-FFF2-40B4-BE49-F238E27FC236}">
                  <a16:creationId xmlns:a16="http://schemas.microsoft.com/office/drawing/2014/main" id="{8FFB31DB-FBE9-4535-A4FA-2FF3438458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C1938E3" w14:textId="5E4BECDD" w:rsidR="007302A0" w:rsidRPr="00C3671E" w:rsidRDefault="007302A0" w:rsidP="007302A0">
      <w:pPr>
        <w:ind w:left="426"/>
        <w:rPr>
          <w:sz w:val="20"/>
          <w:lang w:val="en-GB"/>
        </w:rPr>
      </w:pPr>
      <w:r w:rsidRPr="00C3671E">
        <w:rPr>
          <w:i/>
          <w:sz w:val="20"/>
          <w:lang w:val="en-GB"/>
        </w:rPr>
        <w:t xml:space="preserve">Notes: </w:t>
      </w:r>
      <w:r w:rsidRPr="00C3671E">
        <w:rPr>
          <w:sz w:val="20"/>
          <w:lang w:val="en-GB"/>
        </w:rPr>
        <w:t>These calculations use data from SHARE, waves 2, 4, 5, and 6.</w:t>
      </w:r>
    </w:p>
    <w:p w14:paraId="21CAC104" w14:textId="77777777" w:rsidR="006B7F0B" w:rsidRPr="00C3671E" w:rsidRDefault="006B7F0B" w:rsidP="007302A0">
      <w:pPr>
        <w:ind w:left="426"/>
        <w:rPr>
          <w:sz w:val="20"/>
          <w:lang w:val="en-GB"/>
        </w:rPr>
      </w:pPr>
    </w:p>
    <w:p w14:paraId="6EA84E81" w14:textId="36713713" w:rsidR="007302A0" w:rsidRPr="00C3671E" w:rsidRDefault="006B7F0B" w:rsidP="006B7F0B">
      <w:pPr>
        <w:spacing w:before="100" w:beforeAutospacing="1"/>
        <w:jc w:val="both"/>
        <w:rPr>
          <w:b/>
          <w:lang w:val="en-GB"/>
        </w:rPr>
      </w:pPr>
      <w:bookmarkStart w:id="78" w:name="_Toc512687444"/>
      <w:r w:rsidRPr="00C3671E">
        <w:rPr>
          <w:b/>
          <w:lang w:val="en-GB"/>
        </w:rPr>
        <w:t xml:space="preserve">Figure </w:t>
      </w:r>
      <w:r w:rsidRPr="00C3671E">
        <w:rPr>
          <w:b/>
          <w:lang w:val="en-GB"/>
        </w:rPr>
        <w:fldChar w:fldCharType="begin"/>
      </w:r>
      <w:r w:rsidRPr="00C3671E">
        <w:rPr>
          <w:b/>
          <w:lang w:val="en-GB"/>
        </w:rPr>
        <w:instrText xml:space="preserve"> SEQ Figure \* ARABIC </w:instrText>
      </w:r>
      <w:r w:rsidRPr="00C3671E">
        <w:rPr>
          <w:b/>
          <w:lang w:val="en-GB"/>
        </w:rPr>
        <w:fldChar w:fldCharType="separate"/>
      </w:r>
      <w:r w:rsidR="00A95FE5" w:rsidRPr="00C3671E">
        <w:rPr>
          <w:b/>
          <w:noProof/>
          <w:lang w:val="en-GB"/>
        </w:rPr>
        <w:t>12</w:t>
      </w:r>
      <w:r w:rsidRPr="00C3671E">
        <w:rPr>
          <w:b/>
          <w:lang w:val="en-GB"/>
        </w:rPr>
        <w:fldChar w:fldCharType="end"/>
      </w:r>
      <w:r w:rsidRPr="00C3671E">
        <w:rPr>
          <w:b/>
          <w:lang w:val="en-GB"/>
        </w:rPr>
        <w:t>:</w:t>
      </w:r>
      <w:r w:rsidR="007302A0" w:rsidRPr="00C3671E">
        <w:rPr>
          <w:b/>
          <w:lang w:val="en-GB"/>
        </w:rPr>
        <w:t xml:space="preserve"> Ratios of social participation between very good and bad financial situation</w:t>
      </w:r>
      <w:bookmarkEnd w:id="78"/>
    </w:p>
    <w:p w14:paraId="49D89663" w14:textId="77777777" w:rsidR="007302A0" w:rsidRPr="00C3671E" w:rsidRDefault="007302A0" w:rsidP="007302A0">
      <w:pPr>
        <w:rPr>
          <w:lang w:val="en-GB"/>
        </w:rPr>
      </w:pPr>
      <w:r w:rsidRPr="00C3671E">
        <w:rPr>
          <w:noProof/>
          <w:lang w:val="en-GB"/>
        </w:rPr>
        <w:drawing>
          <wp:inline distT="0" distB="0" distL="0" distR="0" wp14:anchorId="3A05C955" wp14:editId="0B0992E1">
            <wp:extent cx="4572000" cy="2543175"/>
            <wp:effectExtent l="0" t="0" r="0" b="9525"/>
            <wp:docPr id="6" name="Graf 6">
              <a:extLst xmlns:a="http://schemas.openxmlformats.org/drawingml/2006/main">
                <a:ext uri="{FF2B5EF4-FFF2-40B4-BE49-F238E27FC236}">
                  <a16:creationId xmlns:a16="http://schemas.microsoft.com/office/drawing/2014/main" id="{6D8CFB3C-E2EF-4BE4-B2C7-3573BC1341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50E209F" w14:textId="77777777" w:rsidR="007302A0" w:rsidRPr="00C3671E" w:rsidRDefault="007302A0" w:rsidP="007302A0">
      <w:pPr>
        <w:ind w:left="426"/>
        <w:rPr>
          <w:sz w:val="20"/>
          <w:lang w:val="en-GB"/>
        </w:rPr>
      </w:pPr>
      <w:r w:rsidRPr="00C3671E">
        <w:rPr>
          <w:i/>
          <w:sz w:val="20"/>
          <w:lang w:val="en-GB"/>
        </w:rPr>
        <w:t xml:space="preserve">Notes: </w:t>
      </w:r>
      <w:r w:rsidRPr="00C3671E">
        <w:rPr>
          <w:sz w:val="20"/>
          <w:lang w:val="en-GB"/>
        </w:rPr>
        <w:t>These calculations use data from SHARE, waves 2, 4, 5, and 6.</w:t>
      </w:r>
    </w:p>
    <w:p w14:paraId="2026BF32" w14:textId="77777777" w:rsidR="006B7F0B" w:rsidRPr="00C3671E" w:rsidRDefault="006B7F0B" w:rsidP="007302A0">
      <w:pPr>
        <w:spacing w:line="480" w:lineRule="auto"/>
        <w:rPr>
          <w:lang w:val="en-GB"/>
        </w:rPr>
      </w:pPr>
    </w:p>
    <w:p w14:paraId="5A062045" w14:textId="505FE363" w:rsidR="007302A0" w:rsidRPr="00C3671E" w:rsidRDefault="007302A0" w:rsidP="006B7F0B">
      <w:pPr>
        <w:suppressAutoHyphens/>
        <w:spacing w:line="480" w:lineRule="auto"/>
        <w:jc w:val="both"/>
        <w:rPr>
          <w:lang w:val="en-GB"/>
        </w:rPr>
      </w:pPr>
      <w:r w:rsidRPr="00C3671E">
        <w:rPr>
          <w:lang w:val="en-GB"/>
        </w:rPr>
        <w:t xml:space="preserve">Figure </w:t>
      </w:r>
      <w:r w:rsidR="00643D49" w:rsidRPr="00C3671E">
        <w:rPr>
          <w:lang w:val="en-GB"/>
        </w:rPr>
        <w:t>13</w:t>
      </w:r>
      <w:r w:rsidRPr="00C3671E">
        <w:rPr>
          <w:lang w:val="en-GB"/>
        </w:rPr>
        <w:t xml:space="preserve"> illustrate the effect of health on social participation. The chance of social participation for respondents with the fair or poor subjective health is significantly lower than for respondents with the very good health – the difference varied from 12 to 34 %. The difference is highest in Switzerland and lowest in Italy, which is probably related to the overall prevalence of social </w:t>
      </w:r>
      <w:r w:rsidRPr="00C3671E">
        <w:rPr>
          <w:lang w:val="en-GB"/>
        </w:rPr>
        <w:lastRenderedPageBreak/>
        <w:t xml:space="preserve">participation in these countries. Figure </w:t>
      </w:r>
      <w:r w:rsidR="00643D49" w:rsidRPr="00C3671E">
        <w:rPr>
          <w:lang w:val="en-GB"/>
        </w:rPr>
        <w:t>14</w:t>
      </w:r>
      <w:r w:rsidRPr="00C3671E">
        <w:rPr>
          <w:lang w:val="en-GB"/>
        </w:rPr>
        <w:t xml:space="preserve"> confirms quite strong inequalities in social participation based on subjective health form Figure </w:t>
      </w:r>
      <w:r w:rsidR="00643D49" w:rsidRPr="00C3671E">
        <w:rPr>
          <w:lang w:val="en-GB"/>
        </w:rPr>
        <w:t>13</w:t>
      </w:r>
      <w:r w:rsidRPr="00C3671E">
        <w:rPr>
          <w:lang w:val="en-GB"/>
        </w:rPr>
        <w:t>. Older adults with the very good health participate on social activities about two times more often than these with the fair or poor health. As for education, the differences in ratio of social participation are lowest in Sweden and highest in Czechia and are quite stable over time.</w:t>
      </w:r>
    </w:p>
    <w:p w14:paraId="3810CCDC" w14:textId="7179BC08" w:rsidR="007302A0" w:rsidRPr="00C3671E" w:rsidRDefault="006B7F0B" w:rsidP="00A95FE5">
      <w:pPr>
        <w:spacing w:before="100" w:beforeAutospacing="1"/>
        <w:jc w:val="both"/>
        <w:rPr>
          <w:b/>
          <w:lang w:val="en-GB"/>
        </w:rPr>
      </w:pPr>
      <w:bookmarkStart w:id="79" w:name="_Toc512687445"/>
      <w:r w:rsidRPr="00C3671E">
        <w:rPr>
          <w:b/>
          <w:lang w:val="en-GB"/>
        </w:rPr>
        <w:t xml:space="preserve">Figure </w:t>
      </w:r>
      <w:r w:rsidRPr="00C3671E">
        <w:rPr>
          <w:b/>
          <w:lang w:val="en-GB"/>
        </w:rPr>
        <w:fldChar w:fldCharType="begin"/>
      </w:r>
      <w:r w:rsidRPr="00C3671E">
        <w:rPr>
          <w:b/>
          <w:lang w:val="en-GB"/>
        </w:rPr>
        <w:instrText xml:space="preserve"> SEQ Figure \* ARABIC </w:instrText>
      </w:r>
      <w:r w:rsidRPr="00C3671E">
        <w:rPr>
          <w:b/>
          <w:lang w:val="en-GB"/>
        </w:rPr>
        <w:fldChar w:fldCharType="separate"/>
      </w:r>
      <w:r w:rsidR="00A95FE5" w:rsidRPr="00C3671E">
        <w:rPr>
          <w:b/>
          <w:noProof/>
          <w:lang w:val="en-GB"/>
        </w:rPr>
        <w:t>13</w:t>
      </w:r>
      <w:r w:rsidRPr="00C3671E">
        <w:rPr>
          <w:b/>
          <w:lang w:val="en-GB"/>
        </w:rPr>
        <w:fldChar w:fldCharType="end"/>
      </w:r>
      <w:r w:rsidRPr="00C3671E">
        <w:rPr>
          <w:b/>
          <w:lang w:val="en-GB"/>
        </w:rPr>
        <w:t>:</w:t>
      </w:r>
      <w:r w:rsidR="007302A0" w:rsidRPr="00C3671E">
        <w:rPr>
          <w:b/>
          <w:lang w:val="en-GB"/>
        </w:rPr>
        <w:t xml:space="preserve"> Proportional differences in social participation between very good and fair/poor health</w:t>
      </w:r>
      <w:bookmarkEnd w:id="79"/>
    </w:p>
    <w:p w14:paraId="778FECEF" w14:textId="77777777" w:rsidR="007302A0" w:rsidRPr="00C3671E" w:rsidRDefault="007302A0" w:rsidP="007302A0">
      <w:pPr>
        <w:rPr>
          <w:noProof/>
          <w:lang w:val="en-GB"/>
        </w:rPr>
      </w:pPr>
      <w:r w:rsidRPr="00C3671E">
        <w:rPr>
          <w:noProof/>
          <w:lang w:val="en-GB"/>
        </w:rPr>
        <w:t xml:space="preserve"> </w:t>
      </w:r>
      <w:r w:rsidRPr="00C3671E">
        <w:rPr>
          <w:noProof/>
          <w:lang w:val="en-GB"/>
        </w:rPr>
        <w:drawing>
          <wp:inline distT="0" distB="0" distL="0" distR="0" wp14:anchorId="095482C8" wp14:editId="0A29D93F">
            <wp:extent cx="4572000" cy="2562225"/>
            <wp:effectExtent l="0" t="0" r="0" b="9525"/>
            <wp:docPr id="7" name="Graf 7">
              <a:extLst xmlns:a="http://schemas.openxmlformats.org/drawingml/2006/main">
                <a:ext uri="{FF2B5EF4-FFF2-40B4-BE49-F238E27FC236}">
                  <a16:creationId xmlns:a16="http://schemas.microsoft.com/office/drawing/2014/main" id="{2E615678-5FCD-4A7A-94EB-00B64ADA63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78184EF" w14:textId="25D9EF22" w:rsidR="007302A0" w:rsidRPr="00C3671E" w:rsidRDefault="007302A0" w:rsidP="007302A0">
      <w:pPr>
        <w:ind w:left="426"/>
        <w:rPr>
          <w:sz w:val="20"/>
          <w:lang w:val="en-GB"/>
        </w:rPr>
      </w:pPr>
      <w:r w:rsidRPr="00C3671E">
        <w:rPr>
          <w:i/>
          <w:sz w:val="20"/>
          <w:lang w:val="en-GB"/>
        </w:rPr>
        <w:t xml:space="preserve">Notes: </w:t>
      </w:r>
      <w:r w:rsidRPr="00C3671E">
        <w:rPr>
          <w:sz w:val="20"/>
          <w:lang w:val="en-GB"/>
        </w:rPr>
        <w:t>These calculations use data from SHARE, waves 2, 4, 5, and 6.</w:t>
      </w:r>
    </w:p>
    <w:p w14:paraId="34B7AFE9" w14:textId="77777777" w:rsidR="00A95FE5" w:rsidRPr="00C3671E" w:rsidRDefault="00A95FE5" w:rsidP="007302A0">
      <w:pPr>
        <w:ind w:left="426"/>
        <w:rPr>
          <w:sz w:val="20"/>
          <w:lang w:val="en-GB"/>
        </w:rPr>
      </w:pPr>
    </w:p>
    <w:p w14:paraId="6ED5A541" w14:textId="064F801E" w:rsidR="007302A0" w:rsidRPr="00C3671E" w:rsidRDefault="00A95FE5" w:rsidP="00A95FE5">
      <w:pPr>
        <w:spacing w:before="100" w:beforeAutospacing="1"/>
        <w:jc w:val="both"/>
        <w:rPr>
          <w:b/>
          <w:lang w:val="en-GB"/>
        </w:rPr>
      </w:pPr>
      <w:bookmarkStart w:id="80" w:name="_Toc512687446"/>
      <w:r w:rsidRPr="00C3671E">
        <w:rPr>
          <w:b/>
          <w:lang w:val="en-GB"/>
        </w:rPr>
        <w:t xml:space="preserve">Figure </w:t>
      </w:r>
      <w:r w:rsidRPr="00C3671E">
        <w:rPr>
          <w:b/>
          <w:lang w:val="en-GB"/>
        </w:rPr>
        <w:fldChar w:fldCharType="begin"/>
      </w:r>
      <w:r w:rsidRPr="00C3671E">
        <w:rPr>
          <w:b/>
          <w:lang w:val="en-GB"/>
        </w:rPr>
        <w:instrText xml:space="preserve"> SEQ Figure \* ARABIC </w:instrText>
      </w:r>
      <w:r w:rsidRPr="00C3671E">
        <w:rPr>
          <w:b/>
          <w:lang w:val="en-GB"/>
        </w:rPr>
        <w:fldChar w:fldCharType="separate"/>
      </w:r>
      <w:r w:rsidRPr="00C3671E">
        <w:rPr>
          <w:b/>
          <w:noProof/>
          <w:lang w:val="en-GB"/>
        </w:rPr>
        <w:t>14</w:t>
      </w:r>
      <w:r w:rsidRPr="00C3671E">
        <w:rPr>
          <w:b/>
          <w:lang w:val="en-GB"/>
        </w:rPr>
        <w:fldChar w:fldCharType="end"/>
      </w:r>
      <w:r w:rsidRPr="00C3671E">
        <w:rPr>
          <w:b/>
          <w:lang w:val="en-GB"/>
        </w:rPr>
        <w:t xml:space="preserve">: </w:t>
      </w:r>
      <w:r w:rsidR="007302A0" w:rsidRPr="00C3671E">
        <w:rPr>
          <w:b/>
          <w:lang w:val="en-GB"/>
        </w:rPr>
        <w:t>Ratios of social participation between very good and fair/poor health</w:t>
      </w:r>
      <w:bookmarkEnd w:id="80"/>
    </w:p>
    <w:p w14:paraId="1531A60D" w14:textId="77777777" w:rsidR="007302A0" w:rsidRPr="00C3671E" w:rsidRDefault="007302A0" w:rsidP="007302A0">
      <w:pPr>
        <w:rPr>
          <w:lang w:val="en-GB"/>
        </w:rPr>
      </w:pPr>
      <w:r w:rsidRPr="00C3671E">
        <w:rPr>
          <w:noProof/>
          <w:lang w:val="en-GB"/>
        </w:rPr>
        <w:drawing>
          <wp:inline distT="0" distB="0" distL="0" distR="0" wp14:anchorId="02800E46" wp14:editId="05B03261">
            <wp:extent cx="4572000" cy="2543175"/>
            <wp:effectExtent l="0" t="0" r="0" b="9525"/>
            <wp:docPr id="15" name="Graf 15">
              <a:extLst xmlns:a="http://schemas.openxmlformats.org/drawingml/2006/main">
                <a:ext uri="{FF2B5EF4-FFF2-40B4-BE49-F238E27FC236}">
                  <a16:creationId xmlns:a16="http://schemas.microsoft.com/office/drawing/2014/main" id="{7674180E-C8BE-418E-B0E6-99FAAB5B4F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CBC08E1" w14:textId="77777777" w:rsidR="007302A0" w:rsidRPr="00C3671E" w:rsidRDefault="007302A0" w:rsidP="007302A0">
      <w:pPr>
        <w:ind w:left="426"/>
        <w:rPr>
          <w:sz w:val="20"/>
          <w:lang w:val="en-GB"/>
        </w:rPr>
      </w:pPr>
      <w:r w:rsidRPr="00C3671E">
        <w:rPr>
          <w:i/>
          <w:sz w:val="20"/>
          <w:lang w:val="en-GB"/>
        </w:rPr>
        <w:t xml:space="preserve">Notes: </w:t>
      </w:r>
      <w:r w:rsidRPr="00C3671E">
        <w:rPr>
          <w:sz w:val="20"/>
          <w:lang w:val="en-GB"/>
        </w:rPr>
        <w:t>These calculations use data from SHARE, waves 2, 4, 5, and 6.</w:t>
      </w:r>
    </w:p>
    <w:p w14:paraId="5C3F7E51" w14:textId="77777777" w:rsidR="00A95FE5" w:rsidRPr="00C3671E" w:rsidRDefault="00A95FE5" w:rsidP="007302A0">
      <w:pPr>
        <w:spacing w:line="480" w:lineRule="auto"/>
        <w:rPr>
          <w:lang w:val="en-GB"/>
        </w:rPr>
      </w:pPr>
    </w:p>
    <w:p w14:paraId="44AD7681" w14:textId="5ED63F19" w:rsidR="007302A0" w:rsidRPr="00C3671E" w:rsidRDefault="007302A0" w:rsidP="00A95FE5">
      <w:pPr>
        <w:suppressAutoHyphens/>
        <w:spacing w:line="480" w:lineRule="auto"/>
        <w:jc w:val="both"/>
        <w:rPr>
          <w:lang w:val="en-GB"/>
        </w:rPr>
      </w:pPr>
      <w:r w:rsidRPr="00C3671E">
        <w:rPr>
          <w:rFonts w:eastAsia="Calibri"/>
          <w:noProof/>
          <w:lang w:val="en-GB" w:eastAsia="en-US"/>
        </w:rPr>
        <w:lastRenderedPageBreak/>
        <w:t>The</w:t>
      </w:r>
      <w:r w:rsidRPr="00C3671E">
        <w:rPr>
          <w:lang w:val="en-GB"/>
        </w:rPr>
        <w:t xml:space="preserve"> final step of the analysis is to test, whether the effects of individual characteristics – and individual resources connected to them – are cumulative. Pairing of three structuring characteristics into all possible combinations would mean analysis of the effect of three pairs: education and financial situation, education and health, and financial situation and health. However, the financial situation a) did not have a strong effect in previous analysis and b) like education, it is also the indicator of the social structure. Therefore, this paper presents results only for the most promising cumulative effect between education and health to save space.</w:t>
      </w:r>
    </w:p>
    <w:p w14:paraId="4DA819BD" w14:textId="3BFE5D4F" w:rsidR="007302A0" w:rsidRPr="00C3671E" w:rsidRDefault="007302A0" w:rsidP="00A95FE5">
      <w:pPr>
        <w:pStyle w:val="Newparagraph"/>
        <w:jc w:val="both"/>
      </w:pPr>
      <w:r w:rsidRPr="00C3671E">
        <w:rPr>
          <w:noProof/>
        </w:rPr>
        <w:t>Figure</w:t>
      </w:r>
      <w:r w:rsidRPr="00C3671E">
        <w:t xml:space="preserve"> </w:t>
      </w:r>
      <w:r w:rsidR="00643D49" w:rsidRPr="00C3671E">
        <w:t>15</w:t>
      </w:r>
      <w:r w:rsidRPr="00C3671E">
        <w:t xml:space="preserve"> compares differences between the highest and the lowest category as usual, but this time the categories are made of combination of two variables. Thus, retirees with tertiary education and the very good health are compared to those with primary education and fair or poor health. As expected, these differences are much higher than before – among 30 and 55 %. Figure </w:t>
      </w:r>
      <w:r w:rsidR="00643D49" w:rsidRPr="00C3671E">
        <w:t>16</w:t>
      </w:r>
      <w:r w:rsidRPr="00C3671E">
        <w:t xml:space="preserve"> presents the ratios of the two categories and summarizes the previous findings. The highest inequalities according to this indicator are in Czechia (chance of social participation is about eight times higher for retirees with tertiary education and the very good health) and the lowest inequalities are in Sweden (two times higher chance of the respective category). To present the actual numbers for 2015, the proportions of the most and the least well-of older adults participating on the social activities are 6 and 56 % in Czechia and 36 and 72 % in Sweden. Hence, the ratios are strikingly different, even though the absolute differences among categories are close to each other.</w:t>
      </w:r>
    </w:p>
    <w:p w14:paraId="44F0508F" w14:textId="6210D580" w:rsidR="007302A0" w:rsidRPr="00C3671E" w:rsidRDefault="00A95FE5" w:rsidP="00A95FE5">
      <w:pPr>
        <w:spacing w:before="100" w:beforeAutospacing="1"/>
        <w:jc w:val="both"/>
        <w:rPr>
          <w:b/>
          <w:lang w:val="en-GB"/>
        </w:rPr>
      </w:pPr>
      <w:bookmarkStart w:id="81" w:name="_Toc512687447"/>
      <w:r w:rsidRPr="00C3671E">
        <w:rPr>
          <w:b/>
          <w:lang w:val="en-GB"/>
        </w:rPr>
        <w:t xml:space="preserve">Figure </w:t>
      </w:r>
      <w:r w:rsidRPr="00C3671E">
        <w:rPr>
          <w:b/>
          <w:lang w:val="en-GB"/>
        </w:rPr>
        <w:fldChar w:fldCharType="begin"/>
      </w:r>
      <w:r w:rsidRPr="00C3671E">
        <w:rPr>
          <w:b/>
          <w:lang w:val="en-GB"/>
        </w:rPr>
        <w:instrText xml:space="preserve"> SEQ Figure \* ARABIC </w:instrText>
      </w:r>
      <w:r w:rsidRPr="00C3671E">
        <w:rPr>
          <w:b/>
          <w:lang w:val="en-GB"/>
        </w:rPr>
        <w:fldChar w:fldCharType="separate"/>
      </w:r>
      <w:r w:rsidRPr="00C3671E">
        <w:rPr>
          <w:b/>
          <w:noProof/>
          <w:lang w:val="en-GB"/>
        </w:rPr>
        <w:t>15</w:t>
      </w:r>
      <w:r w:rsidRPr="00C3671E">
        <w:rPr>
          <w:b/>
          <w:lang w:val="en-GB"/>
        </w:rPr>
        <w:fldChar w:fldCharType="end"/>
      </w:r>
      <w:r w:rsidRPr="00C3671E">
        <w:rPr>
          <w:b/>
          <w:lang w:val="en-GB"/>
        </w:rPr>
        <w:t xml:space="preserve">: </w:t>
      </w:r>
      <w:r w:rsidR="007302A0" w:rsidRPr="00C3671E">
        <w:rPr>
          <w:b/>
          <w:lang w:val="en-GB"/>
        </w:rPr>
        <w:t>Proportional differences in social participation between older adults with tertiary education and very good health and older adults with primary education and fair/poor health</w:t>
      </w:r>
      <w:bookmarkEnd w:id="81"/>
    </w:p>
    <w:p w14:paraId="524F632D" w14:textId="77777777" w:rsidR="007302A0" w:rsidRPr="00C3671E" w:rsidRDefault="007302A0" w:rsidP="007302A0">
      <w:pPr>
        <w:rPr>
          <w:lang w:val="en-GB"/>
        </w:rPr>
      </w:pPr>
      <w:r w:rsidRPr="00C3671E">
        <w:rPr>
          <w:noProof/>
          <w:lang w:val="en-GB"/>
        </w:rPr>
        <w:lastRenderedPageBreak/>
        <w:drawing>
          <wp:inline distT="0" distB="0" distL="0" distR="0" wp14:anchorId="53896764" wp14:editId="595041FB">
            <wp:extent cx="4572000" cy="2533650"/>
            <wp:effectExtent l="0" t="0" r="0" b="0"/>
            <wp:docPr id="16" name="Graf 16">
              <a:extLst xmlns:a="http://schemas.openxmlformats.org/drawingml/2006/main">
                <a:ext uri="{FF2B5EF4-FFF2-40B4-BE49-F238E27FC236}">
                  <a16:creationId xmlns:a16="http://schemas.microsoft.com/office/drawing/2014/main" id="{185F5FFF-9205-4732-8BA6-4FC7B05FEA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A9C9E66" w14:textId="7AE18B9C" w:rsidR="007302A0" w:rsidRPr="00C3671E" w:rsidRDefault="007302A0" w:rsidP="007302A0">
      <w:pPr>
        <w:ind w:left="426"/>
        <w:rPr>
          <w:sz w:val="20"/>
          <w:lang w:val="en-GB"/>
        </w:rPr>
      </w:pPr>
      <w:r w:rsidRPr="00C3671E">
        <w:rPr>
          <w:i/>
          <w:sz w:val="20"/>
          <w:lang w:val="en-GB"/>
        </w:rPr>
        <w:t xml:space="preserve">Notes: </w:t>
      </w:r>
      <w:r w:rsidRPr="00C3671E">
        <w:rPr>
          <w:sz w:val="20"/>
          <w:lang w:val="en-GB"/>
        </w:rPr>
        <w:t>These calculations use data from SHARE, waves 2, 4, 5, and 6.</w:t>
      </w:r>
    </w:p>
    <w:p w14:paraId="39B5D250" w14:textId="77777777" w:rsidR="00A95FE5" w:rsidRPr="00C3671E" w:rsidRDefault="00A95FE5" w:rsidP="007302A0">
      <w:pPr>
        <w:ind w:left="426"/>
        <w:rPr>
          <w:sz w:val="20"/>
          <w:lang w:val="en-GB"/>
        </w:rPr>
      </w:pPr>
    </w:p>
    <w:p w14:paraId="75757BDA" w14:textId="468EBD78" w:rsidR="007302A0" w:rsidRPr="00C3671E" w:rsidRDefault="00A95FE5" w:rsidP="00A95FE5">
      <w:pPr>
        <w:spacing w:before="100" w:beforeAutospacing="1"/>
        <w:jc w:val="both"/>
        <w:rPr>
          <w:b/>
          <w:lang w:val="en-GB"/>
        </w:rPr>
      </w:pPr>
      <w:bookmarkStart w:id="82" w:name="_Toc512687448"/>
      <w:r w:rsidRPr="00C3671E">
        <w:rPr>
          <w:b/>
          <w:lang w:val="en-GB"/>
        </w:rPr>
        <w:t xml:space="preserve">Figure </w:t>
      </w:r>
      <w:r w:rsidRPr="00C3671E">
        <w:rPr>
          <w:b/>
          <w:lang w:val="en-GB"/>
        </w:rPr>
        <w:fldChar w:fldCharType="begin"/>
      </w:r>
      <w:r w:rsidRPr="00C3671E">
        <w:rPr>
          <w:b/>
          <w:lang w:val="en-GB"/>
        </w:rPr>
        <w:instrText xml:space="preserve"> SEQ Figure \* ARABIC </w:instrText>
      </w:r>
      <w:r w:rsidRPr="00C3671E">
        <w:rPr>
          <w:b/>
          <w:lang w:val="en-GB"/>
        </w:rPr>
        <w:fldChar w:fldCharType="separate"/>
      </w:r>
      <w:r w:rsidRPr="00C3671E">
        <w:rPr>
          <w:b/>
          <w:lang w:val="en-GB"/>
        </w:rPr>
        <w:t>16</w:t>
      </w:r>
      <w:r w:rsidRPr="00C3671E">
        <w:rPr>
          <w:b/>
          <w:lang w:val="en-GB"/>
        </w:rPr>
        <w:fldChar w:fldCharType="end"/>
      </w:r>
      <w:r w:rsidRPr="00C3671E">
        <w:rPr>
          <w:b/>
          <w:lang w:val="en-GB"/>
        </w:rPr>
        <w:t xml:space="preserve">: </w:t>
      </w:r>
      <w:r w:rsidR="007302A0" w:rsidRPr="00C3671E">
        <w:rPr>
          <w:b/>
          <w:lang w:val="en-GB"/>
        </w:rPr>
        <w:t>Ratios of social participation between older adults with tertiary education and very good health and older adults with primary education and fair/poor health</w:t>
      </w:r>
      <w:bookmarkEnd w:id="82"/>
    </w:p>
    <w:p w14:paraId="371D615E" w14:textId="77777777" w:rsidR="007302A0" w:rsidRPr="00C3671E" w:rsidRDefault="007302A0" w:rsidP="007302A0">
      <w:pPr>
        <w:rPr>
          <w:lang w:val="en-GB"/>
        </w:rPr>
      </w:pPr>
      <w:r w:rsidRPr="00C3671E">
        <w:rPr>
          <w:noProof/>
          <w:lang w:val="en-GB"/>
        </w:rPr>
        <w:drawing>
          <wp:inline distT="0" distB="0" distL="0" distR="0" wp14:anchorId="770022DB" wp14:editId="5B46223E">
            <wp:extent cx="4572000" cy="2533650"/>
            <wp:effectExtent l="0" t="0" r="0" b="0"/>
            <wp:docPr id="17" name="Graf 17">
              <a:extLst xmlns:a="http://schemas.openxmlformats.org/drawingml/2006/main">
                <a:ext uri="{FF2B5EF4-FFF2-40B4-BE49-F238E27FC236}">
                  <a16:creationId xmlns:a16="http://schemas.microsoft.com/office/drawing/2014/main" id="{81B2FDBD-1B27-436B-8C12-95542A7A45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D2D20B2" w14:textId="6D0780AE" w:rsidR="007302A0" w:rsidRPr="00C3671E" w:rsidRDefault="007302A0" w:rsidP="007302A0">
      <w:pPr>
        <w:ind w:left="426"/>
        <w:rPr>
          <w:sz w:val="20"/>
          <w:lang w:val="en-GB"/>
        </w:rPr>
      </w:pPr>
      <w:r w:rsidRPr="00C3671E">
        <w:rPr>
          <w:i/>
          <w:sz w:val="20"/>
          <w:lang w:val="en-GB"/>
        </w:rPr>
        <w:t xml:space="preserve">Notes: </w:t>
      </w:r>
      <w:r w:rsidRPr="00C3671E">
        <w:rPr>
          <w:sz w:val="20"/>
          <w:lang w:val="en-GB"/>
        </w:rPr>
        <w:t>These calculations use data from SHARE, waves 2, 4, 5, and 6.</w:t>
      </w:r>
    </w:p>
    <w:p w14:paraId="53E0761E" w14:textId="77777777" w:rsidR="00A95FE5" w:rsidRPr="00C3671E" w:rsidRDefault="00A95FE5" w:rsidP="007302A0">
      <w:pPr>
        <w:ind w:left="426"/>
        <w:rPr>
          <w:sz w:val="20"/>
          <w:lang w:val="en-GB"/>
        </w:rPr>
      </w:pPr>
    </w:p>
    <w:p w14:paraId="474C4CCB" w14:textId="77777777" w:rsidR="007302A0" w:rsidRPr="00C3671E" w:rsidRDefault="007302A0" w:rsidP="007E6D8E">
      <w:pPr>
        <w:pStyle w:val="Nadpis2"/>
        <w:spacing w:line="480" w:lineRule="auto"/>
        <w:rPr>
          <w:sz w:val="26"/>
          <w:szCs w:val="26"/>
          <w:lang w:val="en-GB"/>
        </w:rPr>
      </w:pPr>
      <w:bookmarkStart w:id="83" w:name="_Toc512687775"/>
      <w:r w:rsidRPr="00C3671E">
        <w:rPr>
          <w:sz w:val="26"/>
          <w:szCs w:val="26"/>
          <w:lang w:val="en-GB"/>
        </w:rPr>
        <w:t>Conclusions and discussion</w:t>
      </w:r>
      <w:bookmarkEnd w:id="83"/>
    </w:p>
    <w:p w14:paraId="552AD299" w14:textId="48F3344F" w:rsidR="007302A0" w:rsidRPr="00C3671E" w:rsidRDefault="007302A0" w:rsidP="00A95FE5">
      <w:pPr>
        <w:suppressAutoHyphens/>
        <w:spacing w:line="480" w:lineRule="auto"/>
        <w:jc w:val="both"/>
        <w:rPr>
          <w:lang w:val="en-GB"/>
        </w:rPr>
      </w:pPr>
      <w:r w:rsidRPr="00C3671E">
        <w:rPr>
          <w:lang w:val="en-GB"/>
        </w:rPr>
        <w:t xml:space="preserve">This study argues that the social participation supported by active ageing policy is strongly determined both by individual characteristics and macro-context. Further, the paper tests the assumption of </w:t>
      </w:r>
      <w:r w:rsidRPr="00C3671E">
        <w:rPr>
          <w:lang w:val="en-GB"/>
        </w:rPr>
        <w:fldChar w:fldCharType="begin" w:fldLock="1"/>
      </w:r>
      <w:r w:rsidR="00AA6335" w:rsidRPr="00C3671E">
        <w:rPr>
          <w:lang w:val="en-GB"/>
        </w:rPr>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"mendeley" : { "formattedCitation" : "(Timonen 2016)", "manualFormatting" : "Timonen (2016)", "plainTextFormattedCitation" : "(Timonen 2016)", "previouslyFormattedCitation" : "(Timonen 2016)" }, "properties" : { "noteIndex" : 0 }, "schema" : "https://github.com/citation-style-language/schema/raw/master/csl-citation.json" }</w:instrText>
      </w:r>
      <w:r w:rsidRPr="00C3671E">
        <w:rPr>
          <w:lang w:val="en-GB"/>
        </w:rPr>
        <w:fldChar w:fldCharType="separate"/>
      </w:r>
      <w:r w:rsidRPr="00C3671E">
        <w:rPr>
          <w:noProof/>
          <w:lang w:val="en-GB"/>
        </w:rPr>
        <w:t>Timonen (2016)</w:t>
      </w:r>
      <w:r w:rsidRPr="00C3671E">
        <w:rPr>
          <w:lang w:val="en-GB"/>
        </w:rPr>
        <w:fldChar w:fldCharType="end"/>
      </w:r>
      <w:r w:rsidRPr="00C3671E">
        <w:rPr>
          <w:lang w:val="en-GB"/>
        </w:rPr>
        <w:t xml:space="preserve"> that if the prevalence of social participation in later life and the inequality in access to these beneficial activities increase in time, the unintended consequence of the active ageing policy is the growth of inequalities among older adults in Europe. The paper uses data from SHARE to test these assumptions in descriptive analysis, which focuses </w:t>
      </w:r>
      <w:r w:rsidRPr="00C3671E">
        <w:rPr>
          <w:lang w:val="en-GB"/>
        </w:rPr>
        <w:lastRenderedPageBreak/>
        <w:t>especially on producing understandable results. The results concerning the four hypotheses are discussed further.</w:t>
      </w:r>
    </w:p>
    <w:p w14:paraId="66DE2307" w14:textId="4B2FB2CB" w:rsidR="007302A0" w:rsidRPr="00C3671E" w:rsidRDefault="007302A0" w:rsidP="00A95FE5">
      <w:pPr>
        <w:pStyle w:val="Newparagraph"/>
        <w:jc w:val="both"/>
      </w:pPr>
      <w:r w:rsidRPr="00C3671E">
        <w:t xml:space="preserve">First, </w:t>
      </w:r>
      <w:r w:rsidRPr="00C3671E">
        <w:rPr>
          <w:i/>
        </w:rPr>
        <w:t>the individual resources of older adults strongly structure their social participation</w:t>
      </w:r>
      <w:r w:rsidRPr="00C3671E">
        <w:t xml:space="preserve">. Especially the effects of education and health are large and robust across time and welfare regimes. The effect of financial situation is surprisingly weaker than the effect of education, although both these variables indicate social class </w:t>
      </w:r>
      <w:r w:rsidRPr="00C3671E">
        <w:fldChar w:fldCharType="begin" w:fldLock="1"/>
      </w:r>
      <w:r w:rsidR="00AA6335" w:rsidRPr="00C3671E">
        <w:instrText>ADDIN CSL_CITATION { "citationItems" : [ { "id" : "ITEM-1", "itemData" : { "DOI" : "10.1007/s13524-011-0034-3", "ISBN" : "1533-7790 (Electronic) 0070-3370 (Linking)", "ISSN" : "00703370", "PMID" : "21735305", "abstract" : "As college going among women has increased, more women are going to college from backgrounds that previously would have precluded their attendance and completion. This affords us the opportunity and motivation to look at the effects of college on fertility across a range of social backgrounds and levels of early achievement. Despite a substantial literature on the effects of education on women\u2019s fertility, researchers have not assessed variation in effects by selection into college. With data on U.S. women from the National Longitudinal Survey of Youth 1979, we examine effects of timely college attendance and completion on women\u2019s fertility by the propensity to attend and complete college, using multilevel Poisson and discrete-time eventhistory models. Disaggregating the effects of college by propensity score strata, we find that the fertility-decreasing college effect is concentrated among women from comparatively disadvantaged social backgrounds and low levels of early achievement. The effects of college on fertility attenuate as we observe women from backgrounds that are more predictive of college attendance and completion.", "author" : [ { "dropping-particle" : "", "family" : "Brand", "given" : "Jennie E.", "non-dropping-particle" : "", "parse-names" : false, "suffix" : "" }, { "dropping-particle" : "", "family" : "Davis", "given" : "Dwight", "non-dropping-particle" : "", "parse-names" : false, "suffix" : "" } ], "container-title" : "Demography", "id" : "ITEM-1", "issue" : "3", "issued" : { "date-parts" : [ [ "2011" ] ] }, "page" : "863-887", "title" : "The Impact of College Education on Fertility: Evidence for Heterogeneous Effects", "type" : "article-journal", "volume" : "48" }, "uris" : [ "http://www.mendeley.com/documents/?uuid=afb9f8b1-0916-40f1-ae5d-f0d54f1f37f1" ] } ], "mendeley" : { "formattedCitation" : "(Brand and Davis 2011)", "plainTextFormattedCitation" : "(Brand and Davis 2011)", "previouslyFormattedCitation" : "(Brand and Davis 2011)" }, "properties" : { "noteIndex" : 0 }, "schema" : "https://github.com/citation-style-language/schema/raw/master/csl-citation.json" }</w:instrText>
      </w:r>
      <w:r w:rsidRPr="00C3671E">
        <w:fldChar w:fldCharType="separate"/>
      </w:r>
      <w:r w:rsidRPr="00C3671E">
        <w:rPr>
          <w:noProof/>
        </w:rPr>
        <w:t>(Brand and Davis 2011)</w:t>
      </w:r>
      <w:r w:rsidRPr="00C3671E">
        <w:fldChar w:fldCharType="end"/>
      </w:r>
      <w:r w:rsidRPr="00C3671E">
        <w:t>. This difference can be tentatively explained by the fact that the level of education is connected to other factors than income – such as social capital, cultural capital, knowledge, lifestyle, values, and attitudes (Bourdieu 1986, Lesthaeghe 2011) – which seem to be at least of the same importance for the chance of social participation as the financial situation.</w:t>
      </w:r>
    </w:p>
    <w:p w14:paraId="72F2AF83" w14:textId="204BC62C" w:rsidR="007302A0" w:rsidRPr="00C3671E" w:rsidRDefault="007302A0" w:rsidP="00A95FE5">
      <w:pPr>
        <w:pStyle w:val="Newparagraph"/>
        <w:jc w:val="both"/>
      </w:pPr>
      <w:r w:rsidRPr="00C3671E">
        <w:t xml:space="preserve">Second, </w:t>
      </w:r>
      <w:r w:rsidRPr="00C3671E">
        <w:rPr>
          <w:i/>
        </w:rPr>
        <w:t>the prevalence of social participation moderately rose over time, but the inequalities</w:t>
      </w:r>
      <w:r w:rsidRPr="00C3671E">
        <w:t xml:space="preserve"> in the </w:t>
      </w:r>
      <w:r w:rsidRPr="00C3671E">
        <w:rPr>
          <w:noProof/>
        </w:rPr>
        <w:t>access</w:t>
      </w:r>
      <w:r w:rsidRPr="00C3671E">
        <w:t xml:space="preserve"> to it based on individual resources </w:t>
      </w:r>
      <w:r w:rsidRPr="00C3671E">
        <w:rPr>
          <w:i/>
        </w:rPr>
        <w:t>remained stable</w:t>
      </w:r>
      <w:r w:rsidRPr="00C3671E">
        <w:t xml:space="preserve">. Moreover, the increase of social participation, which is expected due to a) a systematic support on the level of policies </w:t>
      </w:r>
      <w:r w:rsidRPr="00C3671E">
        <w:fldChar w:fldCharType="begin" w:fldLock="1"/>
      </w:r>
      <w:r w:rsidR="00AA6335" w:rsidRPr="00C3671E">
        <w:instrText>ADDIN CSL_CITATION { "citationItems" : [ { "id" : "ITEM-1", "itemData" : { "abstract" : "The report should be referred to as: UNECE/ European Commission (2015) \u201cActive Ageing Index 2014: Analytical Report\u201d, Report prepared by Asghar Zaidi of Centre for Research on Ageing, University of Southampton and David Stanton, under contract with United Nations Economic Commission for Europe (Geneva), co-funded by the European Commission\u2019s Directorate General for Employment, Social Affairs and Inclusion (Brussels).", "author" : [ { "dropping-particle" : "", "family" : "Zaidi", "given" : "Asghar", "non-dropping-particle" : "", "parse-names" : false, "suffix" : "" } ], "id" : "ITEM-1", "issue" : "April", "issued" : { "date-parts" : [ [ "2015" ] ] }, "number-of-pages" : "1-9", "publisher" : "UNECE", "publisher-place" : "Geneva", "title" : "Active Ageing Index 2014 Analytical Report", "type" : "book" }, "uris" : [ "http://www.mendeley.com/documents/?uuid=e5502369-34dc-4c1e-ad2d-b04716a04efe" ] } ], "mendeley" : { "formattedCitation" : "(Zaidi 2015)", "plainTextFormattedCitation" : "(Zaidi 2015)", "previouslyFormattedCitation" : "(Zaidi 2015)" }, "properties" : { "noteIndex" : 0 }, "schema" : "https://github.com/citation-style-language/schema/raw/master/csl-citation.json" }</w:instrText>
      </w:r>
      <w:r w:rsidRPr="00C3671E">
        <w:fldChar w:fldCharType="separate"/>
      </w:r>
      <w:r w:rsidRPr="00C3671E">
        <w:rPr>
          <w:noProof/>
        </w:rPr>
        <w:t>(Zaidi 2015)</w:t>
      </w:r>
      <w:r w:rsidRPr="00C3671E">
        <w:fldChar w:fldCharType="end"/>
      </w:r>
      <w:r w:rsidRPr="00C3671E">
        <w:t xml:space="preserve"> and b) more well-off people entering the retirement, was not even found in all countries. Hence, the level of social participation and its distribution in older population is quite stable, though the opportunities of social participation should be rising. It is thus possible that personal preferences also decisively shape the social participation and that making these activities more accessible affects all social classes to a similar extent. On the one hand, no evidence for rising inequalities in this matter was presented. On the other hand, the inequalities are still strong and persistent, and thus they are not reduced in the current situation in Europe.</w:t>
      </w:r>
    </w:p>
    <w:p w14:paraId="63442AFA" w14:textId="1FDFF441" w:rsidR="007302A0" w:rsidRPr="00C3671E" w:rsidRDefault="007302A0" w:rsidP="00A95FE5">
      <w:pPr>
        <w:pStyle w:val="Newparagraph"/>
        <w:jc w:val="both"/>
      </w:pPr>
      <w:r w:rsidRPr="00C3671E">
        <w:t xml:space="preserve">Third, </w:t>
      </w:r>
      <w:r w:rsidRPr="00C3671E">
        <w:rPr>
          <w:i/>
        </w:rPr>
        <w:t>the effects of health and education on social participation have strong intersections</w:t>
      </w:r>
      <w:r w:rsidRPr="00C3671E">
        <w:t xml:space="preserve">. The </w:t>
      </w:r>
      <w:r w:rsidRPr="00C3671E">
        <w:rPr>
          <w:noProof/>
        </w:rPr>
        <w:t>inequalities</w:t>
      </w:r>
      <w:r w:rsidRPr="00C3671E">
        <w:t xml:space="preserve"> in social participation from the analysis of health and the analysis of education magnified, when these two characteristics were analysed together. This most striking example was picked to illustrate the general tendency that more sources of </w:t>
      </w:r>
      <w:r w:rsidRPr="00C3671E">
        <w:lastRenderedPageBreak/>
        <w:t xml:space="preserve">disadvantages have even more decisive effect when combined </w:t>
      </w:r>
      <w:r w:rsidRPr="00C3671E">
        <w:fldChar w:fldCharType="begin" w:fldLock="1"/>
      </w:r>
      <w:r w:rsidR="00AA6335" w:rsidRPr="00C3671E">
        <w:instrText>ADDIN CSL_CITATION { "citationItems" : [ { "id" : "ITEM-1", "itemData" : { "DOI" : "10.1177/0038038515620359", "ISBN" : "0735-2751", "ISSN" : "0735-2751", "PMID" : "187", "abstract" : "Question: What it means to practice intersectionality sociologically as a theoretical and methodological approach to inequality Main argument: intersectionality is underutilized for sociology, scholars should focus on a specific type of intersectional analysis to complement and enhance specific purposes of researcher by making analysis more effective", "author" : [ { "dropping-particle" : "", "family" : "Choo", "given" : "Hae Yeon", "non-dropping-particle" : "", "parse-names" : false, "suffix" : "" }, { "dropping-particle" : "", "family" : "Ferree", "given" : "Myra Marx", "non-dropping-particle" : "", "parse-names" : false, "suffix" : "" } ], "container-title" : "Sociological Theory", "id" : "ITEM-1", "issue" : "2", "issued" : { "date-parts" : [ [ "2010" ] ] }, "page" : "129-149", "title" : "Practicing Intersectionality in Sociological Research : A Critical Analysis of Inclusions , Interactions , and Institutions in the Study of Inequalities", "type" : "article-journal", "volume" : "28" }, "uris" : [ "http://www.mendeley.com/documents/?uuid=669254e7-43ab-40f3-ad08-942183e68be4" ] } ], "mendeley" : { "formattedCitation" : "(Choo and Ferree 2010)", "plainTextFormattedCitation" : "(Choo and Ferree 2010)", "previouslyFormattedCitation" : "(Choo and Ferree 2010)" }, "properties" : { "noteIndex" : 0 }, "schema" : "https://github.com/citation-style-language/schema/raw/master/csl-citation.json" }</w:instrText>
      </w:r>
      <w:r w:rsidRPr="00C3671E">
        <w:fldChar w:fldCharType="separate"/>
      </w:r>
      <w:r w:rsidRPr="00C3671E">
        <w:rPr>
          <w:noProof/>
        </w:rPr>
        <w:t>(Choo and Ferree 2010)</w:t>
      </w:r>
      <w:r w:rsidRPr="00C3671E">
        <w:fldChar w:fldCharType="end"/>
      </w:r>
      <w:r w:rsidRPr="00C3671E">
        <w:t>. This claim can be applied for other personal characteristics like gender, age, ethnicity, and rural residence, but this paper is limited in scope and works with supposedly three most essential characteristics for this topic and geographical context.</w:t>
      </w:r>
    </w:p>
    <w:p w14:paraId="4931925C" w14:textId="5C882DAD" w:rsidR="007302A0" w:rsidRPr="00C3671E" w:rsidRDefault="007302A0" w:rsidP="00A95FE5">
      <w:pPr>
        <w:pStyle w:val="Newparagraph"/>
        <w:jc w:val="both"/>
      </w:pPr>
      <w:r w:rsidRPr="00C3671E">
        <w:t xml:space="preserve">Fourth, </w:t>
      </w:r>
      <w:r w:rsidRPr="00C3671E">
        <w:rPr>
          <w:i/>
        </w:rPr>
        <w:t>the effect of macro-context is usually strong, although not very systematic</w:t>
      </w:r>
      <w:r w:rsidRPr="00C3671E">
        <w:t xml:space="preserve">. From five countries representing five types of European welfare regime (see </w:t>
      </w:r>
      <w:r w:rsidRPr="00C3671E">
        <w:fldChar w:fldCharType="begin" w:fldLock="1"/>
      </w:r>
      <w:r w:rsidR="00AA6335" w:rsidRPr="00C3671E">
        <w:instrText>ADDIN CSL_CITATION { "citationItems" : [ { "id" : "ITEM-1", "itemData" : { "author" : [ { "dropping-particle" : "", "family" : "Esping-Andersen", "given" : "G\u00f8sta", "non-dropping-particle" : "", "parse-names" : false, "suffix" : "" } ], "id" : "ITEM-1", "issued" : { "date-parts" : [ [ "1990" ] ] }, "publisher" : "Princeton University Press", "publisher-place" : "Princeton", "title" : "Three worlds of welfare capitalism", "type" : "book" }, "uris" : [ "http://www.mendeley.com/documents/?uuid=c50cbab9-24c1-47b9-9489-01afe4d84202" ] } ], "mendeley" : { "formattedCitation" : "(Esping-Andersen 1990)", "manualFormatting" : "Esping-Andersen 1990", "plainTextFormattedCitation" : "(Esping-Andersen 1990)", "previouslyFormattedCitation" : "(Esping-Andersen 1990)" }, "properties" : { "noteIndex" : 0 }, "schema" : "https://github.com/citation-style-language/schema/raw/master/csl-citation.json" }</w:instrText>
      </w:r>
      <w:r w:rsidRPr="00C3671E">
        <w:fldChar w:fldCharType="separate"/>
      </w:r>
      <w:r w:rsidRPr="00C3671E">
        <w:rPr>
          <w:noProof/>
        </w:rPr>
        <w:t>Esping-Andersen 1990</w:t>
      </w:r>
      <w:r w:rsidRPr="00C3671E">
        <w:fldChar w:fldCharType="end"/>
      </w:r>
      <w:r w:rsidRPr="00C3671E">
        <w:t xml:space="preserve"> or </w:t>
      </w:r>
      <w:r w:rsidRPr="00C3671E">
        <w:fldChar w:fldCharType="begin" w:fldLock="1"/>
      </w:r>
      <w:r w:rsidR="001257AA" w:rsidRPr="00C3671E">
        <w:instrText>ADDIN CSL_CITATION { "citationItems" : [ { "id" : "ITEM-1", "itemData" : { "abstract" : "Comparative welfare state research has been largely based on using typologies to summarize commonalities and differences across few cases. Often these were quantitative analyses of about ten to twenty EU or OECD countries, or a selection of few case studies from these \u201csamples\u201d which explored the peculiarities of a/typical cases. Overcoming linear correlation analysis, configurational regime typologies became the major tool to generalize across the wide variations of advanced welfare states. Most famously Esping\u2010Andersen\u2019s \u201cThree Worlds of Welfare Capitalism\u201d (1990) led to a research industry on the merits of fitting real welfare states across Europe and beyond into the three or more ideal\u2010type categories. The paper will discuss the methodological problems in comparing macro\u2010regime configurations in a medium\u2010N research design, using the substantial comparative research on welfare state regime typologies. The paper will deal with the following methodological questions: To what degree is the comparative analysis already biased through the selection of cases restricted to existing advanced welfare states? Are typologies ideal\u2010type constructs based on analytical concepts or are these only real\u2010type categorizations that summarize cross\u2010national variation of a selected group of countries? Are regime typologies too holistic and too static to provide a realistic account of social policy programme differences and their ongoing restructuration? Are quantitative methods (such as Cluster or Principal Component Analysis) or Qualitative Comparative Analysis (QCA or Fuzzy Set Analysis) more appropriate to deal with the problems of medium\u2010N comparative analysis in welfare state research? The paper will review the literature on comparing welfare state regimes over the last two decades;", "author" : [ { "dropping-particle" : "", "family" : "Ebbinghaus", "given" : "Bernhard", "non-dropping-particle" : "", "parse-names" : false, "suffix" : "" } ], "container-title" : "ESPAnet Conference", "id" : "ITEM-1", "issued" : { "date-parts" : [ [ "2012" ] ] }, "page" : "1-20", "publisher-place" : "Edinburg", "title" : "Comparing Welfare State Regimes: Are Typologies an Ideal or Realistic Strategy?", "type" : "paper-conference" }, "uris" : [ "http://www.mendeley.com/documents/?uuid=77f1c800-497f-46fb-a3a7-5d80209f760b" ] } ], "mendeley" : { "formattedCitation" : "(Ebbinghaus 2012a)", "manualFormatting" : "Ebbinghaus 2012)", "plainTextFormattedCitation" : "(Ebbinghaus 2012a)", "previouslyFormattedCitation" : "(Ebbinghaus 2012a)" }, "properties" : { "noteIndex" : 0 }, "schema" : "https://github.com/citation-style-language/schema/raw/master/csl-citation.json" }</w:instrText>
      </w:r>
      <w:r w:rsidRPr="00C3671E">
        <w:fldChar w:fldCharType="separate"/>
      </w:r>
      <w:r w:rsidRPr="00C3671E">
        <w:rPr>
          <w:noProof/>
        </w:rPr>
        <w:t>Ebbinghaus 2012)</w:t>
      </w:r>
      <w:r w:rsidRPr="00C3671E">
        <w:fldChar w:fldCharType="end"/>
      </w:r>
      <w:r w:rsidRPr="00C3671E">
        <w:t xml:space="preserve">, Social Democratic Sweden has the highest level of social participation and the lowest relative differences in participation of older people with different characteristics. This is not surprising, given the prosperity, egalitarian principles, and vital civic society of Nordic countries </w:t>
      </w:r>
      <w:r w:rsidRPr="00C3671E">
        <w:fldChar w:fldCharType="begin" w:fldLock="1"/>
      </w:r>
      <w:r w:rsidR="001257AA" w:rsidRPr="00C3671E">
        <w:instrText>ADDIN CSL_CITATION { "citationItems" : [ { "id" : "ITEM-1", "itemData" : { "author" : [ { "dropping-particle" : "", "family" : "Wolleb\u00e6k", "given" : "Dag", "non-dropping-particle" : "", "parse-names" : false, "suffix" : "" }, { "dropping-particle" : "", "family" : "Selle", "given" : "Per", "non-dropping-particle" : "", "parse-names" : false, "suffix" : "" } ], "chapter-number" : "4", "container-title" : "Changing Images of Civil Society: From protest to governance", "editor" : [ { "dropping-particle" : "", "family" : "Jobert", "given" : "Bruno", "non-dropping-particle" : "", "parse-names" : false, "suffix" : "" }, { "dropping-particle" : "", "family" : "Kohler-Koch", "given" : "Beate", "non-dropping-particle" : "", "parse-names" : false, "suffix" : "" } ], "id" : "ITEM-1", "issued" : { "date-parts" : [ [ "2008" ] ] }, "page" : "47-69", "publisher" : "Routledge", "publisher-place" : "London", "title" : "A social democratic model of civil society?", "type" : "chapter" }, "uris" : [ "http://www.mendeley.com/documents/?uuid=a18f11c9-5c2b-401f-b101-be2810cb4975" ] }, { "id" : "ITEM-2", "itemData" : { "abstract" : "The report should be referred to as: UNECE/ European Commission (2015) \u201cActive Ageing Index 2014: Analytical Report\u201d, Report prepared by Asghar Zaidi of Centre for Research on Ageing, University of Southampton and David Stanton, under contract with United Nations Economic Commission for Europe (Geneva), co-funded by the European Commission\u2019s Directorate General for Employment, Social Affairs and Inclusion (Brussels).", "author" : [ { "dropping-particle" : "", "family" : "Zaidi", "given" : "Asghar", "non-dropping-particle" : "", "parse-names" : false, "suffix" : "" } ], "id" : "ITEM-2", "issue" : "April", "issued" : { "date-parts" : [ [ "2015" ] ] }, "number-of-pages" : "1-9", "publisher" : "UNECE", "publisher-place" : "Geneva", "title" : "Active Ageing Index 2014 Analytical Report", "type" : "book" }, "uris" : [ "http://www.mendeley.com/documents/?uuid=e5502369-34dc-4c1e-ad2d-b04716a04efe" ] } ], "mendeley" : { "formattedCitation" : "(Wolleb\u00e6k and Selle 2008; Zaidi 2015)", "plainTextFormattedCitation" : "(Wolleb\u00e6k and Selle 2008; Zaidi 2015)", "previouslyFormattedCitation" : "(Wolleb\u00e6k and Selle 2008; Zaidi 2015)" }, "properties" : { "noteIndex" : 0 }, "schema" : "https://github.com/citation-style-language/schema/raw/master/csl-citation.json" }</w:instrText>
      </w:r>
      <w:r w:rsidRPr="00C3671E">
        <w:fldChar w:fldCharType="separate"/>
      </w:r>
      <w:r w:rsidR="00A91559" w:rsidRPr="00C3671E">
        <w:rPr>
          <w:noProof/>
        </w:rPr>
        <w:t>(Wollebæk and Selle 2008; Zaidi 2015)</w:t>
      </w:r>
      <w:r w:rsidRPr="00C3671E">
        <w:fldChar w:fldCharType="end"/>
      </w:r>
      <w:r w:rsidRPr="00C3671E">
        <w:t xml:space="preserve">, while it is impossible to compare here the importance of these three factors. In contrast, the lowest participation was found in Southern European Italy and Post-communist Czechia. The other differences among countries were not very systematic, but the inequalities in participation were probably highest in Czechia. This could be interpreted by arguments that Czechia has the most recent experience with population ageing or that some types of organized participation were discredited during communist regimes </w:t>
      </w:r>
      <w:r w:rsidRPr="00C3671E">
        <w:fldChar w:fldCharType="begin" w:fldLock="1"/>
      </w:r>
      <w:r w:rsidR="00AA6335" w:rsidRPr="00C3671E">
        <w:instrText>ADDIN CSL_CITATION { "citationItems" : [ { "id" : "ITEM-1", "itemData" : { "ISBN" : "0002-9602", "author" : [ { "dropping-particle" : "", "family" : "Howard", "given" : "Marc Morje", "non-dropping-particle" : "", "parse-names" : false, "suffix" : "" } ], "id" : "ITEM-1", "issued" : { "date-parts" : [ [ "2003" ] ] }, "publisher" : "Cambridge University Press", "publisher-place" : "Cambridge", "title" : "The Weakness of Civil Society in Post-Communist Europe", "type" : "book" }, "uris" : [ "http://www.mendeley.com/documents/?uuid=fd15dd85-5f5c-4236-b4a3-55c3e8af26b6" ] } ], "mendeley" : { "formattedCitation" : "(Howard 2003)", "plainTextFormattedCitation" : "(Howard 2003)", "previouslyFormattedCitation" : "(Howard 2003)" }, "properties" : { "noteIndex" : 0 }, "schema" : "https://github.com/citation-style-language/schema/raw/master/csl-citation.json" }</w:instrText>
      </w:r>
      <w:r w:rsidRPr="00C3671E">
        <w:fldChar w:fldCharType="separate"/>
      </w:r>
      <w:r w:rsidRPr="00C3671E">
        <w:rPr>
          <w:noProof/>
        </w:rPr>
        <w:t>(Howard 2003)</w:t>
      </w:r>
      <w:r w:rsidRPr="00C3671E">
        <w:fldChar w:fldCharType="end"/>
      </w:r>
      <w:r w:rsidRPr="00C3671E">
        <w:t xml:space="preserve"> and new have been not established yet.</w:t>
      </w:r>
    </w:p>
    <w:p w14:paraId="0DC8AF96" w14:textId="77777777" w:rsidR="007302A0" w:rsidRPr="00C3671E" w:rsidRDefault="007302A0" w:rsidP="00A95FE5">
      <w:pPr>
        <w:pStyle w:val="Newparagraph"/>
        <w:jc w:val="both"/>
      </w:pPr>
      <w:r w:rsidRPr="00C3671E">
        <w:t xml:space="preserve">A possible </w:t>
      </w:r>
      <w:r w:rsidRPr="00C3671E">
        <w:rPr>
          <w:noProof/>
        </w:rPr>
        <w:t>limitation</w:t>
      </w:r>
      <w:r w:rsidRPr="00C3671E">
        <w:t xml:space="preserve"> of this study is that it made several rather arbitrary decisions on transformation of variables or construction of sample. These choices were made with the aim to adapt on limitations of available data and to present some culturally sensitive data produced by more exploratory way of analysis. The results of this paper cannot be generalized on the whole Europe, but on the five chosen countries at the best. Then, especially the differences among groups of older adults in social participation can be mediated by a range of other personal and contextual characteristics. Nevertheless, the aim of the study is not to elaborate a complex network of relation among many variables, but to present some differences in access to beneficial activities in a way they can be perceived in the reality and to show these differences </w:t>
      </w:r>
      <w:r w:rsidRPr="00C3671E">
        <w:lastRenderedPageBreak/>
        <w:t>as clearly as possible. Finally, this research area offers many ways how to approach the topic and hopefully more studies will be done in the future, as the quality of life in older people has become increasingly pressing societal issue (Timonen 2016).</w:t>
      </w:r>
    </w:p>
    <w:p w14:paraId="62FC955F" w14:textId="77777777" w:rsidR="001A7940" w:rsidRPr="00C3671E" w:rsidRDefault="001A7940" w:rsidP="001A7940">
      <w:pPr>
        <w:rPr>
          <w:lang w:val="en-GB"/>
        </w:rPr>
      </w:pPr>
    </w:p>
    <w:p w14:paraId="63392FCC" w14:textId="6276A6BC" w:rsidR="001A7940" w:rsidRPr="00C3671E" w:rsidRDefault="001A7940">
      <w:pPr>
        <w:spacing w:after="160" w:line="259" w:lineRule="auto"/>
        <w:rPr>
          <w:lang w:val="en-GB"/>
        </w:rPr>
      </w:pPr>
      <w:r w:rsidRPr="00C3671E">
        <w:rPr>
          <w:lang w:val="en-GB"/>
        </w:rPr>
        <w:br w:type="page"/>
      </w:r>
    </w:p>
    <w:p w14:paraId="47AEAB15" w14:textId="1E08B643" w:rsidR="00C94483" w:rsidRPr="00C3671E" w:rsidRDefault="00C004DA" w:rsidP="007E6D8E">
      <w:pPr>
        <w:pStyle w:val="Nadpis1"/>
        <w:spacing w:line="480" w:lineRule="auto"/>
        <w:rPr>
          <w:sz w:val="36"/>
          <w:szCs w:val="36"/>
          <w:lang w:val="en-GB" w:eastAsia="zh-CN"/>
        </w:rPr>
      </w:pPr>
      <w:bookmarkStart w:id="84" w:name="_Toc512687776"/>
      <w:r w:rsidRPr="00C3671E">
        <w:rPr>
          <w:sz w:val="36"/>
          <w:szCs w:val="36"/>
          <w:lang w:val="en-GB" w:eastAsia="zh-CN"/>
        </w:rPr>
        <w:lastRenderedPageBreak/>
        <w:t xml:space="preserve">Chapter 6: </w:t>
      </w:r>
      <w:r w:rsidR="00C94483" w:rsidRPr="00C3671E">
        <w:rPr>
          <w:sz w:val="36"/>
          <w:szCs w:val="36"/>
          <w:lang w:val="en-GB" w:eastAsia="zh-CN"/>
        </w:rPr>
        <w:t>Individual consequences of activities prescribed by active ageing and their differences based on value orientation</w:t>
      </w:r>
      <w:bookmarkEnd w:id="84"/>
    </w:p>
    <w:p w14:paraId="6B7A7EE4" w14:textId="56739D69" w:rsidR="00C94483" w:rsidRPr="00C3671E" w:rsidRDefault="00C94483" w:rsidP="00466C1F">
      <w:pPr>
        <w:suppressAutoHyphens/>
        <w:spacing w:line="480" w:lineRule="auto"/>
        <w:jc w:val="both"/>
        <w:rPr>
          <w:b/>
          <w:lang w:val="en-GB" w:eastAsia="zh-CN"/>
        </w:rPr>
      </w:pPr>
      <w:r w:rsidRPr="00C3671E">
        <w:rPr>
          <w:b/>
          <w:lang w:val="en-GB" w:eastAsia="zh-CN"/>
        </w:rPr>
        <w:t>Abstract</w:t>
      </w:r>
      <w:r w:rsidR="00243E45" w:rsidRPr="00C3671E">
        <w:rPr>
          <w:b/>
          <w:lang w:val="en-GB" w:eastAsia="zh-CN"/>
        </w:rPr>
        <w:t xml:space="preserve">: </w:t>
      </w:r>
      <w:r w:rsidRPr="00C3671E">
        <w:rPr>
          <w:lang w:val="en-GB"/>
        </w:rPr>
        <w:t xml:space="preserve">The active ageing approach supports a set of activities, which are supposed to be beneficial for older adults. This paper reassesses the benefits of </w:t>
      </w:r>
      <w:r w:rsidRPr="00466C1F">
        <w:rPr>
          <w:rFonts w:eastAsia="Calibri"/>
          <w:lang w:val="en-GB" w:eastAsia="en-US"/>
        </w:rPr>
        <w:t>activities</w:t>
      </w:r>
      <w:r w:rsidRPr="00C3671E">
        <w:rPr>
          <w:lang w:val="en-GB"/>
        </w:rPr>
        <w:t xml:space="preserve"> for quality of life by a) analysing many activities at the same time to control for their interdependencies, b) using panel data to detect individual changes over time, and c) employing the theory of value change to explain differences in effects of activities by a value orientation of each individual. The effects of roles in later life are tested through fixed effects regression with data from three waves of the SHARE project. The results show that some of the activities – volunteering, participation in sport or social club, and physical activity – increase the quality of life, while caregiving within the household has the opposite effect. Moreover, the beneficial effects are much weaker and less stable than would some spurious techniques like OLS regression suggest, they are beneficial only for older adults of some specific education and region, and their effect is much weaker than the effect of other variables – age, health, and economic situations.  The activities supported by active ageing approach fit the needs of only certain types of older adults, even though this approach is formulated as universal and strongly normative recommendation how to age well. Therefore, the active ageing approach should reflect more various living conditions, values, and needs of older adults to formulate more context-sensitive and less normative policy recommendations.</w:t>
      </w:r>
    </w:p>
    <w:p w14:paraId="22775471" w14:textId="77777777" w:rsidR="00243E45" w:rsidRPr="00C3671E" w:rsidRDefault="00243E45" w:rsidP="00C94483">
      <w:pPr>
        <w:suppressAutoHyphens/>
        <w:spacing w:after="120" w:line="480" w:lineRule="auto"/>
        <w:jc w:val="both"/>
        <w:rPr>
          <w:lang w:val="en-GB"/>
        </w:rPr>
      </w:pPr>
    </w:p>
    <w:p w14:paraId="5562E497" w14:textId="77777777" w:rsidR="00C94483" w:rsidRPr="00C3671E" w:rsidRDefault="00C94483" w:rsidP="00C94483">
      <w:pPr>
        <w:suppressAutoHyphens/>
        <w:spacing w:after="120" w:line="480" w:lineRule="auto"/>
        <w:jc w:val="both"/>
        <w:rPr>
          <w:lang w:val="en-GB" w:eastAsia="zh-CN"/>
        </w:rPr>
      </w:pPr>
      <w:r w:rsidRPr="00C3671E">
        <w:rPr>
          <w:b/>
          <w:i/>
          <w:lang w:val="en-GB" w:eastAsia="zh-CN"/>
        </w:rPr>
        <w:t>KEY WORDS</w:t>
      </w:r>
      <w:r w:rsidRPr="00C3671E">
        <w:rPr>
          <w:lang w:val="en-GB" w:eastAsia="zh-CN"/>
        </w:rPr>
        <w:t xml:space="preserve"> – roles, active ageing, quality of life, value orientation, SHARE, context-specificity</w:t>
      </w:r>
    </w:p>
    <w:p w14:paraId="4DE8671F" w14:textId="77777777" w:rsidR="00C94483" w:rsidRPr="00C3671E" w:rsidRDefault="00C94483" w:rsidP="007E6D8E">
      <w:pPr>
        <w:pStyle w:val="Nadpis2"/>
        <w:spacing w:line="480" w:lineRule="auto"/>
        <w:rPr>
          <w:sz w:val="26"/>
          <w:szCs w:val="26"/>
          <w:lang w:val="en-GB"/>
        </w:rPr>
      </w:pPr>
      <w:bookmarkStart w:id="85" w:name="_Toc512687777"/>
      <w:r w:rsidRPr="00C3671E">
        <w:rPr>
          <w:sz w:val="26"/>
          <w:szCs w:val="26"/>
          <w:lang w:val="en-GB"/>
        </w:rPr>
        <w:lastRenderedPageBreak/>
        <w:t>Introduction</w:t>
      </w:r>
      <w:bookmarkEnd w:id="85"/>
    </w:p>
    <w:p w14:paraId="67C8EA2C" w14:textId="3BB60D45" w:rsidR="00C94483" w:rsidRPr="00C3671E" w:rsidRDefault="00C94483" w:rsidP="00C94483">
      <w:pPr>
        <w:suppressAutoHyphens/>
        <w:spacing w:line="480" w:lineRule="auto"/>
        <w:jc w:val="both"/>
        <w:rPr>
          <w:lang w:val="en-GB" w:eastAsia="zh-CN"/>
        </w:rPr>
      </w:pPr>
      <w:r w:rsidRPr="00C3671E">
        <w:rPr>
          <w:lang w:val="en-GB" w:eastAsia="zh-CN"/>
        </w:rPr>
        <w:t xml:space="preserve">Promoting employment and social participation amongst older </w:t>
      </w:r>
      <w:r w:rsidRPr="00466C1F">
        <w:rPr>
          <w:rFonts w:eastAsia="Calibri"/>
          <w:lang w:val="en-GB" w:eastAsia="en-US"/>
        </w:rPr>
        <w:t>people</w:t>
      </w:r>
      <w:r w:rsidRPr="00C3671E">
        <w:rPr>
          <w:lang w:val="en-GB" w:eastAsia="zh-CN"/>
        </w:rPr>
        <w:t xml:space="preserve"> is the dominant reaction to the ageing of populations both in the academic sphere and in </w:t>
      </w:r>
      <w:r w:rsidRPr="00466C1F">
        <w:rPr>
          <w:rFonts w:eastAsia="Calibri"/>
          <w:lang w:val="en-GB" w:eastAsia="en-US"/>
        </w:rPr>
        <w:t>social</w:t>
      </w:r>
      <w:r w:rsidRPr="00C3671E">
        <w:rPr>
          <w:lang w:val="en-GB" w:eastAsia="zh-CN"/>
        </w:rPr>
        <w:t xml:space="preserve"> policies </w:t>
      </w:r>
      <w:r w:rsidRPr="00C3671E">
        <w:rPr>
          <w:lang w:val="en-GB" w:eastAsia="zh-CN"/>
        </w:rPr>
        <w:fldChar w:fldCharType="begin" w:fldLock="1"/>
      </w:r>
      <w:r w:rsidR="001257AA" w:rsidRPr="00C3671E">
        <w:rPr>
          <w:lang w:val="en-GB" w:eastAsia="zh-CN"/>
        </w:rPr>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"id" : "ITEM-2", "itemData" : { "DOI" : "10.1111/j.1468-2397.2012.00871.x", "ISBN" : "1468-2397", "ISSN" : "13696866", "abstract" : "The ageing of European countries has widespread implications for current and future social and economic policies across the region.The major policy response to demographic ageing that has emerged over the past 10 years is called \u2018active ageing\u2019, yet there is little clarity in practice about what it means for individuals and society beyond a crude economic reduction in terms of working longer.The main purposes of this article are to explain why this strategy has emerged and its impor- tance. Despite a great deal of positive political rhetoric, the response at all levels of policy making has been rather limited. An active social and public policy is required to mainstream active ageing as the leading paradigm for ageing policy across the European Union (EU). The designation of 2012 as the EuropeanYear of Active Ageing offers a potential focus for renewed policy action in the EU and is discussed in the context of our conclusions", "author" : [ { "dropping-particle" : "", "family" : "Walker", "given" : "Alan", "non-dropping-particle" : "", "parse-names" : false, "suffix" : "" }, { "dropping-particle" : "", "family" : "Maltby", "given" : "Tony", "non-dropping-particle" : "", "parse-names" : false, "suffix" : "" } ], "container-title" : "International Journal of Social Welfare", "id" : "ITEM-2", "issue" : "SUPPL.1", "issued" : { "date-parts" : [ [ "2012" ] ] }, "page" : "117-130", "title" : "Active ageing: A strategic policy solution to demographic ageing in the European Union", "type" : "article-journal", "volume" : "21" }, "uris" : [ "http://www.mendeley.com/documents/?uuid=2008f46f-ead4-4add-94cf-578cdbb7c3dc" ] } ], "mendeley" : { "formattedCitation" : "(Timonen 2016; Walker and Maltby 2012)", "plainTextFormattedCitation" : "(Timonen 2016; Walker and Maltby 2012)", "previouslyFormattedCitation" : "(Timonen 2016; Walker and Maltby 2012)" }, "properties" : { "noteIndex" : 0 }, "schema" : "https://github.com/citation-style-language/schema/raw/master/csl-citation.json" }</w:instrText>
      </w:r>
      <w:r w:rsidRPr="00C3671E">
        <w:rPr>
          <w:lang w:val="en-GB" w:eastAsia="zh-CN"/>
        </w:rPr>
        <w:fldChar w:fldCharType="separate"/>
      </w:r>
      <w:r w:rsidR="00A91559" w:rsidRPr="00C3671E">
        <w:rPr>
          <w:noProof/>
          <w:lang w:val="en-GB" w:eastAsia="zh-CN"/>
        </w:rPr>
        <w:t>(Timonen 2016; Walker and Maltby 2012)</w:t>
      </w:r>
      <w:r w:rsidRPr="00C3671E">
        <w:rPr>
          <w:lang w:val="en-GB" w:eastAsia="zh-CN"/>
        </w:rPr>
        <w:fldChar w:fldCharType="end"/>
      </w:r>
      <w:r w:rsidRPr="00C3671E">
        <w:rPr>
          <w:lang w:val="en-GB" w:eastAsia="zh-CN"/>
        </w:rPr>
        <w:t xml:space="preserve">. A higher level of productive activities in later life is usually presented as a solution where everyone benefits </w:t>
      </w:r>
      <w:r w:rsidRPr="00C3671E">
        <w:rPr>
          <w:lang w:val="en-GB" w:eastAsia="zh-CN"/>
        </w:rPr>
        <w:fldChar w:fldCharType="begin" w:fldLock="1"/>
      </w:r>
      <w:r w:rsidR="00AA6335" w:rsidRPr="00C3671E">
        <w:rPr>
          <w:lang w:val="en-GB" w:eastAsia="zh-CN"/>
        </w:rPr>
        <w:instrText>ADDIN CSL_CITATION { "citationItems" : [ { "id" : "ITEM-1", "itemData" : { "ISBN" : "9789287152404", "abstract" : "Foreword\\n\\nThe Council of Europe has a long tradition of producing population studies, and the work of the European Population Committee contributes to the understanding of the relationship between social policy and demographic issues in Europe. The findings of this work are published in the series Population studies, where topics covered include migration flows, national minorities, demographic\\nchanges and the labour market, the ageing of European populations and the demographic consequences of economic transition. These publications provide essential background information for implementing the Council of Europe\u2019s strategy for social cohesion: an integrated policy approach aimed at combating poverty and social exclusion through promoting access to social rights in areas\\nsuch as employment and training, health, social protection, housing, education and social services.\\n\\nThis volume takes as its starting point the changing age structure in European countries. This is characterised by the increase in the number of elderly persons and the decrease in the young and working populations. It reviews the demographic differences between European countries. The authors note that improved living conditions and effective health and social policies mean that the majority of younger elderly Europeans reach the third age in relatively good health and under conditions of some income security. They point out\\nthat whilst the effective age at retirement has been declining, it is only a minority of elderly people who use their free time in an active manner.\\n\\nThe authors examine the different public policy approaches and individual strategies developed in response to these societal changes and they make wide-ranging policy proposals for the development of active ageing strategies which address issues of employment, health, leisure and social cohesion.", "author" : [ { "dropping-particle" : "", "family" : "Avramov", "given" : "Dragana", "non-dropping-particle" : "", "parse-names" : false, "suffix" : "" }, { "dropping-particle" : "", "family" : "Maskova", "given" : "Miroslava", "non-dropping-particle" : "", "parse-names" : false, "suffix" : "" } ], "container-title" : "Population studies", "id" : "ITEM-1", "issue" : "41", "issued" : { "date-parts" : [ [ "2003" ] ] }, "number-of-pages" : "1-152", "publisher" : "Council of Europe Publishing", "publisher-place" : "Strasbourg", "title" : "Active ageing in Europe", "type" : "book", "volume" : "1" }, "uris" : [ "http://www.mendeley.com/documents/?uuid=7db55846-516c-430d-834c-164bd53456b9" ] } ], "mendeley" : { "formattedCitation" : "(Avramov and Maskova 2003)", "plainTextFormattedCitation" : "(Avramov and Maskova 2003)", "previouslyFormattedCitation" : "(Avramov and Maskova 2003)" }, "properties" : { "noteIndex" : 0 }, "schema" : "https://github.com/citation-style-language/schema/raw/master/csl-citation.json" }</w:instrText>
      </w:r>
      <w:r w:rsidRPr="00C3671E">
        <w:rPr>
          <w:lang w:val="en-GB" w:eastAsia="zh-CN"/>
        </w:rPr>
        <w:fldChar w:fldCharType="separate"/>
      </w:r>
      <w:r w:rsidRPr="00C3671E">
        <w:rPr>
          <w:noProof/>
          <w:lang w:val="en-GB" w:eastAsia="zh-CN"/>
        </w:rPr>
        <w:t>(Avramov and Maskova 2003)</w:t>
      </w:r>
      <w:r w:rsidRPr="00C3671E">
        <w:rPr>
          <w:lang w:val="en-GB" w:eastAsia="zh-CN"/>
        </w:rPr>
        <w:fldChar w:fldCharType="end"/>
      </w:r>
      <w:r w:rsidRPr="00C3671E">
        <w:rPr>
          <w:lang w:val="en-GB" w:eastAsia="zh-CN"/>
        </w:rPr>
        <w:t>. Firstly, the active participation of older people is beneficial to the whole of society, because it increases labour force participation,</w:t>
      </w:r>
      <w:r w:rsidRPr="00C3671E" w:rsidDel="00B85214">
        <w:rPr>
          <w:lang w:val="en-GB" w:eastAsia="zh-CN"/>
        </w:rPr>
        <w:t xml:space="preserve"> </w:t>
      </w:r>
      <w:r w:rsidRPr="00C3671E">
        <w:rPr>
          <w:lang w:val="en-GB" w:eastAsia="zh-CN"/>
        </w:rPr>
        <w:t xml:space="preserve">the amount of accessible informal care and inclusive civic engagement </w:t>
      </w:r>
      <w:r w:rsidRPr="00C3671E">
        <w:rPr>
          <w:lang w:val="en-GB" w:eastAsia="zh-CN"/>
        </w:rPr>
        <w:fldChar w:fldCharType="begin" w:fldLock="1"/>
      </w:r>
      <w:r w:rsidR="00AA6335" w:rsidRPr="00C3671E">
        <w:rPr>
          <w:lang w:val="en-GB" w:eastAsia="zh-CN"/>
        </w:rPr>
        <w:instrText>ADDIN CSL_CITATION { "citationItems" : [ { "id" : "ITEM-1", "itemData" : { "DOI" : "10.1093/geront/gnu028", "ISBN" : "0016-9013", "ISSN" : "1758-5341", "PMID" : "24846882", "abstract" : "Over the past two decades, \"active aging\" has emerged in Europe as the foremost policy response to the challenges of population aging. This article examines the concept of active aging and how it differs from that of \"successful aging.\" In particular, it shows how active aging presents a more holistic, life course-oriented approach than successful aging. We provide a critical perspective on active aging too by, first, tracing its emergence in Europe and then showing how, in practice, it has been dominated by a narrow economic or productivist perspective that prioritizes the extension of working life. It has also been gender blind. Nonetheless, it is argued that an active aging approach has the potential to enable countries to respond successfully to the challenges of population aging because of its comprehensive focus and emphasis on societal as well as individual responsibility. Finally, we set out the basic principles that need to be followed if the full potential of active aging is to be achieved.", "author" : [ { "dropping-particle" : "", "family" : "Foster", "given" : "Liam", "non-dropping-particle" : "", "parse-names" : false, "suffix" : "" }, { "dropping-particle" : "", "family" : "Walker", "given" : "Alan", "non-dropping-particle" : "", "parse-names" : false, "suffix" : "" } ], "container-title" : "The Gerontologist", "id" : "ITEM-1", "issue" : "1", "issued" : { "date-parts" : [ [ "2015" ] ] }, "note" : "Foster, Walker 2014: Active and Successful Aging: A Euroepean Policy perspective\n\u201cactive aging\u201d has emerged in Europe as the foremost policy response to the challenges of population aging\nactive aging presents a more holistic, life course\u2013oriented approach than successful aging\ncritique of active aging perspective - emergence in Europe\n- dominated by a narrow economic perspective\n- gender blind\nall together, this approach has the potential to respond successfully to the challenges of population aging because of its comprehensive focus and emphasis on societal as well as individual responsibility\nAA should enable to create own forms of activity, instead of focusing on a predetermined, limited number of domains, usually developed from an \u2018expert\u2019 perspective\u201d (Boudiny &amp;amp; Mortelmans, 2011, p. 12)\nThere is also a danger that the \u201chealth and well-being\u201d narrative retreats to become the preserve of a \u201cfourth age\u201d charac- terized by biological decline and consumption of welfare resources\nstructural and economic barriers to active aging must be addressed for a comprehensive approach\n\u2192\nInternational and European policy on work and retirement: Reinventing critical perspectives\nA critical perspective: Towards a broader understanding of \u2018active ageing\u2019\nNarratives of (in)active age- ing in poor deprived areas of Liverpool", "page" : "83-90", "title" : "Active and Successful Aging: A European Policy Perspective", "type" : "article-journal", "volume" : "55" }, "uris" : [ "http://www.mendeley.com/documents/?uuid=6ef8c660-30ca-4a4a-80c6-6c24c5f5b99d" ] } ], "mendeley" : { "formattedCitation" : "(Foster and Walker 2015)", "plainTextFormattedCitation" : "(Foster and Walker 2015)", "previouslyFormattedCitation" : "(Foster and Walker 2015)" }, "properties" : { "noteIndex" : 0 }, "schema" : "https://github.com/citation-style-language/schema/raw/master/csl-citation.json" }</w:instrText>
      </w:r>
      <w:r w:rsidRPr="00C3671E">
        <w:rPr>
          <w:lang w:val="en-GB" w:eastAsia="zh-CN"/>
        </w:rPr>
        <w:fldChar w:fldCharType="separate"/>
      </w:r>
      <w:r w:rsidRPr="00C3671E">
        <w:rPr>
          <w:noProof/>
          <w:lang w:val="en-GB" w:eastAsia="zh-CN"/>
        </w:rPr>
        <w:t>(Foster and Walker 2015)</w:t>
      </w:r>
      <w:r w:rsidRPr="00C3671E">
        <w:rPr>
          <w:lang w:val="en-GB" w:eastAsia="zh-CN"/>
        </w:rPr>
        <w:fldChar w:fldCharType="end"/>
      </w:r>
      <w:r w:rsidRPr="00C3671E">
        <w:rPr>
          <w:lang w:val="en-GB" w:eastAsia="zh-CN"/>
        </w:rPr>
        <w:t xml:space="preserve">. Secondly, participation in society in later life is also beneficial to older people themselves. Social participation of older people has enhancing effect on their physical health </w:t>
      </w:r>
      <w:r w:rsidRPr="00C3671E">
        <w:rPr>
          <w:lang w:val="en-GB" w:eastAsia="zh-CN"/>
        </w:rPr>
        <w:fldChar w:fldCharType="begin" w:fldLock="1"/>
      </w:r>
      <w:r w:rsidR="00AA6335" w:rsidRPr="00C3671E">
        <w:rPr>
          <w:lang w:val="en-GB" w:eastAsia="zh-CN"/>
        </w:rPr>
        <w:instrText>ADDIN CSL_CITATION { "citationItems" : [ { "id" : "ITEM-1", "itemData" : { "DOI" : "10.1177/0022146511411922", "ISBN" : "2150-6000 (Electronic)\\r0022-1465 (Linking)", "ISSN" : "00221465", "PMID" : "22144732", "abstract" : "Although studies have established important links between social relations and health, much of this research does not take into account the dynamic nature of both social relations and health over time. The present study combines person-centered and variable-centered approaches and uses social integration theory within the life course framework to examine patterns of change in social engagement and how those patterns relate to trajectories of physical and cognitive limitations among older adults, using data from the Americans' Changing Lives survey, a nationally representative panel study (N = 1,667). Individuals who had trajectories of high and increasing social engagement experienced lower levels of physical and cognitive limitations over time. The findings suggest the importance of maintaining high levels of social engagement for the physical and cognitive health of older adults.", "author" : [ { "dropping-particle" : "", "family" : "Thomas", "given" : "Patricia A.", "non-dropping-particle" : "", "parse-names" : false, "suffix" : "" } ], "container-title" : "Journal of Health and Social Behavior", "id" : "ITEM-1", "issue" : "4", "issued" : { "date-parts" : [ [ "2011" ] ] }, "page" : "430-443", "title" : "Trajectories of social engagement and limitations in late life", "type" : "article-journal", "volume" : "52" }, "uris" : [ "http://www.mendeley.com/documents/?uuid=72ddbd57-8459-45b9-9188-bac6b646aa8a" ] } ], "mendeley" : { "formattedCitation" : "(Thomas 2011)", "plainTextFormattedCitation" : "(Thomas 2011)", "previouslyFormattedCitation" : "(Thomas 2011)" }, "properties" : { "noteIndex" : 0 }, "schema" : "https://github.com/citation-style-language/schema/raw/master/csl-citation.json" }</w:instrText>
      </w:r>
      <w:r w:rsidRPr="00C3671E">
        <w:rPr>
          <w:lang w:val="en-GB" w:eastAsia="zh-CN"/>
        </w:rPr>
        <w:fldChar w:fldCharType="separate"/>
      </w:r>
      <w:r w:rsidRPr="00C3671E">
        <w:rPr>
          <w:noProof/>
          <w:lang w:val="en-GB" w:eastAsia="zh-CN"/>
        </w:rPr>
        <w:t>(Thomas 2011)</w:t>
      </w:r>
      <w:r w:rsidRPr="00C3671E">
        <w:rPr>
          <w:lang w:val="en-GB" w:eastAsia="zh-CN"/>
        </w:rPr>
        <w:fldChar w:fldCharType="end"/>
      </w:r>
      <w:r w:rsidRPr="00C3671E">
        <w:rPr>
          <w:lang w:val="en-GB" w:eastAsia="zh-CN"/>
        </w:rPr>
        <w:t xml:space="preserve">, mental health </w:t>
      </w:r>
      <w:r w:rsidRPr="00C3671E">
        <w:rPr>
          <w:lang w:val="en-GB" w:eastAsia="zh-CN"/>
        </w:rPr>
        <w:fldChar w:fldCharType="begin" w:fldLock="1"/>
      </w:r>
      <w:r w:rsidR="001257AA" w:rsidRPr="00C3671E">
        <w:rPr>
          <w:lang w:val="en-GB" w:eastAsia="zh-CN"/>
        </w:rPr>
        <w:instrText>ADDIN CSL_CITATION { "citationItems" : [ { "id" : "ITEM-1", "itemData" : { "author" : [ { "dropping-particle" : "", "family" : "Englehardt", "given" : "Henriette", "non-dropping-particle" : "", "parse-names" : false, "suffix" : "" }, { "dropping-particle" : "", "family" : "Buber", "given" : "Isabella", "non-dropping-particle" : "", "parse-names" : false, "suffix" : "" }, { "dropping-particle" : "", "family" : "Skirbekk", "given" : "Vegard", "non-dropping-particle" : "", "parse-names" : false, "suffix" : "" }, { "dropping-particle" : "", "family" : "Prskawetz", "given" : "Alexia", "non-dropping-particle" : "", "parse-names" : false, "suffix" : "" } ], "container-title" : "European Demographic Research Papers", "id" : "ITEM-1", "issued" : { "date-parts" : [ [ "2010" ] ] }, "number-of-pages" : "1-48", "title" : "Social Engagement, Behavioural Risks and Cognitive Functioning Among the Aged", "type" : "report" }, "uris" : [ "http://www.mendeley.com/documents/?uuid=e99d1878-f91c-402c-abf9-175be62191ea" ] }, { "id" : "ITEM-2", "itemData" : { "DOI" : "10.1080/13607863.2010.501053", "ISSN" : "1360-7863", "PMID" : "21337177", "abstract" : "This study considered whether community participation during later adulthood is more strongly associated with mental health during retirement than it is while in employment; i.e. in the absence of paid work.", "author" : [ { "dropping-particle" : "", "family" : "Olesen", "given" : "Sarah C.", "non-dropping-particle" : "", "parse-names" : false, "suffix" : "" }, { "dropping-particle" : "", "family" : "Berry", "given" : "Helen L.", "non-dropping-particle" : "", "parse-names" : false, "suffix" : "" } ], "container-title" : "Aging &amp; Mental Health", "id" : "ITEM-2", "issue" : "2", "issued" : { "date-parts" : [ [ "2011" ] ] }, "page" : "186-197", "title" : "Community participation and mental health during retirement in community sample of Australians", "type" : "article-journal", "volume" : "15" }, "uris" : [ "http://www.mendeley.com/documents/?uuid=c6c8f370-2df5-41f7-89c6-a11a06b705fd" ] } ], "mendeley" : { "formattedCitation" : "(Englehardt et al. 2010; Olesen and Berry 2011)", "plainTextFormattedCitation" : "(Englehardt et al. 2010; Olesen and Berry 2011)", "previouslyFormattedCitation" : "(Englehardt et al. 2010; Olesen and Berry 2011)" }, "properties" : { "noteIndex" : 0 }, "schema" : "https://github.com/citation-style-language/schema/raw/master/csl-citation.json" }</w:instrText>
      </w:r>
      <w:r w:rsidRPr="00C3671E">
        <w:rPr>
          <w:lang w:val="en-GB" w:eastAsia="zh-CN"/>
        </w:rPr>
        <w:fldChar w:fldCharType="separate"/>
      </w:r>
      <w:r w:rsidR="00A91559" w:rsidRPr="00C3671E">
        <w:rPr>
          <w:noProof/>
          <w:lang w:val="en-GB" w:eastAsia="zh-CN"/>
        </w:rPr>
        <w:t>(Englehardt et al. 2010; Olesen and Berry 2011)</w:t>
      </w:r>
      <w:r w:rsidRPr="00C3671E">
        <w:rPr>
          <w:lang w:val="en-GB" w:eastAsia="zh-CN"/>
        </w:rPr>
        <w:fldChar w:fldCharType="end"/>
      </w:r>
      <w:r w:rsidRPr="00C3671E">
        <w:rPr>
          <w:lang w:val="en-GB" w:eastAsia="zh-CN"/>
        </w:rPr>
        <w:t xml:space="preserve">, and life satisfaction </w:t>
      </w:r>
      <w:r w:rsidRPr="00C3671E">
        <w:rPr>
          <w:lang w:val="en-GB" w:eastAsia="zh-CN"/>
        </w:rPr>
        <w:fldChar w:fldCharType="begin" w:fldLock="1"/>
      </w:r>
      <w:r w:rsidR="001257AA" w:rsidRPr="00C3671E">
        <w:rPr>
          <w:lang w:val="en-GB" w:eastAsia="zh-CN"/>
        </w:rPr>
        <w:instrText>ADDIN CSL_CITATION { "citationItems" : [ { "id" : "ITEM-1", "itemData" : { "DOI" : "10.1017/S0144686X10001091", "ISBN" : "0144686X (ISSN)", "ISSN" : "0144-686X", "PMID" : "59665633", "abstract" : "An engaged lifestyle is seen as an important component of successful ageing. Many older adults with high participation in social and leisure activities report positive wellbeing, a fact that fuelled the original activity theory and that continues to influence researchers, theorists and practitioners. This study's purpose is to review the conceptualisation and measurement of activity among older adults and the associations reported in the gerontological literature between specific dimensions of activity and wellbeing. We searched published studies that focused on social and leisure activity and wellbeing, and found 42 studies in 44 articles published between 1995 and 2009. They reported from one to 13 activity domains, the majority reporting two or three, such as informal , formal and solitary , or productive versus leisure . Domains associated with subjective wellbeing, health or survival included social, leisure, productive, physical, intellectual, service and solitary activities. Informal social activity has accumulated the most evidence of an influence on wellbeing. Individual descriptors such as gender or physical functioning sometimes moderate these associations, while contextual variables such as choice, meaning or perceived quality play intervening roles. Differences in definitions and measurement make it difficult to draw inferences about this body of evidence on the associations between activity and wellbeing. Activity theory serves as shorthand for these associations, but gerontology must better integrate developmental and psychological constructs into a refined, comprehensive activity theory.", "author" : [ { "dropping-particle" : "", "family" : "Adams", "given" : "Kathryn Betts", "non-dropping-particle" : "", "parse-names" : false, "suffix" : "" }, { "dropping-particle" : "", "family" : "Leibbrandt", "given" : "Sylvia", "non-dropping-particle" : "", "parse-names" : false, "suffix" : "" }, { "dropping-particle" : "", "family" : "Moon", "given" : "Heehyul", "non-dropping-particle" : "", "parse-names" : false, "suffix" : "" } ], "container-title" : "Ageing and Society", "id" : "ITEM-1", "issue" : "04", "issued" : { "date-parts" : [ [ "2011" ] ] }, "page" : "683-712", "title" : "A critical review of the literature on social and leisure activity and wellbeing in later life", "type" : "article-journal", "volume" : "31" }, "uris" : [ "http://www.mendeley.com/documents/?uuid=28bf1c76-83b5-46ba-8c9c-efd885614e50" ] }, { "id" : "ITEM-2", "itemData" : { "ISBN" : "0-19-516203-X (hardcover), 978-0-19-516203-5 (hardcover)", "abstract" : "(from the chapter) We have been among those psychologists deeply engaged in developing a perspective called \"positive aging\" and providing resources that may facilitate this refocus. In this chapter, we examine women's lives within this positive framework. In particular, we explore a pattern of research that has profound implications for living well across the life span. Our focus then shifts to social policies that could expand the potentials of positive aging for women. (PsycINFO Database Record (c) 2010 APA, all rights reserved).", "author" : [ { "dropping-particle" : "", "family" : "Gergen", "given" : "Mary M", "non-dropping-particle" : "", "parse-names" : false, "suffix" : "" }, { "dropping-particle" : "", "family" : "Gergen", "given" : "Kenneth J", "non-dropping-particle" : "", "parse-names" : false, "suffix" : "" } ], "chapter-number" : "44", "container-title" : "Handbook of girls\u2019 and women\u2019s psychological health: Gender and well-being across the life span", "editor" : [ { "dropping-particle" : "", "family" : "Worell", "given" : "Judith", "non-dropping-particle" : "", "parse-names" : false, "suffix" : "" }, { "dropping-particle" : "", "family" : "Goodheart", "given" : "Carol D.", "non-dropping-particle" : "", "parse-names" : false, "suffix" : "" } ], "id" : "ITEM-2", "issued" : { "date-parts" : [ [ "2006" ] ] }, "page" : "416-426", "publisher" : "Oxford University Press", "publisher-place" : "Oxford", "title" : "Positive Aging: Reconstructing the Life Course", "type" : "chapter" }, "uris" : [ "http://www.mendeley.com/documents/?uuid=c2e73dd7-be69-49f0-8f4b-f38d923f2503" ] }, { "id" : "ITEM-3", "itemData" : { "DOI" : "10.1111/joop.12003", "ISBN" : "09631798", "ISSN" : "09631798", "PMID" : "90563210", "abstract" : "This study examines the impact of engaging in seven types of activities on depression and quality of life in retirees and older workers over a period of 2 years, using a sample from the survey of health, ageing and retirement in Europe. Longitudinal data were available from 2,813 retirees and 1,372 older employees. Our results showed that volunteering, providing help and going to sports or social clubs at the baseline improved retirees\u2019 quality of lifeover a period of 2 years. No direct effects of engaging in activities were found for older employees. Moreover, higher depression at the baseline fostered the depression experience at the follow-up in those retirees and older employees who were caring for disabled adults at baseline. In retirees with higher depression at baseline, participation in religious organizations was associated with a greater decrease in depression at follow-up than in those who had lower levels of depression at baseline. For older employees, taking part in political or community organizations at baselinewas related to a greater decrease in depression at follow-up than in those employees who experienced higher initial depression.", "author" : [ { "dropping-particle" : "", "family" : "Poto\u010dnik", "given" : "Kristina", "non-dropping-particle" : "", "parse-names" : false, "suffix" : "" }, { "dropping-particle" : "", "family" : "Sonnentag", "given" : "Sabine", "non-dropping-particle" : "", "parse-names" : false, "suffix" : "" } ], "container-title" : "Journal of Occupational and Organizational Psychology", "id" : "ITEM-3", "issue" : "4", "issued" : { "date-parts" : [ [ "2013" ] ] }, "page" : "497-521", "title" : "A longitudinal study of well-being in older workers and retirees: The role of engaging in different types of activities", "type" : "article-journal", "volume" : "86" }, "uris" : [ "http://www.mendeley.com/documents/?uuid=5889bc5d-921b-416d-a3eb-706b9facb5cf" ] } ], "mendeley" : { "formattedCitation" : "(Adams et al. 2011; Gergen and Gergen 2006; Poto\u010dnik and Sonnentag 2013)", "plainTextFormattedCitation" : "(Adams et al. 2011; Gergen and Gergen 2006; Poto\u010dnik and Sonnentag 2013)", "previouslyFormattedCitation" : "(Adams et al. 2011; Gergen and Gergen 2006; Poto\u010dnik and Sonnentag 2013)" }, "properties" : { "noteIndex" : 0 }, "schema" : "https://github.com/citation-style-language/schema/raw/master/csl-citation.json" }</w:instrText>
      </w:r>
      <w:r w:rsidRPr="00C3671E">
        <w:rPr>
          <w:lang w:val="en-GB" w:eastAsia="zh-CN"/>
        </w:rPr>
        <w:fldChar w:fldCharType="separate"/>
      </w:r>
      <w:r w:rsidR="00A91559" w:rsidRPr="00C3671E">
        <w:rPr>
          <w:noProof/>
          <w:lang w:val="en-GB" w:eastAsia="zh-CN"/>
        </w:rPr>
        <w:t>(Adams et al. 2011; Gergen and Gergen 2006; Potočnik and Sonnentag 2013)</w:t>
      </w:r>
      <w:r w:rsidRPr="00C3671E">
        <w:rPr>
          <w:lang w:val="en-GB" w:eastAsia="zh-CN"/>
        </w:rPr>
        <w:fldChar w:fldCharType="end"/>
      </w:r>
      <w:r w:rsidRPr="00C3671E">
        <w:rPr>
          <w:lang w:val="en-GB" w:eastAsia="zh-CN"/>
        </w:rPr>
        <w:t xml:space="preserve">, and also mitigate intergenerational conflict in society </w:t>
      </w:r>
      <w:r w:rsidRPr="00C3671E">
        <w:rPr>
          <w:lang w:val="en-GB" w:eastAsia="zh-CN"/>
        </w:rPr>
        <w:fldChar w:fldCharType="begin" w:fldLock="1"/>
      </w:r>
      <w:r w:rsidR="001257AA" w:rsidRPr="00C3671E">
        <w:rPr>
          <w:lang w:val="en-GB" w:eastAsia="zh-CN"/>
        </w:rPr>
        <w:instrText>ADDIN CSL_CITATION { "citationItems" : [ { "id" : "ITEM-1", "itemData" : { "DOI" : "10.1007/s12062-016-9161-3", "ISBN" : "1206201691613", "ISSN" : "1874-7884", "abstract" : "In the scientific and the public debate demographic ageing is sometimes perceived as an unstoppable \u201cgrey tide\u201d which will inevitably lead to a conflict between the old and young generation. In this paper we empirically evaluate whether we find any evidence for an intergenerational conflict in Europe and which factors might influence its severity. In particular, we answer the following questions. (1) Is there a conflict between the interests of the younger and the older generation? (2) Does the strength of the conflict increase with population ageing? And finally, (3) can a policy of Active Ageing, i.e. better integrating older generations into society, moderate the conflict? We answer these questions in a comparative study of 27 European countries using data from the Eurobarometer 2009. Our results show a moderate conflict between generations. Compared to spending preferences of the younger generation, older people are more likely to support increased spending for old age at the expense of educational spending. Contrary to expectation, generational conflict does not increase with population ageing. Linking country differences in the strength of the generational conflict to the degree of population ageing with multilevel regression techniques we do not find any evidence that the conflict is increasing In a final step of our analysis we evaluate the potential of generational policies - measured with the Active Aging Index - to mitigate the generational conflict. Intergenerational conflict is weaker when older people actively participate in the political life and are visible in society, suggesting Active Aging policies as a means to mitigate intergenerational conflict", "author" : [ { "dropping-particle" : "", "family" : "Hess", "given" : "Moritz", "non-dropping-particle" : "", "parse-names" : false, "suffix" : "" }, { "dropping-particle" : "", "family" : "Nauman", "given" : "Elias", "non-dropping-particle" : "", "parse-names" : false, "suffix" : "" }, { "dropping-particle" : "", "family" : "Steinkopf", "given" : "Leander", "non-dropping-particle" : "", "parse-names" : false, "suffix" : "" } ], "container-title" : "Journal of Population Ageing", "id" : "ITEM-1", "issue" : "1", "issued" : { "date-parts" : [ [ "2017" ] ] }, "page" : "11-23", "publisher" : "Journal of Population Ageing", "title" : "Population Ageing, the Intergenerational Conflict, and Active Ageing Policies \u2013 a Multilevel Study of 27 European Countries", "type" : "article-journal", "volume" : "10" }, "uris" : [ "http://www.mendeley.com/documents/?uuid=a3d21860-6e40-463f-8c34-a0a44e92a4d0" ] } ], "mendeley" : { "formattedCitation" : "(Hess et al. 2017)", "plainTextFormattedCitation" : "(Hess et al. 2017)", "previouslyFormattedCitation" : "(Hess et al. 2017)" }, "properties" : { "noteIndex" : 0 }, "schema" : "https://github.com/citation-style-language/schema/raw/master/csl-citation.json" }</w:instrText>
      </w:r>
      <w:r w:rsidRPr="00C3671E">
        <w:rPr>
          <w:lang w:val="en-GB" w:eastAsia="zh-CN"/>
        </w:rPr>
        <w:fldChar w:fldCharType="separate"/>
      </w:r>
      <w:r w:rsidR="00C004DA" w:rsidRPr="00C3671E">
        <w:rPr>
          <w:noProof/>
          <w:lang w:val="en-GB" w:eastAsia="zh-CN"/>
        </w:rPr>
        <w:t>(Hess et al. 2017)</w:t>
      </w:r>
      <w:r w:rsidRPr="00C3671E">
        <w:rPr>
          <w:lang w:val="en-GB" w:eastAsia="zh-CN"/>
        </w:rPr>
        <w:fldChar w:fldCharType="end"/>
      </w:r>
      <w:r w:rsidRPr="00C3671E">
        <w:rPr>
          <w:lang w:val="en-GB" w:eastAsia="zh-CN"/>
        </w:rPr>
        <w:t>.</w:t>
      </w:r>
    </w:p>
    <w:p w14:paraId="21CC98FD" w14:textId="021C6C30" w:rsidR="00C94483" w:rsidRPr="00C3671E" w:rsidRDefault="00C94483" w:rsidP="00466C1F">
      <w:pPr>
        <w:pStyle w:val="Newparagraph"/>
        <w:jc w:val="both"/>
        <w:rPr>
          <w:lang w:eastAsia="zh-CN"/>
        </w:rPr>
      </w:pPr>
      <w:r w:rsidRPr="00C3671E">
        <w:rPr>
          <w:lang w:eastAsia="zh-CN"/>
        </w:rPr>
        <w:t xml:space="preserve">The increasingly popular notion of activities as a way to make </w:t>
      </w:r>
      <w:r w:rsidRPr="00C3671E">
        <w:t>societal</w:t>
      </w:r>
      <w:r w:rsidRPr="00C3671E">
        <w:rPr>
          <w:lang w:eastAsia="zh-CN"/>
        </w:rPr>
        <w:t xml:space="preserve"> ageing sustainable and even beneficial became the main assumption of ‘activity theory’ </w:t>
      </w:r>
      <w:r w:rsidRPr="00C3671E">
        <w:rPr>
          <w:lang w:eastAsia="zh-CN"/>
        </w:rPr>
        <w:fldChar w:fldCharType="begin" w:fldLock="1"/>
      </w:r>
      <w:r w:rsidR="00AA6335" w:rsidRPr="00C3671E">
        <w:rPr>
          <w:lang w:eastAsia="zh-CN"/>
        </w:rPr>
        <w:instrText>ADDIN CSL_CITATION { "citationItems" : [ { "id" : "ITEM-1", "itemData" : { "DOI" : "10.1093/geront/1.1.8", "abstract" : "Substantial increases in the relative and absolute number of older persons in our society pose a challenge for biology, social and behavioral science, and medicine. Successful aging is multidimensional, encompassing the avoidance of disease and disability, the maintenance of high physical and cognitive function, and sustained engagement in social and productive activities. Research has identified factors predictive of success in these critical domains. The stage is set for intervention studies to enhance the proportion of our population aging successfully.", "author" : [ { "dropping-particle" : "", "family" : "Havighurst", "given" : "Robert J", "non-dropping-particle" : "", "parse-names" : false, "suffix" : "" } ], "container-title" : "The Gerontologist", "id" : "ITEM-1", "issue" : "1", "issued" : { "date-parts" : [ [ "1961" ] ] }, "page" : "8-13", "title" : "Successful Aging", "type" : "article-journal", "volume" : "1" }, "uris" : [ "http://www.mendeley.com/documents/?uuid=67d7e72c-655e-4df5-8029-f3c1efddc5da" ] } ], "mendeley" : { "formattedCitation" : "(Havighurst 1961)", "plainTextFormattedCitation" : "(Havighurst 1961)", "previouslyFormattedCitation" : "(Havighurst 1961)" }, "properties" : { "noteIndex" : 0 }, "schema" : "https://github.com/citation-style-language/schema/raw/master/csl-citation.json" }</w:instrText>
      </w:r>
      <w:r w:rsidRPr="00C3671E">
        <w:rPr>
          <w:lang w:eastAsia="zh-CN"/>
        </w:rPr>
        <w:fldChar w:fldCharType="separate"/>
      </w:r>
      <w:r w:rsidRPr="00C3671E">
        <w:rPr>
          <w:noProof/>
          <w:lang w:eastAsia="zh-CN"/>
        </w:rPr>
        <w:t>(Havighurst 1961)</w:t>
      </w:r>
      <w:r w:rsidRPr="00C3671E">
        <w:rPr>
          <w:lang w:eastAsia="zh-CN"/>
        </w:rPr>
        <w:fldChar w:fldCharType="end"/>
      </w:r>
      <w:r w:rsidRPr="00C3671E">
        <w:rPr>
          <w:lang w:eastAsia="zh-CN"/>
        </w:rPr>
        <w:t xml:space="preserve"> and the concept of active ageing </w:t>
      </w:r>
      <w:r w:rsidRPr="00C3671E">
        <w:rPr>
          <w:lang w:eastAsia="zh-CN"/>
        </w:rPr>
        <w:fldChar w:fldCharType="begin" w:fldLock="1"/>
      </w:r>
      <w:r w:rsidR="00AA6335" w:rsidRPr="00C3671E">
        <w:rPr>
          <w:lang w:eastAsia="zh-CN"/>
        </w:rPr>
        <w:instrText>ADDIN CSL_CITATION { "citationItems" : [ { "id" : "ITEM-1", "itemData" : { "DOI" : "10.1007/s00391-002-0104-7", "ISSN" : "09486704", "abstract" : "The main purpose of this article is to emphasize the critical role of politics and political ideology in determining the nature of intergenerational relations. This is not the only source of influence on intergenerational relations but it has been underemphasized in scientific inquiry. Social and social-economic policies embodying political ideology have an impact at both micro and macro levels. The article summarizes the ethical basis of generational solidarity, the nature of the social contract, the changes taking place in relations between the generations, and the recent impact of political ideology on the social contract. The main point of reference is the UK. The author concludes that it is in the policy arena rather than the attitudes of younger generations that the main threat to intergenerational solidarity is found in the British and other western welfare states. In describing pensions as a burden on the economy, policymakers might encourage the view that older people are themselves a burden which, in turn, may weaken the resolve of younger generations to support the older ones. Thus, the very process of revising the social contract may itself create the conditions for intergenerational conflicts, especially if policymakers portray the elderly as economic burdens. (PsycINFO Database Record (c) 2015 APA, all rights reserved)", "author" : [ { "dropping-particle" : "", "family" : "Walker", "given" : "Alan", "non-dropping-particle" : "", "parse-names" : false, "suffix" : "" } ], "container-title" : "Zeitschrift fur Gerontologie und Geriatrie", "id" : "ITEM-1", "issue" : "4", "issued" : { "date-parts" : [ [ "2002" ] ] }, "page" : "297-303", "title" : "The politics of intergenerational relations", "type" : "article-journal", "volume" : "35" }, "uris" : [ "http://www.mendeley.com/documents/?uuid=ace1eecc-9f31-4ffb-8767-32e4992c9034" ] } ], "mendeley" : { "formattedCitation" : "(Walker 2002b)", "plainTextFormattedCitation" : "(Walker 2002b)", "previouslyFormattedCitation" : "(Walker 2002b)" }, "properties" : { "noteIndex" : 0 }, "schema" : "https://github.com/citation-style-language/schema/raw/master/csl-citation.json" }</w:instrText>
      </w:r>
      <w:r w:rsidRPr="00C3671E">
        <w:rPr>
          <w:lang w:eastAsia="zh-CN"/>
        </w:rPr>
        <w:fldChar w:fldCharType="separate"/>
      </w:r>
      <w:r w:rsidR="00C004DA" w:rsidRPr="00C3671E">
        <w:rPr>
          <w:noProof/>
          <w:lang w:eastAsia="zh-CN"/>
        </w:rPr>
        <w:t>(Walker 2002b)</w:t>
      </w:r>
      <w:r w:rsidRPr="00C3671E">
        <w:rPr>
          <w:lang w:eastAsia="zh-CN"/>
        </w:rPr>
        <w:fldChar w:fldCharType="end"/>
      </w:r>
      <w:r w:rsidRPr="00C3671E">
        <w:rPr>
          <w:lang w:eastAsia="zh-CN"/>
        </w:rPr>
        <w:t xml:space="preserve">. The concept of active ageing was in large part developed outside of the academia by the World Health Organization </w:t>
      </w:r>
      <w:r w:rsidRPr="00C3671E">
        <w:rPr>
          <w:lang w:eastAsia="zh-CN"/>
        </w:rPr>
        <w:fldChar w:fldCharType="begin" w:fldLock="1"/>
      </w:r>
      <w:r w:rsidR="00AA6335" w:rsidRPr="00C3671E">
        <w:rPr>
          <w:lang w:eastAsia="zh-CN"/>
        </w:rPr>
        <w:instrText>ADDIN CSL_CITATION { "citationItems" : [ { "id" : "ITEM-1", "itemData" : { "DOI" : "10.1080/713604647", "ISBN" : "1757-9139 (Print)\\r1757-9147 (Linking)", "ISSN" : "1368-5538", "PMID" : "21692392", "abstract" : "his Policy Framework is intended to inform discussion and the formulation of action plans that promote healthy and active ageing. It was developed by WHO\u2019s Ageing and Life Course Programme as a contribution to the Second United Nations World Assembly on Ageing, held in April 2002, in Madrid, Spain. The preliminary version, published in 2001 entitled Health and Ageing: A Discussion Paper, was translated into French and Spanish and widely circulated for feedback throughout 2001 (including at special workshops held in Brazil, Canada, the Netherlands, Spain and the United Kingdom). In January 2002, an expert group meeting was convened at the WHO Centre for Health Development (WKC) in Kobe, Japan, with 29 participants from 21 countries. De- tailed comments and recommendations from this meeting, as well as those received through the previous consultation process, were com- piled to complete this fi nal version. A complementary monograph entitled Active Ageing: From Evidence to Action is being prepared in collaboration with the Inter- national Association of Gerontology (IAG) and will be available at http://www.who.int/hpr/ ageing where more information about ageing from a life course perspective is also provided.", "author" : [ { "dropping-particle" : "", "family" : "WHO", "given" : "", "non-dropping-particle" : "", "parse-names" : false, "suffix" : "" } ], "id" : "ITEM-1", "issued" : { "date-parts" : [ [ "2002" ] ] }, "page" : "1-60", "publisher" : "World Health Organization", "publisher-place" : "Geneva", "title" : "Active Ageing: A Policy Framework", "type" : "article" }, "uris" : [ "http://www.mendeley.com/documents/?uuid=10ba559d-500f-4111-baae-06ebd9b96a0f" ] } ], "mendeley" : { "formattedCitation" : "(WHO 2002)", "plainTextFormattedCitation" : "(WHO 2002)", "previouslyFormattedCitation" : "(WHO 2002)" }, "properties" : { "noteIndex" : 0 }, "schema" : "https://github.com/citation-style-language/schema/raw/master/csl-citation.json" }</w:instrText>
      </w:r>
      <w:r w:rsidRPr="00C3671E">
        <w:rPr>
          <w:lang w:eastAsia="zh-CN"/>
        </w:rPr>
        <w:fldChar w:fldCharType="separate"/>
      </w:r>
      <w:r w:rsidRPr="00C3671E">
        <w:rPr>
          <w:noProof/>
          <w:lang w:eastAsia="zh-CN"/>
        </w:rPr>
        <w:t>(WHO 2002)</w:t>
      </w:r>
      <w:r w:rsidRPr="00C3671E">
        <w:rPr>
          <w:lang w:eastAsia="zh-CN"/>
        </w:rPr>
        <w:fldChar w:fldCharType="end"/>
      </w:r>
      <w:r w:rsidRPr="00C3671E">
        <w:rPr>
          <w:lang w:eastAsia="zh-CN"/>
        </w:rPr>
        <w:t xml:space="preserve"> and the European Union </w:t>
      </w:r>
      <w:r w:rsidRPr="00C3671E">
        <w:rPr>
          <w:lang w:eastAsia="zh-CN"/>
        </w:rPr>
        <w:fldChar w:fldCharType="begin" w:fldLock="1"/>
      </w:r>
      <w:r w:rsidR="00AA6335" w:rsidRPr="00C3671E">
        <w:rPr>
          <w:lang w:eastAsia="zh-CN"/>
        </w:rPr>
        <w:instrText>ADDIN CSL_CITATION { "citationItems" : [ { "id" : "ITEM-1", "itemData" : { "DOI" : "10.1080/13880290902938435", "author" : [ { "dropping-particle" : "", "family" : "Commission of the European Communities", "given" : "", "non-dropping-particle" : "", "parse-names" : false, "suffix" : "" } ], "id" : "ITEM-1", "issued" : { "date-parts" : [ [ "2002" ] ] }, "page" : "1-15", "publisher-place" : "Brussels", "title" : "Europe's response to World Ageing: Promoting economic and social progress in an ageing world", "type" : "article" }, "uris" : [ "http://www.mendeley.com/documents/?uuid=c682390e-0125-49b7-955f-2b0f9b56c771" ] } ], "mendeley" : { "formattedCitation" : "(Commission of the European Communities 2002)", "plainTextFormattedCitation" : "(Commission of the European Communities 2002)", "previouslyFormattedCitation" : "(Commission of the European Communities 2002)" }, "properties" : { "noteIndex" : 0 }, "schema" : "https://github.com/citation-style-language/schema/raw/master/csl-citation.json" }</w:instrText>
      </w:r>
      <w:r w:rsidRPr="00C3671E">
        <w:rPr>
          <w:lang w:eastAsia="zh-CN"/>
        </w:rPr>
        <w:fldChar w:fldCharType="separate"/>
      </w:r>
      <w:r w:rsidRPr="00C3671E">
        <w:rPr>
          <w:noProof/>
          <w:lang w:eastAsia="zh-CN"/>
        </w:rPr>
        <w:t>(Commission of the European Communities 2002)</w:t>
      </w:r>
      <w:r w:rsidRPr="00C3671E">
        <w:rPr>
          <w:lang w:eastAsia="zh-CN"/>
        </w:rPr>
        <w:fldChar w:fldCharType="end"/>
      </w:r>
      <w:r w:rsidRPr="00C3671E">
        <w:rPr>
          <w:lang w:eastAsia="zh-CN"/>
        </w:rPr>
        <w:t xml:space="preserve">. These efforts should not only have implications for the quality of life (QoL) of older adults and the size of the labour market. Consequently, they should lead to the ‘transition from the perception of older adults as largely passive recipients of welfare’ </w:t>
      </w:r>
      <w:r w:rsidRPr="00C3671E">
        <w:rPr>
          <w:lang w:eastAsia="zh-CN"/>
        </w:rPr>
        <w:fldChar w:fldCharType="begin" w:fldLock="1"/>
      </w:r>
      <w:r w:rsidR="00AA6335" w:rsidRPr="00C3671E">
        <w:rPr>
          <w:lang w:eastAsia="zh-CN"/>
        </w:rPr>
        <w:instrText>ADDIN CSL_CITATION { "citationItems" : [ { "id" : "ITEM-1", "itemData" : { "DOI" : "10.1111/j.1468-2397.2012.00871.x", "ISBN" : "1468-2397", "ISSN" : "13696866", "abstract" : "The ageing of European countries has widespread implications for current and future social and economic policies across the region.The major policy response to demographic ageing that has emerged over the past 10 years is called \u2018active ageing\u2019, yet there is little clarity in practice about what it means for individuals and society beyond a crude economic reduction in terms of working longer.The main purposes of this article are to explain why this strategy has emerged and its impor- tance. Despite a great deal of positive political rhetoric, the response at all levels of policy making has been rather limited. An active social and public policy is required to mainstream active ageing as the leading paradigm for ageing policy across the European Union (EU). The designation of 2012 as the EuropeanYear of Active Ageing offers a potential focus for renewed policy action in the EU and is discussed in the context of our conclusions", "author" : [ { "dropping-particle" : "", "family" : "Walker", "given" : "Alan", "non-dropping-particle" : "", "parse-names" : false, "suffix" : "" }, { "dropping-particle" : "", "family" : "Maltby", "given" : "Tony", "non-dropping-particle" : "", "parse-names" : false, "suffix" : "" } ], "container-title" : "International Journal of Social Welfare", "id" : "ITEM-1", "issue" : "SUPPL.1", "issued" : { "date-parts" : [ [ "2012" ] ] }, "page" : "117-130", "title" : "Active ageing: A strategic policy solution to demographic ageing in the European Union", "type" : "article-journal", "volume" : "21" }, "uris" : [ "http://www.mendeley.com/documents/?uuid=2008f46f-ead4-4add-94cf-578cdbb7c3dc" ] } ], "mendeley" : { "formattedCitation" : "(Walker and Maltby 2012)", "manualFormatting" : "(Walker and Maltby 2012", "plainTextFormattedCitation" : "(Walker and Maltby 2012)", "previouslyFormattedCitation" : "(Walker and Maltby 2012)" }, "properties" : { "noteIndex" : 0 }, "schema" : "https://github.com/citation-style-language/schema/raw/master/csl-citation.json" }</w:instrText>
      </w:r>
      <w:r w:rsidRPr="00C3671E">
        <w:rPr>
          <w:lang w:eastAsia="zh-CN"/>
        </w:rPr>
        <w:fldChar w:fldCharType="separate"/>
      </w:r>
      <w:r w:rsidRPr="00C3671E">
        <w:rPr>
          <w:noProof/>
          <w:lang w:eastAsia="zh-CN"/>
        </w:rPr>
        <w:t>(Walker and Maltby 2012</w:t>
      </w:r>
      <w:r w:rsidRPr="00C3671E">
        <w:rPr>
          <w:lang w:eastAsia="zh-CN"/>
        </w:rPr>
        <w:fldChar w:fldCharType="end"/>
      </w:r>
      <w:r w:rsidRPr="00C3671E">
        <w:rPr>
          <w:lang w:eastAsia="zh-CN"/>
        </w:rPr>
        <w:t>: S127) to a more positive image of older people as citizens involved in many areas of society.</w:t>
      </w:r>
    </w:p>
    <w:p w14:paraId="4115F72E" w14:textId="3F50501A" w:rsidR="00C94483" w:rsidRPr="00C3671E" w:rsidRDefault="00C94483" w:rsidP="00466C1F">
      <w:pPr>
        <w:pStyle w:val="Newparagraph"/>
        <w:jc w:val="both"/>
      </w:pPr>
      <w:r w:rsidRPr="00C3671E">
        <w:t xml:space="preserve">Activities encompassed by active ageing differ by source of information, but EU supports mainly prolonged employment, participation in society, and physical activity. Category participation in society then includes caregiving, volunteering, lifelong learning, and political activities </w:t>
      </w:r>
      <w:r w:rsidRPr="00C3671E">
        <w:fldChar w:fldCharType="begin" w:fldLock="1"/>
      </w:r>
      <w:r w:rsidR="001257AA" w:rsidRPr="00C3671E">
        <w:instrText>ADDIN CSL_CITATION { "citationItems" : [ { "id" : "ITEM-1", "itemData" : { "DOI" : "10.4017/gt.2011.10.01.014.00", "ISBN" : "9789279215070", "ISSN" : "1569-111X", "abstract" : "In response to the demographic challenge which all EU Member States are facing, the European Union has designated 2012 as the European Year for Active Ageing and Solidarity between Generations. Active ageing is defined by the World Health Organisation as the process of optimising opportunities for health, participation and security in order to enhance quality of life as people age. Eurostat is marking the European Year 2012 by presenting in this book statistics on topics related to Active Ageing and Solidarity between Generations, such as demography, healthcare, pensions, volunteering and adult learning. Tis publication has been produced in collaboration with the Directorate-General for Employment, Social Affairs and Inclusion and Eurofound, the European Foundation for the Improvement of Living and Working Conditions.", "author" : [ { "dropping-particle" : "", "family" : "Eurostat", "given" : "", "non-dropping-particle" : "", "parse-names" : false, "suffix" : "" } ], "id" : "ITEM-1", "issued" : { "date-parts" : [ [ "2012" ] ] }, "number-of-pages" : "147", "title" : "Active ageing and solidarity between generations", "type" : "book" }, "uris" : [ "http://www.mendeley.com/documents/?uuid=1dd08e23-fc88-436d-8418-971846dbc156" ] }, { "id" : "ITEM-2", "itemData" : { "author" : [ { "dropping-particle" : "", "family" : "EU Council", "given" : "", "non-dropping-particle" : "", "parse-names" : false, "suffix" : "" } ], "id" : "ITEM-2", "issued" : { "date-parts" : [ [ "2012" ] ] }, "publisher" : "EU Council", "publisher-place" : "Brussels", "title" : "Council Declaration on the European Year for Active Ageing and Solidarity between Generations (2012): The Way Forward", "type" : "book" }, "uris" : [ "http://www.mendeley.com/documents/?uuid=bc232528-fad4-4b15-bede-b113103dbe49" ] } ], "mendeley" : { "formattedCitation" : "(EU Council 2012; Eurostat 2012)", "plainTextFormattedCitation" : "(EU Council 2012; Eurostat 2012)", "previouslyFormattedCitation" : "(EU Council 2012; Eurostat 2012)" }, "properties" : { "noteIndex" : 0 }, "schema" : "https://github.com/citation-style-language/schema/raw/master/csl-citation.json" }</w:instrText>
      </w:r>
      <w:r w:rsidRPr="00C3671E">
        <w:fldChar w:fldCharType="separate"/>
      </w:r>
      <w:r w:rsidR="00A91559" w:rsidRPr="00C3671E">
        <w:rPr>
          <w:noProof/>
        </w:rPr>
        <w:t>(EU Council 2012; Eurostat 2012)</w:t>
      </w:r>
      <w:r w:rsidRPr="00C3671E">
        <w:fldChar w:fldCharType="end"/>
      </w:r>
      <w:r w:rsidRPr="00C3671E">
        <w:t xml:space="preserve">. This diverse list of activities is connected </w:t>
      </w:r>
      <w:r w:rsidRPr="00C3671E">
        <w:lastRenderedPageBreak/>
        <w:t xml:space="preserve">by the presumed utility for both individuals and society. However, specific activities can have a different meaning for different older adults, and thus also different consequences for QoL. A value shift from materialist to postmaterialist values </w:t>
      </w:r>
      <w:r w:rsidRPr="00C3671E">
        <w:fldChar w:fldCharType="begin" w:fldLock="1"/>
      </w:r>
      <w:r w:rsidR="001257AA" w:rsidRPr="00C3671E">
        <w:instrText>ADDIN CSL_CITATION { "citationItems" : [ { "id" : "ITEM-1", "itemData" : { "DOI" : "10.2307/1953494", "ISBN" : "0003-0554", "ISSN" : "0003-0554", "abstract" : "A transformation of basic political priorities may be taking place in Western Europe. I hypothesize: (1) that people have a variety of needs which are given high or low priority according to their degree of fulfillment: people act on behalf of their most important unsatisfied need, giving relatively little attention to needs already satisfied\u2014except that (2) people tend to retain the value priorities adopted in their formative years throughout adult life. In contemporary Western Europe, needs for physical safety and economic security are relatively well satisfied for an unprecedentedly large share of the population. Younger, more affluent groups have been formed entirely under these conditions, and seem relatively likely to give top priority to fulfillment of needs which remain secondary to the older and less affluent majority of the population. Needs for belonging and intellectual and esthetic self-fulfillment (characterized as \u201cpost-bourgeois\u201d values) may take top priorities among the former group. Survey data from six countries indicate that the value priorities of the more affluent postwar group do contrast with those of groups raised under conditions of lesser economic and physical security. National patterns of value priorities correspond to the given nation's economic history, moreover, suggesting that the age-group differences reflect the persistence of preadult experiences, rather than life cycle effects. The distinctive value priorities imply distinctive political behavior\u2014being empirically linked with preferences for specific political issues and political parties in a predictable fashion. If the respective age cohorts retain their present value priorities, we would expect long-term shifts in the political goals and patterns of political partisanship prevailing in these societies.", "author" : [ { "dropping-particle" : "", "family" : "Inglehart", "given" : "Ronald", "non-dropping-particle" : "", "parse-names" : false, "suffix" : "" } ], "container-title" : "American Political Science Review", "id" : "ITEM-1", "issue" : "04", "issued" : { "date-parts" : [ [ "1971" ] ] }, "page" : "991-1017", "title" : "The Silent Revolution in Europe: Intergenerational Change in Post-Industrial Societies", "type" : "article-journal", "volume" : "65" }, "uris" : [ "http://www.mendeley.com/documents/?uuid=995a80df-4db1-4892-ad87-a25d40a0763b" ] }, { "id" : "ITEM-2", "itemData" : { "author" : [ { "dropping-particle" : "", "family" : "Inglehart", "given" : "Ronald", "non-dropping-particle" : "", "parse-names" : false, "suffix" : "" } ], "id" : "ITEM-2", "issued" : { "date-parts" : [ [ "1990" ] ] }, "publisher" : "Princeton University Press", "publisher-place" : "Princeton", "title" : "Culture Shift in Advanced Industrial Society", "type" : "book" }, "uris" : [ "http://www.mendeley.com/documents/?uuid=25dc8f63-d26d-432e-8cdc-a1a2c72d612c" ] } ], "mendeley" : { "formattedCitation" : "(Inglehart 1971, 1990)", "plainTextFormattedCitation" : "(Inglehart 1971, 1990)", "previouslyFormattedCitation" : "(Inglehart 1971, 1990)" }, "properties" : { "noteIndex" : 0 }, "schema" : "https://github.com/citation-style-language/schema/raw/master/csl-citation.json" }</w:instrText>
      </w:r>
      <w:r w:rsidRPr="00C3671E">
        <w:fldChar w:fldCharType="separate"/>
      </w:r>
      <w:r w:rsidRPr="00C3671E">
        <w:rPr>
          <w:noProof/>
        </w:rPr>
        <w:t>(Inglehart 1971, 1990)</w:t>
      </w:r>
      <w:r w:rsidRPr="00C3671E">
        <w:fldChar w:fldCharType="end"/>
      </w:r>
      <w:r w:rsidRPr="00C3671E">
        <w:t xml:space="preserve"> is used as a theoretical frame of these differences, which are expected to cause a variance in effects of the supported activities.</w:t>
      </w:r>
    </w:p>
    <w:p w14:paraId="02B86E51" w14:textId="77777777" w:rsidR="00C94483" w:rsidRPr="00C3671E" w:rsidRDefault="00C94483" w:rsidP="00466C1F">
      <w:pPr>
        <w:pStyle w:val="Newparagraph"/>
        <w:jc w:val="both"/>
      </w:pPr>
      <w:r w:rsidRPr="00C3671E">
        <w:rPr>
          <w:i/>
        </w:rPr>
        <w:t>The main aim of this study is to determine the effect of activities prescribed by active ageing approach on QoL.</w:t>
      </w:r>
      <w:r w:rsidRPr="00C3671E">
        <w:t xml:space="preserve"> The paper argues that neither possible intersections and interdependencies between activities nor a different meaning of activities for different groups of older people have been adequately addressed by previous research. Hence, the analysis of Survey of Health, Ageing and Retirement in Europe (SHARE) follows changes in employment, social participation, physical activities and caregiving over time and their effect while controlling for each other. The results show that a) the effects of some activities differ across European regions and educational groups, and b) these effects are rather positive, but much weaker than effects of main individual characteristics. The paper argues that active ageing approach was formulated mostly by middle-aged professionals, who can possess different values and meanings than many older people. Therefore, active ageing should develop into a more context-sensitive data-driven perspective.</w:t>
      </w:r>
    </w:p>
    <w:p w14:paraId="786CBB4A" w14:textId="77777777" w:rsidR="00C94483" w:rsidRPr="00C3671E" w:rsidRDefault="00C94483" w:rsidP="007E6D8E">
      <w:pPr>
        <w:pStyle w:val="Nadpis2"/>
        <w:spacing w:line="480" w:lineRule="auto"/>
        <w:rPr>
          <w:sz w:val="26"/>
          <w:szCs w:val="26"/>
          <w:lang w:val="en-GB"/>
        </w:rPr>
      </w:pPr>
      <w:bookmarkStart w:id="86" w:name="_Toc512687778"/>
      <w:r w:rsidRPr="00C3671E">
        <w:rPr>
          <w:sz w:val="26"/>
          <w:szCs w:val="26"/>
          <w:lang w:val="en-GB"/>
        </w:rPr>
        <w:t>Literature review</w:t>
      </w:r>
      <w:bookmarkEnd w:id="86"/>
    </w:p>
    <w:p w14:paraId="7E5A09FB" w14:textId="77777777" w:rsidR="00C94483" w:rsidRPr="00C3671E" w:rsidRDefault="00C94483" w:rsidP="007E6D8E">
      <w:pPr>
        <w:pStyle w:val="Nadpis3"/>
        <w:spacing w:line="480" w:lineRule="auto"/>
        <w:rPr>
          <w:rFonts w:ascii="Times New Roman" w:hAnsi="Times New Roman" w:cs="Times New Roman"/>
          <w:b w:val="0"/>
          <w:i/>
          <w:lang w:val="en-GB" w:eastAsia="zh-CN"/>
        </w:rPr>
      </w:pPr>
      <w:bookmarkStart w:id="87" w:name="_Toc512687779"/>
      <w:r w:rsidRPr="00C3671E">
        <w:rPr>
          <w:rFonts w:ascii="Times New Roman" w:hAnsi="Times New Roman" w:cs="Times New Roman"/>
          <w:b w:val="0"/>
          <w:i/>
          <w:lang w:val="en-GB" w:eastAsia="zh-CN"/>
        </w:rPr>
        <w:t>Activities supported by active ageing approach and their measurement</w:t>
      </w:r>
      <w:bookmarkEnd w:id="87"/>
    </w:p>
    <w:p w14:paraId="5F3DDBF1" w14:textId="388F5A33" w:rsidR="00C94483" w:rsidRPr="00C3671E" w:rsidRDefault="00C94483" w:rsidP="00C94483">
      <w:pPr>
        <w:suppressAutoHyphens/>
        <w:spacing w:line="480" w:lineRule="auto"/>
        <w:jc w:val="both"/>
        <w:rPr>
          <w:lang w:val="en-GB" w:eastAsia="zh-CN"/>
        </w:rPr>
      </w:pPr>
      <w:r w:rsidRPr="00C3671E">
        <w:rPr>
          <w:lang w:val="en-GB" w:eastAsia="zh-CN"/>
        </w:rPr>
        <w:fldChar w:fldCharType="begin" w:fldLock="1"/>
      </w:r>
      <w:r w:rsidR="00AA6335" w:rsidRPr="00C3671E">
        <w:rPr>
          <w:lang w:val="en-GB" w:eastAsia="zh-CN"/>
        </w:rPr>
        <w:instrText>ADDIN CSL_CITATION { "citationItems" : [ { "id" : "ITEM-1", "itemData" : { "author" : [ { "dropping-particle" : "", "family" : "EU Council", "given" : "", "non-dropping-particle" : "", "parse-names" : false, "suffix" : "" } ], "id" : "ITEM-1", "issued" : { "date-parts" : [ [ "2012" ] ] }, "publisher" : "EU Council", "publisher-place" : "Brussels", "title" : "Council Declaration on the European Year for Active Ageing and Solidarity between Generations (2012): The Way Forward", "type" : "book" }, "uris" : [ "http://www.mendeley.com/documents/?uuid=bc232528-fad4-4b15-bede-b113103dbe49" ] } ], "mendeley" : { "formattedCitation" : "(EU Council 2012)", "manualFormatting" : "EU Council (2012)", "plainTextFormattedCitation" : "(EU Council 2012)", "previouslyFormattedCitation" : "(EU Council 2012)" }, "properties" : { "noteIndex" : 0 }, "schema" : "https://github.com/citation-style-language/schema/raw/master/csl-citation.json" }</w:instrText>
      </w:r>
      <w:r w:rsidRPr="00C3671E">
        <w:rPr>
          <w:lang w:val="en-GB" w:eastAsia="zh-CN"/>
        </w:rPr>
        <w:fldChar w:fldCharType="separate"/>
      </w:r>
      <w:r w:rsidRPr="00C3671E">
        <w:rPr>
          <w:noProof/>
          <w:lang w:val="en-GB" w:eastAsia="zh-CN"/>
        </w:rPr>
        <w:t>EU Council (2012)</w:t>
      </w:r>
      <w:r w:rsidRPr="00C3671E">
        <w:rPr>
          <w:lang w:val="en-GB" w:eastAsia="zh-CN"/>
        </w:rPr>
        <w:fldChar w:fldCharType="end"/>
      </w:r>
      <w:r w:rsidRPr="00C3671E">
        <w:rPr>
          <w:lang w:val="en-GB" w:eastAsia="zh-CN"/>
        </w:rPr>
        <w:t xml:space="preserve"> adopted three dimensions of the Guiding Principles for Active Ageing and Solidarity between Generations: Employment, participation in society, and </w:t>
      </w:r>
      <w:r w:rsidRPr="00466C1F">
        <w:rPr>
          <w:rFonts w:eastAsia="Calibri"/>
          <w:lang w:val="en-GB" w:eastAsia="en-US"/>
        </w:rPr>
        <w:t>independent</w:t>
      </w:r>
      <w:r w:rsidRPr="00C3671E">
        <w:rPr>
          <w:lang w:val="en-GB" w:eastAsia="zh-CN"/>
        </w:rPr>
        <w:t xml:space="preserve"> living. The prolonged labour force participation has the category by itself, while participation in society contains social inclusion specified as cultural, political, and social activities, senior volunteering, lifelong learning and informal caregiving and independent living should create </w:t>
      </w:r>
      <w:r w:rsidRPr="00C3671E">
        <w:rPr>
          <w:lang w:val="en-GB" w:eastAsia="zh-CN"/>
        </w:rPr>
        <w:lastRenderedPageBreak/>
        <w:t xml:space="preserve">opportunities for physical activities </w:t>
      </w:r>
      <w:r w:rsidRPr="00C3671E">
        <w:rPr>
          <w:lang w:val="en-GB" w:eastAsia="zh-CN"/>
        </w:rPr>
        <w:fldChar w:fldCharType="begin" w:fldLock="1"/>
      </w:r>
      <w:r w:rsidR="00AA6335" w:rsidRPr="00C3671E">
        <w:rPr>
          <w:lang w:val="en-GB" w:eastAsia="zh-CN"/>
        </w:rPr>
        <w:instrText>ADDIN CSL_CITATION { "citationItems" : [ { "id" : "ITEM-1", "itemData" : { "author" : [ { "dropping-particle" : "", "family" : "EU Council", "given" : "", "non-dropping-particle" : "", "parse-names" : false, "suffix" : "" } ], "id" : "ITEM-1", "issued" : { "date-parts" : [ [ "2012" ] ] }, "publisher" : "EU Council", "publisher-place" : "Brussels", "title" : "Council Declaration on the European Year for Active Ageing and Solidarity between Generations (2012): The Way Forward", "type" : "book" }, "uris" : [ "http://www.mendeley.com/documents/?uuid=bc232528-fad4-4b15-bede-b113103dbe49" ] } ], "mendeley" : { "formattedCitation" : "(EU Council 2012)", "plainTextFormattedCitation" : "(EU Council 2012)", "previouslyFormattedCitation" : "(EU Council 2012)" }, "properties" : { "noteIndex" : 0 }, "schema" : "https://github.com/citation-style-language/schema/raw/master/csl-citation.json" }</w:instrText>
      </w:r>
      <w:r w:rsidRPr="00C3671E">
        <w:rPr>
          <w:lang w:val="en-GB" w:eastAsia="zh-CN"/>
        </w:rPr>
        <w:fldChar w:fldCharType="separate"/>
      </w:r>
      <w:r w:rsidRPr="00C3671E">
        <w:rPr>
          <w:noProof/>
          <w:lang w:val="en-GB" w:eastAsia="zh-CN"/>
        </w:rPr>
        <w:t>(EU Council 2012)</w:t>
      </w:r>
      <w:r w:rsidRPr="00C3671E">
        <w:rPr>
          <w:lang w:val="en-GB" w:eastAsia="zh-CN"/>
        </w:rPr>
        <w:fldChar w:fldCharType="end"/>
      </w:r>
      <w:r w:rsidRPr="00C3671E">
        <w:rPr>
          <w:lang w:val="en-GB" w:eastAsia="zh-CN"/>
        </w:rPr>
        <w:t xml:space="preserve">. All these activities are mentioned in other documents as well </w:t>
      </w:r>
      <w:r w:rsidRPr="00C3671E">
        <w:rPr>
          <w:lang w:val="en-GB" w:eastAsia="zh-CN"/>
        </w:rPr>
        <w:fldChar w:fldCharType="begin" w:fldLock="1"/>
      </w:r>
      <w:r w:rsidR="001257AA" w:rsidRPr="00C3671E">
        <w:rPr>
          <w:lang w:val="en-GB" w:eastAsia="zh-CN"/>
        </w:rPr>
        <w:instrText>ADDIN CSL_CITATION { "citationItems" : [ { "id" : "ITEM-1", "itemData" : { "ISBN" : "9789287152404", "abstract" : "Foreword\\n\\nThe Council of Europe has a long tradition of producing population studies, and the work of the European Population Committee contributes to the understanding of the relationship between social policy and demographic issues in Europe. The findings of this work are published in the series Population studies, where topics covered include migration flows, national minorities, demographic\\nchanges and the labour market, the ageing of European populations and the demographic consequences of economic transition. These publications provide essential background information for implementing the Council of Europe\u2019s strategy for social cohesion: an integrated policy approach aimed at combating poverty and social exclusion through promoting access to social rights in areas\\nsuch as employment and training, health, social protection, housing, education and social services.\\n\\nThis volume takes as its starting point the changing age structure in European countries. This is characterised by the increase in the number of elderly persons and the decrease in the young and working populations. It reviews the demographic differences between European countries. The authors note that improved living conditions and effective health and social policies mean that the majority of younger elderly Europeans reach the third age in relatively good health and under conditions of some income security. They point out\\nthat whilst the effective age at retirement has been declining, it is only a minority of elderly people who use their free time in an active manner.\\n\\nThe authors examine the different public policy approaches and individual strategies developed in response to these societal changes and they make wide-ranging policy proposals for the development of active ageing strategies which address issues of employment, health, leisure and social cohesion.", "author" : [ { "dropping-particle" : "", "family" : "Avramov", "given" : "Dragana", "non-dropping-particle" : "", "parse-names" : false, "suffix" : "" }, { "dropping-particle" : "", "family" : "Maskova", "given" : "Miroslava", "non-dropping-particle" : "", "parse-names" : false, "suffix" : "" } ], "container-title" : "Population studies", "id" : "ITEM-1", "issue" : "41", "issued" : { "date-parts" : [ [ "2003" ] ] }, "number-of-pages" : "1-152", "publisher" : "Council of Europe Publishing", "publisher-place" : "Strasbourg", "title" : "Active ageing in Europe", "type" : "book", "volume" : "1" }, "uris" : [ "http://www.mendeley.com/documents/?uuid=7db55846-516c-430d-834c-164bd53456b9" ] }, { "id" : "ITEM-2", "itemData" : { "DOI" : "10.4017/gt.2011.10.01.014.00", "ISBN" : "9789279215070", "ISSN" : "1569-111X", "abstract" : "In response to the demographic challenge which all EU Member States are facing, the European Union has designated 2012 as the European Year for Active Ageing and Solidarity between Generations. Active ageing is defined by the World Health Organisation as the process of optimising opportunities for health, participation and security in order to enhance quality of life as people age. Eurostat is marking the European Year 2012 by presenting in this book statistics on topics related to Active Ageing and Solidarity between Generations, such as demography, healthcare, pensions, volunteering and adult learning. Tis publication has been produced in collaboration with the Directorate-General for Employment, Social Affairs and Inclusion and Eurofound, the European Foundation for the Improvement of Living and Working Conditions.", "author" : [ { "dropping-particle" : "", "family" : "Eurostat", "given" : "", "non-dropping-particle" : "", "parse-names" : false, "suffix" : "" } ], "id" : "ITEM-2", "issued" : { "date-parts" : [ [ "2012" ] ] }, "number-of-pages" : "147", "title" : "Active ageing and solidarity between generations", "type" : "book" }, "uris" : [ "http://www.mendeley.com/documents/?uuid=1dd08e23-fc88-436d-8418-971846dbc156" ] }, { "id" : "ITEM-3", "itemData" : { "DOI" : "10.1155/2013/261819", "ISBN" : "1687-7063 (Print)\\r1687-7063 (Linking)", "ISSN" : "16877063", "PMID" : "23346109", "abstract" : "Although the CIS countries are connected together by the legacy of breaking away from the Soviet Union, they have had a distinctive transition course and are rather diverse in terms of the population ageing challenges and policy responses in place. The commonality is that a comprehensive national strategy on ageing is lacking, and many of necessary reforms were put aside owing to political uncertainties, lack of societal consensus, and financial instability. The notion of active ageing is associated with the term \u201caccelerated ageing,\u201d which is understood to be an individual living a life under harsh living conditions or a society experiencing rapid increases in the relative number of older persons, and therefore it carries a negative connotation. Yet, in the same spirit as the European Year for Active Ageing and Solidarity between Generations 2012, the CIS countries have initiated sectoral programmes towards enhancing employment of older workers, social participation of older people in the society in a wider sense and also measures promoting health and independent living of older persons.", "author" : [ { "dropping-particle" : "", "family" : "Sidorenko", "given" : "Alexandre", "non-dropping-particle" : "", "parse-names" : false, "suffix" : "" }, { "dropping-particle" : "", "family" : "Zaidi", "given" : "Asghar", "non-dropping-particle" : "", "parse-names" : false, "suffix" : "" } ], "container-title" : "Current Gerontology and Geriatrics Research", "id" : "ITEM-3", "issued" : { "date-parts" : [ [ "2013" ] ] }, "title" : "Active ageing in CIS countries: Semantics, challenges, and responses", "type" : "article-journal", "volume" : "2013" }, "uris" : [ "http://www.mendeley.com/documents/?uuid=e29d0189-6a11-45cc-98ca-eb1949558eb6" ] } ], "mendeley" : { "formattedCitation" : "(Avramov and Maskova 2003; Eurostat 2012; Sidorenko and Zaidi 2013)", "plainTextFormattedCitation" : "(Avramov and Maskova 2003; Eurostat 2012; Sidorenko and Zaidi 2013)", "previouslyFormattedCitation" : "(Avramov and Maskova 2003; Eurostat 2012; Sidorenko and Zaidi 2013)" }, "properties" : { "noteIndex" : 0 }, "schema" : "https://github.com/citation-style-language/schema/raw/master/csl-citation.json" }</w:instrText>
      </w:r>
      <w:r w:rsidRPr="00C3671E">
        <w:rPr>
          <w:lang w:val="en-GB" w:eastAsia="zh-CN"/>
        </w:rPr>
        <w:fldChar w:fldCharType="separate"/>
      </w:r>
      <w:r w:rsidR="00A91559" w:rsidRPr="00C3671E">
        <w:rPr>
          <w:noProof/>
          <w:lang w:val="en-GB" w:eastAsia="zh-CN"/>
        </w:rPr>
        <w:t>(Avramov and Maskova 2003; Eurostat 2012; Sidorenko and Zaidi 2013)</w:t>
      </w:r>
      <w:r w:rsidRPr="00C3671E">
        <w:rPr>
          <w:lang w:val="en-GB" w:eastAsia="zh-CN"/>
        </w:rPr>
        <w:fldChar w:fldCharType="end"/>
      </w:r>
      <w:r w:rsidRPr="00C3671E">
        <w:rPr>
          <w:lang w:val="en-GB" w:eastAsia="zh-CN"/>
        </w:rPr>
        <w:t>.</w:t>
      </w:r>
    </w:p>
    <w:p w14:paraId="632B8CD5" w14:textId="6F91B540" w:rsidR="00C94483" w:rsidRPr="00C3671E" w:rsidRDefault="00C94483" w:rsidP="00466C1F">
      <w:pPr>
        <w:pStyle w:val="Newparagraph"/>
        <w:jc w:val="both"/>
      </w:pPr>
      <w:r w:rsidRPr="00C3671E">
        <w:t xml:space="preserve">EU vigorously supports policies </w:t>
      </w:r>
      <w:r w:rsidRPr="00C3671E">
        <w:rPr>
          <w:lang w:eastAsia="zh-CN"/>
        </w:rPr>
        <w:t>of</w:t>
      </w:r>
      <w:r w:rsidRPr="00C3671E">
        <w:t xml:space="preserve"> active ageing, which is illustrated by designating the year 2012 as </w:t>
      </w:r>
      <w:r w:rsidRPr="00C3671E">
        <w:rPr>
          <w:i/>
        </w:rPr>
        <w:t>European Year for Active Ageing and Solidarity between Generations.</w:t>
      </w:r>
      <w:r w:rsidRPr="00C3671E">
        <w:t xml:space="preserve"> This initiative aimed to ‘contribute to raising awareness on the European as well as the international discourse on active ageing and also in informing the policy interventions required’ </w:t>
      </w:r>
      <w:r w:rsidRPr="00C3671E">
        <w:fldChar w:fldCharType="begin" w:fldLock="1"/>
      </w:r>
      <w:r w:rsidR="00AA6335" w:rsidRPr="00C3671E">
        <w:instrText>ADDIN CSL_CITATION { "citationItems" : [ { "id" : "ITEM-1", "itemData" : { "DOI" : "10.1155/2013/261819", "ISBN" : "1687-7063 (Print)\\r1687-7063 (Linking)", "ISSN" : "16877063", "PMID" : "23346109", "abstract" : "Although the CIS countries are connected together by the legacy of breaking away from the Soviet Union, they have had a distinctive transition course and are rather diverse in terms of the population ageing challenges and policy responses in place. The commonality is that a comprehensive national strategy on ageing is lacking, and many of necessary reforms were put aside owing to political uncertainties, lack of societal consensus, and financial instability. The notion of active ageing is associated with the term \u201caccelerated ageing,\u201d which is understood to be an individual living a life under harsh living conditions or a society experiencing rapid increases in the relative number of older persons, and therefore it carries a negative connotation. Yet, in the same spirit as the European Year for Active Ageing and Solidarity between Generations 2012, the CIS countries have initiated sectoral programmes towards enhancing employment of older workers, social participation of older people in the society in a wider sense and also measures promoting health and independent living of older persons.", "author" : [ { "dropping-particle" : "", "family" : "Sidorenko", "given" : "Alexandre", "non-dropping-particle" : "", "parse-names" : false, "suffix" : "" }, { "dropping-particle" : "", "family" : "Zaidi", "given" : "Asghar", "non-dropping-particle" : "", "parse-names" : false, "suffix" : "" } ], "container-title" : "Current Gerontology and Geriatrics Research", "id" : "ITEM-1", "issued" : { "date-parts" : [ [ "2013" ] ] }, "title" : "Active ageing in CIS countries: Semantics, challenges, and responses", "type" : "article-journal", "volume" : "2013" }, "uris" : [ "http://www.mendeley.com/documents/?uuid=e29d0189-6a11-45cc-98ca-eb1949558eb6" ] } ], "mendeley" : { "formattedCitation" : "(Sidorenko and Zaidi 2013)", "manualFormatting" : "(Sidorenko and Zaidi 2013", "plainTextFormattedCitation" : "(Sidorenko and Zaidi 2013)", "previouslyFormattedCitation" : "(Sidorenko and Zaidi 2013)" }, "properties" : { "noteIndex" : 0 }, "schema" : "https://github.com/citation-style-language/schema/raw/master/csl-citation.json" }</w:instrText>
      </w:r>
      <w:r w:rsidRPr="00C3671E">
        <w:fldChar w:fldCharType="separate"/>
      </w:r>
      <w:r w:rsidRPr="00C3671E">
        <w:rPr>
          <w:noProof/>
        </w:rPr>
        <w:t>(Sidorenko and Zaidi 2013</w:t>
      </w:r>
      <w:r w:rsidRPr="00C3671E">
        <w:fldChar w:fldCharType="end"/>
      </w:r>
      <w:r w:rsidRPr="00C3671E">
        <w:t>: 1</w:t>
      </w:r>
      <w:r w:rsidRPr="00C3671E">
        <w:rPr>
          <w:noProof/>
        </w:rPr>
        <w:t>)</w:t>
      </w:r>
      <w:r w:rsidRPr="00C3671E">
        <w:t xml:space="preserve">. The effort resulted into thousands of events and programmes on all geographical levels of the European continent and a development of Active Ageing Index (AAI) was among the most ambitious of them </w:t>
      </w:r>
      <w:r w:rsidRPr="00C3671E">
        <w:fldChar w:fldCharType="begin" w:fldLock="1"/>
      </w:r>
      <w:r w:rsidR="001257AA" w:rsidRPr="00C3671E">
        <w:instrText>ADDIN CSL_CITATION { "citationItems" : [ { "id" : "ITEM-1", "itemData" : { "author" : [ { "dropping-particle" : "", "family" : "European Commission", "given" : "", "non-dropping-particle" : "", "parse-names" : false, "suffix" : "" } ], "id" : "ITEM-1", "issued" : { "date-parts" : [ [ "2013" ] ] }, "publisher" : "European Comission", "publisher-place" : "Brussels", "title" : "Introducing the Active Ageing Index. Policy brief", "type" : "book" }, "uris" : [ "http://www.mendeley.com/documents/?uuid=15ea840e-806d-4ce4-88d2-b847e7b3756b" ] }, { "id" : "ITEM-2", "itemData" : { "DOI" : "10.1155/2013/261819", "ISBN" : "1687-7063 (Print)\\r1687-7063 (Linking)", "ISSN" : "16877063", "PMID" : "23346109", "abstract" : "Although the CIS countries are connected together by the legacy of breaking away from the Soviet Union, they have had a distinctive transition course and are rather diverse in terms of the population ageing challenges and policy responses in place. The commonality is that a comprehensive national strategy on ageing is lacking, and many of necessary reforms were put aside owing to political uncertainties, lack of societal consensus, and financial instability. The notion of active ageing is associated with the term \u201caccelerated ageing,\u201d which is understood to be an individual living a life under harsh living conditions or a society experiencing rapid increases in the relative number of older persons, and therefore it carries a negative connotation. Yet, in the same spirit as the European Year for Active Ageing and Solidarity between Generations 2012, the CIS countries have initiated sectoral programmes towards enhancing employment of older workers, social participation of older people in the society in a wider sense and also measures promoting health and independent living of older persons.", "author" : [ { "dropping-particle" : "", "family" : "Sidorenko", "given" : "Alexandre", "non-dropping-particle" : "", "parse-names" : false, "suffix" : "" }, { "dropping-particle" : "", "family" : "Zaidi", "given" : "Asghar", "non-dropping-particle" : "", "parse-names" : false, "suffix" : "" } ], "container-title" : "Current Gerontology and Geriatrics Research", "id" : "ITEM-2", "issued" : { "date-parts" : [ [ "2013" ] ] }, "title" : "Active ageing in CIS countries: Semantics, challenges, and responses", "type" : "article-journal", "volume" : "2013" }, "uris" : [ "http://www.mendeley.com/documents/?uuid=e29d0189-6a11-45cc-98ca-eb1949558eb6" ] } ], "mendeley" : { "formattedCitation" : "(European Commission 2013; Sidorenko and Zaidi 2013)", "plainTextFormattedCitation" : "(European Commission 2013; Sidorenko and Zaidi 2013)", "previouslyFormattedCitation" : "(European Commission 2013; Sidorenko and Zaidi 2013)" }, "properties" : { "noteIndex" : 0 }, "schema" : "https://github.com/citation-style-language/schema/raw/master/csl-citation.json" }</w:instrText>
      </w:r>
      <w:r w:rsidRPr="00C3671E">
        <w:fldChar w:fldCharType="separate"/>
      </w:r>
      <w:r w:rsidR="00A91559" w:rsidRPr="00C3671E">
        <w:rPr>
          <w:noProof/>
        </w:rPr>
        <w:t>(European Commission 2013; Sidorenko and Zaidi 2013)</w:t>
      </w:r>
      <w:r w:rsidRPr="00C3671E">
        <w:fldChar w:fldCharType="end"/>
      </w:r>
      <w:r w:rsidRPr="00C3671E">
        <w:t>.</w:t>
      </w:r>
    </w:p>
    <w:p w14:paraId="18C6B0E1" w14:textId="468DFB1B" w:rsidR="00C94483" w:rsidRPr="00C3671E" w:rsidRDefault="00C94483" w:rsidP="00466C1F">
      <w:pPr>
        <w:pStyle w:val="Newparagraph"/>
        <w:jc w:val="both"/>
      </w:pPr>
      <w:r w:rsidRPr="00C3671E">
        <w:t xml:space="preserve">The AAI has been developed as a multidimensional operationalization of active ageing and works as a ‘tool that monitors overall progress and identifies where challenges remain across European countries’ </w:t>
      </w:r>
      <w:r w:rsidRPr="00C3671E">
        <w:fldChar w:fldCharType="begin" w:fldLock="1"/>
      </w:r>
      <w:r w:rsidR="00AA6335" w:rsidRPr="00C3671E">
        <w:instrText>ADDIN CSL_CITATION { "citationItems" : [ { "id" : "ITEM-1", "itemData" : { "abstract" : "The report should be referred to as: UNECE/ European Commission (2015) \u201cActive Ageing Index 2014: Analytical Report\u201d, Report prepared by Asghar Zaidi of Centre for Research on Ageing, University of Southampton and David Stanton, under contract with United Nations Economic Commission for Europe (Geneva), co-funded by the European Commission\u2019s Directorate General for Employment, Social Affairs and Inclusion (Brussels).", "author" : [ { "dropping-particle" : "", "family" : "Zaidi", "given" : "Asghar", "non-dropping-particle" : "", "parse-names" : false, "suffix" : "" } ], "id" : "ITEM-1", "issue" : "April", "issued" : { "date-parts" : [ [ "2015" ] ] }, "number-of-pages" : "1-9", "publisher" : "UNECE", "publisher-place" : "Geneva", "title" : "Active Ageing Index 2014 Analytical Report", "type" : "book" }, "uris" : [ "http://www.mendeley.com/documents/?uuid=e5502369-34dc-4c1e-ad2d-b04716a04efe" ] } ], "mendeley" : { "formattedCitation" : "(Zaidi 2015)", "manualFormatting" : "(Zaidi 2015", "plainTextFormattedCitation" : "(Zaidi 2015)", "previouslyFormattedCitation" : "(Zaidi 2015)" }, "properties" : { "noteIndex" : 0 }, "schema" : "https://github.com/citation-style-language/schema/raw/master/csl-citation.json" }</w:instrText>
      </w:r>
      <w:r w:rsidRPr="00C3671E">
        <w:fldChar w:fldCharType="separate"/>
      </w:r>
      <w:r w:rsidRPr="00C3671E">
        <w:rPr>
          <w:noProof/>
        </w:rPr>
        <w:t>(Zaidi 2015</w:t>
      </w:r>
      <w:r w:rsidRPr="00C3671E">
        <w:fldChar w:fldCharType="end"/>
      </w:r>
      <w:r w:rsidRPr="00C3671E">
        <w:t>: 3</w:t>
      </w:r>
      <w:r w:rsidRPr="00C3671E">
        <w:rPr>
          <w:noProof/>
        </w:rPr>
        <w:t>)</w:t>
      </w:r>
      <w:r w:rsidRPr="00C3671E">
        <w:t xml:space="preserve">. As such, this endeavour reflects the need to measure the level of active ageing in several dimensions across countries to identify the current situation and potential for improvement in each EU member state </w:t>
      </w:r>
      <w:r w:rsidRPr="00C3671E">
        <w:fldChar w:fldCharType="begin" w:fldLock="1"/>
      </w:r>
      <w:r w:rsidR="001257AA" w:rsidRPr="00C3671E">
        <w:instrText>ADDIN CSL_CITATION { "citationItems" : [ { "id" : "ITEM-1", "itemData" : { "author" : [ { "dropping-particle" : "", "family" : "European Commission", "given" : "", "non-dropping-particle" : "", "parse-names" : false, "suffix" : "" } ], "id" : "ITEM-1", "issued" : { "date-parts" : [ [ "2013" ] ] }, "publisher" : "European Comission", "publisher-place" : "Brussels", "title" : "Introducing the Active Ageing Index. Policy brief", "type" : "book" }, "uris" : [ "http://www.mendeley.com/documents/?uuid=15ea840e-806d-4ce4-88d2-b847e7b3756b" ] }, { "id" : "ITEM-2", "itemData" : { "ISBN" : "9789279458590", "author" : [ { "dropping-particle" : "", "family" : "Karpinska", "given" : "Kasia", "non-dropping-particle" : "", "parse-names" : false, "suffix" : "" }, { "dropping-particle" : "", "family" : "Dykstra", "given" : "Pearl", "non-dropping-particle" : "", "parse-names" : false, "suffix" : "" } ], "container-title" : "Peer Review on the Active Ageing Index", "id" : "ITEM-2", "issue" : "15-16 October", "issued" : { "date-parts" : [ [ "2014" ] ] }, "page" : "1-40", "publisher-place" : "Cracow", "title" : "The Active Ageing Index and its extension to the regional level", "type" : "paper-conference" }, "uris" : [ "http://www.mendeley.com/documents/?uuid=679d0341-1b56-43f5-a340-4315f24ebbb0" ] } ], "mendeley" : { "formattedCitation" : "(European Commission 2013; Karpinska and Dykstra 2014)", "plainTextFormattedCitation" : "(European Commission 2013; Karpinska and Dykstra 2014)", "previouslyFormattedCitation" : "(European Commission 2013; Karpinska and Dykstra 2014)" }, "properties" : { "noteIndex" : 0 }, "schema" : "https://github.com/citation-style-language/schema/raw/master/csl-citation.json" }</w:instrText>
      </w:r>
      <w:r w:rsidRPr="00C3671E">
        <w:fldChar w:fldCharType="separate"/>
      </w:r>
      <w:r w:rsidR="00A91559" w:rsidRPr="00C3671E">
        <w:rPr>
          <w:noProof/>
        </w:rPr>
        <w:t>(European Commission 2013; Karpinska and Dykstra 2014)</w:t>
      </w:r>
      <w:r w:rsidRPr="00C3671E">
        <w:fldChar w:fldCharType="end"/>
      </w:r>
      <w:r w:rsidRPr="00C3671E">
        <w:t xml:space="preserve">. AAI comprises 22 indicators sorted into four domains of active ageing: 1) employment, 2) social participation, 3) independent living, and 4) capacity for active ageing </w:t>
      </w:r>
      <w:r w:rsidRPr="00C3671E">
        <w:fldChar w:fldCharType="begin" w:fldLock="1"/>
      </w:r>
      <w:r w:rsidR="00AA6335" w:rsidRPr="00C3671E">
        <w:instrText>ADDIN CSL_CITATION { "citationItems" : [ { "id" : "ITEM-1", "itemData" : { "abstract" : "The report should be referred to as: UNECE/ European Commission (2015) \u201cActive Ageing Index 2014: Analytical Report\u201d, Report prepared by Asghar Zaidi of Centre for Research on Ageing, University of Southampton and David Stanton, under contract with United Nations Economic Commission for Europe (Geneva), co-funded by the European Commission\u2019s Directorate General for Employment, Social Affairs and Inclusion (Brussels).", "author" : [ { "dropping-particle" : "", "family" : "Zaidi", "given" : "Asghar", "non-dropping-particle" : "", "parse-names" : false, "suffix" : "" } ], "id" : "ITEM-1", "issue" : "April", "issued" : { "date-parts" : [ [ "2015" ] ] }, "number-of-pages" : "1-9", "publisher" : "UNECE", "publisher-place" : "Geneva", "title" : "Active Ageing Index 2014 Analytical Report", "type" : "book" }, "uris" : [ "http://www.mendeley.com/documents/?uuid=e5502369-34dc-4c1e-ad2d-b04716a04efe" ] } ], "mendeley" : { "formattedCitation" : "(Zaidi 2015)", "plainTextFormattedCitation" : "(Zaidi 2015)", "previouslyFormattedCitation" : "(Zaidi 2015)" }, "properties" : { "noteIndex" : 0 }, "schema" : "https://github.com/citation-style-language/schema/raw/master/csl-citation.json" }</w:instrText>
      </w:r>
      <w:r w:rsidRPr="00C3671E">
        <w:fldChar w:fldCharType="separate"/>
      </w:r>
      <w:r w:rsidRPr="00C3671E">
        <w:rPr>
          <w:noProof/>
        </w:rPr>
        <w:t>(Zaidi 2015)</w:t>
      </w:r>
      <w:r w:rsidRPr="00C3671E">
        <w:fldChar w:fldCharType="end"/>
      </w:r>
      <w:r w:rsidRPr="00C3671E">
        <w:t xml:space="preserve">, and thus bring together most of ‘positive aspects of life of older people’ </w:t>
      </w:r>
      <w:r w:rsidRPr="00C3671E">
        <w:fldChar w:fldCharType="begin" w:fldLock="1"/>
      </w:r>
      <w:r w:rsidR="00AA6335" w:rsidRPr="00C3671E">
        <w:instrText>ADDIN CSL_CITATION { "citationItems" : [ { "id" : "ITEM-1", "itemData" : { "DOI" : "10.1007/s12062-017-9174-6", "ISSN" : "1874-7884", "abstract" : "Why Active Ageing Matters\\r\\nBy the end of the first half of the twentieth century most European states had introduced public pension schemes of one sort or another. In doing so they were affirming the role of the state in providing individuals with a form of support that all but a few would struggle to provide for themselves. The objectives of these schemes were generally quite limited: to reduce the risk of poverty in old age by facilitating savings during working life. The rationale was simple: to provide access to financial support - a regular and reliable income \u2013 for a time of life when the ability to work was increasingly impaired by loss of health or functional ability. In the second half of the century, after the second world war, increasing affluence combined with a more demanding view of the responsibilities of government to improve the generosity of pensions and to expand welfare systems in ways that conferred other benefits on their older populations besides a basic pension income, including the provision of social care (e.g. care homes for older people who had no family and were unable to look after themselves in their own homes). Policy was still broadly conceived as a collective response to age-related losses that undermined independence.", "author" : [ { "dropping-particle" : "", "family" : "Zaidi", "given" : "Asghar", "non-dropping-particle" : "", "parse-names" : false, "suffix" : "" }, { "dropping-particle" : "", "family" : "Howse", "given" : "Kenneth", "non-dropping-particle" : "", "parse-names" : false, "suffix" : "" } ], "container-title" : "Journal of Population Ageing", "id" : "ITEM-1", "issue" : "1", "issued" : { "date-parts" : [ [ "2017" ] ] }, "page" : "1-10", "publisher" : "Journal of Population Ageing", "title" : "The Policy Discourse of Active Ageing: Some Reflections", "type" : "article-journal", "volume" : "10" }, "uris" : [ "http://www.mendeley.com/documents/?uuid=badd02a6-0ba4-4766-b6a7-a04a46414a57" ] } ], "mendeley" : { "formattedCitation" : "(Zaidi and Howse 2017)", "manualFormatting" : "(Zaidi and Howse 2017", "plainTextFormattedCitation" : "(Zaidi and Howse 2017)", "previouslyFormattedCitation" : "(Zaidi and Howse 2017)" }, "properties" : { "noteIndex" : 0 }, "schema" : "https://github.com/citation-style-language/schema/raw/master/csl-citation.json" }</w:instrText>
      </w:r>
      <w:r w:rsidRPr="00C3671E">
        <w:fldChar w:fldCharType="separate"/>
      </w:r>
      <w:r w:rsidRPr="00C3671E">
        <w:rPr>
          <w:noProof/>
        </w:rPr>
        <w:t>(Zaidi and Howse 2017</w:t>
      </w:r>
      <w:r w:rsidRPr="00C3671E">
        <w:fldChar w:fldCharType="end"/>
      </w:r>
      <w:r w:rsidRPr="00C3671E">
        <w:t>: 3</w:t>
      </w:r>
      <w:r w:rsidRPr="00C3671E">
        <w:rPr>
          <w:noProof/>
        </w:rPr>
        <w:t>)</w:t>
      </w:r>
      <w:r w:rsidRPr="00C3671E">
        <w:t xml:space="preserve">. All domains are supposed to increase their values (degree of active ageing capacities) in the future and the AAI should help to monitor this increase and identify the remaining challenges for each country within the EU </w:t>
      </w:r>
      <w:r w:rsidRPr="00C3671E">
        <w:fldChar w:fldCharType="begin" w:fldLock="1"/>
      </w:r>
      <w:r w:rsidR="00AA6335" w:rsidRPr="00C3671E">
        <w:instrText>ADDIN CSL_CITATION { "citationItems" : [ { "id" : "ITEM-1", "itemData" : { "author" : [ { "dropping-particle" : "", "family" : "European Commission", "given" : "", "non-dropping-particle" : "", "parse-names" : false, "suffix" : "" } ], "id" : "ITEM-1", "issued" : { "date-parts" : [ [ "2013" ] ] }, "publisher" : "European Comission", "publisher-place" : "Brussels", "title" : "Introducing the Active Ageing Index. Policy brief", "type" : "book" }, "uris" : [ "http://www.mendeley.com/documents/?uuid=15ea840e-806d-4ce4-88d2-b847e7b3756b" ] } ], "mendeley" : { "formattedCitation" : "(European Commission 2013)", "plainTextFormattedCitation" : "(European Commission 2013)", "previouslyFormattedCitation" : "(European Commission 2013)" }, "properties" : { "noteIndex" : 0 }, "schema" : "https://github.com/citation-style-language/schema/raw/master/csl-citation.json" }</w:instrText>
      </w:r>
      <w:r w:rsidRPr="00C3671E">
        <w:fldChar w:fldCharType="separate"/>
      </w:r>
      <w:r w:rsidRPr="00C3671E">
        <w:rPr>
          <w:noProof/>
        </w:rPr>
        <w:t>(European Commission 2013)</w:t>
      </w:r>
      <w:r w:rsidRPr="00C3671E">
        <w:fldChar w:fldCharType="end"/>
      </w:r>
      <w:r w:rsidRPr="00C3671E">
        <w:t xml:space="preserve">. So far, three waves of results are available for 28 EU members and a further geographical extension and application of results has been currently implemented </w:t>
      </w:r>
      <w:r w:rsidRPr="00C3671E">
        <w:fldChar w:fldCharType="begin" w:fldLock="1"/>
      </w:r>
      <w:r w:rsidR="001257AA" w:rsidRPr="00C3671E">
        <w:instrText>ADDIN CSL_CITATION { "citationItems" : [ { "id" : "ITEM-1", "itemData" : { "DOI" : "10.1016/j.jaging.2017.01.001", "ISSN" : "08904065", "PMID" : "28215756", "abstract" : "Active ageing and successful ageing are ubiquitous concepts in contemporary societies. In the European Union, active ageing is monitored and promoted chiefly by the Active Ageing Index, a policy tool in use since 2012. We acknowledge that the AAI may contribute to sensitizing people, including policymakers, to the multidimensionality and complexity of the process of \u201cageing well\u201d. However, we note that despite being widely used and promoted, the Active Ageing Index remains under-scrutinized. In this article, we undertake a comprehensive critical analysis of the Active Ageing Index. This critical analysis is supported by the Theory of Model Ageing, the Capability Approach and, to a lesser extent, by relevant literature on composite indices. We conclude that the Active Ageing Index was developed with the paradoxical aim of deriving \u201cthe solution\u201d from \u201cthe problem\u201d. It is an under-theorized and narrowly conceptualized index that contributes to the process of Model Ageing, as its conceptual foundation, and its domains and indicators, convey a certain model of active ageing. This model is expert-based and ingrained with a priori assumptions about the potential of older people, the domains of life and activities they value and how strongly they value them. Finally, the Active Ageing Index measures current achievements, not capabilities (i.e. the opportunity set of achievable \u201cdoings\u201d and \u201cbeings\u201d), resulting in a valuable but incomplete tool for policymaking purposes. We hope that this critical analysis will initiate a debate on the Active Ageing Index that, in our view, is overdue.", "author" : [ { "dropping-particle" : "de", "family" : "S\u00e3o Jos\u00e9", "given" : "Jos\u00e9 Manuel", "non-dropping-particle" : "", "parse-names" : false, "suffix" : "" }, { "dropping-particle" : "", "family" : "Timonen", "given" : "Virpi", "non-dropping-particle" : "", "parse-names" : false, "suffix" : "" }, { "dropping-particle" : "", "family" : "Amado", "given" : "Carla Alexandra Filipe", "non-dropping-particle" : "", "parse-names" : false, "suffix" : "" }, { "dropping-particle" : "", "family" : "Santos", "given" : "S\u00e9rgio Pereira", "non-dropping-particle" : "", "parse-names" : false, "suffix" : "" } ], "container-title" : "Journal of Aging Studies", "id" : "ITEM-1", "issued" : { "date-parts" : [ [ "2017" ] ] }, "page" : "49-56", "title" : "A critique of the Active Ageing Index", "type" : "article-journal", "volume" : "40" }, "uris" : [ "http://www.mendeley.com/documents/?uuid=adb7b4e2-3be9-40b8-bb66-bcc3b09bc440" ] } ], "mendeley" : { "formattedCitation" : "(S\u00e3o Jos\u00e9 et al. 2017)", "plainTextFormattedCitation" : "(S\u00e3o Jos\u00e9 et al. 2017)", "previouslyFormattedCitation" : "(S\u00e3o Jos\u00e9 et al. 2017)" }, "properties" : { "noteIndex" : 0 }, "schema" : "https://github.com/citation-style-language/schema/raw/master/csl-citation.json" }</w:instrText>
      </w:r>
      <w:r w:rsidRPr="00C3671E">
        <w:fldChar w:fldCharType="separate"/>
      </w:r>
      <w:r w:rsidR="00C004DA" w:rsidRPr="00C3671E">
        <w:rPr>
          <w:noProof/>
        </w:rPr>
        <w:t>(São José et al. 2017)</w:t>
      </w:r>
      <w:r w:rsidRPr="00C3671E">
        <w:fldChar w:fldCharType="end"/>
      </w:r>
      <w:r w:rsidRPr="00C3671E">
        <w:t>.</w:t>
      </w:r>
    </w:p>
    <w:p w14:paraId="197C77FD" w14:textId="455784D7" w:rsidR="00C94483" w:rsidRPr="00C3671E" w:rsidRDefault="00C94483" w:rsidP="00466C1F">
      <w:pPr>
        <w:pStyle w:val="Newparagraph"/>
        <w:jc w:val="both"/>
      </w:pPr>
      <w:r w:rsidRPr="00C3671E">
        <w:lastRenderedPageBreak/>
        <w:t xml:space="preserve">The first three domains of AAI indicate outcomes/experience of active ageing, while the fourth refers to the capacity of individuals and environment. Clearly, three outcome domains fully overlap with three guiding principles of active ageing defined by </w:t>
      </w:r>
      <w:r w:rsidRPr="00C3671E">
        <w:fldChar w:fldCharType="begin" w:fldLock="1"/>
      </w:r>
      <w:r w:rsidR="00AA6335" w:rsidRPr="00C3671E">
        <w:instrText>ADDIN CSL_CITATION { "citationItems" : [ { "id" : "ITEM-1", "itemData" : { "DOI" : "10.2767/67267", "ISBN" : "9789279251238", "abstract" : "This study is intended to improve and extend the available knowledge about learning for active ageing and the role of intergenerational learning in active ageing. It brings together key findings from academic and other literature on the subject identified up to the end of May 2012, primary and secondary sources collected for 22 case studies, and material created by activities and projects funded through the European Commission\u2019s Grundtvig programme actions. This report brings together and summarises the key findings of the literature review, case studies and analysis of Grundtvig programme funded projects to demonstrate the benefits of investing in and supporting learning for older people, how these benefits can be realised and what can be done to achieve them more widely", "author" : [ { "dropping-particle" : "", "family" : "European Union", "given" : "", "non-dropping-particle" : "", "parse-names" : false, "suffix" : "" } ], "id" : "ITEM-1", "issued" : { "date-parts" : [ [ "2012" ] ] }, "publisher" : "Publications Office of the European Union", "publisher-place" : "Luxembourg", "title" : "The EU Contribution to Active Ageing and Solidarity between Generations", "type" : "book" }, "uris" : [ "http://www.mendeley.com/documents/?uuid=c3161470-2983-4214-8711-93c687e3f758" ] } ], "mendeley" : { "formattedCitation" : "(European Union 2012)", "plainTextFormattedCitation" : "(European Union 2012)", "previouslyFormattedCitation" : "(European Union 2012)" }, "properties" : { "noteIndex" : 0 }, "schema" : "https://github.com/citation-style-language/schema/raw/master/csl-citation.json" }</w:instrText>
      </w:r>
      <w:r w:rsidRPr="00C3671E">
        <w:fldChar w:fldCharType="separate"/>
      </w:r>
      <w:r w:rsidRPr="00C3671E">
        <w:rPr>
          <w:noProof/>
        </w:rPr>
        <w:t>(European Union 2012)</w:t>
      </w:r>
      <w:r w:rsidRPr="00C3671E">
        <w:fldChar w:fldCharType="end"/>
      </w:r>
      <w:r w:rsidRPr="00C3671E">
        <w:t xml:space="preserve">. Indicators also comprise the same activities as the range of EU documents. These are a) employment rate for four age groups over 55, b) voluntary activities, care to children and grandchildren, care to older adults, and political participation indicating social participation, and c) physical exercise and lifelong learning from the domain of independent living </w:t>
      </w:r>
      <w:r w:rsidRPr="00C3671E">
        <w:fldChar w:fldCharType="begin" w:fldLock="1"/>
      </w:r>
      <w:r w:rsidR="00AA6335" w:rsidRPr="00C3671E">
        <w:instrText>ADDIN CSL_CITATION { "citationItems" : [ { "id" : "ITEM-1", "itemData" : { "abstract" : "The report should be referred to as: UNECE/ European Commission (2015) \u201cActive Ageing Index 2014: Analytical Report\u201d, Report prepared by Asghar Zaidi of Centre for Research on Ageing, University of Southampton and David Stanton, under contract with United Nations Economic Commission for Europe (Geneva), co-funded by the European Commission\u2019s Directorate General for Employment, Social Affairs and Inclusion (Brussels).", "author" : [ { "dropping-particle" : "", "family" : "Zaidi", "given" : "Asghar", "non-dropping-particle" : "", "parse-names" : false, "suffix" : "" } ], "id" : "ITEM-1", "issue" : "April", "issued" : { "date-parts" : [ [ "2015" ] ] }, "number-of-pages" : "1-9", "publisher" : "UNECE", "publisher-place" : "Geneva", "title" : "Active Ageing Index 2014 Analytical Report", "type" : "book" }, "uris" : [ "http://www.mendeley.com/documents/?uuid=e5502369-34dc-4c1e-ad2d-b04716a04efe" ] } ], "mendeley" : { "formattedCitation" : "(Zaidi 2015)", "plainTextFormattedCitation" : "(Zaidi 2015)", "previouslyFormattedCitation" : "(Zaidi 2015)" }, "properties" : { "noteIndex" : 0 }, "schema" : "https://github.com/citation-style-language/schema/raw/master/csl-citation.json" }</w:instrText>
      </w:r>
      <w:r w:rsidRPr="00C3671E">
        <w:fldChar w:fldCharType="separate"/>
      </w:r>
      <w:r w:rsidRPr="00C3671E">
        <w:rPr>
          <w:noProof/>
        </w:rPr>
        <w:t>(Zaidi 2015)</w:t>
      </w:r>
      <w:r w:rsidRPr="00C3671E">
        <w:fldChar w:fldCharType="end"/>
      </w:r>
      <w:r w:rsidRPr="00C3671E">
        <w:t xml:space="preserve">. All the indicators are used from external sources – the indicators of activity levels are from EQLS, Eurobarometer, and EU-LFS </w:t>
      </w:r>
      <w:r w:rsidRPr="00C3671E">
        <w:fldChar w:fldCharType="begin" w:fldLock="1"/>
      </w:r>
      <w:r w:rsidR="001257AA" w:rsidRPr="00C3671E">
        <w:instrText>ADDIN CSL_CITATION { "citationItems" : [ { "id" : "ITEM-1", "itemData" : { "author" : [ { "dropping-particle" : "", "family" : "Perek-Bia\u0142as", "given" : "Jolanta", "non-dropping-particle" : "", "parse-names" : false, "suffix" : "" }, { "dropping-particle" : "", "family" : "Zwierzchowski", "given" : "Jan", "non-dropping-particle" : "", "parse-names" : false, "suffix" : "" }, { "dropping-particle" : "", "family" : "Antczak", "given" : "Rados\u0142av", "non-dropping-particle" : "", "parse-names" : false, "suffix" : "" }, { "dropping-particle" : "", "family" : "Panek", "given" : "Tomasz", "non-dropping-particle" : "", "parse-names" : false, "suffix" : "" } ], "id" : "ITEM-1", "issue" : "September", "issued" : { "date-parts" : [ [ "2017" ] ] }, "number-of-pages" : "1-93", "publisher-place" : "Geneva", "title" : "Criteria specific analysis of the Active Ageing Index (AAI) at national level in Poland: 2007-2015", "type" : "report" }, "uris" : [ "http://www.mendeley.com/documents/?uuid=80d90096-bb93-42d8-a210-665b0f2012d7" ] } ], "mendeley" : { "formattedCitation" : "(Perek-Bia\u0142as et al. 2017)", "plainTextFormattedCitation" : "(Perek-Bia\u0142as et al. 2017)", "previouslyFormattedCitation" : "(Perek-Bia\u0142as et al. 2017)" }, "properties" : { "noteIndex" : 0 }, "schema" : "https://github.com/citation-style-language/schema/raw/master/csl-citation.json" }</w:instrText>
      </w:r>
      <w:r w:rsidRPr="00C3671E">
        <w:fldChar w:fldCharType="separate"/>
      </w:r>
      <w:r w:rsidR="00C004DA" w:rsidRPr="00C3671E">
        <w:rPr>
          <w:noProof/>
        </w:rPr>
        <w:t>(Perek-Białas et al. 2017)</w:t>
      </w:r>
      <w:r w:rsidRPr="00C3671E">
        <w:fldChar w:fldCharType="end"/>
      </w:r>
      <w:r w:rsidRPr="00C3671E">
        <w:t xml:space="preserve">. SHARE, which is a longitudinal cross-national project labelled as ‘one of the crucial pillars of the European Research Area’ </w:t>
      </w:r>
      <w:r w:rsidRPr="00C3671E">
        <w:fldChar w:fldCharType="begin" w:fldLock="1"/>
      </w:r>
      <w:r w:rsidR="001257AA" w:rsidRPr="00C3671E">
        <w:instrText>ADDIN CSL_CITATION { "citationItems" : [ { "id" : "ITEM-1", "itemData" : { "DOI" : "10.1093/ije/dyt088", "ISBN" : "0300-5771", "ISSN" : "03005771", "PMID" : "23778574", "abstract" : "SHARE is a unique panel database of micro data on health, socio-economic status and social and family networks covering most of the European Union and Israel. To date, SHARE has collected three panel waves (2004, 2006, 2010) of current living circumstances and retrospective life histories (2008, SHARELIFE); 6 additional waves are planned until 2024. The more than 150 000 interviews give a broad picture of life after the age of 50 years, measuring physical and mental health, economic and non-economic activities, income and wealth, transfers of time and money within and outside the family as well as life satisfaction and well-being. The data are available to the scientific community free of charge at www.share-project.org after registration. SHARE is harmonized with the US Health and Retirement Study (HRS) and the English Longitudinal Study of Ageing (ELSA) and has become a role model for several ageing surveys worldwide. SHARE's scientific power is based on its panel design that grasps the dynamic character of the ageing process, its multidisciplinary approach that delivers the full picture of individual and societal ageing, and its cross-nationally ex-ante harmonized design that permits international comparisons of health, economic and social outcomes in Europe and the USA.", "author" : [ { "dropping-particle" : "", "family" : "B\u00f6rsch-Supan", "given" : "Axel", "non-dropping-particle" : "", "parse-names" : false, "suffix" : "" }, { "dropping-particle" : "", "family" : "Brandt", "given" : "Martina", "non-dropping-particle" : "", "parse-names" : false, "suffix" : "" }, { "dropping-particle" : "", "family" : "Hunkler", "given" : "Christian", "non-dropping-particle" : "", "parse-names" : false, "suffix" : "" }, { "dropping-particle" : "", "family" : "Kneip", "given" : "Thorsten", "non-dropping-particle" : "", "parse-names" : false, "suffix" : "" }, { "dropping-particle" : "", "family" : "Korbmacher", "given" : "Julie", "non-dropping-particle" : "", "parse-names" : false, "suffix" : "" }, { "dropping-particle" : "", "family" : "Malter", "given" : "Frederic", "non-dropping-particle" : "", "parse-names" : false, "suffix" : "" }, { "dropping-particle" : "", "family" : "Schaan", "given" : "Barbara", "non-dropping-particle" : "", "parse-names" : false, "suffix" : "" }, { "dropping-particle" : "", "family" : "Stuck", "given" : "Stephanie", "non-dropping-particle" : "", "parse-names" : false, "suffix" : "" }, { "dropping-particle" : "", "family" : "Zuber", "given" : "Sabrina", "non-dropping-particle" : "", "parse-names" : false, "suffix" : "" } ], "container-title" : "International Journal of Epidemiology", "id" : "ITEM-1", "issue" : "4", "issued" : { "date-parts" : [ [ "2013" ] ] }, "page" : "992-1001", "title" : "Data resource profile: The Survey of Health, Ageing and Retirement in Europe (SHARE)", "type" : "article-journal", "volume" : "42" }, "uris" : [ "http://www.mendeley.com/documents/?uuid=a62ea0f6-9469-4439-98a6-a5f414d5782a" ] } ], "mendeley" : { "formattedCitation" : "(B\u00f6rsch-Supan et al. 2013)", "manualFormatting" : "(B\u00f6rsch-Supan et al. 2013: 993)", "plainTextFormattedCitation" : "(B\u00f6rsch-Supan et al. 2013)", "previouslyFormattedCitation" : "(B\u00f6rsch-Supan et al. 2013)" }, "properties" : { "noteIndex" : 0 }, "schema" : "https://github.com/citation-style-language/schema/raw/master/csl-citation.json" }</w:instrText>
      </w:r>
      <w:r w:rsidRPr="00C3671E">
        <w:fldChar w:fldCharType="separate"/>
      </w:r>
      <w:r w:rsidRPr="00C3671E">
        <w:rPr>
          <w:noProof/>
        </w:rPr>
        <w:t>(Börsch-Supan et al. 2013: 993)</w:t>
      </w:r>
      <w:r w:rsidRPr="00C3671E">
        <w:fldChar w:fldCharType="end"/>
      </w:r>
      <w:r w:rsidRPr="00C3671E">
        <w:t xml:space="preserve">, measures basically the same activities, although it asked also on taking part in a religious organization in former waves </w:t>
      </w:r>
      <w:r w:rsidRPr="00C3671E">
        <w:fldChar w:fldCharType="begin" w:fldLock="1"/>
      </w:r>
      <w:r w:rsidR="001257AA" w:rsidRPr="00C3671E">
        <w:instrText>ADDIN CSL_CITATION { "citationItems" : [ { "id" : "ITEM-1", "itemData" : { "DOI" : "10.6103/SHARE.w5.600", "author" : [ { "dropping-particle" : "", "family" : "B\u00f6rsch-Supan", "given" : "Axel", "non-dropping-particle" : "", "parse-names" : false, "suffix" : "" } ], "id" : "ITEM-1", "issued" : { "date-parts" : [ [ "2017" ] ] }, "title" : "Survey of Health, Ageing and Retirement in Europe (SHARE) Wave 5. Release version: 6.0.0. SHARE-ERIC. Data set.", "type" : "article" }, "uris" : [ "http://www.mendeley.com/documents/?uuid=405d206e-dfc8-44a6-8abb-51e7bf458eb0" ] }, { "id" : "ITEM-2", "itemData" : { "author" : [ { "dropping-particle" : "", "family" : "B\u00f6rsch-Supan", "given" : "Axel", "non-dropping-particle" : "", "parse-names" : false, "suffix" : "" } ], "id" : "ITEM-2", "issued" : { "date-parts" : [ [ "2017" ] ] }, "title" : "Survey of Health, Ageing and Retirement in Europe (SHARE) Wave 1. Release version: 6.0.0. SHARE-ERIC. Data set.", "type" : "article" }, "uris" : [ "http://www.mendeley.com/documents/?uuid=4d686ace-f096-4319-9283-afb765c6e9b5" ] } ], "mendeley" : { "formattedCitation" : "(B\u00f6rsch-Supan 2017d, 2017a)", "plainTextFormattedCitation" : "(B\u00f6rsch-Supan 2017d, 2017a)", "previouslyFormattedCitation" : "(B\u00f6rsch-Supan 2017d, 2017a)" }, "properties" : { "noteIndex" : 0 }, "schema" : "https://github.com/citation-style-language/schema/raw/master/csl-citation.json" }</w:instrText>
      </w:r>
      <w:r w:rsidRPr="00C3671E">
        <w:fldChar w:fldCharType="separate"/>
      </w:r>
      <w:r w:rsidR="00A91559" w:rsidRPr="00C3671E">
        <w:rPr>
          <w:noProof/>
        </w:rPr>
        <w:t>(Börsch-Supan 2017d, 2017a)</w:t>
      </w:r>
      <w:r w:rsidRPr="00C3671E">
        <w:fldChar w:fldCharType="end"/>
      </w:r>
      <w:r w:rsidRPr="00C3671E">
        <w:t>. This paper takes two important points from this overview of the extensive European projects addressing ageing. First, all targeted activities are aimed to spread over time irrespective of the possible conflicting demands. Second, the set of supported activities was chosen by a certain people with certain worldviews and motivations, which is not sufficiently reflected.</w:t>
      </w:r>
    </w:p>
    <w:p w14:paraId="5713ECFD" w14:textId="77777777" w:rsidR="00C94483" w:rsidRPr="00C3671E" w:rsidRDefault="00C94483" w:rsidP="007E6D8E">
      <w:pPr>
        <w:pStyle w:val="Nadpis3"/>
        <w:spacing w:line="480" w:lineRule="auto"/>
        <w:rPr>
          <w:rFonts w:ascii="Times New Roman" w:hAnsi="Times New Roman" w:cs="Times New Roman"/>
          <w:b w:val="0"/>
          <w:i/>
          <w:lang w:val="en-GB" w:eastAsia="zh-CN"/>
        </w:rPr>
      </w:pPr>
      <w:bookmarkStart w:id="88" w:name="_Toc512687780"/>
      <w:r w:rsidRPr="00C3671E">
        <w:rPr>
          <w:rFonts w:ascii="Times New Roman" w:hAnsi="Times New Roman" w:cs="Times New Roman"/>
          <w:b w:val="0"/>
          <w:i/>
          <w:lang w:val="en-GB" w:eastAsia="zh-CN"/>
        </w:rPr>
        <w:t>Role complementarities and conflicts among supported activities</w:t>
      </w:r>
      <w:bookmarkEnd w:id="88"/>
    </w:p>
    <w:p w14:paraId="32779C13" w14:textId="06695352" w:rsidR="00C94483" w:rsidRPr="00C3671E" w:rsidRDefault="00C94483" w:rsidP="00466C1F">
      <w:pPr>
        <w:suppressAutoHyphens/>
        <w:spacing w:line="480" w:lineRule="auto"/>
        <w:jc w:val="both"/>
        <w:rPr>
          <w:lang w:val="en-GB"/>
        </w:rPr>
      </w:pPr>
      <w:r w:rsidRPr="00C3671E">
        <w:rPr>
          <w:lang w:val="en-GB"/>
        </w:rPr>
        <w:t xml:space="preserve">Proponents of active ageing and AAI aim for increasing prevalence of </w:t>
      </w:r>
      <w:r w:rsidRPr="00466C1F">
        <w:rPr>
          <w:rFonts w:eastAsia="Calibri"/>
          <w:lang w:val="en-GB" w:eastAsia="en-US"/>
        </w:rPr>
        <w:t>all</w:t>
      </w:r>
      <w:r w:rsidRPr="00C3671E">
        <w:rPr>
          <w:lang w:val="en-GB"/>
        </w:rPr>
        <w:t xml:space="preserve"> activities, which can be problematic, if the proposed types of activities – employment, caregiving, and social participation – are not compatible. </w:t>
      </w:r>
      <w:r w:rsidRPr="00C3671E">
        <w:rPr>
          <w:lang w:val="en-GB"/>
        </w:rPr>
        <w:fldChar w:fldCharType="begin" w:fldLock="1"/>
      </w:r>
      <w:r w:rsidR="00AA6335" w:rsidRPr="00C3671E">
        <w:rPr>
          <w:lang w:val="en-GB"/>
        </w:rPr>
        <w:instrText>ADDIN CSL_CITATION { "citationItems" : [ { "id" : "ITEM-1", "itemData" : { "ISBN" : "9789279458590", "author" : [ { "dropping-particle" : "", "family" : "Karpinska", "given" : "Kasia", "non-dropping-particle" : "", "parse-names" : false, "suffix" : "" }, { "dropping-particle" : "", "family" : "Dykstra", "given" : "Pearl", "non-dropping-particle" : "", "parse-names" : false, "suffix" : "" } ], "container-title" : "Peer Review on the Active Ageing Index", "id" : "ITEM-1", "issue" : "15-16 October", "issued" : { "date-parts" : [ [ "2014" ] ] }, "page" : "1-40", "publisher-place" : "Cracow", "title" : "The Active Ageing Index and its extension to the regional level", "type" : "paper-conference" }, "uris" : [ "http://www.mendeley.com/documents/?uuid=679d0341-1b56-43f5-a340-4315f24ebbb0" ] } ], "mendeley" : { "formattedCitation" : "(Karpinska and Dykstra 2014)", "manualFormatting" : "Karpinska and Dykstra (2014)", "plainTextFormattedCitation" : "(Karpinska and Dykstra 2014)", "previouslyFormattedCitation" : "(Karpinska and Dykstra 2014)" }, "properties" : { "noteIndex" : 0 }, "schema" : "https://github.com/citation-style-language/schema/raw/master/csl-citation.json" }</w:instrText>
      </w:r>
      <w:r w:rsidRPr="00C3671E">
        <w:rPr>
          <w:lang w:val="en-GB"/>
        </w:rPr>
        <w:fldChar w:fldCharType="separate"/>
      </w:r>
      <w:r w:rsidRPr="00C3671E">
        <w:rPr>
          <w:noProof/>
          <w:lang w:val="en-GB"/>
        </w:rPr>
        <w:t>Karpinska and Dykstra (2014)</w:t>
      </w:r>
      <w:r w:rsidRPr="00C3671E">
        <w:rPr>
          <w:lang w:val="en-GB"/>
        </w:rPr>
        <w:fldChar w:fldCharType="end"/>
      </w:r>
      <w:r w:rsidRPr="00C3671E">
        <w:rPr>
          <w:lang w:val="en-GB"/>
        </w:rPr>
        <w:t xml:space="preserve"> in their evaluation of AAI emphasize that ‘in designing policy measures to increase active ageing potential, policy makers need to take possible competing outcomes into account’ </w:t>
      </w:r>
      <w:r w:rsidRPr="00C3671E">
        <w:rPr>
          <w:lang w:val="en-GB"/>
        </w:rPr>
        <w:fldChar w:fldCharType="begin" w:fldLock="1"/>
      </w:r>
      <w:r w:rsidR="00AA6335" w:rsidRPr="00C3671E">
        <w:rPr>
          <w:lang w:val="en-GB"/>
        </w:rPr>
        <w:instrText>ADDIN CSL_CITATION { "citationItems" : [ { "id" : "ITEM-1", "itemData" : { "ISBN" : "9789279458590", "author" : [ { "dropping-particle" : "", "family" : "Karpinska", "given" : "Kasia", "non-dropping-particle" : "", "parse-names" : false, "suffix" : "" }, { "dropping-particle" : "", "family" : "Dykstra", "given" : "Pearl", "non-dropping-particle" : "", "parse-names" : false, "suffix" : "" } ], "container-title" : "Peer Review on the Active Ageing Index", "id" : "ITEM-1", "issue" : "15-16 October", "issued" : { "date-parts" : [ [ "2014" ] ] }, "page" : "1-40", "publisher-place" : "Cracow", "title" : "The Active Ageing Index and its extension to the regional level", "type" : "paper-conference" }, "uris" : [ "http://www.mendeley.com/documents/?uuid=679d0341-1b56-43f5-a340-4315f24ebbb0" ] } ], "mendeley" : { "formattedCitation" : "(Karpinska and Dykstra 2014)", "manualFormatting" : "(Karpinska and Dykstra 2014", "plainTextFormattedCitation" : "(Karpinska and Dykstra 2014)", "previouslyFormattedCitation" : "(Karpinska and Dykstra 2014)" }, "properties" : { "noteIndex" : 0 }, "schema" : "https://github.com/citation-style-language/schema/raw/master/csl-citation.json" }</w:instrText>
      </w:r>
      <w:r w:rsidRPr="00C3671E">
        <w:rPr>
          <w:lang w:val="en-GB"/>
        </w:rPr>
        <w:fldChar w:fldCharType="separate"/>
      </w:r>
      <w:r w:rsidRPr="00C3671E">
        <w:rPr>
          <w:noProof/>
          <w:lang w:val="en-GB"/>
        </w:rPr>
        <w:t>(Karpinska and Dykstra 2014</w:t>
      </w:r>
      <w:r w:rsidRPr="00C3671E">
        <w:rPr>
          <w:lang w:val="en-GB"/>
        </w:rPr>
        <w:fldChar w:fldCharType="end"/>
      </w:r>
      <w:r w:rsidRPr="00C3671E">
        <w:rPr>
          <w:lang w:val="en-GB"/>
        </w:rPr>
        <w:t>: 19</w:t>
      </w:r>
      <w:r w:rsidRPr="00C3671E">
        <w:rPr>
          <w:noProof/>
          <w:lang w:val="en-GB"/>
        </w:rPr>
        <w:t>)</w:t>
      </w:r>
      <w:r w:rsidRPr="00C3671E">
        <w:rPr>
          <w:lang w:val="en-GB"/>
        </w:rPr>
        <w:t xml:space="preserve">, such as employment and the provision of care. </w:t>
      </w:r>
      <w:r w:rsidRPr="00C3671E">
        <w:rPr>
          <w:lang w:val="en-GB"/>
        </w:rPr>
        <w:fldChar w:fldCharType="begin" w:fldLock="1"/>
      </w:r>
      <w:r w:rsidR="00AA6335" w:rsidRPr="00C3671E">
        <w:rPr>
          <w:lang w:val="en-GB"/>
        </w:rPr>
        <w:instrText>ADDIN CSL_CITATION { "citationItems" : [ { "id" : "ITEM-1", "itemData" : { "DOI" : "10.1007/s12062-017-9174-6", "ISSN" : "1874-7884", "abstract" : "Why Active Ageing Matters\\r\\nBy the end of the first half of the twentieth century most European states had introduced public pension schemes of one sort or another. In doing so they were affirming the role of the state in providing individuals with a form of support that all but a few would struggle to provide for themselves. The objectives of these schemes were generally quite limited: to reduce the risk of poverty in old age by facilitating savings during working life. The rationale was simple: to provide access to financial support - a regular and reliable income \u2013 for a time of life when the ability to work was increasingly impaired by loss of health or functional ability. In the second half of the century, after the second world war, increasing affluence combined with a more demanding view of the responsibilities of government to improve the generosity of pensions and to expand welfare systems in ways that conferred other benefits on their older populations besides a basic pension income, including the provision of social care (e.g. care homes for older people who had no family and were unable to look after themselves in their own homes). Policy was still broadly conceived as a collective response to age-related losses that undermined independence.", "author" : [ { "dropping-particle" : "", "family" : "Zaidi", "given" : "Asghar", "non-dropping-particle" : "", "parse-names" : false, "suffix" : "" }, { "dropping-particle" : "", "family" : "Howse", "given" : "Kenneth", "non-dropping-particle" : "", "parse-names" : false, "suffix" : "" } ], "container-title" : "Journal of Population Ageing", "id" : "ITEM-1", "issue" : "1", "issued" : { "date-parts" : [ [ "2017" ] ] }, "page" : "1-10", "publisher" : "Journal of Population Ageing", "title" : "The Policy Discourse of Active Ageing: Some Reflections", "type" : "article-journal", "volume" : "10" }, "uris" : [ "http://www.mendeley.com/documents/?uuid=badd02a6-0ba4-4766-b6a7-a04a46414a57" ] } ], "mendeley" : { "formattedCitation" : "(Zaidi and Howse 2017)", "plainTextFormattedCitation" : "(Zaidi and Howse 2017)", "previouslyFormattedCitation" : "(Zaidi and Howse 2017)" }, "properties" : { "noteIndex" : 0 }, "schema" : "https://github.com/citation-style-language/schema/raw/master/csl-citation.json" }</w:instrText>
      </w:r>
      <w:r w:rsidRPr="00C3671E">
        <w:rPr>
          <w:lang w:val="en-GB"/>
        </w:rPr>
        <w:fldChar w:fldCharType="separate"/>
      </w:r>
      <w:r w:rsidRPr="00C3671E">
        <w:rPr>
          <w:noProof/>
          <w:lang w:val="en-GB"/>
        </w:rPr>
        <w:t>(Zaidi and Howse 2017)</w:t>
      </w:r>
      <w:r w:rsidRPr="00C3671E">
        <w:rPr>
          <w:lang w:val="en-GB"/>
        </w:rPr>
        <w:fldChar w:fldCharType="end"/>
      </w:r>
      <w:r w:rsidRPr="00C3671E">
        <w:rPr>
          <w:lang w:val="en-GB"/>
        </w:rPr>
        <w:t xml:space="preserve"> argue that some </w:t>
      </w:r>
      <w:r w:rsidRPr="00C3671E">
        <w:rPr>
          <w:lang w:val="en-GB"/>
        </w:rPr>
        <w:lastRenderedPageBreak/>
        <w:t>countries reach higher scores in all domains. However, this indicates rather a compatibility within society than assumed compatibility within the individual.</w:t>
      </w:r>
    </w:p>
    <w:p w14:paraId="31AB498A" w14:textId="5922FE64" w:rsidR="00C94483" w:rsidRPr="00C3671E" w:rsidRDefault="00C94483" w:rsidP="00466C1F">
      <w:pPr>
        <w:pStyle w:val="Newparagraph"/>
        <w:jc w:val="both"/>
        <w:rPr>
          <w:noProof/>
          <w:lang w:eastAsia="zh-CN"/>
        </w:rPr>
      </w:pPr>
      <w:r w:rsidRPr="00C3671E">
        <w:rPr>
          <w:noProof/>
          <w:lang w:eastAsia="zh-CN"/>
        </w:rPr>
        <w:t xml:space="preserve">The possibility of competing roles has been already formulated </w:t>
      </w:r>
      <w:r w:rsidRPr="00C3671E">
        <w:t>within</w:t>
      </w:r>
      <w:r w:rsidRPr="00C3671E">
        <w:rPr>
          <w:noProof/>
          <w:lang w:eastAsia="zh-CN"/>
        </w:rPr>
        <w:t xml:space="preserve"> the </w:t>
      </w:r>
      <w:r w:rsidRPr="00C3671E">
        <w:t>theory</w:t>
      </w:r>
      <w:r w:rsidRPr="00C3671E">
        <w:rPr>
          <w:noProof/>
          <w:lang w:eastAsia="zh-CN"/>
        </w:rPr>
        <w:t xml:space="preserve"> of role strain </w:t>
      </w:r>
      <w:r w:rsidRPr="00C3671E">
        <w:rPr>
          <w:noProof/>
          <w:lang w:eastAsia="zh-CN"/>
        </w:rPr>
        <w:fldChar w:fldCharType="begin" w:fldLock="1"/>
      </w:r>
      <w:r w:rsidR="00AA6335" w:rsidRPr="00C3671E">
        <w:rPr>
          <w:noProof/>
          <w:lang w:eastAsia="zh-CN"/>
        </w:rPr>
        <w:instrText>ADDIN CSL_CITATION { "citationItems" : [ { "id" : "ITEM-1", "itemData" : { "DOI" : "10.1177/0038040709356567", "ISBN" : "063120301X", "ISSN" : "0036-8075", "PMID" : "17806662", "author" : [ { "dropping-particle" : "", "family" : "Goode", "given" : "William J", "non-dropping-particle" : "", "parse-names" : false, "suffix" : "" } ], "container-title" : "American Sociological Review", "id" : "ITEM-1", "issue" : "4", "issued" : { "date-parts" : [ [ "1960" ] ] }, "page" : "483-496", "title" : "A Theory of Role Strain", "type" : "article-journal", "volume" : "25" }, "uris" : [ "http://www.mendeley.com/documents/?uuid=fa5664e7-4c35-4e1f-ab5d-837ee62474a6" ] } ], "mendeley" : { "formattedCitation" : "(Goode 1960)", "plainTextFormattedCitation" : "(Goode 1960)", "previouslyFormattedCitation" : "(Goode 1960)" }, "properties" : { "noteIndex" : 0 }, "schema" : "https://github.com/citation-style-language/schema/raw/master/csl-citation.json" }</w:instrText>
      </w:r>
      <w:r w:rsidRPr="00C3671E">
        <w:rPr>
          <w:noProof/>
          <w:lang w:eastAsia="zh-CN"/>
        </w:rPr>
        <w:fldChar w:fldCharType="separate"/>
      </w:r>
      <w:r w:rsidRPr="00C3671E">
        <w:rPr>
          <w:noProof/>
          <w:lang w:eastAsia="zh-CN"/>
        </w:rPr>
        <w:t>(Goode 1960)</w:t>
      </w:r>
      <w:r w:rsidRPr="00C3671E">
        <w:rPr>
          <w:noProof/>
          <w:lang w:eastAsia="zh-CN"/>
        </w:rPr>
        <w:fldChar w:fldCharType="end"/>
      </w:r>
      <w:r w:rsidRPr="00C3671E">
        <w:rPr>
          <w:noProof/>
          <w:lang w:eastAsia="zh-CN"/>
        </w:rPr>
        <w:t xml:space="preserve">. Role conflict in demands, obligations, time, place, or resources is a common type of role strain, because this theory accepts ‘dissensus, nonconformity, and conflicts among norms and roles as the usual state of affairs’ </w:t>
      </w:r>
      <w:r w:rsidRPr="00C3671E">
        <w:rPr>
          <w:noProof/>
          <w:lang w:eastAsia="zh-CN"/>
        </w:rPr>
        <w:fldChar w:fldCharType="begin" w:fldLock="1"/>
      </w:r>
      <w:r w:rsidR="00AA6335" w:rsidRPr="00C3671E">
        <w:rPr>
          <w:noProof/>
          <w:lang w:eastAsia="zh-CN"/>
        </w:rPr>
        <w:instrText>ADDIN CSL_CITATION { "citationItems" : [ { "id" : "ITEM-1", "itemData" : { "DOI" : "10.1177/0038040709356567", "ISBN" : "063120301X", "ISSN" : "0036-8075", "PMID" : "17806662", "author" : [ { "dropping-particle" : "", "family" : "Goode", "given" : "William J", "non-dropping-particle" : "", "parse-names" : false, "suffix" : "" } ], "container-title" : "American Sociological Review", "id" : "ITEM-1", "issue" : "4", "issued" : { "date-parts" : [ [ "1960" ] ] }, "page" : "483-496", "title" : "A Theory of Role Strain", "type" : "article-journal", "volume" : "25" }, "uris" : [ "http://www.mendeley.com/documents/?uuid=fa5664e7-4c35-4e1f-ab5d-837ee62474a6" ] } ], "mendeley" : { "formattedCitation" : "(Goode 1960)", "manualFormatting" : "(Goode 1960", "plainTextFormattedCitation" : "(Goode 1960)", "previouslyFormattedCitation" : "(Goode 1960)" }, "properties" : { "noteIndex" : 0 }, "schema" : "https://github.com/citation-style-language/schema/raw/master/csl-citation.json" }</w:instrText>
      </w:r>
      <w:r w:rsidRPr="00C3671E">
        <w:rPr>
          <w:noProof/>
          <w:lang w:eastAsia="zh-CN"/>
        </w:rPr>
        <w:fldChar w:fldCharType="separate"/>
      </w:r>
      <w:r w:rsidRPr="00C3671E">
        <w:rPr>
          <w:noProof/>
          <w:lang w:eastAsia="zh-CN"/>
        </w:rPr>
        <w:t>(Goode 1960</w:t>
      </w:r>
      <w:r w:rsidRPr="00C3671E">
        <w:rPr>
          <w:noProof/>
          <w:lang w:eastAsia="zh-CN"/>
        </w:rPr>
        <w:fldChar w:fldCharType="end"/>
      </w:r>
      <w:r w:rsidRPr="00C3671E">
        <w:rPr>
          <w:noProof/>
          <w:lang w:eastAsia="zh-CN"/>
        </w:rPr>
        <w:t xml:space="preserve">: 495). Therefore, the concept of role conflict assumes that engagement in one activity can prevent individuals from other activities. In contrast, role accumulation and role complementarity approaches take the opposite stance and assume that more roles can be mutually compatible. Furthermore, the multiplicity of roles creates more types of positive outcomes, which usually outweigh possible role strain </w:t>
      </w:r>
      <w:r w:rsidRPr="00C3671E">
        <w:rPr>
          <w:noProof/>
          <w:lang w:eastAsia="zh-CN"/>
        </w:rPr>
        <w:fldChar w:fldCharType="begin" w:fldLock="1"/>
      </w:r>
      <w:r w:rsidR="00AA6335" w:rsidRPr="00C3671E">
        <w:rPr>
          <w:noProof/>
          <w:lang w:eastAsia="zh-CN"/>
        </w:rPr>
        <w:instrText>ADDIN CSL_CITATION { "citationItems" : [ { "id" : "ITEM-1", "itemData" : { "DOI" : "10.1177/0003122413515997", "author" : [ { "dropping-particle" : "", "family" : "Sieber", "given" : "Sam D.", "non-dropping-particle" : "", "parse-names" : false, "suffix" : "" } ], "container-title" : "American Sociological Review", "id" : "ITEM-1", "issue" : "4", "issued" : { "date-parts" : [ [ "1974" ] ] }, "page" : "567-578", "title" : "Toward a Theory of Role Accumulation", "type" : "article-journal", "volume" : "39" }, "uris" : [ "http://www.mendeley.com/documents/?uuid=3a4692a5-08a8-406e-bfc8-2c3503d510c2" ] } ], "mendeley" : { "formattedCitation" : "(Sieber 1974)", "plainTextFormattedCitation" : "(Sieber 1974)", "previouslyFormattedCitation" : "(Sieber 1974)" }, "properties" : { "noteIndex" : 0 }, "schema" : "https://github.com/citation-style-language/schema/raw/master/csl-citation.json" }</w:instrText>
      </w:r>
      <w:r w:rsidRPr="00C3671E">
        <w:rPr>
          <w:noProof/>
          <w:lang w:eastAsia="zh-CN"/>
        </w:rPr>
        <w:fldChar w:fldCharType="separate"/>
      </w:r>
      <w:r w:rsidRPr="00C3671E">
        <w:rPr>
          <w:noProof/>
          <w:lang w:eastAsia="zh-CN"/>
        </w:rPr>
        <w:t>(Sieber 1974)</w:t>
      </w:r>
      <w:r w:rsidRPr="00C3671E">
        <w:rPr>
          <w:noProof/>
          <w:lang w:eastAsia="zh-CN"/>
        </w:rPr>
        <w:fldChar w:fldCharType="end"/>
      </w:r>
      <w:r w:rsidRPr="00C3671E">
        <w:rPr>
          <w:noProof/>
          <w:lang w:eastAsia="zh-CN"/>
        </w:rPr>
        <w:t xml:space="preserve">. </w:t>
      </w:r>
      <w:r w:rsidRPr="00C3671E">
        <w:rPr>
          <w:noProof/>
          <w:lang w:eastAsia="zh-CN"/>
        </w:rPr>
        <w:fldChar w:fldCharType="begin" w:fldLock="1"/>
      </w:r>
      <w:r w:rsidR="00AA6335" w:rsidRPr="00C3671E">
        <w:rPr>
          <w:noProof/>
          <w:lang w:eastAsia="zh-CN"/>
        </w:rPr>
        <w:instrText>ADDIN CSL_CITATION { "citationItems" : [ { "id" : "ITEM-1", "itemData" : { "DOI" : "10.1177/0003122412444721", "author" : [ { "dropping-particle" : "", "family" : "Marks", "given" : "Stephen R", "non-dropping-particle" : "", "parse-names" : false, "suffix" : "" } ], "container-title" : "American Sociological Review", "id" : "ITEM-1", "issue" : "6", "issued" : { "date-parts" : [ [ "1977" ] ] }, "note" : "Marks 1977: Multiple Roles and Role Strain: Some Notes on Human Energy, Time and Commitment\nFreud: human enegry is scarce, one can either built civilization or make love\nnatural &amp;quot;scarcity&amp;quot; approach to human energy, stressing the overdemanding nature of multiple roles\nscarcity approach: general theory, social criticism\nscarcity approach+multiple roles - Goode, Slater, Coser\nX In contrast, a seldom used &amp;quot;expansion&amp;quot; approach provides an energy-creation theory of multiple roles rather than a &amp;quot;spending&amp;quot; or &amp;quot;drain&amp;quot; theory\nthe expansion approach to human energy - Durkheim\nhuman physiology implies that human activity produces as well as consumes energy\nA theory of scarcity excuses explains how strain or overload is generally rooted in one such system", "page" : "921-936", "title" : "Multiple Roles and Role Strain: Some Notes on Human Energy, Time and Commitment", "type" : "article-journal", "volume" : "42" }, "uris" : [ "http://www.mendeley.com/documents/?uuid=d18e877c-f5c0-4df1-9f1d-009444ce26e3" ] } ], "mendeley" : { "formattedCitation" : "(Marks 1977)", "manualFormatting" : "Marks (1977)", "plainTextFormattedCitation" : "(Marks 1977)", "previouslyFormattedCitation" : "(Marks 1977)" }, "properties" : { "noteIndex" : 0 }, "schema" : "https://github.com/citation-style-language/schema/raw/master/csl-citation.json" }</w:instrText>
      </w:r>
      <w:r w:rsidRPr="00C3671E">
        <w:rPr>
          <w:noProof/>
          <w:lang w:eastAsia="zh-CN"/>
        </w:rPr>
        <w:fldChar w:fldCharType="separate"/>
      </w:r>
      <w:r w:rsidRPr="00C3671E">
        <w:rPr>
          <w:noProof/>
          <w:lang w:eastAsia="zh-CN"/>
        </w:rPr>
        <w:t>Marks (1977)</w:t>
      </w:r>
      <w:r w:rsidRPr="00C3671E">
        <w:rPr>
          <w:noProof/>
          <w:lang w:eastAsia="zh-CN"/>
        </w:rPr>
        <w:fldChar w:fldCharType="end"/>
      </w:r>
      <w:r w:rsidRPr="00C3671E">
        <w:rPr>
          <w:noProof/>
          <w:lang w:eastAsia="zh-CN"/>
        </w:rPr>
        <w:t xml:space="preserve"> suggests that each activity both produces and consumes energy and we need to examine which is dominant under varying conditions.</w:t>
      </w:r>
    </w:p>
    <w:p w14:paraId="1330F54C" w14:textId="51C67C17" w:rsidR="00C94483" w:rsidRPr="00C3671E" w:rsidRDefault="00C94483" w:rsidP="00466C1F">
      <w:pPr>
        <w:pStyle w:val="Newparagraph"/>
        <w:jc w:val="both"/>
        <w:rPr>
          <w:noProof/>
          <w:lang w:eastAsia="zh-CN"/>
        </w:rPr>
      </w:pPr>
      <w:r w:rsidRPr="00C3671E">
        <w:rPr>
          <w:noProof/>
          <w:lang w:eastAsia="zh-CN"/>
        </w:rPr>
        <w:t xml:space="preserve">Role outcomes and complementarities are connected to the </w:t>
      </w:r>
      <w:r w:rsidRPr="00C3671E">
        <w:t>intensity</w:t>
      </w:r>
      <w:r w:rsidRPr="00C3671E">
        <w:rPr>
          <w:noProof/>
          <w:lang w:eastAsia="zh-CN"/>
        </w:rPr>
        <w:t xml:space="preserve"> of the roles. While a labour force participation is usually most demanding </w:t>
      </w:r>
      <w:r w:rsidRPr="00C3671E">
        <w:rPr>
          <w:noProof/>
          <w:lang w:eastAsia="zh-CN"/>
        </w:rPr>
        <w:fldChar w:fldCharType="begin" w:fldLock="1"/>
      </w:r>
      <w:r w:rsidR="001257AA" w:rsidRPr="00C3671E">
        <w:rPr>
          <w:noProof/>
          <w:lang w:eastAsia="zh-CN"/>
        </w:rPr>
        <w:instrText>ADDIN CSL_CITATION { "citationItems" : [ { "id" : "ITEM-1", "itemData" : { "author" : [ { "dropping-particle" : "", "family" : "Kim", "given" : "Jungmeen E", "non-dropping-particle" : "", "parse-names" : false, "suffix" : "" }, { "dropping-particle" : "", "family" : "Moen", "given" : "Phyllis", "non-dropping-particle" : "", "parse-names" : false, "suffix" : "" } ], "container-title" : "Journal of Gerontology: Psychological Series", "id" : "ITEM-1", "issue" : "3", "issued" : { "date-parts" : [ [ "2002" ] ] }, "note" : "Kim, Moen 2002: Retirement Transitions, Gender, and Psychological Well-Being: A Life-Course, Ecological Model\nlongitudinal: retirement\u2192well-being (morale scale, CES-D); married 50-72\nmultiple imputations of missing values\nmoving out from demanding job loosing occupational attachments, network, and anchor for identity\nrole theory + life-course perspetive \u2192 role enhancement X role strain\ncontinuity theory - maintaining patterns, stability\na life-course, ecological model - best for this issue\n- locating transitions in the social contexts of other roles, relations, and developmental processes\n- process, linked lives, context\nthe relationship between retirement and psychological well-being must be viewed in a temporal, life course context\nmaking the transition to retirement within the last 2 years is associated with higher levels of morale for men, whereas being \u201ccontinuously\u201d retired is related to greater depressive symptoms among men\n- enjoyable \u201choneymoon\u201d phase proposed by Atchley (1976b) - right after the event of retirement there often is a euphoric, busy, honeymoon phase\nthe importance of resources and contexts of transitions (gender, prior level of well-being, spouses\u2019 circumstance, and changes in personal control, marital quality, subjective health, and income adequacy\n\u2192\nWomen\u2019s retirement: Policy implications of recent research\nIs retirement good or bad for subjective well-being?\nCouples\u2019 work/retirement transitions, gender, and marital quality\nMen\u2019s retirement and marital quality\nVolunteering and mortality among older adults: Findings from a national sample\nThe retiree identity: Gender and race differences", "page" : "212-222", "title" : "Retirement Transitions, Gender, and Psychological Well-Being: A Life-Course , Ecological Model", "type" : "article-journal", "volume" : "57" }, "uris" : [ "http://www.mendeley.com/documents/?uuid=d324d834-c4ee-483d-b637-cc2ca78095c1" ] }, { "id" : "ITEM-2", "itemData" : { "DOI" : "10.2190/AG.66.3.a", "ISBN" : "0091-4150 (Print)\\n0091-4150 (Linking)", "ISSN" : "0091-4150", "PMID" : "18459600", "abstract" : "The purpose of this study was to examine the structure of retirees' social identity and its impact on satisfaction with retirement. From social identity theory formulations, we assumed that (1) retiree-identity was comprised of three distinct components (cognitive, evaluative, and affective), and (2) only the affective component would play a role in satisfaction with retirement. Results of the present study conducted with 154 retired people in France revealed only two components of social identity: a cognitive identity which refers to self-categorization as \"retired people,\" and an affective identity which refers to evaluation of the group and affective involvement. As expected, regression analyses results indicated that only affective identity was a predictor of satisfaction with retirement. These results will be discussed in the framework of social identity theory literature.", "author" : [ { "dropping-particle" : "", "family" : "Michinov", "given" : "Estelle", "non-dropping-particle" : "", "parse-names" : false, "suffix" : "" }, { "dropping-particle" : "", "family" : "Fouquereau", "given" : "Evelyne", "non-dropping-particle" : "", "parse-names" : false, "suffix" : "" }, { "dropping-particle" : "", "family" : "Fernandez", "given" : "Anne", "non-dropping-particle" : "", "parse-names" : false, "suffix" : "" } ], "container-title" : "The International Journal of Aging and Human Development", "id" : "ITEM-2", "issue" : "3", "issued" : { "date-parts" : [ [ "2008" ] ] }, "note" : "Michinov et al. 2008: Retirees' social identity and satisfaction with retirement\nWhile the official retirement age in most European countries is still 65 years, the actual pattern of retirement frequently does not conform to this definition (then definition of retirement as leaving work X receiving pension X subjective)\nnegative effect of retirement losing attachment, networks and anchor for their identity\nX positive moving out of demanding career jobs\ndeterminants of satisfaction in retirement: 1. sociodemographic factors, 2. situational factors (characteristics of job and retirement, activities), 3. psychological factors, 4. relational factors\nsocial identity perspective\n154 retired people from France - confirmatory and exploratory factorial analyses\nsocial identity: cognitive X affective\nonly affective identity predicted satisfaction with retirement (measured by direct question)", "page" : "175-194", "title" : "Retirees' social identity and satisfaction with retirement", "type" : "article-journal", "volume" : "66" }, "uris" : [ "http://www.mendeley.com/documents/?uuid=807550c5-05e2-4f97-89ab-9ce10be691d9" ] } ], "mendeley" : { "formattedCitation" : "(Kim and Moen 2002; Michinov et al. 2008)", "plainTextFormattedCitation" : "(Kim and Moen 2002; Michinov et al. 2008)", "previouslyFormattedCitation" : "(Kim and Moen 2002; Michinov et al. 2008)" }, "properties" : { "noteIndex" : 0 }, "schema" : "https://github.com/citation-style-language/schema/raw/master/csl-citation.json" }</w:instrText>
      </w:r>
      <w:r w:rsidRPr="00C3671E">
        <w:rPr>
          <w:noProof/>
          <w:lang w:eastAsia="zh-CN"/>
        </w:rPr>
        <w:fldChar w:fldCharType="separate"/>
      </w:r>
      <w:r w:rsidR="00A91559" w:rsidRPr="00C3671E">
        <w:rPr>
          <w:noProof/>
          <w:lang w:eastAsia="zh-CN"/>
        </w:rPr>
        <w:t>(Kim and Moen 2002; Michinov et al. 2008)</w:t>
      </w:r>
      <w:r w:rsidRPr="00C3671E">
        <w:rPr>
          <w:noProof/>
          <w:lang w:eastAsia="zh-CN"/>
        </w:rPr>
        <w:fldChar w:fldCharType="end"/>
      </w:r>
      <w:r w:rsidRPr="00C3671E">
        <w:rPr>
          <w:noProof/>
          <w:lang w:eastAsia="zh-CN"/>
        </w:rPr>
        <w:t xml:space="preserve">, provision of care takes various intensities, which affects its subsequent complementarity </w:t>
      </w:r>
      <w:r w:rsidRPr="00C3671E">
        <w:rPr>
          <w:noProof/>
          <w:lang w:eastAsia="zh-CN"/>
        </w:rPr>
        <w:fldChar w:fldCharType="begin" w:fldLock="1"/>
      </w:r>
      <w:r w:rsidR="001257AA" w:rsidRPr="00C3671E">
        <w:rPr>
          <w:noProof/>
          <w:lang w:eastAsia="zh-CN"/>
        </w:rPr>
        <w:instrText>ADDIN CSL_CITATION { "citationItems" : [ { "id" : "ITEM-1", "itemData" : { "DOI" : "10.1177/0192513X08322627", "ISBN" : "300015812X", "ISSN" : "0192-513X", "abstract" : "Introducing findings from the 2004 Survey of Health, Ageing, and Retirement in Europe (SHARE), this research complements the large number of recent U.S. studies on the role of grandparents in caring for their grandchildren. For 10 continental European countries, the authors investigate cross-national variations in grandparent-provided child care as well as differences in characteristics of the providers and recipients of care. Although they find strong involvement of grandparents in their grandchildren's care across all countries, they also identify significant variations in the prevalence and intensity of care along the geographic lines of different child care and (maternal or female) employment regimes in Europe. Rooted in long-standing family cultures, the observed patterns suggest a complex interaction between welfare state\u2014provided services and intergenerational family support in shaping the work\u2014family nexus for younger parents. The authors conclude with a brief discussion of possible consequences o...", "author" : [ { "dropping-particle" : "", "family" : "Hank", "given" : "Karsten", "non-dropping-particle" : "", "parse-names" : false, "suffix" : "" }, { "dropping-particle" : "", "family" : "Buber", "given" : "Isabella", "non-dropping-particle" : "", "parse-names" : false, "suffix" : "" } ], "container-title" : "Journal of Family Issues", "id" : "ITEM-1", "issue" : "1", "issued" : { "date-parts" : [ [ "2009" ] ] }, "page" : "53-73", "title" : "Grandparents Caring for their Grandchildren", "type" : "article-journal", "volume" : "30" }, "uris" : [ "http://www.mendeley.com/documents/?uuid=f4e51519-a2ec-48e5-bb6d-101676a656ea" ] }, { "id" : "ITEM-2", "itemData" : { "DOI" : "10.1007/s10433-015-0349-9", "ISBN" : "1613-9372", "ISSN" : "16139380", "PMID" : "28804364", "abstract" : "The impact of grandparents' employment on grandparental childcare has been examined repeatedly, but the findings have so far been inconsistent. We contend that these inconsistencies may have resulted from variations in model specification and crude measurement of employment status. Furthermore, we assert that earlier research overlooked gender differences in the ability to combine paid employment and caregiving as well as variations between maternal and paternal grandparents. We also question the causal interpretation of earlier findings that were based on cross-sectional data. We revisit the issue of the impact of the intensity of employment and analyze SHARE data from 19 countries. We find a significant positive association between part-time employment (as compared to full-time employment) and the frequency of grandparental childcare in a cross-sectional sample, but only among paternal grandmothers. Capitalizing on the panel component of SHARE, we use a within-person estimator to show that this association is unlikely to reflect a causal effect of the intensity of labor market attachment on the frequency of the care of grandchildren, but more probably results from omitted variable bias. We argue that grandparents most likely to provide (intensive) childcare are also most likely to adjust their employment in anticipation of caregiving. The paper documents the usefulness of role strain theory among grandparents and highlights that part-time jobs may reduce role conflict and may thus make grandparenting a more easily manageable experience.", "author" : [ { "dropping-particle" : "", "family" : "Lakom\u00fd", "given" : "Martin", "non-dropping-particle" : "", "parse-names" : false, "suffix" : "" }, { "dropping-particle" : "", "family" : "Kreidl", "given" : "Martin", "non-dropping-particle" : "", "parse-names" : false, "suffix" : "" } ], "container-title" : "European Journal of Ageing", "id" : "ITEM-2", "issue" : "4", "issued" : { "date-parts" : [ [ "2015" ] ] }, "page" : "321-331", "title" : "Full-time versus part-time employment: Does it influence frequency of grandparental childcare?", "type" : "article-journal", "volume" : "12" }, "uris" : [ "http://www.mendeley.com/documents/?uuid=646b47d8-bf67-4334-a4e4-2eb0059bf4a7" ] } ], "mendeley" : { "formattedCitation" : "(Hank and Buber 2009; Lakom\u00fd and Kreidl 2015)", "plainTextFormattedCitation" : "(Hank and Buber 2009; Lakom\u00fd and Kreidl 2015)", "previouslyFormattedCitation" : "(Hank and Buber 2009; Lakom\u00fd and Kreidl 2015)" }, "properties" : { "noteIndex" : 0 }, "schema" : "https://github.com/citation-style-language/schema/raw/master/csl-citation.json" }</w:instrText>
      </w:r>
      <w:r w:rsidRPr="00C3671E">
        <w:rPr>
          <w:noProof/>
          <w:lang w:eastAsia="zh-CN"/>
        </w:rPr>
        <w:fldChar w:fldCharType="separate"/>
      </w:r>
      <w:r w:rsidR="00A91559" w:rsidRPr="00C3671E">
        <w:rPr>
          <w:noProof/>
          <w:lang w:eastAsia="zh-CN"/>
        </w:rPr>
        <w:t>(Hank and Buber 2009; Lakomý and Kreidl 2015)</w:t>
      </w:r>
      <w:r w:rsidRPr="00C3671E">
        <w:rPr>
          <w:noProof/>
          <w:lang w:eastAsia="zh-CN"/>
        </w:rPr>
        <w:fldChar w:fldCharType="end"/>
      </w:r>
      <w:r w:rsidRPr="00C3671E">
        <w:rPr>
          <w:noProof/>
          <w:lang w:eastAsia="zh-CN"/>
        </w:rPr>
        <w:t xml:space="preserve">, and social participation is usually less intensive than the previous two </w:t>
      </w:r>
      <w:r w:rsidRPr="00C3671E">
        <w:rPr>
          <w:noProof/>
          <w:lang w:eastAsia="zh-CN"/>
        </w:rPr>
        <w:fldChar w:fldCharType="begin" w:fldLock="1"/>
      </w:r>
      <w:r w:rsidR="00AA6335" w:rsidRPr="00C3671E">
        <w:rPr>
          <w:noProof/>
          <w:lang w:eastAsia="zh-CN"/>
        </w:rPr>
        <w:instrText>ADDIN CSL_CITATION { "citationItems" : [ { "id" : "ITEM-1", "itemData" : { "DOI" : "10.1111/joop.12003", "ISBN" : "09631798", "ISSN" : "09631798", "PMID" : "90563210", "abstract" : "This study examines the impact of engaging in seven types of activities on depression and quality of life in retirees and older workers over a period of 2 years, using a sample from the survey of health, ageing and retirement in Europe. Longitudinal data were available from 2,813 retirees and 1,372 older employees. Our results showed that volunteering, providing help and going to sports or social clubs at the baseline improved retirees\u2019 quality of lifeover a period of 2 years. No direct effects of engaging in activities were found for older employees. Moreover, higher depression at the baseline fostered the depression experience at the follow-up in those retirees and older employees who were caring for disabled adults at baseline. In retirees with higher depression at baseline, participation in religious organizations was associated with a greater decrease in depression at follow-up than in those who had lower levels of depression at baseline. For older employees, taking part in political or community organizations at baselinewas related to a greater decrease in depression at follow-up than in those employees who experienced higher initial depression.", "author" : [ { "dropping-particle" : "", "family" : "Poto\u010dnik", "given" : "Kristina", "non-dropping-particle" : "", "parse-names" : false, "suffix" : "" }, { "dropping-particle" : "", "family" : "Sonnentag", "given" : "Sabine", "non-dropping-particle" : "", "parse-names" : false, "suffix" : "" } ], "container-title" : "Journal of Occupational and Organizational Psychology", "id" : "ITEM-1", "issue" : "4", "issued" : { "date-parts" : [ [ "2013" ] ] }, "page" : "497-521", "title" : "A longitudinal study of well-being in older workers and retirees: The role of engaging in different types of activities", "type" : "article-journal", "volume" : "86" }, "uris" : [ "http://www.mendeley.com/documents/?uuid=5889bc5d-921b-416d-a3eb-706b9facb5cf" ] } ], "mendeley" : { "formattedCitation" : "(Poto\u010dnik and Sonnentag 2013)", "plainTextFormattedCitation" : "(Poto\u010dnik and Sonnentag 2013)", "previouslyFormattedCitation" : "(Poto\u010dnik and Sonnentag 2013)" }, "properties" : { "noteIndex" : 0 }, "schema" : "https://github.com/citation-style-language/schema/raw/master/csl-citation.json" }</w:instrText>
      </w:r>
      <w:r w:rsidRPr="00C3671E">
        <w:rPr>
          <w:noProof/>
          <w:lang w:eastAsia="zh-CN"/>
        </w:rPr>
        <w:fldChar w:fldCharType="separate"/>
      </w:r>
      <w:r w:rsidRPr="00C3671E">
        <w:rPr>
          <w:noProof/>
          <w:lang w:eastAsia="zh-CN"/>
        </w:rPr>
        <w:t>(Potočnik and Sonnentag 2013)</w:t>
      </w:r>
      <w:r w:rsidRPr="00C3671E">
        <w:rPr>
          <w:noProof/>
          <w:lang w:eastAsia="zh-CN"/>
        </w:rPr>
        <w:fldChar w:fldCharType="end"/>
      </w:r>
      <w:r w:rsidRPr="00C3671E">
        <w:rPr>
          <w:noProof/>
          <w:lang w:eastAsia="zh-CN"/>
        </w:rPr>
        <w:t xml:space="preserve">. This simplified categorization thus implies that paid work and caregiving have the highest potential for role conflict, which is also supported by the literature. The employment of older adults seems to be in conflict both with care provided to grandchildren </w:t>
      </w:r>
      <w:r w:rsidRPr="00C3671E">
        <w:rPr>
          <w:noProof/>
          <w:lang w:eastAsia="zh-CN"/>
        </w:rPr>
        <w:fldChar w:fldCharType="begin" w:fldLock="1"/>
      </w:r>
      <w:r w:rsidR="001257AA" w:rsidRPr="00C3671E">
        <w:rPr>
          <w:noProof/>
          <w:lang w:eastAsia="zh-CN"/>
        </w:rPr>
        <w:instrText>ADDIN CSL_CITATION { "citationItems" : [ { "id" : "ITEM-1", "itemData" : { "DOI" : "10.1007/s10680-012-9273-2", "ISBN" : "0168-6577", "ISSN" : "0168-6577", "PMID" : "12658535", "abstract" : "The study analyzes the role of grandparents childcare provision on their adult childrens fertility behavior using data from the Survey of Health, Aging and Retirement in Europe (SHARE) for eleven European countries. An important innovation is that we take into account siblings fertility behavior and share of grandparents time in terms of childcare. We show that availability of grandparents plays an important role in individuals decision of having children. Being helped by grandparents increases the chance of childbearing when existing grandchildren are not too young. On the other hand, the probability of having a child is lower when grandparents are already looking after a siblings young child. The role of grand- parenting appears stronger in the South of Europe, where public childcare for young children is less prevalent.", "author" : [ { "dropping-particle" : "", "family" : "Aassve", "given" : "Arnstein", "non-dropping-particle" : "", "parse-names" : false, "suffix" : "" }, { "dropping-particle" : "", "family" : "Meroni", "given" : "Elena", "non-dropping-particle" : "", "parse-names" : false, "suffix" : "" }, { "dropping-particle" : "", "family" : "Pronzato", "given" : "Chiara", "non-dropping-particle" : "", "parse-names" : false, "suffix" : "" } ], "container-title" : "European Journal of Population", "id" : "ITEM-1", "issue" : "4", "issued" : { "date-parts" : [ [ "2012" ] ] }, "page" : "499-518", "title" : "Grandparenting and Childbearing in the Extended Family", "type" : "article-journal", "volume" : "28" }, "uris" : [ "http://www.mendeley.com/documents/?uuid=a6496dd6-de7f-4709-9e3b-73e1c8edb62c" ] }, { "id" : "ITEM-2", "itemData" : { "DOI" : "10.1177/0192513X08322627", "ISBN" : "300015812X", "ISSN" : "0192-513X", "abstract" : "Introducing findings from the 2004 Survey of Health, Ageing, and Retirement in Europe (SHARE), this research complements the large number of recent U.S. studies on the role of grandparents in caring for their grandchildren. For 10 continental European countries, the authors investigate cross-national variations in grandparent-provided child care as well as differences in characteristics of the providers and recipients of care. Although they find strong involvement of grandparents in their grandchildren's care across all countries, they also identify significant variations in the prevalence and intensity of care along the geographic lines of different child care and (maternal or female) employment regimes in Europe. Rooted in long-standing family cultures, the observed patterns suggest a complex interaction between welfare state\u2014provided services and intergenerational family support in shaping the work\u2014family nexus for younger parents. The authors conclude with a brief discussion of possible consequences o...", "author" : [ { "dropping-particle" : "", "family" : "Hank", "given" : "Karsten", "non-dropping-particle" : "", "parse-names" : false, "suffix" : "" }, { "dropping-particle" : "", "family" : "Buber", "given" : "Isabella", "non-dropping-particle" : "", "parse-names" : false, "suffix" : "" } ], "container-title" : "Journal of Family Issues", "id" : "ITEM-2", "issue" : "1", "issued" : { "date-parts" : [ [ "2009" ] ] }, "page" : "53-73", "title" : "Grandparents Caring for their Grandchildren", "type" : "article-journal", "volume" : "30" }, "uris" : [ "http://www.mendeley.com/documents/?uuid=f4e51519-a2ec-48e5-bb6d-101676a656ea" ] }, { "id" : "ITEM-3", "itemData" : { "DOI" : "10.1007/s10433-015-0349-9", "ISBN" : "1613-9372", "ISSN" : "16139380", "PMID" : "28804364", "abstract" : "The impact of grandparents' employment on grandparental childcare has been examined repeatedly, but the findings have so far been inconsistent. We contend that these inconsistencies may have resulted from variations in model specification and crude measurement of employment status. Furthermore, we assert that earlier research overlooked gender differences in the ability to combine paid employment and caregiving as well as variations between maternal and paternal grandparents. We also question the causal interpretation of earlier findings that were based on cross-sectional data. We revisit the issue of the impact of the intensity of employment and analyze SHARE data from 19 countries. We find a significant positive association between part-time employment (as compared to full-time employment) and the frequency of grandparental childcare in a cross-sectional sample, but only among paternal grandmothers. Capitalizing on the panel component of SHARE, we use a within-person estimator to show that this association is unlikely to reflect a causal effect of the intensity of labor market attachment on the frequency of the care of grandchildren, but more probably results from omitted variable bias. We argue that grandparents most likely to provide (intensive) childcare are also most likely to adjust their employment in anticipation of caregiving. The paper documents the usefulness of role strain theory among grandparents and highlights that part-time jobs may reduce role conflict and may thus make grandparenting a more easily manageable experience.", "author" : [ { "dropping-particle" : "", "family" : "Lakom\u00fd", "given" : "Martin", "non-dropping-particle" : "", "parse-names" : false, "suffix" : "" }, { "dropping-particle" : "", "family" : "Kreidl", "given" : "Martin", "non-dropping-particle" : "", "parse-names" : false, "suffix" : "" } ], "container-title" : "European Journal of Ageing", "id" : "ITEM-3", "issue" : "4", "issued" : { "date-parts" : [ [ "2015" ] ] }, "page" : "321-331", "title" : "Full-time versus part-time employment: Does it influence frequency of grandparental childcare?", "type" : "article-journal", "volume" : "12" }, "uris" : [ "http://www.mendeley.com/documents/?uuid=646b47d8-bf67-4334-a4e4-2eb0059bf4a7" ] }, { "id" : "ITEM-4", "itemData" : { "DOI" : "10.1177/0192513X12438685", "ISBN" : "0192-513X", "ISSN" : "0192-513X", "author" : [ { "dropping-particle" : "", "family" : "Luo", "given" : "Ye", "non-dropping-particle" : "", "parse-names" : false, "suffix" : "" }, { "dropping-particle" : "", "family" : "LaPierre", "given" : "Tracey A.", "non-dropping-particle" : "", "parse-names" : false, "suffix" : "" }, { "dropping-particle" : "", "family" : "Hughes", "given" : "Mary Elizabeth", "non-dropping-particle" : "", "parse-names" : false, "suffix" : "" }, { "dropping-particle" : "", "family" : "Waite", "given" : "Linda J.", "non-dropping-particle" : "", "parse-names" : false, "suffix" : "" } ], "container-title" : "Journal of Family Issues", "id" : "ITEM-4", "issue" : "9", "issued" : { "date-parts" : [ [ "2012" ] ] }, "page" : "1143-1167", "title" : "Grandparents Providing Care to Grandchildren", "type" : "article-journal", "volume" : "33" }, "uris" : [ "http://www.mendeley.com/documents/?uuid=b8179532-df2e-43ab-b589-614a4c891690" ] } ], "mendeley" : { "formattedCitation" : "(Aassve, Meroni, and Pronzato 2012; Hank and Buber 2009; Lakom\u00fd and Kreidl 2015; Luo et al. 2012)", "plainTextFormattedCitation" : "(Aassve, Meroni, and Pronzato 2012; Hank and Buber 2009; Lakom\u00fd and Kreidl 2015; Luo et al. 2012)", "previouslyFormattedCitation" : "(Aassve, Meroni, and Pronzato 2012; Hank and Buber 2009; Lakom\u00fd and Kreidl 2015; Luo et al. 2012)" }, "properties" : { "noteIndex" : 0 }, "schema" : "https://github.com/citation-style-language/schema/raw/master/csl-citation.json" }</w:instrText>
      </w:r>
      <w:r w:rsidRPr="00C3671E">
        <w:rPr>
          <w:noProof/>
          <w:lang w:eastAsia="zh-CN"/>
        </w:rPr>
        <w:fldChar w:fldCharType="separate"/>
      </w:r>
      <w:r w:rsidR="00A91559" w:rsidRPr="00C3671E">
        <w:rPr>
          <w:noProof/>
          <w:lang w:eastAsia="zh-CN"/>
        </w:rPr>
        <w:t>(Aassve, Meroni, and Pronzato 2012; Hank and Buber 2009; Lakomý and Kreidl 2015; Luo et al. 2012)</w:t>
      </w:r>
      <w:r w:rsidRPr="00C3671E">
        <w:rPr>
          <w:noProof/>
          <w:lang w:eastAsia="zh-CN"/>
        </w:rPr>
        <w:fldChar w:fldCharType="end"/>
      </w:r>
      <w:r w:rsidRPr="00C3671E">
        <w:rPr>
          <w:noProof/>
          <w:lang w:eastAsia="zh-CN"/>
        </w:rPr>
        <w:t xml:space="preserve"> and with care provided to parents </w:t>
      </w:r>
      <w:r w:rsidRPr="00C3671E">
        <w:rPr>
          <w:noProof/>
          <w:lang w:eastAsia="zh-CN"/>
        </w:rPr>
        <w:fldChar w:fldCharType="begin" w:fldLock="1"/>
      </w:r>
      <w:r w:rsidR="001257AA" w:rsidRPr="00C3671E">
        <w:rPr>
          <w:noProof/>
          <w:lang w:eastAsia="zh-CN"/>
        </w:rPr>
        <w:instrText>ADDIN CSL_CITATION { "citationItems" : [ { "id" : "ITEM-1", "itemData" : { "DOI" : "10.1016/j.jhealeco.2007.10.004", "ISSN" : "01676296", "author" : [ { "dropping-particle" : "", "family" : "Bolin", "given" : "Kristian", "non-dropping-particle" : "", "parse-names" : false, "suffix" : "" }, { "dropping-particle" : "", "family" : "Lindgren", "given" : "Bj\u00f6rn", "non-dropping-particle" : "", "parse-names" : false, "suffix" : "" }, { "dropping-particle" : "", "family" : "Lundborg", "given" : "Petter", "non-dropping-particle" : "", "parse-names" : false, "suffix" : "" } ], "container-title" : "Journal of Health Economics", "id" : "ITEM-1", "issue" : "3", "issued" : { "date-parts" : [ [ "2008" ] ] }, "page" : "718-738", "title" : "Your next of kin or your own career?", "type" : "article-journal", "volume" : "27" }, "uris" : [ "http://www.mendeley.com/documents/?uuid=8dd0078e-2831-4c71-abef-853adb7727c9" ] }, { "id" : "ITEM-2", "itemData" : { "DOI" : "10.1177/003288553401400202", "ISBN" : "9789264097759", "ISSN" : "0032-8855", "PMID" : "24443734", "abstract" : "When a young person is jobless, it also damages family, community, and country", "author" : [ { "dropping-particle" : "", "family" : "Colombo", "given" : "Francesca", "non-dropping-particle" : "", "parse-names" : false, "suffix" : "" }, { "dropping-particle" : "", "family" : "Llena-Nozal", "given" : "Ana", "non-dropping-particle" : "", "parse-names" : false, "suffix" : "" }, { "dropping-particle" : "", "family" : "Mercier", "given" : "J\u00e9r\u00f4me", "non-dropping-particle" : "", "parse-names" : false, "suffix" : "" }, { "dropping-particle" : "", "family" : "Tjadens", "given" : "Frits", "non-dropping-particle" : "", "parse-names" : false, "suffix" : "" } ], "id" : "ITEM-2", "issued" : { "date-parts" : [ [ "2011" ] ] }, "publisher" : "OECD Publishing", "publisher-place" : "Paris", "title" : "Help Wanted? Providing and Paying for Long-Term Care", "type" : "book" }, "uris" : [ "http://www.mendeley.com/documents/?uuid=0369a866-d1da-45d0-b6c4-0d3653bc82c7" ] }, { "id" : "ITEM-3", "itemData" : { "DOI" : "10.1007/s10433-011-0200-x", "ISSN" : "16139372", "author" : [ { "dropping-particle" : "", "family" : "Leinonen", "given" : "Anu", "non-dropping-particle" : "", "parse-names" : false, "suffix" : "" } ], "container-title" : "European Journal of Ageing", "id" : "ITEM-3", "issue" : "4", "issued" : { "date-parts" : [ [ "2011" ] ] }, "page" : "243-253", "title" : "Masters of their own time? Working carers' visions of retirement", "type" : "article-journal", "volume" : "8" }, "uris" : [ "http://www.mendeley.com/documents/?uuid=b4adf742-488c-46b8-a905-f42c2571a7f4" ] } ], "mendeley" : { "formattedCitation" : "(Bolin, Lindgren, and Lundborg 2008; Colombo et al. 2011; Leinonen 2011)", "plainTextFormattedCitation" : "(Bolin, Lindgren, and Lundborg 2008; Colombo et al. 2011; Leinonen 2011)", "previouslyFormattedCitation" : "(Bolin, Lindgren, and Lundborg 2008; Colombo et al. 2011; Leinonen 2011)" }, "properties" : { "noteIndex" : 0 }, "schema" : "https://github.com/citation-style-language/schema/raw/master/csl-citation.json" }</w:instrText>
      </w:r>
      <w:r w:rsidRPr="00C3671E">
        <w:rPr>
          <w:noProof/>
          <w:lang w:eastAsia="zh-CN"/>
        </w:rPr>
        <w:fldChar w:fldCharType="separate"/>
      </w:r>
      <w:r w:rsidR="00A91559" w:rsidRPr="00C3671E">
        <w:rPr>
          <w:noProof/>
          <w:lang w:eastAsia="zh-CN"/>
        </w:rPr>
        <w:t>(Bolin, Lindgren, and Lundborg 2008; Colombo et al. 2011; Leinonen 2011)</w:t>
      </w:r>
      <w:r w:rsidRPr="00C3671E">
        <w:rPr>
          <w:noProof/>
          <w:lang w:eastAsia="zh-CN"/>
        </w:rPr>
        <w:fldChar w:fldCharType="end"/>
      </w:r>
      <w:r w:rsidRPr="00C3671E">
        <w:rPr>
          <w:noProof/>
          <w:lang w:eastAsia="zh-CN"/>
        </w:rPr>
        <w:t xml:space="preserve">. </w:t>
      </w:r>
      <w:r w:rsidRPr="00C3671E">
        <w:rPr>
          <w:noProof/>
          <w:lang w:eastAsia="zh-CN"/>
        </w:rPr>
        <w:fldChar w:fldCharType="begin" w:fldLock="1"/>
      </w:r>
      <w:r w:rsidR="00AA6335" w:rsidRPr="00C3671E">
        <w:rPr>
          <w:noProof/>
          <w:lang w:eastAsia="zh-CN"/>
        </w:rPr>
        <w:instrText>ADDIN CSL_CITATION { "citationItems" : [ { "id" : "ITEM-1", "itemData" : { "DOI" : "10.1111/j.1475-682X.2001.tb00930.x", "ISSN" : "0038-0245", "abstract" : "The concepts of role conflict and role overload have been used, often interchangeably, to interpret sources of gender differences in role-related mental health among men and women who combine the roles of spouse, parent, and worker. However, these types of chronic role strains actually represent two distinct concepts. Definitions of the concepts suggest different contextual sources for these role difficulties as well as different mental health consequences of experiencing them. This paper analyzes some potential sources of feelings of role conflict and role overload, and estimates their effects in undermining psychological well-being among a sample of women who combine work and family roles. Results indicate that (1) different contextual factors influence individuals' feelings of role conflict and role overload, and (2) feelings of role conflict significantly undermine psychological well-being, while feelings of role overload do not. (PsycINFO Database Record (c) 2010 APA, all rights reserved)", "author" : [ { "dropping-particle" : "", "family" : "Hecht", "given" : "Laura M.", "non-dropping-particle" : "", "parse-names" : false, "suffix" : "" } ], "container-title" : "Sociological Inquiry", "id" : "ITEM-1", "issue" : "1", "issued" : { "date-parts" : [ [ "2001" ] ] }, "page" : "111-121", "title" : "Role Conflict and Role Overload: Different Concepts, Different Consequences", "type" : "article-journal", "volume" : "71" }, "uris" : [ "http://www.mendeley.com/documents/?uuid=199a38cd-3341-47e2-ba48-7e26d1ad38cd" ] } ], "mendeley" : { "formattedCitation" : "(Hecht 2001)", "manualFormatting" : "Hecht (2001)", "plainTextFormattedCitation" : "(Hecht 2001)", "previouslyFormattedCitation" : "(Hecht 2001)" }, "properties" : { "noteIndex" : 0 }, "schema" : "https://github.com/citation-style-language/schema/raw/master/csl-citation.json" }</w:instrText>
      </w:r>
      <w:r w:rsidRPr="00C3671E">
        <w:rPr>
          <w:noProof/>
          <w:lang w:eastAsia="zh-CN"/>
        </w:rPr>
        <w:fldChar w:fldCharType="separate"/>
      </w:r>
      <w:r w:rsidRPr="00C3671E">
        <w:rPr>
          <w:noProof/>
          <w:lang w:eastAsia="zh-CN"/>
        </w:rPr>
        <w:t>Hecht (2001)</w:t>
      </w:r>
      <w:r w:rsidRPr="00C3671E">
        <w:rPr>
          <w:noProof/>
          <w:lang w:eastAsia="zh-CN"/>
        </w:rPr>
        <w:fldChar w:fldCharType="end"/>
      </w:r>
      <w:r w:rsidRPr="00C3671E">
        <w:rPr>
          <w:noProof/>
          <w:lang w:eastAsia="zh-CN"/>
        </w:rPr>
        <w:t xml:space="preserve"> analysed data from a survey of Canadian mothers and found that those who provide more hours of caregiving, longer working hours and lower job flexibility feel the role conflict more often. </w:t>
      </w:r>
      <w:r w:rsidRPr="00C3671E">
        <w:rPr>
          <w:noProof/>
          <w:lang w:eastAsia="zh-CN"/>
        </w:rPr>
        <w:lastRenderedPageBreak/>
        <w:t>Therefore, the role conflict is not just a theoretical construction, but a phenomenon perceived by people.</w:t>
      </w:r>
    </w:p>
    <w:p w14:paraId="583F26FF" w14:textId="313532BF" w:rsidR="00C94483" w:rsidRPr="00C3671E" w:rsidRDefault="00C94483" w:rsidP="00466C1F">
      <w:pPr>
        <w:pStyle w:val="Newparagraph"/>
        <w:jc w:val="both"/>
        <w:rPr>
          <w:noProof/>
          <w:lang w:eastAsia="zh-CN"/>
        </w:rPr>
      </w:pPr>
      <w:r w:rsidRPr="00C3671E">
        <w:rPr>
          <w:noProof/>
          <w:lang w:eastAsia="zh-CN"/>
        </w:rPr>
        <w:t xml:space="preserve">Other types of social participation include activities such as </w:t>
      </w:r>
      <w:r w:rsidRPr="00C3671E">
        <w:t>volunteering</w:t>
      </w:r>
      <w:r w:rsidRPr="00C3671E">
        <w:rPr>
          <w:noProof/>
          <w:lang w:eastAsia="zh-CN"/>
        </w:rPr>
        <w:t xml:space="preserve">, lifelong learning, and political, religious, or sport club participation. These activities are usually less frequent and not considered as conflicting with others </w:t>
      </w:r>
      <w:r w:rsidRPr="00C3671E">
        <w:rPr>
          <w:noProof/>
          <w:lang w:eastAsia="zh-CN"/>
        </w:rPr>
        <w:fldChar w:fldCharType="begin" w:fldLock="1"/>
      </w:r>
      <w:r w:rsidR="00AA6335" w:rsidRPr="00C3671E">
        <w:rPr>
          <w:noProof/>
          <w:lang w:eastAsia="zh-CN"/>
        </w:rPr>
        <w:instrText>ADDIN CSL_CITATION { "citationItems" : [ { "id" : "ITEM-1", "itemData" : { "DOI" : "10.1111/joop.12003", "ISBN" : "09631798", "ISSN" : "09631798", "PMID" : "90563210", "abstract" : "This study examines the impact of engaging in seven types of activities on depression and quality of life in retirees and older workers over a period of 2 years, using a sample from the survey of health, ageing and retirement in Europe. Longitudinal data were available from 2,813 retirees and 1,372 older employees. Our results showed that volunteering, providing help and going to sports or social clubs at the baseline improved retirees\u2019 quality of lifeover a period of 2 years. No direct effects of engaging in activities were found for older employees. Moreover, higher depression at the baseline fostered the depression experience at the follow-up in those retirees and older employees who were caring for disabled adults at baseline. In retirees with higher depression at baseline, participation in religious organizations was associated with a greater decrease in depression at follow-up than in those who had lower levels of depression at baseline. For older employees, taking part in political or community organizations at baselinewas related to a greater decrease in depression at follow-up than in those employees who experienced higher initial depression.", "author" : [ { "dropping-particle" : "", "family" : "Poto\u010dnik", "given" : "Kristina", "non-dropping-particle" : "", "parse-names" : false, "suffix" : "" }, { "dropping-particle" : "", "family" : "Sonnentag", "given" : "Sabine", "non-dropping-particle" : "", "parse-names" : false, "suffix" : "" } ], "container-title" : "Journal of Occupational and Organizational Psychology", "id" : "ITEM-1", "issue" : "4", "issued" : { "date-parts" : [ [ "2013" ] ] }, "page" : "497-521", "title" : "A longitudinal study of well-being in older workers and retirees: The role of engaging in different types of activities", "type" : "article-journal", "volume" : "86" }, "uris" : [ "http://www.mendeley.com/documents/?uuid=5889bc5d-921b-416d-a3eb-706b9facb5cf" ] } ], "mendeley" : { "formattedCitation" : "(Poto\u010dnik and Sonnentag 2013)", "plainTextFormattedCitation" : "(Poto\u010dnik and Sonnentag 2013)", "previouslyFormattedCitation" : "(Poto\u010dnik and Sonnentag 2013)" }, "properties" : { "noteIndex" : 0 }, "schema" : "https://github.com/citation-style-language/schema/raw/master/csl-citation.json" }</w:instrText>
      </w:r>
      <w:r w:rsidRPr="00C3671E">
        <w:rPr>
          <w:noProof/>
          <w:lang w:eastAsia="zh-CN"/>
        </w:rPr>
        <w:fldChar w:fldCharType="separate"/>
      </w:r>
      <w:r w:rsidRPr="00C3671E">
        <w:rPr>
          <w:noProof/>
          <w:lang w:eastAsia="zh-CN"/>
        </w:rPr>
        <w:t>(Potočnik and Sonnentag 2013)</w:t>
      </w:r>
      <w:r w:rsidRPr="00C3671E">
        <w:rPr>
          <w:noProof/>
          <w:lang w:eastAsia="zh-CN"/>
        </w:rPr>
        <w:fldChar w:fldCharType="end"/>
      </w:r>
      <w:r w:rsidRPr="00C3671E">
        <w:rPr>
          <w:noProof/>
          <w:lang w:eastAsia="zh-CN"/>
        </w:rPr>
        <w:t xml:space="preserve">. However, </w:t>
      </w:r>
      <w:r w:rsidRPr="00C3671E">
        <w:rPr>
          <w:noProof/>
          <w:lang w:eastAsia="zh-CN"/>
        </w:rPr>
        <w:fldChar w:fldCharType="begin" w:fldLock="1"/>
      </w:r>
      <w:r w:rsidR="00AA6335" w:rsidRPr="00C3671E">
        <w:rPr>
          <w:noProof/>
          <w:lang w:eastAsia="zh-CN"/>
        </w:rPr>
        <w:instrText>ADDIN CSL_CITATION { "citationItems" : [ { "id" : "ITEM-1", "itemData" : { "DOI" : "10.1007/s11150-016-9322-4", "ISSN" : "15737152", "abstract" : "Against the background of rapid population ageing, studying social participation in later life is of particular relevance within the framework of active ageing. Although caring for grandchildren has taken a central role for older persons due to unprecedented overlap between grandparents' and their grandchildren's lives, whether the relationship between grandparental childcare and social activities is characterised by cumulation or competition remains under-explored. Grandparental childcare may increase the purpose in life for grandparents, stimulating their social participation, or it may impose time and energy constraints on it. This study aims to assess the effect of providing grandchild care on participation in social activities for people aged 50-85 in Europe. Using an instrumental variable approach on data from the Survey of Health, Ageing and Retirement in Europe, we find no significant negative effects of grandchild care on engagement in at least one social activity. However, regular provision of grandchild care has a significant negative effect on the number of activities in which grandmothers participate. When considering the activities separately by type we also find, for grandmothers only, a negative effect on volunteering, engagement in educational or training courses and participation in political or community-related organisation.", "author" : [ { "dropping-particle" : "", "family" : "Arpino", "given" : "Bruno", "non-dropping-particle" : "", "parse-names" : false, "suffix" : "" }, { "dropping-particle" : "", "family" : "Bordone", "given" : "Valeria", "non-dropping-particle" : "", "parse-names" : false, "suffix" : "" } ], "container-title" : "Review of Economics of the Household", "id" : "ITEM-1", "issue" : "1", "issued" : { "date-parts" : [ [ "2017" ] ] }, "page" : "135-174", "title" : "Regular provision of grandchild care and participation in social activities", "type" : "article-journal", "volume" : "15" }, "uris" : [ "http://www.mendeley.com/documents/?uuid=9addf098-b8d1-4700-aa06-de499378d7e2" ] } ], "mendeley" : { "formattedCitation" : "(Arpino and Bordone 2017)", "plainTextFormattedCitation" : "(Arpino and Bordone 2017)", "previouslyFormattedCitation" : "(Arpino and Bordone 2017)" }, "properties" : { "noteIndex" : 0 }, "schema" : "https://github.com/citation-style-language/schema/raw/master/csl-citation.json" }</w:instrText>
      </w:r>
      <w:r w:rsidRPr="00C3671E">
        <w:rPr>
          <w:noProof/>
          <w:lang w:eastAsia="zh-CN"/>
        </w:rPr>
        <w:fldChar w:fldCharType="separate"/>
      </w:r>
      <w:r w:rsidRPr="00C3671E">
        <w:rPr>
          <w:noProof/>
          <w:lang w:eastAsia="zh-CN"/>
        </w:rPr>
        <w:t>(Arpino and Bordone 2017)</w:t>
      </w:r>
      <w:r w:rsidRPr="00C3671E">
        <w:rPr>
          <w:noProof/>
          <w:lang w:eastAsia="zh-CN"/>
        </w:rPr>
        <w:fldChar w:fldCharType="end"/>
      </w:r>
      <w:r w:rsidRPr="00C3671E">
        <w:rPr>
          <w:noProof/>
          <w:lang w:eastAsia="zh-CN"/>
        </w:rPr>
        <w:t xml:space="preserve"> found lower social participation of caregivers in volunteering, education, and political organizations and the same authors found a distinction between older people involved in kin oriented and those involved in non-kin-oriented activities via Latent Class Analysis </w:t>
      </w:r>
      <w:r w:rsidRPr="00C3671E">
        <w:rPr>
          <w:noProof/>
          <w:lang w:eastAsia="zh-CN"/>
        </w:rPr>
        <w:fldChar w:fldCharType="begin" w:fldLock="1"/>
      </w:r>
      <w:r w:rsidR="00AA6335" w:rsidRPr="00C3671E">
        <w:rPr>
          <w:noProof/>
          <w:lang w:eastAsia="zh-CN"/>
        </w:rPr>
        <w:instrText>ADDIN CSL_CITATION { "citationItems" : [ { "id" : "ITEM-1", "itemData" : { "abstract" : "Against the background of population ageing, researchers and policymakers are increasingly interested in the factors that can allow people to age well. We consider different domains in the active ageing framework related to participation in non-kin activities (e.g., voluntary work) and provision of care to kin (e.g., to grandchildren). Our study is organised in two steps. First, by using data from the Survey of Health, Ageing and Retirement in Europe (SHARE) and by applying Latent Class Analysis (LCA) we aim at identifying clusters of older people with similar patterns of engagement in different kin and non-kin oriented activities. We not only consider engagement in different activities but also the intensity of such engagement. Second, we analyse the profiling of the clusters in order to study how individual variables are associated with different active ageing typologies", "author" : [ { "dropping-particle" : "", "family" : "Arpino", "given" : "Bruno", "non-dropping-particle" : "", "parse-names" : false, "suffix" : "" }, { "dropping-particle" : "", "family" : "Bordone", "given" : "Valeria", "non-dropping-particle" : "", "parse-names" : false, "suffix" : "" } ], "id" : "ITEM-1", "issued" : { "date-parts" : [ [ "2015" ] ] }, "number-of-pages" : "1-13", "title" : "Active Ageing Typologies: A Latent Class Analysis of the Older Europeans", "type" : "report" }, "uris" : [ "http://www.mendeley.com/documents/?uuid=c044226c-a22b-48be-b6c6-d719f8346065" ] } ], "mendeley" : { "formattedCitation" : "(Arpino and Bordone 2015)", "plainTextFormattedCitation" : "(Arpino and Bordone 2015)", "previouslyFormattedCitation" : "(Arpino and Bordone 2015)" }, "properties" : { "noteIndex" : 0 }, "schema" : "https://github.com/citation-style-language/schema/raw/master/csl-citation.json" }</w:instrText>
      </w:r>
      <w:r w:rsidRPr="00C3671E">
        <w:rPr>
          <w:noProof/>
          <w:lang w:eastAsia="zh-CN"/>
        </w:rPr>
        <w:fldChar w:fldCharType="separate"/>
      </w:r>
      <w:r w:rsidRPr="00C3671E">
        <w:rPr>
          <w:noProof/>
          <w:lang w:eastAsia="zh-CN"/>
        </w:rPr>
        <w:t>(Arpino and Bordone 2015)</w:t>
      </w:r>
      <w:r w:rsidRPr="00C3671E">
        <w:rPr>
          <w:noProof/>
          <w:lang w:eastAsia="zh-CN"/>
        </w:rPr>
        <w:fldChar w:fldCharType="end"/>
      </w:r>
      <w:r w:rsidRPr="00C3671E">
        <w:rPr>
          <w:noProof/>
          <w:lang w:eastAsia="zh-CN"/>
        </w:rPr>
        <w:t xml:space="preserve">. Further, volunteering is less prevalent among workers, but education and political participation are, in contrast, less prevalent among retirees </w:t>
      </w:r>
      <w:r w:rsidRPr="00C3671E">
        <w:rPr>
          <w:noProof/>
          <w:lang w:eastAsia="zh-CN"/>
        </w:rPr>
        <w:fldChar w:fldCharType="begin" w:fldLock="1"/>
      </w:r>
      <w:r w:rsidR="00AA6335" w:rsidRPr="00C3671E">
        <w:rPr>
          <w:noProof/>
          <w:lang w:eastAsia="zh-CN"/>
        </w:rPr>
        <w:instrText>ADDIN CSL_CITATION { "citationItems" : [ { "id" : "ITEM-1", "itemData" : { "DOI" : "10.1007/s11150-016-9322-4", "ISSN" : "15737152", "abstract" : "Against the background of rapid population ageing, studying social participation in later life is of particular relevance within the framework of active ageing. Although caring for grandchildren has taken a central role for older persons due to unprecedented overlap between grandparents' and their grandchildren's lives, whether the relationship between grandparental childcare and social activities is characterised by cumulation or competition remains under-explored. Grandparental childcare may increase the purpose in life for grandparents, stimulating their social participation, or it may impose time and energy constraints on it. This study aims to assess the effect of providing grandchild care on participation in social activities for people aged 50-85 in Europe. Using an instrumental variable approach on data from the Survey of Health, Ageing and Retirement in Europe, we find no significant negative effects of grandchild care on engagement in at least one social activity. However, regular provision of grandchild care has a significant negative effect on the number of activities in which grandmothers participate. When considering the activities separately by type we also find, for grandmothers only, a negative effect on volunteering, engagement in educational or training courses and participation in political or community-related organisation.", "author" : [ { "dropping-particle" : "", "family" : "Arpino", "given" : "Bruno", "non-dropping-particle" : "", "parse-names" : false, "suffix" : "" }, { "dropping-particle" : "", "family" : "Bordone", "given" : "Valeria", "non-dropping-particle" : "", "parse-names" : false, "suffix" : "" } ], "container-title" : "Review of Economics of the Household", "id" : "ITEM-1", "issue" : "1", "issued" : { "date-parts" : [ [ "2017" ] ] }, "page" : "135-174", "title" : "Regular provision of grandchild care and participation in social activities", "type" : "article-journal", "volume" : "15" }, "uris" : [ "http://www.mendeley.com/documents/?uuid=9addf098-b8d1-4700-aa06-de499378d7e2" ] } ], "mendeley" : { "formattedCitation" : "(Arpino and Bordone 2017)", "plainTextFormattedCitation" : "(Arpino and Bordone 2017)", "previouslyFormattedCitation" : "(Arpino and Bordone 2017)" }, "properties" : { "noteIndex" : 0 }, "schema" : "https://github.com/citation-style-language/schema/raw/master/csl-citation.json" }</w:instrText>
      </w:r>
      <w:r w:rsidRPr="00C3671E">
        <w:rPr>
          <w:noProof/>
          <w:lang w:eastAsia="zh-CN"/>
        </w:rPr>
        <w:fldChar w:fldCharType="separate"/>
      </w:r>
      <w:r w:rsidRPr="00C3671E">
        <w:rPr>
          <w:noProof/>
          <w:lang w:eastAsia="zh-CN"/>
        </w:rPr>
        <w:t>(Arpino and Bordone 2017)</w:t>
      </w:r>
      <w:r w:rsidRPr="00C3671E">
        <w:rPr>
          <w:noProof/>
          <w:lang w:eastAsia="zh-CN"/>
        </w:rPr>
        <w:fldChar w:fldCharType="end"/>
      </w:r>
      <w:r w:rsidRPr="00C3671E">
        <w:rPr>
          <w:noProof/>
          <w:lang w:eastAsia="zh-CN"/>
        </w:rPr>
        <w:t xml:space="preserve">. Other authors found a positive association of political participation with volunteering, attending courses and recreational centres </w:t>
      </w:r>
      <w:r w:rsidRPr="00C3671E">
        <w:rPr>
          <w:noProof/>
          <w:lang w:eastAsia="zh-CN"/>
        </w:rPr>
        <w:fldChar w:fldCharType="begin" w:fldLock="1"/>
      </w:r>
      <w:r w:rsidR="001257AA" w:rsidRPr="00C3671E">
        <w:rPr>
          <w:noProof/>
          <w:lang w:eastAsia="zh-CN"/>
        </w:rPr>
        <w:instrText>ADDIN CSL_CITATION { "citationItems" : [ { "id" : "ITEM-1", "itemData" : { "DOI" : "10.1007/s10433-015-0341-4", "ISSN" : "16139380", "abstract" : "This study explores older people\u2019s membership in political organizations by using data from the Survey on older people 2010, carried out by Spain\u2019s National Institute for older people and social services. The objectives were to describe the extent of this kind of participation among Spaniards aged 65 and over, and to analyze the factors that are associated with it. Results show that only slightly less than 7 % of the sample belonged to a political organization. To analyze the factors related to this membership, a set of models of multivariate analyses were run, including socioeconomic resources and participation in other types of active aging activity (participation in leisure, learning, and productive activities). Educational level, leisure activities, learning activities, and only volunteering in the case of productive activities were found to be associated with membership in political organizations. Results provide partial support for the socioeconomic resources model and suggest that engagement in leisure activities, learning activities, and volunteering might have an enhancing effect on membership in political organizations.", "author" : [ { "dropping-particle" : "", "family" : "Serrat", "given" : "Rodrigo", "non-dropping-particle" : "", "parse-names" : false, "suffix" : "" }, { "dropping-particle" : "", "family" : "Villar", "given" : "Feliciano", "non-dropping-particle" : "", "parse-names" : false, "suffix" : "" }, { "dropping-particle" : "", "family" : "Celdr\u00e1n", "given" : "Montserrat", "non-dropping-particle" : "", "parse-names" : false, "suffix" : "" } ], "container-title" : "European Journal of Ageing", "id" : "ITEM-1", "issue" : "3", "issued" : { "date-parts" : [ [ "2015" ] ] }, "page" : "239-247", "title" : "Factors associated with Spanish older people\u2019s membership in political organizations: the role of active aging activities", "type" : "article-journal", "volume" : "12" }, "uris" : [ "http://www.mendeley.com/documents/?uuid=916b36f3-3dc6-4f85-86e1-c170aa0e0234" ] } ], "mendeley" : { "formattedCitation" : "(Serrat et al. 2015)", "plainTextFormattedCitation" : "(Serrat et al. 2015)", "previouslyFormattedCitation" : "(Serrat et al. 2015)" }, "properties" : { "noteIndex" : 0 }, "schema" : "https://github.com/citation-style-language/schema/raw/master/csl-citation.json" }</w:instrText>
      </w:r>
      <w:r w:rsidRPr="00C3671E">
        <w:rPr>
          <w:noProof/>
          <w:lang w:eastAsia="zh-CN"/>
        </w:rPr>
        <w:fldChar w:fldCharType="separate"/>
      </w:r>
      <w:r w:rsidR="00C004DA" w:rsidRPr="00C3671E">
        <w:rPr>
          <w:noProof/>
          <w:lang w:eastAsia="zh-CN"/>
        </w:rPr>
        <w:t>(Serrat et al. 2015)</w:t>
      </w:r>
      <w:r w:rsidRPr="00C3671E">
        <w:rPr>
          <w:noProof/>
          <w:lang w:eastAsia="zh-CN"/>
        </w:rPr>
        <w:fldChar w:fldCharType="end"/>
      </w:r>
      <w:r w:rsidRPr="00C3671E">
        <w:rPr>
          <w:noProof/>
          <w:lang w:eastAsia="zh-CN"/>
        </w:rPr>
        <w:t xml:space="preserve"> and positive association between volunteer work, informal help, and care </w:t>
      </w:r>
      <w:r w:rsidRPr="00C3671E">
        <w:rPr>
          <w:noProof/>
          <w:lang w:eastAsia="zh-CN"/>
        </w:rPr>
        <w:fldChar w:fldCharType="begin" w:fldLock="1"/>
      </w:r>
      <w:r w:rsidR="00AA6335" w:rsidRPr="00C3671E">
        <w:rPr>
          <w:noProof/>
          <w:lang w:eastAsia="zh-CN"/>
        </w:rPr>
        <w:instrText>ADDIN CSL_CITATION { "citationItems" : [ { "id" : "ITEM-1", "itemData" : { "author" : [ { "dropping-particle" : "", "family" : "Hank", "given" : "Karsten", "non-dropping-particle" : "", "parse-names" : false, "suffix" : "" }, { "dropping-particle" : "", "family" : "Stuck", "given" : "Stephanie", "non-dropping-particle" : "", "parse-names" : false, "suffix" : "" } ], "collection-title" : "Discussion papers", "id" : "ITEM-1", "issued" : { "date-parts" : [ [ "2007" ] ] }, "number" : "733", "publisher-place" : "Berlin", "title" : "Volunteer work, informal help, and care among the 50+ in Europe: further evidence for linked productive activities at older ages", "type" : "report" }, "uris" : [ "http://www.mendeley.com/documents/?uuid=12cfc033-097f-4b80-84cd-575496fd095c" ] } ], "mendeley" : { "formattedCitation" : "(Hank and Stuck 2007)", "plainTextFormattedCitation" : "(Hank and Stuck 2007)", "previouslyFormattedCitation" : "(Hank and Stuck 2007)" }, "properties" : { "noteIndex" : 0 }, "schema" : "https://github.com/citation-style-language/schema/raw/master/csl-citation.json" }</w:instrText>
      </w:r>
      <w:r w:rsidRPr="00C3671E">
        <w:rPr>
          <w:noProof/>
          <w:lang w:eastAsia="zh-CN"/>
        </w:rPr>
        <w:fldChar w:fldCharType="separate"/>
      </w:r>
      <w:r w:rsidRPr="00C3671E">
        <w:rPr>
          <w:noProof/>
          <w:lang w:eastAsia="zh-CN"/>
        </w:rPr>
        <w:t>(Hank and Stuck 2007)</w:t>
      </w:r>
      <w:r w:rsidRPr="00C3671E">
        <w:rPr>
          <w:noProof/>
          <w:lang w:eastAsia="zh-CN"/>
        </w:rPr>
        <w:fldChar w:fldCharType="end"/>
      </w:r>
      <w:r w:rsidRPr="00C3671E">
        <w:rPr>
          <w:noProof/>
          <w:lang w:eastAsia="zh-CN"/>
        </w:rPr>
        <w:t xml:space="preserve">. Roles generally can support or exclude themselves, which depends on their demands and other situational factors. It seems that older people want to keep their productive activities, but not at the expense of their individually defined ‘personal time’ </w:t>
      </w:r>
      <w:r w:rsidRPr="00C3671E">
        <w:rPr>
          <w:noProof/>
          <w:lang w:eastAsia="zh-CN"/>
        </w:rPr>
        <w:fldChar w:fldCharType="begin" w:fldLock="1"/>
      </w:r>
      <w:r w:rsidR="00AA6335" w:rsidRPr="00C3671E">
        <w:rPr>
          <w:noProof/>
          <w:lang w:eastAsia="zh-CN"/>
        </w:rPr>
        <w:instrText>ADDIN CSL_CITATION { "citationItems" : [ { "id" : "ITEM-1", "itemData" : { "DOI" : "10.1007/s10433-011-0200-x", "ISSN" : "16139372", "author" : [ { "dropping-particle" : "", "family" : "Leinonen", "given" : "Anu", "non-dropping-particle" : "", "parse-names" : false, "suffix" : "" } ], "container-title" : "European Journal of Ageing", "id" : "ITEM-1", "issue" : "4", "issued" : { "date-parts" : [ [ "2011" ] ] }, "page" : "243-253", "title" : "Masters of their own time? Working carers' visions of retirement", "type" : "article-journal", "volume" : "8" }, "uris" : [ "http://www.mendeley.com/documents/?uuid=b4adf742-488c-46b8-a905-f42c2571a7f4" ] } ], "mendeley" : { "formattedCitation" : "(Leinonen 2011)", "plainTextFormattedCitation" : "(Leinonen 2011)", "previouslyFormattedCitation" : "(Leinonen 2011)" }, "properties" : { "noteIndex" : 0 }, "schema" : "https://github.com/citation-style-language/schema/raw/master/csl-citation.json" }</w:instrText>
      </w:r>
      <w:r w:rsidRPr="00C3671E">
        <w:rPr>
          <w:noProof/>
          <w:lang w:eastAsia="zh-CN"/>
        </w:rPr>
        <w:fldChar w:fldCharType="separate"/>
      </w:r>
      <w:r w:rsidRPr="00C3671E">
        <w:rPr>
          <w:noProof/>
          <w:lang w:eastAsia="zh-CN"/>
        </w:rPr>
        <w:t>(Leinonen 2011)</w:t>
      </w:r>
      <w:r w:rsidRPr="00C3671E">
        <w:rPr>
          <w:noProof/>
          <w:lang w:eastAsia="zh-CN"/>
        </w:rPr>
        <w:fldChar w:fldCharType="end"/>
      </w:r>
      <w:r w:rsidRPr="00C3671E">
        <w:rPr>
          <w:noProof/>
          <w:lang w:eastAsia="zh-CN"/>
        </w:rPr>
        <w:t>.</w:t>
      </w:r>
    </w:p>
    <w:p w14:paraId="09C7DBEF" w14:textId="28A7B326" w:rsidR="00C94483" w:rsidRPr="00C3671E" w:rsidRDefault="00C94483" w:rsidP="00466C1F">
      <w:pPr>
        <w:pStyle w:val="Newparagraph"/>
        <w:jc w:val="both"/>
        <w:rPr>
          <w:noProof/>
          <w:lang w:eastAsia="zh-CN"/>
        </w:rPr>
      </w:pPr>
      <w:r w:rsidRPr="00C3671E">
        <w:rPr>
          <w:noProof/>
          <w:lang w:eastAsia="zh-CN"/>
        </w:rPr>
        <w:t xml:space="preserve">Roles in later life are clearly interdependent, and thus they should be contained in the same model when their impact on QoL is evaluated. So far, many papers examined the effect of employment/retirement </w:t>
      </w:r>
      <w:r w:rsidRPr="00C3671E">
        <w:rPr>
          <w:noProof/>
          <w:lang w:eastAsia="zh-CN"/>
        </w:rPr>
        <w:fldChar w:fldCharType="begin" w:fldLock="1"/>
      </w:r>
      <w:r w:rsidR="001257AA" w:rsidRPr="00C3671E">
        <w:rPr>
          <w:noProof/>
          <w:lang w:eastAsia="zh-CN"/>
        </w:rPr>
        <w:instrText>ADDIN CSL_CITATION { "citationItems" : [ { "id" : "ITEM-1", "itemData" : { "DOI" : "10.1007/s10902-012-9399-2", "ISSN" : "13894978", "abstract" : "This study examines the relationship between retirement and subjective well-being (SWB), utilizing international data from sixteen countries in Western Europe and the US. Differences in social security regimes are exploited to estimate the retirement decision such that it is exogenous to individual-level characteristics. Although results from traditional ordinary least squares suggest an ambiguous relationship between retirement and SWB, this is due to comparatively lower SWB among those who choose retirement. The removal of selection bias reveals a large, positive effect that fades over a few years, suggesting a multi-stage adjustment to retirement. Individuals facing formal retirement at age 65 or later experience an increase in SWB that is roughly equivalent in total value to that of individuals facing earlier retirement, and both groups return to trend by age 70. This suggests that raising the formal retirement age, which is widely discussed today by policymakers, is relatively neutral with regard to SWB in the long-term.", "author" : [ { "dropping-particle" : "", "family" : "Horner", "given" : "Elizabeth Mokyr", "non-dropping-particle" : "", "parse-names" : false, "suffix" : "" } ], "container-title" : "Journal of Happiness Studies", "id" : "ITEM-1", "issue" : "1", "issued" : { "date-parts" : [ [ "2014" ] ] }, "page" : "125-144", "title" : "Subjective Well-Being and Retirement: Analysis and Policy Recommendations", "type" : "article-journal", "volume" : "15" }, "uris" : [ "http://www.mendeley.com/documents/?uuid=84c4b7f5-4f4e-4a9c-9f0b-e26858f7c56a" ] }, { "id" : "ITEM-2", "itemData" : { "DOI" : "10.1016/j.socec.2010.12.011", "ISSN" : "10914358", "PMID" : "23676414", "abstract" : "BACKGROUND: Like most of other developed countries, Canada experienced baby boom in the 20 years after World War II. With the eldest baby turned 65 in 2011, it is expected that a considerable number of people will retire in coming years and consequently, retired people will soon constitute a significant part of Canadian population. In this context, an interesting question would be how retirement impacts mental health. This question is related to the well-being of the retired population as well as to over all health care expenditures. AIMS: The major objective of this study is to examine the impact of retirement on mental health as measured by the Short Form Depression Scale. This study further conducts separate analyses to examine whether the impact of retirement on mental health differs between males and females, and among different education and income groups. METHODS: This study uses large scale Canadian National Population Heath Survey (Longitudinal Component) data and adopts fixed effect method and fixed effect instrumental variable method to deal with possible endogeneity problem. RESULTS: After controlling for unobserved individual specific heterogeneity, the study found that retirement has an insignificant impact on depression. As a robustness check, the study utilizes logit, conditional fixed effect logit, and fixed effect instrumental variable regression on a dichotomous variable representing depression and found that retirement has an insignificant impact on depression. The study further examined this issue using different subgroups based on gender, education and marital status, and again found that impacts of retirement on depression are not statistically significant. IMPLICATIONS FOR POLICY: Though the coefficients are statistically insignificant, however, most of the results are economically meaningful since the magnitudes are relatively large, implying very large effects. The effects of retirement on mental health appear to be complex and multidimensional; however, based on the FE-IV models, most of the effects seem to suggest that there may be some increase in depression symptoms. The findings of this study will have important policy implications. If retirement worsens mental health, then policy encouraging retirement may actually increase health care expenditures. On the other hand, if retirement improves mental health, then such policy will likely to decrease health care expenditure. Studies based on data from Canada and other OECD cou\u2026", "author" : [ { "dropping-particle" : "", "family" : "Latif", "given" : "Ehsan", "non-dropping-particle" : "", "parse-names" : false, "suffix" : "" } ], "container-title" : "Journal of Mental Health Policy and Economics", "id" : "ITEM-2", "issue" : "1", "issued" : { "date-parts" : [ [ "2011" ] ] }, "note" : "Latif 2010: The impact of retirement on psychological well-being in Canada\nLike most other developed countries, Canada is experienc-\ning a decrease in the age at retirement and simultaneously an increase in life expectancy\nconflicting theoretical views on how retirement impacts psychological well-being: role theory and continuity theory\nThe role theory considers that work and employment, being a source of self respect and identity, play a central role in the life of a typical adult (Miller, 1965)\ncontinuity theory - individuals occupy multiple roles such as family roles and friendship roles and for most people the work role may not necessarily be their most central role\n- retirement may actually offer an opportunity to spend more time in the important roles of friend and family member\nseven longitudinal waves of the Canadian National Population Health Survey, spanning 1994 through 2006\nthe study also takes into account the possible bias due to reverse causality and time varying unobserved factors\nthe study finds that retirement has significant positive impact on subsequent psychological well-being\nsubstantiating of the continuity theory notion that retirement may actually improve psychological well-being", "page" : "35-46", "publisher" : "Elsevier Inc.", "title" : "The impact of retirement on mental health in Canada", "type" : "article-journal", "volume" : "16" }, "uris" : [ "http://www.mendeley.com/documents/?uuid=e3abe66c-305f-4858-927d-30c33a38a6fa" ] }, { "id" : "ITEM-3", "itemData" : { "DOI" : "10.1136/jech-2013-202820", "ISBN" : "0143-005x", "ISSN" : "1470-2738", "PMID" : "22156662", "abstract" : "BACKGROUND: 'Active ageing' has been promoted as a strategy for extending quality of life and healthy life expectancy. However, there is limited evidence from nationally representative longitudinal studies on whether engagement among older adults is associated with better outcomes and few studies have considered possible bias arising from differential study attrition. METHODS: We investigate associations between the engagement of people aged 50-69 in three types of activity with self-rated health and depression 2 years later using nationally representative longitudinal data from four European countries (Denmark, France, Italy and England). Data were drawn from waves 1 and 2 of the Survey of Health, Ageing and Retirement in Europe and the English Longitudinal Study of Ageing. Multivariable analysis was used to analyse associations between baseline activity and outcomes at follow-up controlling for socioeconomic, demographic and health-related variables at baseline. Multiple imputation techniques and sensitivity analyses were undertaken to investigate possible bias arising from sample attrition. RESULTS: Respondents in paid work at baseline were less likely to be depressed or to report poor or fair health at follow-up than those who were 'inactive', although not in Italy. Engagement in formal and informal activities was not significantly associated with health at follow-up. Sensitivity analyses showed that assuming that those in bad health were over-represented among study attritors weakened the association between work at baseline and health at follow-up. CONCLUSIONS: Engagement in paid work may help maintain health in later life, although mechanisms and contextual influences need further investigation.", "author" : [ { "dropping-particle" : "", "family" : "Gessa", "given" : "Giorgio", "non-dropping-particle" : "Di", "parse-names" : false, "suffix" : "" }, { "dropping-particle" : "", "family" : "Grundy", "given" : "Emily", "non-dropping-particle" : "", "parse-names" : false, "suffix" : "" } ], "container-title" : "Journal of Epidemiology and Community Health", "id" : "ITEM-3", "issue" : "3", "issued" : { "date-parts" : [ [ "2013" ] ] }, "note" : "Gessa, Grundy 2013: The relationship between active ageing and health using longitudinal data from Denmark, France, Italy and England\n\u2018Active ageing\u2019 has been promoted as a strategy for extending quality of life and healthy life expectancy\nEngagement of older people occurs within a socio-political context and may be influenced by the provision of services and generosity of benefits, pension schemes and labour, retirement and early retirement policies, as well as norms and values.14 15 It is well recognised that these contextual factors vary within Europe, and typologies have been developed that group together countries with similar policies\nEngagement in formal and informal activities was not significantly associated with health at follow-up - higher attrition\nof ill respondents\npossitive impact of work in three countries except Italy\npaid work - prestige, power, status + physical activity + economic resources\nNo associations were found between engagement in the other types of activity considered and either depression or SRH\nEngagement in paid work may help maintain health in later life, although mechanisms and contextual influences need further investigation\n\u2192\nIndividual consequences of volunteer and paid work in old age: health and mortality\nIs work good for your health and well-being?\nPolicy and practices relating to the active engagement of older people in the community\nVariations in older people\u2019s social and productive ageing activities across different social welfare regimes", "page" : "261-267", "title" : "The relationship between active ageing and health using longitudinal data from Denmark, France, Italy and England", "type" : "article-journal", "volume" : "68" }, "uris" : [ "http://www.mendeley.com/documents/?uuid=099505a4-8bdf-490c-ae2d-b130a8bcf814" ] } ], "mendeley" : { "formattedCitation" : "(Di Gessa and Grundy 2013; Horner 2014; Latif 2011)", "plainTextFormattedCitation" : "(Di Gessa and Grundy 2013; Horner 2014; Latif 2011)", "previouslyFormattedCitation" : "(Di Gessa and Grundy 2013; Horner 2014; Latif 2011)" }, "properties" : { "noteIndex" : 0 }, "schema" : "https://github.com/citation-style-language/schema/raw/master/csl-citation.json" }</w:instrText>
      </w:r>
      <w:r w:rsidRPr="00C3671E">
        <w:rPr>
          <w:noProof/>
          <w:lang w:eastAsia="zh-CN"/>
        </w:rPr>
        <w:fldChar w:fldCharType="separate"/>
      </w:r>
      <w:r w:rsidR="00A91559" w:rsidRPr="00C3671E">
        <w:rPr>
          <w:noProof/>
          <w:lang w:eastAsia="zh-CN"/>
        </w:rPr>
        <w:t>(Di Gessa and Grundy 2013; Horner 2014; Latif 2011)</w:t>
      </w:r>
      <w:r w:rsidRPr="00C3671E">
        <w:rPr>
          <w:noProof/>
          <w:lang w:eastAsia="zh-CN"/>
        </w:rPr>
        <w:fldChar w:fldCharType="end"/>
      </w:r>
      <w:r w:rsidRPr="00C3671E">
        <w:rPr>
          <w:noProof/>
          <w:lang w:eastAsia="zh-CN"/>
        </w:rPr>
        <w:t xml:space="preserve">, provision of care </w:t>
      </w:r>
      <w:r w:rsidRPr="00C3671E">
        <w:rPr>
          <w:noProof/>
          <w:lang w:eastAsia="zh-CN"/>
        </w:rPr>
        <w:fldChar w:fldCharType="begin" w:fldLock="1"/>
      </w:r>
      <w:r w:rsidR="001257AA" w:rsidRPr="00C3671E">
        <w:rPr>
          <w:noProof/>
          <w:lang w:eastAsia="zh-CN"/>
        </w:rPr>
        <w:instrText>ADDIN CSL_CITATION { "citationItems" : [ { "id" : "ITEM-1", "itemData" : { "DOI" : "10.1007/s10433-013-0276-6", "ISBN" : "1613-9380; 1613-9372", "ISSN" : "16139372", "abstract" : "Based on the caregiver stress model, we examined how care demands, caregiver motivation, coping style and external support are associated with positive evaluation and caregiver burden among spousal, adult child and other types of care relations. Data from a sample of Dutch informal caregivers of 1,685 older persons (55 and older) were analyzed employing multivariate linear regression analyses for each of the care relationship types. Spouses (N = 206) report high positive evaluation and high burden, adult children (N = 1,093) report low positive evaluation, and other caregivers (N = 386) report high positive evaluation and a low burden. Multivariate linear regression analyses showed that motives and external support were important for positive evaluation but the impact varied among types of caregivers, whereas care demands and not asking for help were associated with burden for all types. Only among \u2018other\u2019 caregiver relationships, positive evaluation was negatively associated with burden. It is concluded that results confirm the dual nature of caregiving among spouses and children. The care context and motivation of the different types of caregivers explain their differences in care evaluation. Various interventions for types of caregivers are discussed. (PsycINFO Database Record (c) 2014 APA, all rights reserved) (journal abstract)", "author" : [ { "dropping-particle" : "", "family" : "Broese van Groenou", "given" : "Marjolein I.", "non-dropping-particle" : "", "parse-names" : false, "suffix" : "" }, { "dropping-particle" : "", "family" : "Boer", "given" : "Alice", "non-dropping-particle" : "de", "parse-names" : false, "suffix" : "" }, { "dropping-particle" : "", "family" : "Iedema", "given" : "Jurjen", "non-dropping-particle" : "", "parse-names" : false, "suffix" : "" } ], "container-title" : "European Journal of Ageing", "id" : "ITEM-1", "issue" : "4", "issued" : { "date-parts" : [ [ "2013" ] ] }, "page" : "301-311", "title" : "Positive and negative evaluation of caregiving among three different types of informal care relationships", "type" : "article-journal", "volume" : "10" }, "uris" : [ "http://www.mendeley.com/documents/?uuid=e39ec068-a7a1-4bd1-bbf4-2717643670f7" ] }, { "id" : "ITEM-2", "itemData" : { "DOI" : "10.1177/003288553401400202", "ISBN" : "9789264097759", "ISSN" : "0032-8855", "PMID" : "24443734", "abstract" : "When a young person is jobless, it also damages family, community, and country", "author" : [ { "dropping-particle" : "", "family" : "Colombo", "given" : "Francesca", "non-dropping-particle" : "", "parse-names" : false, "suffix" : "" }, { "dropping-particle" : "", "family" : "Llena-Nozal", "given" : "Ana", "non-dropping-particle" : "", "parse-names" : false, "suffix" : "" }, { "dropping-particle" : "", "family" : "Mercier", "given" : "J\u00e9r\u00f4me", "non-dropping-particle" : "", "parse-names" : false, "suffix" : "" }, { "dropping-particle" : "", "family" : "Tjadens", "given" : "Frits", "non-dropping-particle" : "", "parse-names" : false, "suffix" : "" } ], "id" : "ITEM-2", "issued" : { "date-parts" : [ [ "2011" ] ] }, "publisher" : "OECD Publishing", "publisher-place" : "Paris", "title" : "Help Wanted? Providing and Paying for Long-Term Care", "type" : "book" }, "uris" : [ "http://www.mendeley.com/documents/?uuid=0369a866-d1da-45d0-b6c4-0d3653bc82c7" ] } ], "mendeley" : { "formattedCitation" : "(Broese van Groenou et al. 2013; Colombo et al. 2011)", "plainTextFormattedCitation" : "(Broese van Groenou et al. 2013; Colombo et al. 2011)", "previouslyFormattedCitation" : "(Broese van Groenou et al. 2013; Colombo et al. 2011)" }, "properties" : { "noteIndex" : 0 }, "schema" : "https://github.com/citation-style-language/schema/raw/master/csl-citation.json" }</w:instrText>
      </w:r>
      <w:r w:rsidRPr="00C3671E">
        <w:rPr>
          <w:noProof/>
          <w:lang w:eastAsia="zh-CN"/>
        </w:rPr>
        <w:fldChar w:fldCharType="separate"/>
      </w:r>
      <w:r w:rsidR="00A91559" w:rsidRPr="00C3671E">
        <w:rPr>
          <w:noProof/>
          <w:lang w:eastAsia="zh-CN"/>
        </w:rPr>
        <w:t>(Broese van Groenou et al. 2013; Colombo et al. 2011)</w:t>
      </w:r>
      <w:r w:rsidRPr="00C3671E">
        <w:rPr>
          <w:noProof/>
          <w:lang w:eastAsia="zh-CN"/>
        </w:rPr>
        <w:fldChar w:fldCharType="end"/>
      </w:r>
      <w:r w:rsidRPr="00C3671E">
        <w:rPr>
          <w:noProof/>
          <w:lang w:eastAsia="zh-CN"/>
        </w:rPr>
        <w:t xml:space="preserve">, and activities of social participation </w:t>
      </w:r>
      <w:r w:rsidRPr="00C3671E">
        <w:rPr>
          <w:noProof/>
          <w:lang w:eastAsia="zh-CN"/>
        </w:rPr>
        <w:fldChar w:fldCharType="begin" w:fldLock="1"/>
      </w:r>
      <w:r w:rsidR="001257AA" w:rsidRPr="00C3671E">
        <w:rPr>
          <w:noProof/>
          <w:lang w:eastAsia="zh-CN"/>
        </w:rPr>
        <w:instrText>ADDIN CSL_CITATION { "citationItems" : [ { "id" : "ITEM-1", "itemData" : { "DOI" : "10.1016/j.maturitas.2011.08.010", "ISBN" : "1912156083", "ISSN" : "03785122", "PMID" : "21958942", "abstract" : "The year 2011 was declared the 'European Year of Volunteering' to recognise the contribution volunteers make to society. Such cross-national events reflect the high profile of volunteering and political imperatives to promote it. The purpose of this review is to provide a comprehensive review of current knowledge (articles published between 2005 and 2011) regarding the role of volunteering in improving older people's quality of life (QoL) and to identify areas requiring further research. Volunteering was defined as an activity that is freely chosen, does not involve remuneration and helps or benefits those beyond an individual's immediate family. Our search identified 22 studies and 5 review articles that addressed the benefits of volunteering on older people's quality of life. Most of the research had been conducted in the United States, Canada and Australia using data from longitudinal studies. The majority of the studies concluded that there is a positive association between older people's quality of life and engagement in volunteering. Due to the study designs and the heterogeneity of the research, causality is difficult to demonstrate and the knowledge the studies bring to the subject is variable. This review shows that volunteering may help to maintain and possibly improve some older adults' quality of life. However, there are still major gaps in our understanding of who actually benefits, the social and cultural context of volunteering and its role in reducing health and social inequalities. ?? 2011 Elsevier Ireland Ltd.", "author" : [ { "dropping-particle" : "", "family" : "Cattan", "given" : "Mima", "non-dropping-particle" : "", "parse-names" : false, "suffix" : "" }, { "dropping-particle" : "", "family" : "Hogg", "given" : "Eddy", "non-dropping-particle" : "", "parse-names" : false, "suffix" : "" }, { "dropping-particle" : "", "family" : "Hardill", "given" : "Irene", "non-dropping-particle" : "", "parse-names" : false, "suffix" : "" } ], "container-title" : "Maturitas", "id" : "ITEM-1", "issue" : "4", "issued" : { "date-parts" : [ [ "2011" ] ] }, "page" : "328-332", "publisher" : "Elsevier Ireland Ltd", "title" : "Improving quality of life in ageing populations: What can volunteering do?", "type" : "article-journal", "volume" : "70" }, "uris" : [ "http://www.mendeley.com/documents/?uuid=7cb6e6b7-58ca-474e-a4fe-923493357f55" ] }, { "id" : "ITEM-2", "itemData" : { "DOI" : "10.1017/S0144686X10001091", "ISBN" : "0144686X (ISSN)", "ISSN" : "0144-686X", "PMID" : "59665633", "abstract" : "An engaged lifestyle is seen as an important component of successful ageing. Many older adults with high participation in social and leisure activities report positive wellbeing, a fact that fuelled the original activity theory and that continues to influence researchers, theorists and practitioners. This study's purpose is to review the conceptualisation and measurement of activity among older adults and the associations reported in the gerontological literature between specific dimensions of activity and wellbeing. We searched published studies that focused on social and leisure activity and wellbeing, and found 42 studies in 44 articles published between 1995 and 2009. They reported from one to 13 activity domains, the majority reporting two or three, such as informal , formal and solitary , or productive versus leisure . Domains associated with subjective wellbeing, health or survival included social, leisure, productive, physical, intellectual, service and solitary activities. Informal social activity has accumulated the most evidence of an influence on wellbeing. Individual descriptors such as gender or physical functioning sometimes moderate these associations, while contextual variables such as choice, meaning or perceived quality play intervening roles. Differences in definitions and measurement make it difficult to draw inferences about this body of evidence on the associations between activity and wellbeing. Activity theory serves as shorthand for these associations, but gerontology must better integrate developmental and psychological constructs into a refined, comprehensive activity theory.", "author" : [ { "dropping-particle" : "", "family" : "Adams", "given" : "Kathryn Betts", "non-dropping-particle" : "", "parse-names" : false, "suffix" : "" }, { "dropping-particle" : "", "family" : "Leibbrandt", "given" : "Sylvia", "non-dropping-particle" : "", "parse-names" : false, "suffix" : "" }, { "dropping-particle" : "", "family" : "Moon", "given" : "Heehyul", "non-dropping-particle" : "", "parse-names" : false, "suffix" : "" } ], "container-title" : "Ageing and Society", "id" : "ITEM-2", "issue" : "04", "issued" : { "date-parts" : [ [ "2011" ] ] }, "page" : "683-712", "title" : "A critical review of the literature on social and leisure activity and wellbeing in later life", "type" : "article-journal", "volume" : "31" }, "uris" : [ "http://www.mendeley.com/documents/?uuid=28bf1c76-83b5-46ba-8c9c-efd885614e50" ] } ], "mendeley" : { "formattedCitation" : "(Adams et al. 2011; Cattan et al. 2011)", "plainTextFormattedCitation" : "(Adams et al. 2011; Cattan et al. 2011)", "previouslyFormattedCitation" : "(Adams et al. 2011; Cattan et al. 2011)" }, "properties" : { "noteIndex" : 0 }, "schema" : "https://github.com/citation-style-language/schema/raw/master/csl-citation.json" }</w:instrText>
      </w:r>
      <w:r w:rsidRPr="00C3671E">
        <w:rPr>
          <w:noProof/>
          <w:lang w:eastAsia="zh-CN"/>
        </w:rPr>
        <w:fldChar w:fldCharType="separate"/>
      </w:r>
      <w:r w:rsidR="00A91559" w:rsidRPr="00C3671E">
        <w:rPr>
          <w:noProof/>
          <w:lang w:eastAsia="zh-CN"/>
        </w:rPr>
        <w:t>(Adams et al. 2011; Cattan et al. 2011)</w:t>
      </w:r>
      <w:r w:rsidRPr="00C3671E">
        <w:rPr>
          <w:noProof/>
          <w:lang w:eastAsia="zh-CN"/>
        </w:rPr>
        <w:fldChar w:fldCharType="end"/>
      </w:r>
      <w:r w:rsidRPr="00C3671E">
        <w:rPr>
          <w:noProof/>
          <w:lang w:eastAsia="zh-CN"/>
        </w:rPr>
        <w:t xml:space="preserve"> on QoL, but none of them included all effects into one model, even though change in one role can affect the outcome of others.</w:t>
      </w:r>
    </w:p>
    <w:p w14:paraId="534D0463" w14:textId="77777777" w:rsidR="00C94483" w:rsidRPr="00C3671E" w:rsidRDefault="00C94483" w:rsidP="007E6D8E">
      <w:pPr>
        <w:pStyle w:val="Nadpis3"/>
        <w:spacing w:line="480" w:lineRule="auto"/>
        <w:rPr>
          <w:rFonts w:ascii="Times New Roman" w:hAnsi="Times New Roman" w:cs="Times New Roman"/>
          <w:b w:val="0"/>
          <w:i/>
          <w:lang w:val="en-GB" w:eastAsia="zh-CN"/>
        </w:rPr>
      </w:pPr>
      <w:bookmarkStart w:id="89" w:name="_Toc512687781"/>
      <w:r w:rsidRPr="00C3671E">
        <w:rPr>
          <w:rFonts w:ascii="Times New Roman" w:hAnsi="Times New Roman" w:cs="Times New Roman"/>
          <w:b w:val="0"/>
          <w:i/>
          <w:lang w:val="en-GB" w:eastAsia="zh-CN"/>
        </w:rPr>
        <w:t>Meaning of activities based on social position</w:t>
      </w:r>
      <w:bookmarkEnd w:id="89"/>
    </w:p>
    <w:p w14:paraId="4CAE3C61" w14:textId="1759D4E6" w:rsidR="00C94483" w:rsidRPr="00C3671E" w:rsidRDefault="00C94483" w:rsidP="00C94483">
      <w:pPr>
        <w:suppressAutoHyphens/>
        <w:spacing w:line="480" w:lineRule="auto"/>
        <w:jc w:val="both"/>
        <w:rPr>
          <w:lang w:val="en-GB"/>
        </w:rPr>
      </w:pPr>
      <w:r w:rsidRPr="00C3671E">
        <w:rPr>
          <w:lang w:val="en-GB"/>
        </w:rPr>
        <w:t xml:space="preserve">The role outcomes may not depend only on their compatibility with </w:t>
      </w:r>
      <w:r w:rsidRPr="00466C1F">
        <w:rPr>
          <w:rFonts w:eastAsia="Calibri"/>
          <w:lang w:val="en-GB" w:eastAsia="en-US"/>
        </w:rPr>
        <w:t>other</w:t>
      </w:r>
      <w:r w:rsidRPr="00C3671E">
        <w:rPr>
          <w:lang w:val="en-GB"/>
        </w:rPr>
        <w:t xml:space="preserve"> roles, but also on the meaning they have </w:t>
      </w:r>
      <w:r w:rsidRPr="00C3671E">
        <w:rPr>
          <w:lang w:val="en-GB" w:eastAsia="zh-CN"/>
        </w:rPr>
        <w:t>for the</w:t>
      </w:r>
      <w:r w:rsidRPr="00C3671E">
        <w:rPr>
          <w:lang w:val="en-GB"/>
        </w:rPr>
        <w:t xml:space="preserve"> individual </w:t>
      </w:r>
      <w:r w:rsidRPr="00C3671E">
        <w:rPr>
          <w:lang w:val="en-GB"/>
        </w:rPr>
        <w:fldChar w:fldCharType="begin" w:fldLock="1"/>
      </w:r>
      <w:r w:rsidR="001257AA" w:rsidRPr="00C3671E">
        <w:rPr>
          <w:lang w:val="en-GB"/>
        </w:rPr>
        <w:instrText>ADDIN CSL_CITATION { "citationItems" : [ { "id" : "ITEM-1", "itemData" : { "DOI" : "10.1177/0190272511422452", "ISBN" : "0190272511", "ISSN" : "0190-2725", "abstract" : "We use existential theory as a framework to explore the levels of and relationship between job and couple burnout reported by dual-earner couples in the \u2018\u2018sandwich generation\u2019\u2019 (i.e., couples caring both for children and aging parents) in a sample of such couples in Israel and the United States. This comparison enables an examination of the influence of culture (which is rarely addressed in burnout research) and gender (a topic fraught with conflicting results) on both job and couple burnout in this growing yet understudied group of workers who are reaching middle age and starting to face existential issues as part of their own life cycle. Results revealed significant differences in burnout type (job burnout higher than couple burnout); gender (wives more burned out than husbands); and country (Americans more burned out than Israelis). Job related stressors and rewards as well as parent care stressors predicted job burnout, and marital stressors and rewards predicted couple burnout. In addition, there was evidence for both crossover and spillover.", "author" : [ { "dropping-particle" : "", "family" : "Pines", "given" : "Ayala Malach", "non-dropping-particle" : "", "parse-names" : false, "suffix" : "" }, { "dropping-particle" : "", "family" : "Neal", "given" : "Margaret B.", "non-dropping-particle" : "", "parse-names" : false, "suffix" : "" }, { "dropping-particle" : "", "family" : "Hammer", "given" : "Leslie B.", "non-dropping-particle" : "", "parse-names" : false, "suffix" : "" }, { "dropping-particle" : "", "family" : "Icekson", "given" : "Tamar", "non-dropping-particle" : "", "parse-names" : false, "suffix" : "" } ], "container-title" : "Social Psychology Quarterly", "id" : "ITEM-1", "issue" : "4", "issued" : { "date-parts" : [ [ "2011" ] ] }, "page" : "361-386", "title" : "Job Burnout and Couple Burnout in Dual-earner Couples in the Sandwiched Generation", "type" : "article-journal", "volume" : "74" }, "uris" : [ "http://www.mendeley.com/documents/?uuid=95d8b186-6596-493c-9642-2bfa694357b6" ] } ], "mendeley" : { "formattedCitation" : "(Pines et al. 2011)", "plainTextFormattedCitation" : "(Pines et al. 2011)", "previouslyFormattedCitation" : "(Pines et al. 2011)" }, "properties" : { "noteIndex" : 0 }, "schema" : "https://github.com/citation-style-language/schema/raw/master/csl-citation.json" }</w:instrText>
      </w:r>
      <w:r w:rsidRPr="00C3671E">
        <w:rPr>
          <w:lang w:val="en-GB"/>
        </w:rPr>
        <w:fldChar w:fldCharType="separate"/>
      </w:r>
      <w:r w:rsidR="00C004DA" w:rsidRPr="00C3671E">
        <w:rPr>
          <w:noProof/>
          <w:lang w:val="en-GB"/>
        </w:rPr>
        <w:t>(Pines et al. 2011)</w:t>
      </w:r>
      <w:r w:rsidRPr="00C3671E">
        <w:rPr>
          <w:lang w:val="en-GB"/>
        </w:rPr>
        <w:fldChar w:fldCharType="end"/>
      </w:r>
      <w:r w:rsidRPr="00C3671E">
        <w:rPr>
          <w:lang w:val="en-GB"/>
        </w:rPr>
        <w:t xml:space="preserve">. Hence, the effect of activities supported </w:t>
      </w:r>
      <w:r w:rsidRPr="00C3671E">
        <w:rPr>
          <w:lang w:val="en-GB"/>
        </w:rPr>
        <w:lastRenderedPageBreak/>
        <w:t xml:space="preserve">by active ageing approach can be more beneficial for older people of certain characteristics. These activities have been chosen by a group of academics, practitioners, and politicians, who are supposedly younger, wealthier, and more educated than a typical representative of the target population. Furthermore, authors of the approach are a group of actors with their own values, goals, and motivations </w:t>
      </w:r>
      <w:r w:rsidRPr="00C3671E">
        <w:rPr>
          <w:lang w:val="en-GB"/>
        </w:rPr>
        <w:fldChar w:fldCharType="begin" w:fldLock="1"/>
      </w:r>
      <w:r w:rsidR="001257AA" w:rsidRPr="00C3671E">
        <w:rPr>
          <w:lang w:val="en-GB"/>
        </w:rPr>
        <w:instrText>ADDIN CSL_CITATION { "citationItems" : [ { "id" : "ITEM-1", "itemData" : { "author" : [ { "dropping-particle" : "", "family" : "Bar-Tal", "given" : "Daniel", "non-dropping-particle" : "", "parse-names" : false, "suffix" : "" } ], "id" : "ITEM-1", "issued" : { "date-parts" : [ [ "2000" ] ] }, "publisher" : "SAGE Publications", "publisher-place" : "Thousand Oaks", "title" : "Shared Beliefs in a Society: Social Psychological Analysis", "type" : "book" }, "uris" : [ "http://www.mendeley.com/documents/?uuid=6c12565a-8376-4369-a90d-d4dd5f9a7f86" ] }, { "id" : "ITEM-2", "itemData" : { "DOI" : "10.2307/1953494", "ISBN" : "0003-0554", "ISSN" : "0003-0554", "abstract" : "A transformation of basic political priorities may be taking place in Western Europe. I hypothesize: (1) that people have a variety of needs which are given high or low priority according to their degree of fulfillment: people act on behalf of their most important unsatisfied need, giving relatively little attention to needs already satisfied\u2014except that (2) people tend to retain the value priorities adopted in their formative years throughout adult life. In contemporary Western Europe, needs for physical safety and economic security are relatively well satisfied for an unprecedentedly large share of the population. Younger, more affluent groups have been formed entirely under these conditions, and seem relatively likely to give top priority to fulfillment of needs which remain secondary to the older and less affluent majority of the population. Needs for belonging and intellectual and esthetic self-fulfillment (characterized as \u201cpost-bourgeois\u201d values) may take top priorities among the former group. Survey data from six countries indicate that the value priorities of the more affluent postwar group do contrast with those of groups raised under conditions of lesser economic and physical security. National patterns of value priorities correspond to the given nation's economic history, moreover, suggesting that the age-group differences reflect the persistence of preadult experiences, rather than life cycle effects. The distinctive value priorities imply distinctive political behavior\u2014being empirically linked with preferences for specific political issues and political parties in a predictable fashion. If the respective age cohorts retain their present value priorities, we would expect long-term shifts in the political goals and patterns of political partisanship prevailing in these societies.", "author" : [ { "dropping-particle" : "", "family" : "Inglehart", "given" : "Ronald", "non-dropping-particle" : "", "parse-names" : false, "suffix" : "" } ], "container-title" : "American Political Science Review", "id" : "ITEM-2", "issue" : "04", "issued" : { "date-parts" : [ [ "1971" ] ] }, "page" : "991-1017", "title" : "The Silent Revolution in Europe: Intergenerational Change in Post-Industrial Societies", "type" : "article-journal", "volume" : "65" }, "uris" : [ "http://www.mendeley.com/documents/?uuid=995a80df-4db1-4892-ad87-a25d40a0763b" ] }, { "id" : "ITEM-3", "itemData" : { "author" : [ { "dropping-particle" : "", "family" : "Mannheim", "given" : "Karl", "non-dropping-particle" : "", "parse-names" : false, "suffix" : "" } ], "id" : "ITEM-3", "issued" : { "date-parts" : [ [ "1936" ] ] }, "publisher" : "Harvest book", "publisher-place" : "New York", "title" : "Ideology and utopia: an introduction to the sociology of knowledge", "type" : "book" }, "uris" : [ "http://www.mendeley.com/documents/?uuid=fe494f75-acc4-461b-a581-ea375a9ddd21" ] } ], "mendeley" : { "formattedCitation" : "(Bar-Tal 2000; Inglehart 1971; Mannheim 1936)", "plainTextFormattedCitation" : "(Bar-Tal 2000; Inglehart 1971; Mannheim 1936)", "previouslyFormattedCitation" : "(Bar-Tal 2000; Inglehart 1971; Mannheim 1936)" }, "properties" : { "noteIndex" : 0 }, "schema" : "https://github.com/citation-style-language/schema/raw/master/csl-citation.json" }</w:instrText>
      </w:r>
      <w:r w:rsidRPr="00C3671E">
        <w:rPr>
          <w:lang w:val="en-GB"/>
        </w:rPr>
        <w:fldChar w:fldCharType="separate"/>
      </w:r>
      <w:r w:rsidR="00A91559" w:rsidRPr="00C3671E">
        <w:rPr>
          <w:noProof/>
          <w:lang w:val="en-GB"/>
        </w:rPr>
        <w:t>(Bar-Tal 2000; Inglehart 1971; Mannheim 1936)</w:t>
      </w:r>
      <w:r w:rsidRPr="00C3671E">
        <w:rPr>
          <w:lang w:val="en-GB"/>
        </w:rPr>
        <w:fldChar w:fldCharType="end"/>
      </w:r>
      <w:r w:rsidRPr="00C3671E">
        <w:rPr>
          <w:lang w:val="en-GB"/>
        </w:rPr>
        <w:t xml:space="preserve">. Therefore, ‘the social construct of active ageing is ‘put to work’ to achieve the aims of the actors who cultivate the term’ </w:t>
      </w:r>
      <w:r w:rsidRPr="00C3671E">
        <w:rPr>
          <w:lang w:val="en-GB"/>
        </w:rPr>
        <w:fldChar w:fldCharType="begin" w:fldLock="1"/>
      </w:r>
      <w:r w:rsidR="00AA6335" w:rsidRPr="00C3671E">
        <w:rPr>
          <w:lang w:val="en-GB"/>
        </w:rPr>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"mendeley" : { "formattedCitation" : "(Timonen 2016)", "manualFormatting" : "(Timonen 2016", "plainTextFormattedCitation" : "(Timonen 2016)", "previouslyFormattedCitation" : "(Timonen 2016)" }, "properties" : { "noteIndex" : 0 }, "schema" : "https://github.com/citation-style-language/schema/raw/master/csl-citation.json" }</w:instrText>
      </w:r>
      <w:r w:rsidRPr="00C3671E">
        <w:rPr>
          <w:lang w:val="en-GB"/>
        </w:rPr>
        <w:fldChar w:fldCharType="separate"/>
      </w:r>
      <w:r w:rsidRPr="00C3671E">
        <w:rPr>
          <w:noProof/>
          <w:lang w:val="en-GB"/>
        </w:rPr>
        <w:t>(Timonen 2016</w:t>
      </w:r>
      <w:r w:rsidRPr="00C3671E">
        <w:rPr>
          <w:lang w:val="en-GB"/>
        </w:rPr>
        <w:fldChar w:fldCharType="end"/>
      </w:r>
      <w:r w:rsidRPr="00C3671E">
        <w:rPr>
          <w:lang w:val="en-GB"/>
        </w:rPr>
        <w:t>: 36</w:t>
      </w:r>
      <w:r w:rsidRPr="00C3671E">
        <w:rPr>
          <w:noProof/>
          <w:lang w:val="en-GB"/>
        </w:rPr>
        <w:t>)</w:t>
      </w:r>
      <w:r w:rsidRPr="00C3671E">
        <w:rPr>
          <w:lang w:val="en-GB"/>
        </w:rPr>
        <w:t>.</w:t>
      </w:r>
    </w:p>
    <w:p w14:paraId="534F3D17" w14:textId="20DD5213" w:rsidR="00C94483" w:rsidRPr="00C3671E" w:rsidRDefault="00C94483" w:rsidP="00466C1F">
      <w:pPr>
        <w:pStyle w:val="Newparagraph"/>
        <w:jc w:val="both"/>
        <w:rPr>
          <w:lang w:eastAsia="zh-CN"/>
        </w:rPr>
      </w:pPr>
      <w:r w:rsidRPr="00C3671E">
        <w:rPr>
          <w:lang w:eastAsia="zh-CN"/>
        </w:rPr>
        <w:t xml:space="preserve">Older people as the target group of active ageing approach </w:t>
      </w:r>
      <w:r w:rsidRPr="00C3671E">
        <w:t>differ</w:t>
      </w:r>
      <w:r w:rsidRPr="00C3671E">
        <w:rPr>
          <w:lang w:eastAsia="zh-CN"/>
        </w:rPr>
        <w:t xml:space="preserve"> in values from its originators. Moreover, activities supported by active ageing can suit some groups of older people more than others. This paper utilizes the theory of a shift from materialist to postmaterialist values coined by </w:t>
      </w:r>
      <w:r w:rsidRPr="00C3671E">
        <w:rPr>
          <w:lang w:eastAsia="zh-CN"/>
        </w:rPr>
        <w:fldChar w:fldCharType="begin" w:fldLock="1"/>
      </w:r>
      <w:r w:rsidR="001257AA" w:rsidRPr="00C3671E">
        <w:rPr>
          <w:lang w:eastAsia="zh-CN"/>
        </w:rPr>
        <w:instrText>ADDIN CSL_CITATION { "citationItems" : [ { "id" : "ITEM-1", "itemData" : { "DOI" : "10.2307/1953494", "ISBN" : "0003-0554", "ISSN" : "0003-0554", "abstract" : "A transformation of basic political priorities may be taking place in Western Europe. I hypothesize: (1) that people have a variety of needs which are given high or low priority according to their degree of fulfillment: people act on behalf of their most important unsatisfied need, giving relatively little attention to needs already satisfied\u2014except that (2) people tend to retain the value priorities adopted in their formative years throughout adult life. In contemporary Western Europe, needs for physical safety and economic security are relatively well satisfied for an unprecedentedly large share of the population. Younger, more affluent groups have been formed entirely under these conditions, and seem relatively likely to give top priority to fulfillment of needs which remain secondary to the older and less affluent majority of the population. Needs for belonging and intellectual and esthetic self-fulfillment (characterized as \u201cpost-bourgeois\u201d values) may take top priorities among the former group. Survey data from six countries indicate that the value priorities of the more affluent postwar group do contrast with those of groups raised under conditions of lesser economic and physical security. National patterns of value priorities correspond to the given nation's economic history, moreover, suggesting that the age-group differences reflect the persistence of preadult experiences, rather than life cycle effects. The distinctive value priorities imply distinctive political behavior\u2014being empirically linked with preferences for specific political issues and political parties in a predictable fashion. If the respective age cohorts retain their present value priorities, we would expect long-term shifts in the political goals and patterns of political partisanship prevailing in these societies.", "author" : [ { "dropping-particle" : "", "family" : "Inglehart", "given" : "Ronald", "non-dropping-particle" : "", "parse-names" : false, "suffix" : "" } ], "container-title" : "American Political Science Review", "id" : "ITEM-1", "issue" : "04", "issued" : { "date-parts" : [ [ "1971" ] ] }, "page" : "991-1017", "title" : "The Silent Revolution in Europe: Intergenerational Change in Post-Industrial Societies", "type" : "article-journal", "volume" : "65" }, "uris" : [ "http://www.mendeley.com/documents/?uuid=995a80df-4db1-4892-ad87-a25d40a0763b" ] }, { "id" : "ITEM-2", "itemData" : { "author" : [ { "dropping-particle" : "", "family" : "Inglehart", "given" : "Ronald", "non-dropping-particle" : "", "parse-names" : false, "suffix" : "" } ], "id" : "ITEM-2", "issued" : { "date-parts" : [ [ "1990" ] ] }, "publisher" : "Princeton University Press", "publisher-place" : "Princeton", "title" : "Culture Shift in Advanced Industrial Society", "type" : "book" }, "uris" : [ "http://www.mendeley.com/documents/?uuid=25dc8f63-d26d-432e-8cdc-a1a2c72d612c" ] }, { "id" : "ITEM-3", "itemData" : { "author" : [ { "dropping-particle" : "", "family" : "Inglehart", "given" : "Ronald", "non-dropping-particle" : "", "parse-names" : false, "suffix" : "" } ], "id" : "ITEM-3", "issued" : { "date-parts" : [ [ "1977" ] ] }, "publisher" : "Princeton University Press", "publisher-place" : "Princeton", "title" : "The Silent Revolution: Changing Values and Political Styles Among Western Publics", "type" : "book" }, "uris" : [ "http://www.mendeley.com/documents/?uuid=237848b7-5a83-4982-aba3-022ca1557adf" ] }, { "id" : "ITEM-4", "itemData" : { "DOI" : "10.1080/01402380701834747", "ISBN" : "0140-2382", "ISSN" : "01402382", "abstract" : "In 1971 it was hypothesised that intergenerational value changes were taking place. More than a generation has passed since then, and today it seems clear that the predicted changes have occurred. A large body of evidence, analysed using three different approaches \u2013 (1) cohort analysis; (2) comparisons of rich and poor countries; (3) examination of actual trends observed over the past 35 years \u2013 all points to the conclusion that major cultural changes are occurring, and that they reflect a process of intergenerational change linked with rising levels of existential security.", "author" : [ { "dropping-particle" : "", "family" : "Inglehart", "given" : "Ronald F.", "non-dropping-particle" : "", "parse-names" : false, "suffix" : "" } ], "container-title" : "West European Politics", "id" : "ITEM-4", "issue" : "1-2", "issued" : { "date-parts" : [ [ "2008" ] ] }, "page" : "130-146", "title" : "Changing values among western publics from 1970 to 2006", "type" : "article-journal", "volume" : "31" }, "uris" : [ "http://www.mendeley.com/documents/?uuid=09afa358-1cfc-4470-b739-434902e22049" ] } ], "mendeley" : { "formattedCitation" : "(Inglehart 1971, 1977, 1990, 2008)", "plainTextFormattedCitation" : "(Inglehart 1971, 1977, 1990, 2008)", "previouslyFormattedCitation" : "(Inglehart 1971, 1977, 1990, 2008)" }, "properties" : { "noteIndex" : 0 }, "schema" : "https://github.com/citation-style-language/schema/raw/master/csl-citation.json" }</w:instrText>
      </w:r>
      <w:r w:rsidRPr="00C3671E">
        <w:rPr>
          <w:lang w:eastAsia="zh-CN"/>
        </w:rPr>
        <w:fldChar w:fldCharType="separate"/>
      </w:r>
      <w:r w:rsidRPr="00C3671E">
        <w:rPr>
          <w:noProof/>
          <w:lang w:eastAsia="zh-CN"/>
        </w:rPr>
        <w:t>(Inglehart 1971, 1977, 1990, 2008)</w:t>
      </w:r>
      <w:r w:rsidRPr="00C3671E">
        <w:rPr>
          <w:lang w:eastAsia="zh-CN"/>
        </w:rPr>
        <w:fldChar w:fldCharType="end"/>
      </w:r>
      <w:r w:rsidRPr="00C3671E">
        <w:rPr>
          <w:lang w:eastAsia="zh-CN"/>
        </w:rPr>
        <w:t xml:space="preserve"> as a framework describing connections among social position and individual values and priorities.</w:t>
      </w:r>
    </w:p>
    <w:p w14:paraId="21E76BC1" w14:textId="77777777" w:rsidR="00C94483" w:rsidRPr="00C3671E" w:rsidRDefault="00C94483" w:rsidP="007E6D8E">
      <w:pPr>
        <w:pStyle w:val="Nadpis3"/>
        <w:spacing w:line="480" w:lineRule="auto"/>
        <w:rPr>
          <w:rFonts w:ascii="Times New Roman" w:hAnsi="Times New Roman" w:cs="Times New Roman"/>
          <w:b w:val="0"/>
          <w:i/>
          <w:lang w:val="en-GB" w:eastAsia="zh-CN"/>
        </w:rPr>
      </w:pPr>
      <w:bookmarkStart w:id="90" w:name="_Toc512687782"/>
      <w:r w:rsidRPr="00C3671E">
        <w:rPr>
          <w:rFonts w:ascii="Times New Roman" w:hAnsi="Times New Roman" w:cs="Times New Roman"/>
          <w:b w:val="0"/>
          <w:i/>
          <w:lang w:val="en-GB" w:eastAsia="zh-CN"/>
        </w:rPr>
        <w:t>Theory of postmaterialism and its assumptions about benefits of activities</w:t>
      </w:r>
      <w:bookmarkEnd w:id="90"/>
    </w:p>
    <w:p w14:paraId="461DA122" w14:textId="17561D67" w:rsidR="00C94483" w:rsidRPr="00C3671E" w:rsidRDefault="00C94483" w:rsidP="00C94483">
      <w:pPr>
        <w:suppressAutoHyphens/>
        <w:spacing w:line="480" w:lineRule="auto"/>
        <w:jc w:val="both"/>
        <w:rPr>
          <w:lang w:val="en-GB"/>
        </w:rPr>
      </w:pPr>
      <w:r w:rsidRPr="00C3671E">
        <w:rPr>
          <w:lang w:val="en-GB"/>
        </w:rPr>
        <w:t xml:space="preserve">Ronald </w:t>
      </w:r>
      <w:r w:rsidRPr="00C3671E">
        <w:rPr>
          <w:lang w:val="en-GB"/>
        </w:rPr>
        <w:fldChar w:fldCharType="begin" w:fldLock="1"/>
      </w:r>
      <w:r w:rsidR="001257AA" w:rsidRPr="00C3671E">
        <w:rPr>
          <w:lang w:val="en-GB"/>
        </w:rPr>
        <w:instrText>ADDIN CSL_CITATION { "citationItems" : [ { "id" : "ITEM-1", "itemData" : { "DOI" : "10.2307/1953494", "ISBN" : "0003-0554", "ISSN" : "0003-0554", "abstract" : "A transformation of basic political priorities may be taking place in Western Europe. I hypothesize: (1) that people have a variety of needs which are given high or low priority according to their degree of fulfillment: people act on behalf of their most important unsatisfied need, giving relatively little attention to needs already satisfied\u2014except that (2) people tend to retain the value priorities adopted in their formative years throughout adult life. In contemporary Western Europe, needs for physical safety and economic security are relatively well satisfied for an unprecedentedly large share of the population. Younger, more affluent groups have been formed entirely under these conditions, and seem relatively likely to give top priority to fulfillment of needs which remain secondary to the older and less affluent majority of the population. Needs for belonging and intellectual and esthetic self-fulfillment (characterized as \u201cpost-bourgeois\u201d values) may take top priorities among the former group. Survey data from six countries indicate that the value priorities of the more affluent postwar group do contrast with those of groups raised under conditions of lesser economic and physical security. National patterns of value priorities correspond to the given nation's economic history, moreover, suggesting that the age-group differences reflect the persistence of preadult experiences, rather than life cycle effects. The distinctive value priorities imply distinctive political behavior\u2014being empirically linked with preferences for specific political issues and political parties in a predictable fashion. If the respective age cohorts retain their present value priorities, we would expect long-term shifts in the political goals and patterns of political partisanship prevailing in these societies.", "author" : [ { "dropping-particle" : "", "family" : "Inglehart", "given" : "Ronald", "non-dropping-particle" : "", "parse-names" : false, "suffix" : "" } ], "container-title" : "American Political Science Review", "id" : "ITEM-1", "issue" : "04", "issued" : { "date-parts" : [ [ "1971" ] ] }, "page" : "991-1017", "title" : "The Silent Revolution in Europe: Intergenerational Change in Post-Industrial Societies", "type" : "article-journal", "volume" : "65" }, "uris" : [ "http://www.mendeley.com/documents/?uuid=995a80df-4db1-4892-ad87-a25d40a0763b" ] } ], "mendeley" : { "formattedCitation" : "(Inglehart 1971)", "manualFormatting" : "Inglehart (1971)", "plainTextFormattedCitation" : "(Inglehart 1971)", "previouslyFormattedCitation" : "(Inglehart 1971)" }, "properties" : { "noteIndex" : 0 }, "schema" : "https://github.com/citation-style-language/schema/raw/master/csl-citation.json" }</w:instrText>
      </w:r>
      <w:r w:rsidRPr="00C3671E">
        <w:rPr>
          <w:lang w:val="en-GB"/>
        </w:rPr>
        <w:fldChar w:fldCharType="separate"/>
      </w:r>
      <w:r w:rsidRPr="00C3671E">
        <w:rPr>
          <w:noProof/>
          <w:lang w:val="en-GB"/>
        </w:rPr>
        <w:t>Inglehart (1971)</w:t>
      </w:r>
      <w:r w:rsidRPr="00C3671E">
        <w:rPr>
          <w:lang w:val="en-GB"/>
        </w:rPr>
        <w:fldChar w:fldCharType="end"/>
      </w:r>
      <w:r w:rsidRPr="00C3671E">
        <w:rPr>
          <w:lang w:val="en-GB"/>
        </w:rPr>
        <w:t xml:space="preserve"> in the early seventies first described broad cultural changes in Western societies and </w:t>
      </w:r>
      <w:r w:rsidRPr="00C3671E">
        <w:rPr>
          <w:lang w:val="en-GB" w:eastAsia="zh-CN"/>
        </w:rPr>
        <w:t>labelled</w:t>
      </w:r>
      <w:r w:rsidRPr="00C3671E">
        <w:rPr>
          <w:lang w:val="en-GB"/>
        </w:rPr>
        <w:t xml:space="preserve"> them as a ‘Silent revolution’. Since then, he and his colleagues connect these cultural changes from materialist to postmaterialist value orientation with various areas of life and continually test their propositions on an extensive quantitative data </w:t>
      </w:r>
      <w:r w:rsidRPr="00C3671E">
        <w:rPr>
          <w:lang w:val="en-GB"/>
        </w:rPr>
        <w:fldChar w:fldCharType="begin" w:fldLock="1"/>
      </w:r>
      <w:r w:rsidR="00AA6335" w:rsidRPr="00C3671E">
        <w:rPr>
          <w:lang w:val="en-GB"/>
        </w:rPr>
        <w:instrText>ADDIN CSL_CITATION { "citationItems" : [ { "id" : "ITEM-1", "itemData" : { "author" : [ { "dropping-particle" : "", "family" : "Inglehart", "given" : "Ronald", "non-dropping-particle" : "", "parse-names" : false, "suffix" : "" } ], "id" : "ITEM-1", "issued" : { "date-parts" : [ [ "1977" ] ] }, "publisher" : "Princeton University Press", "publisher-place" : "Princeton", "title" : "The Silent Revolution: Changing Values and Political Styles Among Western Publics", "type" : "book" }, "uris" : [ "http://www.mendeley.com/documents/?uuid=237848b7-5a83-4982-aba3-022ca1557adf" ] }, { "id" : "ITEM-2", "itemData" : { "author" : [ { "dropping-particle" : "", "family" : "Inglehart", "given" : "Ronald", "non-dropping-particle" : "", "parse-names" : false, "suffix" : "" } ], "id" : "ITEM-2", "issued" : { "date-parts" : [ [ "1990" ] ] }, "publisher" : "Princeton University Press", "publisher-place" : "Princeton", "title" : "Culture Shift in Advanced Industrial Society", "type" : "book" }, "uris" : [ "http://www.mendeley.com/documents/?uuid=25dc8f63-d26d-432e-8cdc-a1a2c72d612c" ] }, { "id" : "ITEM-3", "itemData" : { "author" : [ { "dropping-particle" : "", "family" : "Inglehart", "given" : "Ronald", "non-dropping-particle" : "", "parse-names" : false, "suffix" : "" } ], "id" : "ITEM-3", "issued" : { "date-parts" : [ [ "1997" ] ] }, "publisher" : "Princeton University Press", "publisher-place" : "Princeton", "title" : "Modernization and postmodernization: Cultural, economic, and political change in 43 societies", "type" : "book" }, "uris" : [ "http://www.mendeley.com/documents/?uuid=d9d09854-470b-4e95-9b3e-bf59c6eb759b" ] }, { "id" : "ITEM-4", "itemData" : { "DOI" : "10.1080/01402380701834747", "ISBN" : "0140-2382", "ISSN" : "01402382", "abstract" : "In 1971 it was hypothesised that intergenerational value changes were taking place. More than a generation has passed since then, and today it seems clear that the predicted changes have occurred. A large body of evidence, analysed using three different approaches \u2013 (1) cohort analysis; (2) comparisons of rich and poor countries; (3) examination of actual trends observed over the past 35 years \u2013 all points to the conclusion that major cultural changes are occurring, and that they reflect a process of intergenerational change linked with rising levels of existential security.", "author" : [ { "dropping-particle" : "", "family" : "Inglehart", "given" : "Ronald F.", "non-dropping-particle" : "", "parse-names" : false, "suffix" : "" } ], "container-title" : "West European Politics", "id" : "ITEM-4", "issue" : "1-2", "issued" : { "date-parts" : [ [ "2008" ] ] }, "page" : "130-146", "title" : "Changing values among western publics from 1970 to 2006", "type" : "article-journal", "volume" : "31" }, "uris" : [ "http://www.mendeley.com/documents/?uuid=09afa358-1cfc-4470-b739-434902e22049" ] } ], "mendeley" : { "formattedCitation" : "(Inglehart 1977, 1990, 1997, 2008)", "plainTextFormattedCitation" : "(Inglehart 1977, 1990, 1997, 2008)", "previouslyFormattedCitation" : "(Inglehart 1977, 1990, 1997, 2008)" }, "properties" : { "noteIndex" : 0 }, "schema" : "https://github.com/citation-style-language/schema/raw/master/csl-citation.json" }</w:instrText>
      </w:r>
      <w:r w:rsidRPr="00C3671E">
        <w:rPr>
          <w:lang w:val="en-GB"/>
        </w:rPr>
        <w:fldChar w:fldCharType="separate"/>
      </w:r>
      <w:r w:rsidRPr="00C3671E">
        <w:rPr>
          <w:noProof/>
          <w:lang w:val="en-GB"/>
        </w:rPr>
        <w:t>(Inglehart 1977, 1990, 1997, 2008)</w:t>
      </w:r>
      <w:r w:rsidRPr="00C3671E">
        <w:rPr>
          <w:lang w:val="en-GB"/>
        </w:rPr>
        <w:fldChar w:fldCharType="end"/>
      </w:r>
      <w:r w:rsidRPr="00C3671E">
        <w:rPr>
          <w:lang w:val="en-GB"/>
        </w:rPr>
        <w:t xml:space="preserve">. This theory continually holds two main propositions that a) value change is driven by unprecedented era safety and economic prosperity enabling orientation to other than material values and that b) individual value system is formed during socialization and afterwards becomes stable. Therefore, the postmaterialist value orientation spreads over time via a mechanism of generational exchange, if the condition of safety and economic stability is satisfied </w:t>
      </w:r>
      <w:r w:rsidRPr="00C3671E">
        <w:rPr>
          <w:lang w:val="en-GB"/>
        </w:rPr>
        <w:fldChar w:fldCharType="begin" w:fldLock="1"/>
      </w:r>
      <w:r w:rsidR="00AA6335" w:rsidRPr="00C3671E">
        <w:rPr>
          <w:lang w:val="en-GB"/>
        </w:rPr>
        <w:instrText>ADDIN CSL_CITATION { "citationItems" : [ { "id" : "ITEM-1", "itemData" : { "author" : [ { "dropping-particle" : "", "family" : "Inglehart", "given" : "Ronald", "non-dropping-particle" : "", "parse-names" : false, "suffix" : "" } ], "id" : "ITEM-1", "issued" : { "date-parts" : [ [ "1977" ] ] }, "publisher" : "Princeton University Press", "publisher-place" : "Princeton", "title" : "The Silent Revolution: Changing Values and Political Styles Among Western Publics", "type" : "book" }, "uris" : [ "http://www.mendeley.com/documents/?uuid=237848b7-5a83-4982-aba3-022ca1557adf" ] }, { "id" : "ITEM-2", "itemData" : { "author" : [ { "dropping-particle" : "", "family" : "Inglehart", "given" : "Ronald", "non-dropping-particle" : "", "parse-names" : false, "suffix" : "" } ], "id" : "ITEM-2", "issued" : { "date-parts" : [ [ "1990" ] ] }, "publisher" : "Princeton University Press", "publisher-place" : "Princeton", "title" : "Culture Shift in Advanced Industrial Society", "type" : "book" }, "uris" : [ "http://www.mendeley.com/documents/?uuid=25dc8f63-d26d-432e-8cdc-a1a2c72d612c" ] } ], "mendeley" : { "formattedCitation" : "(Inglehart 1977, 1990)", "plainTextFormattedCitation" : "(Inglehart 1977, 1990)", "previouslyFormattedCitation" : "(Inglehart 1977, 1990)" }, "properties" : { "noteIndex" : 0 }, "schema" : "https://github.com/citation-style-language/schema/raw/master/csl-citation.json" }</w:instrText>
      </w:r>
      <w:r w:rsidRPr="00C3671E">
        <w:rPr>
          <w:lang w:val="en-GB"/>
        </w:rPr>
        <w:fldChar w:fldCharType="separate"/>
      </w:r>
      <w:r w:rsidRPr="00C3671E">
        <w:rPr>
          <w:noProof/>
          <w:lang w:val="en-GB"/>
        </w:rPr>
        <w:t>(Inglehart 1977, 1990)</w:t>
      </w:r>
      <w:r w:rsidRPr="00C3671E">
        <w:rPr>
          <w:lang w:val="en-GB"/>
        </w:rPr>
        <w:fldChar w:fldCharType="end"/>
      </w:r>
      <w:r w:rsidRPr="00C3671E">
        <w:rPr>
          <w:lang w:val="en-GB"/>
        </w:rPr>
        <w:t>.</w:t>
      </w:r>
    </w:p>
    <w:p w14:paraId="79BB5CE8" w14:textId="7373A796" w:rsidR="00C94483" w:rsidRPr="00C3671E" w:rsidRDefault="00C94483" w:rsidP="00466C1F">
      <w:pPr>
        <w:pStyle w:val="Newparagraph"/>
        <w:jc w:val="both"/>
        <w:rPr>
          <w:lang w:eastAsia="zh-CN"/>
        </w:rPr>
      </w:pPr>
      <w:r w:rsidRPr="00C3671E">
        <w:rPr>
          <w:lang w:eastAsia="zh-CN"/>
        </w:rPr>
        <w:t xml:space="preserve">The prevalence of postmaterialist value orientation depends on </w:t>
      </w:r>
      <w:r w:rsidRPr="00C3671E">
        <w:t>macro</w:t>
      </w:r>
      <w:r w:rsidRPr="00C3671E">
        <w:rPr>
          <w:lang w:eastAsia="zh-CN"/>
        </w:rPr>
        <w:t xml:space="preserve">-conditions, but also on individual characteristics – it is connected to lower age, higher education and income, </w:t>
      </w:r>
      <w:r w:rsidRPr="00C3671E">
        <w:rPr>
          <w:lang w:eastAsia="zh-CN"/>
        </w:rPr>
        <w:lastRenderedPageBreak/>
        <w:t xml:space="preserve">lower religiosity, lower fertility, and many other characteristics predicted by the theory of value change </w:t>
      </w:r>
      <w:r w:rsidRPr="00C3671E">
        <w:rPr>
          <w:lang w:eastAsia="zh-CN"/>
        </w:rPr>
        <w:fldChar w:fldCharType="begin" w:fldLock="1"/>
      </w:r>
      <w:r w:rsidR="001257AA" w:rsidRPr="00C3671E">
        <w:rPr>
          <w:lang w:eastAsia="zh-CN"/>
        </w:rPr>
        <w:instrText>ADDIN CSL_CITATION { "citationItems" : [ { "id" : "ITEM-1", "itemData" : { "DOI" : "10.2307/1953494", "ISBN" : "0003-0554", "ISSN" : "0003-0554", "abstract" : "A transformation of basic political priorities may be taking place in Western Europe. I hypothesize: (1) that people have a variety of needs which are given high or low priority according to their degree of fulfillment: people act on behalf of their most important unsatisfied need, giving relatively little attention to needs already satisfied\u2014except that (2) people tend to retain the value priorities adopted in their formative years throughout adult life. In contemporary Western Europe, needs for physical safety and economic security are relatively well satisfied for an unprecedentedly large share of the population. Younger, more affluent groups have been formed entirely under these conditions, and seem relatively likely to give top priority to fulfillment of needs which remain secondary to the older and less affluent majority of the population. Needs for belonging and intellectual and esthetic self-fulfillment (characterized as \u201cpost-bourgeois\u201d values) may take top priorities among the former group. Survey data from six countries indicate that the value priorities of the more affluent postwar group do contrast with those of groups raised under conditions of lesser economic and physical security. National patterns of value priorities correspond to the given nation's economic history, moreover, suggesting that the age-group differences reflect the persistence of preadult experiences, rather than life cycle effects. The distinctive value priorities imply distinctive political behavior\u2014being empirically linked with preferences for specific political issues and political parties in a predictable fashion. If the respective age cohorts retain their present value priorities, we would expect long-term shifts in the political goals and patterns of political partisanship prevailing in these societies.", "author" : [ { "dropping-particle" : "", "family" : "Inglehart", "given" : "Ronald", "non-dropping-particle" : "", "parse-names" : false, "suffix" : "" } ], "container-title" : "American Political Science Review", "id" : "ITEM-1", "issue" : "04", "issued" : { "date-parts" : [ [ "1971" ] ] }, "page" : "991-1017", "title" : "The Silent Revolution in Europe: Intergenerational Change in Post-Industrial Societies", "type" : "article-journal", "volume" : "65" }, "uris" : [ "http://www.mendeley.com/documents/?uuid=995a80df-4db1-4892-ad87-a25d40a0763b" ] }, { "id" : "ITEM-2", "itemData" : { "author" : [ { "dropping-particle" : "", "family" : "Inglehart", "given" : "Ronald", "non-dropping-particle" : "", "parse-names" : false, "suffix" : "" } ], "id" : "ITEM-2", "issued" : { "date-parts" : [ [ "1990" ] ] }, "publisher" : "Princeton University Press", "publisher-place" : "Princeton", "title" : "Culture Shift in Advanced Industrial Society", "type" : "book" }, "uris" : [ "http://www.mendeley.com/documents/?uuid=25dc8f63-d26d-432e-8cdc-a1a2c72d612c" ] }, { "id" : "ITEM-3", "itemData" : { "author" : [ { "dropping-particle" : "", "family" : "Inglehart", "given" : "Ronald", "non-dropping-particle" : "", "parse-names" : false, "suffix" : "" } ], "id" : "ITEM-3", "issued" : { "date-parts" : [ [ "1997" ] ] }, "publisher" : "Princeton University Press", "publisher-place" : "Princeton", "title" : "Modernization and postmodernization: Cultural, economic, and political change in 43 societies", "type" : "book" }, "uris" : [ "http://www.mendeley.com/documents/?uuid=d9d09854-470b-4e95-9b3e-bf59c6eb759b" ] } ], "mendeley" : { "formattedCitation" : "(Inglehart 1971, 1990, 1997)", "plainTextFormattedCitation" : "(Inglehart 1971, 1990, 1997)", "previouslyFormattedCitation" : "(Inglehart 1971, 1990, 1997)" }, "properties" : { "noteIndex" : 0 }, "schema" : "https://github.com/citation-style-language/schema/raw/master/csl-citation.json" }</w:instrText>
      </w:r>
      <w:r w:rsidRPr="00C3671E">
        <w:rPr>
          <w:lang w:eastAsia="zh-CN"/>
        </w:rPr>
        <w:fldChar w:fldCharType="separate"/>
      </w:r>
      <w:r w:rsidRPr="00C3671E">
        <w:rPr>
          <w:noProof/>
          <w:lang w:eastAsia="zh-CN"/>
        </w:rPr>
        <w:t>(Inglehart 1971, 1990, 1997)</w:t>
      </w:r>
      <w:r w:rsidRPr="00C3671E">
        <w:rPr>
          <w:lang w:eastAsia="zh-CN"/>
        </w:rPr>
        <w:fldChar w:fldCharType="end"/>
      </w:r>
      <w:r w:rsidRPr="00C3671E">
        <w:rPr>
          <w:lang w:eastAsia="zh-CN"/>
        </w:rPr>
        <w:t xml:space="preserve">. Hence, creators and proponents of active ageing approach are supposedly more postmaterialist, as they are generally younger, more educated, and wealthier than older people as recipients of this policy. Some proponents of active ageing present an empirical evidence on the benefits of roles supported by active ageing </w:t>
      </w:r>
      <w:r w:rsidRPr="00C3671E">
        <w:rPr>
          <w:lang w:eastAsia="zh-CN"/>
        </w:rPr>
        <w:fldChar w:fldCharType="begin" w:fldLock="1"/>
      </w:r>
      <w:r w:rsidR="001257AA" w:rsidRPr="00C3671E">
        <w:rPr>
          <w:lang w:eastAsia="zh-CN"/>
        </w:rPr>
        <w:instrText>ADDIN CSL_CITATION { "citationItems" : [ { "id" : "ITEM-1", "itemData" : { "DOI" : "10.1007/s10433-005-0015-8", "ISBN" : "1613-9372", "ISSN" : "16139372", "abstract" : "This article focuses on the scientific study of quality of life in old age and summarises, on the one hand, what we know and, on the other, what further research is needed. It consists of three main parts, with an extended introduction charting the recent evolution of a European perspective on ageing. First of all, it emphasises the amorphous, multidimensional and complex nature of quality of life and the high level of inconsistency between scientists in their approach to this subject. Secondly, the article summarises the main areas of consensus about quality of life in old age - its dynamic multifaceted nature, the combination of life course and immediate influences, the similarities and differences in the factors determining quality of life between younger and older people, the most common associations with quality of life and the likely variations between groups, and the powerful role of subjective self-assessment. Thirdly, the main research priorities and gaps in knowledge are outlined, together with the key methodological issues which must be tackled if comparative, interdisciplinary research on quality of life is to develop further. The main sources for the article are two European Framework Programme projects-the one a small five-country comparison and the other a large multidimensional project which, among other things, has been developing recommendations for research on quality of life in old age and included an extensive literature review on this topic. The article also draws on the recently completed UK Growing Older Programme of research on extending quality of life. \u00a9 Springer-Verlag 2005.", "author" : [ { "dropping-particle" : "", "family" : "Walker", "given" : "Alan", "non-dropping-particle" : "", "parse-names" : false, "suffix" : "" } ], "container-title" : "European Journal of Ageing", "id" : "ITEM-1", "issue" : "1", "issued" : { "date-parts" : [ [ "2005" ] ] }, "page" : "2-12", "title" : "A European perspective on quality of life in old age", "type" : "article-journal", "volume" : "2" }, "uris" : [ "http://www.mendeley.com/documents/?uuid=cf601aee-0bb9-4c93-8902-46ae526562ed" ] }, { "id" : "ITEM-2", "itemData" : { "author" : [ { "dropping-particle" : "", "family" : "Reichert", "given" : "Manuela", "non-dropping-particle" : "", "parse-names" : false, "suffix" : "" }, { "dropping-particle" : "", "family" : "Weidekamp-Maicher", "given" : "Monika", "non-dropping-particle" : "", "parse-names" : false, "suffix" : "" } ], "chapter-number" : "7", "container-title" : "Growing older in Europe", "editor" : [ { "dropping-particle" : "", "family" : "Walker", "given" : "Alan", "non-dropping-particle" : "", "parse-names" : false, "suffix" : "" } ], "id" : "ITEM-2", "issued" : { "date-parts" : [ [ "2004" ] ] }, "page" : "159-178", "publisher" : "Open University Press", "publisher-place" : "Maidenhead", "title" : "Germany \u2013 quality of life in old age II", "type" : "chapter" }, "uris" : [ "http://www.mendeley.com/documents/?uuid=d55b3e88-61c0-4ac2-a373-9981bac5b233" ] }, { "id" : "ITEM-3", "itemData" : { "DOI" : "10.1007/s10433-017-0413-8", "ISBN" : "1043301704", "ISSN" : "16139380", "abstract" : "Several debates have emerged across the literature about the conceptualisation of active ageing. The aim of this study is to develop a model of the construct that is focused on the individual, including different elements of people\u2019s lives that have the potential to be modified by intervention programs. Moreover, the paper examines the contributions of active ageing to life satisfaction, as well as the possible predictive role of coping styles on active ageing. For this purpose, a representative sample of 404 Galician (Spain) community-dwelling older adults (aged \u226560 years) were interviewed using a structured survey. The results demonstrate that the proposed model composed of two broad categories is valid. The model comprises status variables (related to physical, psychological, and social health) as well as different types of activities, called processual variables. This model is tested using partial least squares (PLS) regression. The findings show that active ageing is a fourth-order, formative construct. In addition, PLS analyses indicate that active ageing has a moderate and positive path on life satisfaction and that coping styles may predict active ageing. The discussion highlights the potential of active ageing as a relevant concept for people\u2019s lives, drawing out policy implications and suggestions for further research.", "author" : [ { "dropping-particle" : "", "family" : "Marsillas", "given" : "Sara", "non-dropping-particle" : "", "parse-names" : false, "suffix" : "" }, { "dropping-particle" : "", "family" : "Donder", "given" : "Liesbeth", "non-dropping-particle" : "De", "parse-names" : false, "suffix" : "" }, { "dropping-particle" : "", "family" : "Kardol", "given" : "Tinie", "non-dropping-particle" : "", "parse-names" : false, "suffix" : "" }, { "dropping-particle" : "", "family" : "Regenmortel", "given" : "Sofie", "non-dropping-particle" : "van", "parse-names" : false, "suffix" : "" }, { "dropping-particle" : "", "family" : "Dury", "given" : "Sarah", "non-dropping-particle" : "", "parse-names" : false, "suffix" : "" }, { "dropping-particle" : "", "family" : "Brosens", "given" : "Dorien", "non-dropping-particle" : "", "parse-names" : false, "suffix" : "" }, { "dropping-particle" : "", "family" : "Smetcoren", "given" : "An Sofie", "non-dropping-particle" : "", "parse-names" : false, "suffix" : "" }, { "dropping-particle" : "", "family" : "Bra\u00f1a", "given" : "Teresa", "non-dropping-particle" : "", "parse-names" : false, "suffix" : "" }, { "dropping-particle" : "", "family" : "Varela", "given" : "Jes\u00fas", "non-dropping-particle" : "", "parse-names" : false, "suffix" : "" } ], "container-title" : "European Journal of Ageing", "id" : "ITEM-3", "issue" : "3", "issued" : { "date-parts" : [ [ "2017" ] ] }, "page" : "295-310", "title" : "Does active ageing contribute to life satisfaction for older people? Testing a new model of active ageing", "type" : "article-journal", "volume" : "14" }, "uris" : [ "http://www.mendeley.com/documents/?uuid=f4ca4b1e-010f-49fa-9c7f-5b6188337ddb" ] } ], "mendeley" : { "formattedCitation" : "(Marsillas et al. 2017; Reichert and Weidekamp-Maicher 2004; Walker 2005a)", "plainTextFormattedCitation" : "(Marsillas et al. 2017; Reichert and Weidekamp-Maicher 2004; Walker 2005a)", "previouslyFormattedCitation" : "(Marsillas et al. 2017; Reichert and Weidekamp-Maicher 2004; Walker 2005a)" }, "properties" : { "noteIndex" : 0 }, "schema" : "https://github.com/citation-style-language/schema/raw/master/csl-citation.json" }</w:instrText>
      </w:r>
      <w:r w:rsidRPr="00C3671E">
        <w:rPr>
          <w:lang w:eastAsia="zh-CN"/>
        </w:rPr>
        <w:fldChar w:fldCharType="separate"/>
      </w:r>
      <w:r w:rsidR="00A91559" w:rsidRPr="00C3671E">
        <w:rPr>
          <w:noProof/>
          <w:lang w:eastAsia="zh-CN"/>
        </w:rPr>
        <w:t>(Marsillas et al. 2017; Reichert and Weidekamp-Maicher 2004; Walker 2005a)</w:t>
      </w:r>
      <w:r w:rsidRPr="00C3671E">
        <w:rPr>
          <w:lang w:eastAsia="zh-CN"/>
        </w:rPr>
        <w:fldChar w:fldCharType="end"/>
      </w:r>
      <w:r w:rsidRPr="00C3671E">
        <w:rPr>
          <w:lang w:eastAsia="zh-CN"/>
        </w:rPr>
        <w:t xml:space="preserve">, but a) this empirical evidence is usually got from the most prosperous countries and b) research procedures and interpretation of results are affected by a worldview of a researcher anyway </w:t>
      </w:r>
      <w:r w:rsidRPr="00C3671E">
        <w:rPr>
          <w:lang w:eastAsia="zh-CN"/>
        </w:rPr>
        <w:fldChar w:fldCharType="begin" w:fldLock="1"/>
      </w:r>
      <w:r w:rsidR="001257AA" w:rsidRPr="00C3671E">
        <w:rPr>
          <w:lang w:eastAsia="zh-CN"/>
        </w:rPr>
        <w:instrText>ADDIN CSL_CITATION { "citationItems" : [ { "id" : "ITEM-1", "itemData" : { "author" : [ { "dropping-particle" : "", "family" : "Bar-Tal", "given" : "Daniel", "non-dropping-particle" : "", "parse-names" : false, "suffix" : "" } ], "id" : "ITEM-1", "issued" : { "date-parts" : [ [ "2000" ] ] }, "publisher" : "SAGE Publications", "publisher-place" : "Thousand Oaks", "title" : "Shared Beliefs in a Society: Social Psychological Analysis", "type" : "book" }, "uris" : [ "http://www.mendeley.com/documents/?uuid=6c12565a-8376-4369-a90d-d4dd5f9a7f86" ] }, { "id" : "ITEM-2", "itemData" : { "DOI" : "10.5613/rzs.47.2.3", "ISSN" : "0350154X", "abstract" : "Michael Burawoy\u2019s project of public sociology provoked major debate within the sociological community about the tasks and nature of the discipline. While most participants in the debate are sympathetic to his call for a more publicly engaged sociology, many criticise him for politicising the discipline and claim that sociol- ogists should not devote their work to promoting social justice or certain political agendas but concentrate instead on building an objective, evidence-based knowl- edge of society. This article argues that neither Burawoy\u2019s public sociology nor the so-called scientific sociology constitute a proper way to address the problems of sociology\u2019s identity crisis and its growing public irrelevance. It is suggested that Karl Mannheim provided the best answer to the questions of what it means to practice sociology and for what purposes it should be practiced. Following Mannheim\u2019s line of thinking, the article argues that the real issue is not whether sociologists should be committed to promoting social justice or accumulating objective knowledge about society, but whether they can offer a comprehensive interpretation of the current situation and develop effective strategies to trans- form the existing patterns of society.", "author" : [ { "dropping-particle" : "", "family" : "Mati\u0107", "given" : "Davorka", "non-dropping-particle" : "", "parse-names" : false, "suffix" : "" } ], "container-title" : "Revija za sociologiju", "id" : "ITEM-2", "issue" : "2", "issued" : { "date-parts" : [ [ "2017" ] ] }, "page" : "177-205", "title" : "The Calling of Sociology: Beyond Value-detached Professionalism and Partisan Activism", "type" : "article-journal", "volume" : "47" }, "uris" : [ "http://www.mendeley.com/documents/?uuid=41c238f1-3531-4a1d-aa30-5caf068b2eb4" ] }, { "id" : "ITEM-3", "itemData" : { "author" : [ { "dropping-particle" : "", "family" : "Mannheim", "given" : "Karl", "non-dropping-particle" : "", "parse-names" : false, "suffix" : "" } ], "id" : "ITEM-3", "issued" : { "date-parts" : [ [ "1936" ] ] }, "publisher" : "Harvest book", "publisher-place" : "New York", "title" : "Ideology and utopia: an introduction to the sociology of knowledge", "type" : "book" }, "uris" : [ "http://www.mendeley.com/documents/?uuid=fe494f75-acc4-461b-a581-ea375a9ddd21" ] } ], "mendeley" : { "formattedCitation" : "(Bar-Tal 2000; Mannheim 1936; Mati\u0107 2017)", "plainTextFormattedCitation" : "(Bar-Tal 2000; Mannheim 1936; Mati\u0107 2017)", "previouslyFormattedCitation" : "(Bar-Tal 2000; Mannheim 1936; Mati\u0107 2017)" }, "properties" : { "noteIndex" : 0 }, "schema" : "https://github.com/citation-style-language/schema/raw/master/csl-citation.json" }</w:instrText>
      </w:r>
      <w:r w:rsidRPr="00C3671E">
        <w:rPr>
          <w:lang w:eastAsia="zh-CN"/>
        </w:rPr>
        <w:fldChar w:fldCharType="separate"/>
      </w:r>
      <w:r w:rsidR="00A91559" w:rsidRPr="00C3671E">
        <w:rPr>
          <w:noProof/>
          <w:lang w:eastAsia="zh-CN"/>
        </w:rPr>
        <w:t>(Bar-Tal 2000; Mannheim 1936; Matić 2017)</w:t>
      </w:r>
      <w:r w:rsidRPr="00C3671E">
        <w:rPr>
          <w:lang w:eastAsia="zh-CN"/>
        </w:rPr>
        <w:fldChar w:fldCharType="end"/>
      </w:r>
      <w:r w:rsidRPr="00C3671E">
        <w:rPr>
          <w:lang w:eastAsia="zh-CN"/>
        </w:rPr>
        <w:t xml:space="preserve">. Additionally, one postmaterialist element of active ageing is its gender-neutral definition of activities </w:t>
      </w:r>
      <w:r w:rsidRPr="00C3671E">
        <w:rPr>
          <w:lang w:eastAsia="zh-CN"/>
        </w:rPr>
        <w:fldChar w:fldCharType="begin" w:fldLock="1"/>
      </w:r>
      <w:r w:rsidR="001257AA" w:rsidRPr="00C3671E">
        <w:rPr>
          <w:lang w:eastAsia="zh-CN"/>
        </w:rPr>
        <w:instrText>ADDIN CSL_CITATION { "citationItems" : [ { "id" : "ITEM-1", "itemData" : { "DOI" : "10.1007/s11205-015-1137-9", "ISSN" : "15730921", "author" : [ { "dropping-particle" : "", "family" : "Alexander", "given" : "Amy C.", "non-dropping-particle" : "", "parse-names" : false, "suffix" : "" }, { "dropping-particle" : "", "family" : "Inglehart", "given" : "Ronald", "non-dropping-particle" : "", "parse-names" : false, "suffix" : "" }, { "dropping-particle" : "", "family" : "Welzel", "given" : "Christian", "non-dropping-particle" : "", "parse-names" : false, "suffix" : "" } ], "container-title" : "Social Indicators Research", "id" : "ITEM-1", "issue" : "2", "issued" : { "date-parts" : [ [ "2016" ] ] }, "page" : "909-935", "publisher" : "Springer Netherlands", "title" : "Emancipating Sexuality: Breakthroughs into a Bulwark of Tradition", "type" : "article-journal", "volume" : "129" }, "uris" : [ "http://www.mendeley.com/documents/?uuid=cd31a09d-f87c-432a-821e-ec05b0e8853f" ] }, { "id" : "ITEM-2", "itemData" : { "author" : [ { "dropping-particle" : "", "family" : "Inglehart", "given" : "Ronald", "non-dropping-particle" : "", "parse-names" : false, "suffix" : "" }, { "dropping-particle" : "", "family" : "Norris", "given" : "Pipa", "non-dropping-particle" : "", "parse-names" : false, "suffix" : "" } ], "id" : "ITEM-2", "issued" : { "date-parts" : [ [ "2003" ] ] }, "publisher" : "Cambridge University Press", "publisher-place" : "Cambridge", "title" : "Rising tide: Gender equality and cultural change around the world", "type" : "book" }, "uris" : [ "http://www.mendeley.com/documents/?uuid=77985ed9-dd36-4dc3-bebd-c5bb6a4ce91f" ] } ], "mendeley" : { "formattedCitation" : "(Alexander et al. 2016; Inglehart and Norris 2003)", "plainTextFormattedCitation" : "(Alexander et al. 2016; Inglehart and Norris 2003)", "previouslyFormattedCitation" : "(Alexander et al. 2016; Inglehart and Norris 2003)" }, "properties" : { "noteIndex" : 0 }, "schema" : "https://github.com/citation-style-language/schema/raw/master/csl-citation.json" }</w:instrText>
      </w:r>
      <w:r w:rsidRPr="00C3671E">
        <w:rPr>
          <w:lang w:eastAsia="zh-CN"/>
        </w:rPr>
        <w:fldChar w:fldCharType="separate"/>
      </w:r>
      <w:r w:rsidR="00A91559" w:rsidRPr="00C3671E">
        <w:rPr>
          <w:noProof/>
          <w:lang w:eastAsia="zh-CN"/>
        </w:rPr>
        <w:t>(Alexander et al. 2016; Inglehart and Norris 2003)</w:t>
      </w:r>
      <w:r w:rsidRPr="00C3671E">
        <w:rPr>
          <w:lang w:eastAsia="zh-CN"/>
        </w:rPr>
        <w:fldChar w:fldCharType="end"/>
      </w:r>
      <w:r w:rsidRPr="00C3671E">
        <w:rPr>
          <w:lang w:eastAsia="zh-CN"/>
        </w:rPr>
        <w:t>. Therefore, the roles supported by active ageing approach may not be beneficial for all groups of older people in the same way, since they may be more beneficial for those groups more similar to proponents of this approach.</w:t>
      </w:r>
    </w:p>
    <w:p w14:paraId="23E81C08" w14:textId="57B96746" w:rsidR="00C94483" w:rsidRPr="00C3671E" w:rsidRDefault="00C94483" w:rsidP="00466C1F">
      <w:pPr>
        <w:pStyle w:val="Newparagraph"/>
        <w:jc w:val="both"/>
        <w:rPr>
          <w:lang w:eastAsia="zh-CN"/>
        </w:rPr>
      </w:pPr>
      <w:r w:rsidRPr="00C3671E">
        <w:rPr>
          <w:lang w:eastAsia="zh-CN"/>
        </w:rPr>
        <w:t xml:space="preserve">The theory of value change provides a useful framework also to </w:t>
      </w:r>
      <w:r w:rsidRPr="00C3671E">
        <w:t>this</w:t>
      </w:r>
      <w:r w:rsidRPr="00C3671E">
        <w:rPr>
          <w:lang w:eastAsia="zh-CN"/>
        </w:rPr>
        <w:t xml:space="preserve"> paper, as it helps to create clear assumptions of what types of older people benefit more from specific roles. The employment as a role most emphasized by active ageing policy </w:t>
      </w:r>
      <w:r w:rsidRPr="00C3671E">
        <w:rPr>
          <w:lang w:eastAsia="zh-CN"/>
        </w:rPr>
        <w:fldChar w:fldCharType="begin" w:fldLock="1"/>
      </w:r>
      <w:r w:rsidR="00AA6335" w:rsidRPr="00C3671E">
        <w:rPr>
          <w:lang w:eastAsia="zh-CN"/>
        </w:rPr>
        <w:instrText>ADDIN CSL_CITATION { "citationItems" : [ { "id" : "ITEM-1", "itemData" : { "DOI" : "10.1093/geront/gnu028", "ISBN" : "0016-9013", "ISSN" : "1758-5341", "PMID" : "24846882", "abstract" : "Over the past two decades, \"active aging\" has emerged in Europe as the foremost policy response to the challenges of population aging. This article examines the concept of active aging and how it differs from that of \"successful aging.\" In particular, it shows how active aging presents a more holistic, life course-oriented approach than successful aging. We provide a critical perspective on active aging too by, first, tracing its emergence in Europe and then showing how, in practice, it has been dominated by a narrow economic or productivist perspective that prioritizes the extension of working life. It has also been gender blind. Nonetheless, it is argued that an active aging approach has the potential to enable countries to respond successfully to the challenges of population aging because of its comprehensive focus and emphasis on societal as well as individual responsibility. Finally, we set out the basic principles that need to be followed if the full potential of active aging is to be achieved.", "author" : [ { "dropping-particle" : "", "family" : "Foster", "given" : "Liam", "non-dropping-particle" : "", "parse-names" : false, "suffix" : "" }, { "dropping-particle" : "", "family" : "Walker", "given" : "Alan", "non-dropping-particle" : "", "parse-names" : false, "suffix" : "" } ], "container-title" : "The Gerontologist", "id" : "ITEM-1", "issue" : "1", "issued" : { "date-parts" : [ [ "2015" ] ] }, "note" : "Foster, Walker 2014: Active and Successful Aging: A Euroepean Policy perspective\n\u201cactive aging\u201d has emerged in Europe as the foremost policy response to the challenges of population aging\nactive aging presents a more holistic, life course\u2013oriented approach than successful aging\ncritique of active aging perspective - emergence in Europe\n- dominated by a narrow economic perspective\n- gender blind\nall together, this approach has the potential to respond successfully to the challenges of population aging because of its comprehensive focus and emphasis on societal as well as individual responsibility\nAA should enable to create own forms of activity, instead of focusing on a predetermined, limited number of domains, usually developed from an \u2018expert\u2019 perspective\u201d (Boudiny &amp;amp; Mortelmans, 2011, p. 12)\nThere is also a danger that the \u201chealth and well-being\u201d narrative retreats to become the preserve of a \u201cfourth age\u201d charac- terized by biological decline and consumption of welfare resources\nstructural and economic barriers to active aging must be addressed for a comprehensive approach\n\u2192\nInternational and European policy on work and retirement: Reinventing critical perspectives\nA critical perspective: Towards a broader understanding of \u2018active ageing\u2019\nNarratives of (in)active age- ing in poor deprived areas of Liverpool", "page" : "83-90", "title" : "Active and Successful Aging: A European Policy Perspective", "type" : "article-journal", "volume" : "55" }, "uris" : [ "http://www.mendeley.com/documents/?uuid=6ef8c660-30ca-4a4a-80c6-6c24c5f5b99d" ] } ], "mendeley" : { "formattedCitation" : "(Foster and Walker 2015)", "plainTextFormattedCitation" : "(Foster and Walker 2015)", "previouslyFormattedCitation" : "(Foster and Walker 2015)" }, "properties" : { "noteIndex" : 0 }, "schema" : "https://github.com/citation-style-language/schema/raw/master/csl-citation.json" }</w:instrText>
      </w:r>
      <w:r w:rsidRPr="00C3671E">
        <w:rPr>
          <w:lang w:eastAsia="zh-CN"/>
        </w:rPr>
        <w:fldChar w:fldCharType="separate"/>
      </w:r>
      <w:r w:rsidRPr="00C3671E">
        <w:rPr>
          <w:noProof/>
          <w:lang w:eastAsia="zh-CN"/>
        </w:rPr>
        <w:t>(Foster and Walker 2015)</w:t>
      </w:r>
      <w:r w:rsidRPr="00C3671E">
        <w:rPr>
          <w:lang w:eastAsia="zh-CN"/>
        </w:rPr>
        <w:fldChar w:fldCharType="end"/>
      </w:r>
      <w:r w:rsidRPr="00C3671E">
        <w:rPr>
          <w:lang w:eastAsia="zh-CN"/>
        </w:rPr>
        <w:t xml:space="preserve"> is connected more to materialist than postmaterialist values. Income and appearance are the primary incentives of paid work, and thus work more interfere with private life in materialists </w:t>
      </w:r>
      <w:r w:rsidRPr="00C3671E">
        <w:rPr>
          <w:lang w:eastAsia="zh-CN"/>
        </w:rPr>
        <w:fldChar w:fldCharType="begin" w:fldLock="1"/>
      </w:r>
      <w:r w:rsidR="001257AA" w:rsidRPr="00C3671E">
        <w:rPr>
          <w:lang w:eastAsia="zh-CN"/>
        </w:rPr>
        <w:instrText>ADDIN CSL_CITATION { "citationItems" : [ { "id" : "ITEM-1", "itemData" : { "DOI" : "10.1348/096317909X480167", "ISBN" : "0963-1798", "ISSN" : "09631798", "abstract" : "Can valuing money and material possessions lead to conflict between work and family? In this paper, we build on Carlson and Kacmar's call for more research on personal values in the context of the work-family interface. In a field study, we examined the relationship between materialism and two components of work-family conflict: work interference with family (WIF) and family interference with work (FIW). Results supported our main hypotheses that materialism is associated with both forms of work-family conflict. Further, work overload mediated the relationship between materialism and WIF, while FIW moderated the association between materialism and work overload, thus supporting a model of mediated moderation. By linking materialism to work-family conflict, this study adds to the growing evidence of the deleterious effects of holding materialistic values.", "author" : [ { "dropping-particle" : "", "family" : "Promislo", "given" : "Mark D.", "non-dropping-particle" : "", "parse-names" : false, "suffix" : "" }, { "dropping-particle" : "", "family" : "Deckop", "given" : "John R.", "non-dropping-particle" : "", "parse-names" : false, "suffix" : "" }, { "dropping-particle" : "", "family" : "Giacalone", "given" : "Robert A.", "non-dropping-particle" : "", "parse-names" : false, "suffix" : "" }, { "dropping-particle" : "", "family" : "Jurkiewicz", "given" : "Carole L.", "non-dropping-particle" : "", "parse-names" : false, "suffix" : "" } ], "container-title" : "Journal of Occupational and Organizational Psychology", "id" : "ITEM-1", "issue" : "4", "issued" : { "date-parts" : [ [ "2010" ] ] }, "page" : "935-953", "title" : "Valuing money more than people: The effects of materialism on work-family conflict", "type" : "article-journal", "volume" : "83" }, "uris" : [ "http://www.mendeley.com/documents/?uuid=838fa85d-2a50-44a0-a37f-d7a487e68232" ] } ], "mendeley" : { "formattedCitation" : "(Promislo et al. 2010)", "plainTextFormattedCitation" : "(Promislo et al. 2010)", "previouslyFormattedCitation" : "(Promislo et al. 2010)" }, "properties" : { "noteIndex" : 0 }, "schema" : "https://github.com/citation-style-language/schema/raw/master/csl-citation.json" }</w:instrText>
      </w:r>
      <w:r w:rsidRPr="00C3671E">
        <w:rPr>
          <w:lang w:eastAsia="zh-CN"/>
        </w:rPr>
        <w:fldChar w:fldCharType="separate"/>
      </w:r>
      <w:r w:rsidR="00C004DA" w:rsidRPr="00C3671E">
        <w:rPr>
          <w:noProof/>
          <w:lang w:eastAsia="zh-CN"/>
        </w:rPr>
        <w:t>(Promislo et al. 2010)</w:t>
      </w:r>
      <w:r w:rsidRPr="00C3671E">
        <w:rPr>
          <w:lang w:eastAsia="zh-CN"/>
        </w:rPr>
        <w:fldChar w:fldCharType="end"/>
      </w:r>
      <w:r w:rsidRPr="00C3671E">
        <w:rPr>
          <w:lang w:eastAsia="zh-CN"/>
        </w:rPr>
        <w:t xml:space="preserve"> and materialism is also a strong motivator for being active in entrepreneurship </w:t>
      </w:r>
      <w:r w:rsidRPr="00C3671E">
        <w:rPr>
          <w:lang w:eastAsia="zh-CN"/>
        </w:rPr>
        <w:fldChar w:fldCharType="begin" w:fldLock="1"/>
      </w:r>
      <w:r w:rsidR="00AA6335" w:rsidRPr="00C3671E">
        <w:rPr>
          <w:lang w:eastAsia="zh-CN"/>
        </w:rPr>
        <w:instrText>ADDIN CSL_CITATION { "citationItems" : [ { "id" : "ITEM-1", "itemData" : { "author" : [ { "dropping-particle" : "", "family" : "Uhlaner", "given" : "Lorraine", "non-dropping-particle" : "", "parse-names" : false, "suffix" : "" }, { "dropping-particle" : "", "family" : "Thurik", "given" : "Roy", "non-dropping-particle" : "", "parse-names" : false, "suffix" : "" } ], "collection-title" : "Discussion Papers on Entrepreneurship, Growth and Public Policy", "id" : "ITEM-1", "issued" : { "date-parts" : [ [ "2004" ] ] }, "number-of-pages" : "20", "publisher-place" : "Jena", "title" : "Post-Materialism Influencing Total Entrepreneurial Activity Across Nations", "type" : "report" }, "uris" : [ "http://www.mendeley.com/documents/?uuid=ef604cdd-00da-4ed6-93db-747c5e9c52b8" ] } ], "mendeley" : { "formattedCitation" : "(Uhlaner and Thurik 2004)", "plainTextFormattedCitation" : "(Uhlaner and Thurik 2004)", "previouslyFormattedCitation" : "(Uhlaner and Thurik 2004)" }, "properties" : { "noteIndex" : 0 }, "schema" : "https://github.com/citation-style-language/schema/raw/master/csl-citation.json" }</w:instrText>
      </w:r>
      <w:r w:rsidRPr="00C3671E">
        <w:rPr>
          <w:lang w:eastAsia="zh-CN"/>
        </w:rPr>
        <w:fldChar w:fldCharType="separate"/>
      </w:r>
      <w:r w:rsidRPr="00C3671E">
        <w:rPr>
          <w:noProof/>
          <w:lang w:eastAsia="zh-CN"/>
        </w:rPr>
        <w:t>(Uhlaner and Thurik 2004)</w:t>
      </w:r>
      <w:r w:rsidRPr="00C3671E">
        <w:rPr>
          <w:lang w:eastAsia="zh-CN"/>
        </w:rPr>
        <w:fldChar w:fldCharType="end"/>
      </w:r>
      <w:r w:rsidRPr="00C3671E">
        <w:rPr>
          <w:lang w:eastAsia="zh-CN"/>
        </w:rPr>
        <w:t xml:space="preserve">. Moreover, materialists are facing a lack of economic resources more often </w:t>
      </w:r>
      <w:r w:rsidRPr="00C3671E">
        <w:rPr>
          <w:lang w:eastAsia="zh-CN"/>
        </w:rPr>
        <w:fldChar w:fldCharType="begin" w:fldLock="1"/>
      </w:r>
      <w:r w:rsidR="001257AA" w:rsidRPr="00C3671E">
        <w:rPr>
          <w:lang w:eastAsia="zh-CN"/>
        </w:rPr>
        <w:instrText>ADDIN CSL_CITATION { "citationItems" : [ { "id" : "ITEM-1", "itemData" : { "author" : [ { "dropping-particle" : "", "family" : "Inglehart", "given" : "Ronald", "non-dropping-particle" : "", "parse-names" : false, "suffix" : "" } ], "id" : "ITEM-1", "issued" : { "date-parts" : [ [ "1990" ] ] }, "publisher" : "Princeton University Press", "publisher-place" : "Princeton", "title" : "Culture Shift in Advanced Industrial Society", "type" : "book" }, "uris" : [ "http://www.mendeley.com/documents/?uuid=25dc8f63-d26d-432e-8cdc-a1a2c72d612c" ] }, { "id" : "ITEM-2", "itemData" : { "author" : [ { "dropping-particle" : "V", "family" : "Warwick", "given" : "Paul", "non-dropping-particle" : "", "parse-names" : false, "suffix" : "" } ], "container-title" : "The Public Opinion Quaterly", "id" : "ITEM-2", "issue" : "4", "issued" : { "date-parts" : [ [ "1998" ] ] }, "page" : "583-609", "title" : "Disputed Cause, Disputed Effect: The Postmaterialist Thesis Re-Examined", "type" : "article-journal", "volume" : "62" }, "uris" : [ "http://www.mendeley.com/documents/?uuid=d9ceffc2-6aff-4796-8b09-7573534ded40" ] } ], "mendeley" : { "formattedCitation" : "(Inglehart 1990; Warwick 1998)", "plainTextFormattedCitation" : "(Inglehart 1990; Warwick 1998)", "previouslyFormattedCitation" : "(Inglehart 1990; Warwick 1998)" }, "properties" : { "noteIndex" : 0 }, "schema" : "https://github.com/citation-style-language/schema/raw/master/csl-citation.json" }</w:instrText>
      </w:r>
      <w:r w:rsidRPr="00C3671E">
        <w:rPr>
          <w:lang w:eastAsia="zh-CN"/>
        </w:rPr>
        <w:fldChar w:fldCharType="separate"/>
      </w:r>
      <w:r w:rsidR="00A91559" w:rsidRPr="00C3671E">
        <w:rPr>
          <w:noProof/>
          <w:lang w:eastAsia="zh-CN"/>
        </w:rPr>
        <w:t>(Inglehart 1990; Warwick 1998)</w:t>
      </w:r>
      <w:r w:rsidRPr="00C3671E">
        <w:rPr>
          <w:lang w:eastAsia="zh-CN"/>
        </w:rPr>
        <w:fldChar w:fldCharType="end"/>
      </w:r>
      <w:r w:rsidRPr="00C3671E">
        <w:rPr>
          <w:lang w:eastAsia="zh-CN"/>
        </w:rPr>
        <w:t xml:space="preserve"> and poorer older people depend more on a stable income </w:t>
      </w:r>
      <w:r w:rsidRPr="00C3671E">
        <w:rPr>
          <w:lang w:eastAsia="zh-CN"/>
        </w:rPr>
        <w:fldChar w:fldCharType="begin" w:fldLock="1"/>
      </w:r>
      <w:r w:rsidR="00AA6335" w:rsidRPr="00C3671E">
        <w:rPr>
          <w:lang w:eastAsia="zh-CN"/>
        </w:rPr>
        <w:instrText>ADDIN CSL_CITATION { "citationItems" : [ { "id" : "ITEM-1", "itemData" : { "DOI" : "10.1007/s00391-014-0669-y", "ISSN" : "0948-6704", "PMID" : "25117859", "abstract" : "BACKGROUND: Population ageing, demographic change and the financial crisis has put the financial sustainability of the German pension system at risk. In reaction to these challenges, Germany recently abandoned generous early retirement policies and moved towards policies encouraging higher employment among the elderly.\\n\\nOBJECTIVES: In this article we evaluate how these labour market and pension policies affected the retirement decisions of older workers in Germany over the last three decades. Complementing previous research on early retirement, we focus in particular on those working past the mandatory retirement age of 65 years and examine whether the composition of this group of postretirement-age workers has changed over time.\\n\\nDATA AND METHODS: We analyse pooled cross-sectional data from three rounds of the German Ageing Survey which allow us to cover the last three decades from 1980 to 2008. Estimating multinomial logit models we distinguish explanatory factors on the individual, organizational and institutional level that frame the decision to leave the labour market before the age of 65, to stop working at 65 or to work past 65.\\n\\nRESULTS: Over the last three decades, the share of German workers leaving the labour market after the mandatory retirement age of 65 has increased markedly. This trend towards working longer has changed particularly among the low educated workforce which in previous decades traditionally has exhibited a tendency to retire early. In contrast to high-skilled workers, the decision to work longer among low-educated workers is mainly driven by financial need (and is usually not in line with their desire or their ability to work for longer).\\n\\nCONCLUSION: Our findings suggest an increase in social inequality in retirement decisions as a result of the policy shift towards activation. We conclude by arguing for a more fine-grained understanding of the reasons why people work longer. Such research would provide valuable insights into how to design future labour market and pension reforms preventing a rise in social inequalities.", "author" : [ { "dropping-particle" : "", "family" : "Hof\u00e4cker", "given" : "Dirk", "non-dropping-particle" : "", "parse-names" : false, "suffix" : "" }, { "dropping-particle" : "", "family" : "Naumann", "given" : "Elias", "non-dropping-particle" : "", "parse-names" : false, "suffix" : "" } ], "container-title" : "Zeitschrift f\u00fcr Gerontologie und Geriatrie", "id" : "ITEM-1", "issue" : "5", "issued" : { "date-parts" : [ [ "2015" ] ] }, "page" : "473-479", "title" : "The emerging trend of work beyond retirement age in Germany", "type" : "article-journal", "volume" : "48" }, "uris" : [ "http://www.mendeley.com/documents/?uuid=0547dc71-32a3-4661-aab8-693057b101cb" ] } ], "mendeley" : { "formattedCitation" : "(Hof\u00e4cker and Naumann 2015)", "plainTextFormattedCitation" : "(Hof\u00e4cker and Naumann 2015)", "previouslyFormattedCitation" : "(Hof\u00e4cker and Naumann 2015)" }, "properties" : { "noteIndex" : 0 }, "schema" : "https://github.com/citation-style-language/schema/raw/master/csl-citation.json" }</w:instrText>
      </w:r>
      <w:r w:rsidRPr="00C3671E">
        <w:rPr>
          <w:lang w:eastAsia="zh-CN"/>
        </w:rPr>
        <w:fldChar w:fldCharType="separate"/>
      </w:r>
      <w:r w:rsidRPr="00C3671E">
        <w:rPr>
          <w:noProof/>
          <w:lang w:eastAsia="zh-CN"/>
        </w:rPr>
        <w:t>(Hofäcker and Naumann 2015)</w:t>
      </w:r>
      <w:r w:rsidRPr="00C3671E">
        <w:rPr>
          <w:lang w:eastAsia="zh-CN"/>
        </w:rPr>
        <w:fldChar w:fldCharType="end"/>
      </w:r>
      <w:r w:rsidRPr="00C3671E">
        <w:rPr>
          <w:lang w:eastAsia="zh-CN"/>
        </w:rPr>
        <w:t>. Regarding all the arguments, older workers should benefit more from this activity when possessing materialist value system.</w:t>
      </w:r>
    </w:p>
    <w:p w14:paraId="1A881A2D" w14:textId="0CE15E7C" w:rsidR="00C94483" w:rsidRPr="00C3671E" w:rsidRDefault="00C94483" w:rsidP="00C94483">
      <w:pPr>
        <w:suppressAutoHyphens/>
        <w:spacing w:line="480" w:lineRule="auto"/>
        <w:ind w:firstLine="397"/>
        <w:jc w:val="both"/>
        <w:rPr>
          <w:lang w:val="en-GB" w:eastAsia="zh-CN"/>
        </w:rPr>
      </w:pPr>
      <w:r w:rsidRPr="00C3671E">
        <w:rPr>
          <w:lang w:val="en-GB" w:eastAsia="zh-CN"/>
        </w:rPr>
        <w:t xml:space="preserve">Caregiving is connected to traditional family norms </w:t>
      </w:r>
      <w:r w:rsidRPr="00C3671E">
        <w:rPr>
          <w:lang w:val="en-GB" w:eastAsia="zh-CN"/>
        </w:rPr>
        <w:fldChar w:fldCharType="begin" w:fldLock="1"/>
      </w:r>
      <w:r w:rsidR="00AA6335" w:rsidRPr="00C3671E">
        <w:rPr>
          <w:lang w:val="en-GB" w:eastAsia="zh-CN"/>
        </w:rPr>
        <w:instrText>ADDIN CSL_CITATION { "citationItems" : [ { "id" : "ITEM-1", "itemData" : { "DOI" : "10.1007/s10433-013-0294-4", "ISBN" : "1613-9372", "ISSN" : "1613-9372", "abstract" : "This study employs the concept of structured ambivalence to analyse the effect of grandchild care on quality of life (QoL) in different cultural contexts. We define structured ambivalence as the contradiction between behaviour and cultural norms. The analysis is based on the Survey of Health, Ageing and Retirement in Europe with 14 countries in the sample. We focus on grandparents aged 50 and over with at least one grandchild 12 years old or younger (n = 12,740). In countries with high grandparent obligations, grandparents who did not look after their grandchildren reported a lower quality of life. Compliance with such grandparental obligations (e.g. providing grandchild care in a country with high grandparent obligations) was found to increase the QoL of grandparents. Family policy should consider family practices that better match the realities of current grandparents\u2019 lives in order to reduce structured ambivalence and increase the QoL of grandparents.", "author" : [ { "dropping-particle" : "", "family" : "Neuberger", "given" : "Franz S.", "non-dropping-particle" : "", "parse-names" : false, "suffix" : "" }, { "dropping-particle" : "", "family" : "Haberkern", "given" : "Klaus", "non-dropping-particle" : "", "parse-names" : false, "suffix" : "" } ], "container-title" : "European Journal of Ageing", "id" : "ITEM-1", "issue" : "2", "issued" : { "date-parts" : [ [ "2014" ] ] }, "page" : "171-181", "title" : "Structured ambivalence in grandchild care and the quality of life among European grandparents", "type" : "article-journal", "volume" : "11" }, "uris" : [ "http://www.mendeley.com/documents/?uuid=f5b5cac1-e999-4c39-a97d-1363ab276312" ] } ], "mendeley" : { "formattedCitation" : "(Neuberger and Haberkern 2014)", "plainTextFormattedCitation" : "(Neuberger and Haberkern 2014)", "previouslyFormattedCitation" : "(Neuberger and Haberkern 2014)" }, "properties" : { "noteIndex" : 0 }, "schema" : "https://github.com/citation-style-language/schema/raw/master/csl-citation.json" }</w:instrText>
      </w:r>
      <w:r w:rsidRPr="00C3671E">
        <w:rPr>
          <w:lang w:val="en-GB" w:eastAsia="zh-CN"/>
        </w:rPr>
        <w:fldChar w:fldCharType="separate"/>
      </w:r>
      <w:r w:rsidRPr="00C3671E">
        <w:rPr>
          <w:noProof/>
          <w:lang w:val="en-GB" w:eastAsia="zh-CN"/>
        </w:rPr>
        <w:t>(Neuberger and Haberkern 2014)</w:t>
      </w:r>
      <w:r w:rsidRPr="00C3671E">
        <w:rPr>
          <w:lang w:val="en-GB" w:eastAsia="zh-CN"/>
        </w:rPr>
        <w:fldChar w:fldCharType="end"/>
      </w:r>
      <w:r w:rsidRPr="00C3671E">
        <w:rPr>
          <w:lang w:val="en-GB" w:eastAsia="zh-CN"/>
        </w:rPr>
        <w:t xml:space="preserve">, but also to interpersonal relations and quality of life </w:t>
      </w:r>
      <w:r w:rsidRPr="00C3671E">
        <w:rPr>
          <w:lang w:val="en-GB" w:eastAsia="zh-CN"/>
        </w:rPr>
        <w:fldChar w:fldCharType="begin" w:fldLock="1"/>
      </w:r>
      <w:r w:rsidR="001257AA" w:rsidRPr="00C3671E">
        <w:rPr>
          <w:lang w:val="en-GB" w:eastAsia="zh-CN"/>
        </w:rPr>
        <w:instrText>ADDIN CSL_CITATION { "citationItems" : [ { "id" : "ITEM-1", "itemData" : { "DOI" : "10.1348/096317909X480167", "ISBN" : "0963-1798", "ISSN" : "09631798", "abstract" : "Can valuing money and material possessions lead to conflict between work and family? In this paper, we build on Carlson and Kacmar's call for more research on personal values in the context of the work-family interface. In a field study, we examined the relationship between materialism and two components of work-family conflict: work interference with family (WIF) and family interference with work (FIW). Results supported our main hypotheses that materialism is associated with both forms of work-family conflict. Further, work overload mediated the relationship between materialism and WIF, while FIW moderated the association between materialism and work overload, thus supporting a model of mediated moderation. By linking materialism to work-family conflict, this study adds to the growing evidence of the deleterious effects of holding materialistic values.", "author" : [ { "dropping-particle" : "", "family" : "Promislo", "given" : "Mark D.", "non-dropping-particle" : "", "parse-names" : false, "suffix" : "" }, { "dropping-particle" : "", "family" : "Deckop", "given" : "John R.", "non-dropping-particle" : "", "parse-names" : false, "suffix" : "" }, { "dropping-particle" : "", "family" : "Giacalone", "given" : "Robert A.", "non-dropping-particle" : "", "parse-names" : false, "suffix" : "" }, { "dropping-particle" : "", "family" : "Jurkiewicz", "given" : "Carole L.", "non-dropping-particle" : "", "parse-names" : false, "suffix" : "" } ], "container-title" : "Journal of Occupational and Organizational Psychology", "id" : "ITEM-1", "issue" : "4", "issued" : { "date-parts" : [ [ "2010" ] ] }, "page" : "935-953", "title" : "Valuing money more than people: The effects of materialism on work-family conflict", "type" : "article-journal", "volume" : "83" }, "uris" : [ "http://www.mendeley.com/documents/?uuid=838fa85d-2a50-44a0-a37f-d7a487e68232" ] } ], "mendeley" : { "formattedCitation" : "(Promislo et al. 2010)", "plainTextFormattedCitation" : "(Promislo et al. 2010)", "previouslyFormattedCitation" : "(Promislo et al. 2010)" }, "properties" : { "noteIndex" : 0 }, "schema" : "https://github.com/citation-style-language/schema/raw/master/csl-citation.json" }</w:instrText>
      </w:r>
      <w:r w:rsidRPr="00C3671E">
        <w:rPr>
          <w:lang w:val="en-GB" w:eastAsia="zh-CN"/>
        </w:rPr>
        <w:fldChar w:fldCharType="separate"/>
      </w:r>
      <w:r w:rsidR="00C004DA" w:rsidRPr="00C3671E">
        <w:rPr>
          <w:noProof/>
          <w:lang w:val="en-GB" w:eastAsia="zh-CN"/>
        </w:rPr>
        <w:t>(Promislo et al. 2010)</w:t>
      </w:r>
      <w:r w:rsidRPr="00C3671E">
        <w:rPr>
          <w:lang w:val="en-GB" w:eastAsia="zh-CN"/>
        </w:rPr>
        <w:fldChar w:fldCharType="end"/>
      </w:r>
      <w:r w:rsidRPr="00C3671E">
        <w:rPr>
          <w:lang w:val="en-GB" w:eastAsia="zh-CN"/>
        </w:rPr>
        <w:t xml:space="preserve">. Thus, the provision of </w:t>
      </w:r>
      <w:r w:rsidRPr="00C3671E">
        <w:rPr>
          <w:lang w:val="en-GB" w:eastAsia="zh-CN"/>
        </w:rPr>
        <w:lastRenderedPageBreak/>
        <w:t xml:space="preserve">care depends on a context and its form and it is not connected more to materialist or postmaterialist values. Postmaterialists should benefit more from volunteering, active political participation, and lifelong learning, as these activities are more prevalent for them and more fitting to their values </w:t>
      </w:r>
      <w:r w:rsidRPr="00C3671E">
        <w:rPr>
          <w:lang w:val="en-GB" w:eastAsia="zh-CN"/>
        </w:rPr>
        <w:fldChar w:fldCharType="begin" w:fldLock="1"/>
      </w:r>
      <w:r w:rsidR="001257AA" w:rsidRPr="00C3671E">
        <w:rPr>
          <w:lang w:val="en-GB" w:eastAsia="zh-CN"/>
        </w:rPr>
        <w:instrText>ADDIN CSL_CITATION { "citationItems" : [ { "id" : "ITEM-1", "itemData" : { "author" : [ { "dropping-particle" : "", "family" : "Inglehart", "given" : "Ronald", "non-dropping-particle" : "", "parse-names" : false, "suffix" : "" } ], "id" : "ITEM-1", "issued" : { "date-parts" : [ [ "1990" ] ] }, "publisher" : "Princeton University Press", "publisher-place" : "Princeton", "title" : "Culture Shift in Advanced Industrial Society", "type" : "book" }, "uris" : [ "http://www.mendeley.com/documents/?uuid=25dc8f63-d26d-432e-8cdc-a1a2c72d612c" ] }, { "id" : "ITEM-2", "itemData" : { "DOI" : "10.1111/j.1467-9221.2005.00425.x", "ISBN" : "0162-895X", "ISSN" : "0162895X", "PMID" : "16417727", "abstract" : "Participation in voluntary associations is explained by different theories in sociology, psy- chology, and political science. Sociologists have emphasized the effects of resources such as human and social capital. Psychologists have demonstrated the role of empathy and extraversion as aspects of personality. Political scientists have considered political values and attitudes. This paper investigates the predictive value of personality characteristics, political values, and social conditions for civic engagement. Data from the Family Survey of the Dutch Population 2000 (n = 1,587) show that active citizens have more human and social capital available to them, they are more interested in politics, have more post mate- rialistic value orientations, prefer leftist or Christian political parties, are less conscien- tious persons, and show more empathic concern with other people. Relations of personality characteristics with civic engagement were partly intermediated by church attendance and the level of education and varied in complex ways with hourly wages. My results show how social, political, and psychological characteristics are jointly related to civic engagement.", "author" : [ { "dropping-particle" : "", "family" : "Bekkers", "given" : "Ren\u00e9", "non-dropping-particle" : "", "parse-names" : false, "suffix" : "" } ], "container-title" : "Political Psychology", "id" : "ITEM-2", "issue" : "3", "issued" : { "date-parts" : [ [ "2005" ] ] }, "page" : "439-454", "title" : "Participation in voluntary associations: Relations with resources, personality, and political values", "type" : "article-journal", "volume" : "26" }, "uris" : [ "http://www.mendeley.com/documents/?uuid=2c18a2c6-508d-4c03-8438-2c1c89b0a10c" ] }, { "id" : "ITEM-3", "itemData" : { "DOI" : "10.1080/01490400802165032", "ISSN" : "01490400", "abstract" : "This article reports exploratory research about tendencies toward postmaterialism in university students. This paper used the theoretical framework proposed by Inglehart regarding three categories of leisure: postmaterialist, materialist and common. Students from a Spanish university (N = 1036) completed questionnaires that evaluated their materialist-postmaterialist values, how often they practiced the activities included in each category of leisure and the motivational factors involved in them. The results revealed that university students showed a tendency toward postmaterialism. Further, relationships were found between materialist-postmaterialist values and categories of leisure. This study results suggested that the tendency toward postmaterialist values may be a factor in structuring the leisure patterns of young Spanish university students.", "author" : [ { "dropping-particle" : "", "family" : "Aguila", "given" : "Cornelio", "non-dropping-particle" : "", "parse-names" : false, "suffix" : "" }, { "dropping-particle" : "", "family" : "Sicilia-Camacho", "given" : "Alvaro", "non-dropping-particle" : "", "parse-names" : false, "suffix" : "" }, { "dropping-particle" : "", "family" : "Rojas Tejada", "given" : "Antonio", "non-dropping-particle" : "", "parse-names" : false, "suffix" : "" }, { "dropping-particle" : "", "family" : "Delgado-Noguera", "given" : "Miguel", "non-dropping-particle" : "", "parse-names" : false, "suffix" : "" }, { "dropping-particle" : "", "family" : "Gard", "given" : "Michael", "non-dropping-particle" : "", "parse-names" : false, "suffix" : "" } ], "container-title" : "Leisure Sciences", "id" : "ITEM-3", "issue" : "4", "issued" : { "date-parts" : [ [ "2008" ] ] }, "page" : "275-292", "title" : "Postmodern values and leisure in young Spanish university students: An exploratory study", "type" : "article-journal", "volume" : "30" }, "uris" : [ "http://www.mendeley.com/documents/?uuid=8e6b157c-fce5-4b2f-b7f8-71c3b5533f3a" ] }, { "id" : "ITEM-4", "itemData" : { "author" : [ { "dropping-particle" : "", "family" : "Barrett", "given" : "Martyn", "non-dropping-particle" : "", "parse-names" : false, "suffix" : "" }, { "dropping-particle" : "", "family" : "Zani", "given" : "Bruna", "non-dropping-particle" : "", "parse-names" : false, "suffix" : "" } ], "chapter-number" : "1", "container-title" : "Political and civic engagement: multidisciplinary perspectives", "editor" : [ { "dropping-particle" : "", "family" : "Barrett", "given" : "Martyn", "non-dropping-particle" : "", "parse-names" : false, "suffix" : "" }, { "dropping-particle" : "", "family" : "Zani", "given" : "Bruna", "non-dropping-particle" : "", "parse-names" : false, "suffix" : "" } ], "id" : "ITEM-4", "issued" : { "date-parts" : [ [ "2015" ] ] }, "page" : "3-26", "publisher" : "Routledge", "publisher-place" : "Abingdon", "title" : "Political and civic engagement: theoretical understandings, evidence and policies", "type" : "chapter" }, "uris" : [ "http://www.mendeley.com/documents/?uuid=fcd5c917-4c26-4e6a-8369-3fb6ab22fc97" ] } ], "mendeley" : { "formattedCitation" : "(Aguila et al. 2008; Barrett and Zani 2015; Bekkers 2005; Inglehart 1990)", "plainTextFormattedCitation" : "(Aguila et al. 2008; Barrett and Zani 2015; Bekkers 2005; Inglehart 1990)", "previouslyFormattedCitation" : "(Aguila et al. 2008; Barrett and Zani 2015; Bekkers 2005; Inglehart 1990)" }, "properties" : { "noteIndex" : 0 }, "schema" : "https://github.com/citation-style-language/schema/raw/master/csl-citation.json" }</w:instrText>
      </w:r>
      <w:r w:rsidRPr="00C3671E">
        <w:rPr>
          <w:lang w:val="en-GB" w:eastAsia="zh-CN"/>
        </w:rPr>
        <w:fldChar w:fldCharType="separate"/>
      </w:r>
      <w:r w:rsidR="00A91559" w:rsidRPr="00C3671E">
        <w:rPr>
          <w:noProof/>
          <w:lang w:val="en-GB" w:eastAsia="zh-CN"/>
        </w:rPr>
        <w:t>(Aguila et al. 2008; Barrett and Zani 2015; Bekkers 2005; Inglehart 1990)</w:t>
      </w:r>
      <w:r w:rsidRPr="00C3671E">
        <w:rPr>
          <w:lang w:val="en-GB" w:eastAsia="zh-CN"/>
        </w:rPr>
        <w:fldChar w:fldCharType="end"/>
      </w:r>
      <w:r w:rsidRPr="00C3671E">
        <w:rPr>
          <w:lang w:val="en-GB" w:eastAsia="zh-CN"/>
        </w:rPr>
        <w:t xml:space="preserve">. In contrast, materialists incline more to conventional political participation </w:t>
      </w:r>
      <w:r w:rsidRPr="00C3671E">
        <w:rPr>
          <w:lang w:val="en-GB" w:eastAsia="zh-CN"/>
        </w:rPr>
        <w:fldChar w:fldCharType="begin" w:fldLock="1"/>
      </w:r>
      <w:r w:rsidR="001257AA" w:rsidRPr="00C3671E">
        <w:rPr>
          <w:lang w:val="en-GB" w:eastAsia="zh-CN"/>
        </w:rPr>
        <w:instrText>ADDIN CSL_CITATION { "citationItems" : [ { "id" : "ITEM-1", "itemData" : { "author" : [ { "dropping-particle" : "", "family" : "Inglehart", "given" : "Ronald", "non-dropping-particle" : "", "parse-names" : false, "suffix" : "" } ], "id" : "ITEM-1", "issued" : { "date-parts" : [ [ "1990" ] ] }, "publisher" : "Princeton University Press", "publisher-place" : "Princeton", "title" : "Culture Shift in Advanced Industrial Society", "type" : "book" }, "uris" : [ "http://www.mendeley.com/documents/?uuid=25dc8f63-d26d-432e-8cdc-a1a2c72d612c" ] }, { "id" : "ITEM-2", "itemData" : { "DOI" : "10.1080/01490400802165032", "ISSN" : "01490400", "abstract" : "This article reports exploratory research about tendencies toward postmaterialism in university students. This paper used the theoretical framework proposed by Inglehart regarding three categories of leisure: postmaterialist, materialist and common. Students from a Spanish university (N = 1036) completed questionnaires that evaluated their materialist-postmaterialist values, how often they practiced the activities included in each category of leisure and the motivational factors involved in them. The results revealed that university students showed a tendency toward postmaterialism. Further, relationships were found between materialist-postmaterialist values and categories of leisure. This study results suggested that the tendency toward postmaterialist values may be a factor in structuring the leisure patterns of young Spanish university students.", "author" : [ { "dropping-particle" : "", "family" : "Aguila", "given" : "Cornelio", "non-dropping-particle" : "", "parse-names" : false, "suffix" : "" }, { "dropping-particle" : "", "family" : "Sicilia-Camacho", "given" : "Alvaro", "non-dropping-particle" : "", "parse-names" : false, "suffix" : "" }, { "dropping-particle" : "", "family" : "Rojas Tejada", "given" : "Antonio", "non-dropping-particle" : "", "parse-names" : false, "suffix" : "" }, { "dropping-particle" : "", "family" : "Delgado-Noguera", "given" : "Miguel", "non-dropping-particle" : "", "parse-names" : false, "suffix" : "" }, { "dropping-particle" : "", "family" : "Gard", "given" : "Michael", "non-dropping-particle" : "", "parse-names" : false, "suffix" : "" } ], "container-title" : "Leisure Sciences", "id" : "ITEM-2", "issue" : "4", "issued" : { "date-parts" : [ [ "2008" ] ] }, "page" : "275-292", "title" : "Postmodern values and leisure in young Spanish university students: An exploratory study", "type" : "article-journal", "volume" : "30" }, "uris" : [ "http://www.mendeley.com/documents/?uuid=8e6b157c-fce5-4b2f-b7f8-71c3b5533f3a" ] } ], "mendeley" : { "formattedCitation" : "(Aguila et al. 2008; Inglehart 1990)", "plainTextFormattedCitation" : "(Aguila et al. 2008; Inglehart 1990)", "previouslyFormattedCitation" : "(Aguila et al. 2008; Inglehart 1990)" }, "properties" : { "noteIndex" : 0 }, "schema" : "https://github.com/citation-style-language/schema/raw/master/csl-citation.json" }</w:instrText>
      </w:r>
      <w:r w:rsidRPr="00C3671E">
        <w:rPr>
          <w:lang w:val="en-GB" w:eastAsia="zh-CN"/>
        </w:rPr>
        <w:fldChar w:fldCharType="separate"/>
      </w:r>
      <w:r w:rsidR="00A91559" w:rsidRPr="00C3671E">
        <w:rPr>
          <w:noProof/>
          <w:lang w:val="en-GB" w:eastAsia="zh-CN"/>
        </w:rPr>
        <w:t>(Aguila et al. 2008; Inglehart 1990)</w:t>
      </w:r>
      <w:r w:rsidRPr="00C3671E">
        <w:rPr>
          <w:lang w:val="en-GB" w:eastAsia="zh-CN"/>
        </w:rPr>
        <w:fldChar w:fldCharType="end"/>
      </w:r>
      <w:r w:rsidRPr="00C3671E">
        <w:rPr>
          <w:lang w:val="en-GB" w:eastAsia="zh-CN"/>
        </w:rPr>
        <w:t xml:space="preserve">. Finally, physical activity can be connected both to materialist (agriculture, competition in sports) and postmaterialist values (meeting friends, self-expression), which do not create specific expectations for this activity </w:t>
      </w:r>
      <w:r w:rsidRPr="00C3671E">
        <w:rPr>
          <w:lang w:val="en-GB" w:eastAsia="zh-CN"/>
        </w:rPr>
        <w:fldChar w:fldCharType="begin" w:fldLock="1"/>
      </w:r>
      <w:r w:rsidR="001257AA" w:rsidRPr="00C3671E">
        <w:rPr>
          <w:lang w:val="en-GB" w:eastAsia="zh-CN"/>
        </w:rPr>
        <w:instrText>ADDIN CSL_CITATION { "citationItems" : [ { "id" : "ITEM-1", "itemData" : { "DOI" : "10.1080/01490400802165032", "ISSN" : "01490400", "abstract" : "This article reports exploratory research about tendencies toward postmaterialism in university students. This paper used the theoretical framework proposed by Inglehart regarding three categories of leisure: postmaterialist, materialist and common. Students from a Spanish university (N = 1036) completed questionnaires that evaluated their materialist-postmaterialist values, how often they practiced the activities included in each category of leisure and the motivational factors involved in them. The results revealed that university students showed a tendency toward postmaterialism. Further, relationships were found between materialist-postmaterialist values and categories of leisure. This study results suggested that the tendency toward postmaterialist values may be a factor in structuring the leisure patterns of young Spanish university students.", "author" : [ { "dropping-particle" : "", "family" : "Aguila", "given" : "Cornelio", "non-dropping-particle" : "", "parse-names" : false, "suffix" : "" }, { "dropping-particle" : "", "family" : "Sicilia-Camacho", "given" : "Alvaro", "non-dropping-particle" : "", "parse-names" : false, "suffix" : "" }, { "dropping-particle" : "", "family" : "Rojas Tejada", "given" : "Antonio", "non-dropping-particle" : "", "parse-names" : false, "suffix" : "" }, { "dropping-particle" : "", "family" : "Delgado-Noguera", "given" : "Miguel", "non-dropping-particle" : "", "parse-names" : false, "suffix" : "" }, { "dropping-particle" : "", "family" : "Gard", "given" : "Michael", "non-dropping-particle" : "", "parse-names" : false, "suffix" : "" } ], "container-title" : "Leisure Sciences", "id" : "ITEM-1", "issue" : "4", "issued" : { "date-parts" : [ [ "2008" ] ] }, "page" : "275-292", "title" : "Postmodern values and leisure in young Spanish university students: An exploratory study", "type" : "article-journal", "volume" : "30" }, "uris" : [ "http://www.mendeley.com/documents/?uuid=8e6b157c-fce5-4b2f-b7f8-71c3b5533f3a" ] } ], "mendeley" : { "formattedCitation" : "(Aguila et al. 2008)", "plainTextFormattedCitation" : "(Aguila et al. 2008)", "previouslyFormattedCitation" : "(Aguila et al. 2008)" }, "properties" : { "noteIndex" : 0 }, "schema" : "https://github.com/citation-style-language/schema/raw/master/csl-citation.json" }</w:instrText>
      </w:r>
      <w:r w:rsidRPr="00C3671E">
        <w:rPr>
          <w:lang w:val="en-GB" w:eastAsia="zh-CN"/>
        </w:rPr>
        <w:fldChar w:fldCharType="separate"/>
      </w:r>
      <w:r w:rsidR="00C004DA" w:rsidRPr="00C3671E">
        <w:rPr>
          <w:noProof/>
          <w:lang w:val="en-GB" w:eastAsia="zh-CN"/>
        </w:rPr>
        <w:t>(Aguila et al. 2008)</w:t>
      </w:r>
      <w:r w:rsidRPr="00C3671E">
        <w:rPr>
          <w:lang w:val="en-GB" w:eastAsia="zh-CN"/>
        </w:rPr>
        <w:fldChar w:fldCharType="end"/>
      </w:r>
      <w:r w:rsidRPr="00C3671E">
        <w:rPr>
          <w:lang w:val="en-GB" w:eastAsia="zh-CN"/>
        </w:rPr>
        <w:t>.</w:t>
      </w:r>
    </w:p>
    <w:p w14:paraId="7260FDD2" w14:textId="55E6568A" w:rsidR="00C94483" w:rsidRPr="00C3671E" w:rsidRDefault="00C94483" w:rsidP="00466C1F">
      <w:pPr>
        <w:pStyle w:val="Newparagraph"/>
        <w:jc w:val="both"/>
        <w:rPr>
          <w:lang w:eastAsia="zh-CN"/>
        </w:rPr>
      </w:pPr>
      <w:r w:rsidRPr="00C3671E">
        <w:rPr>
          <w:lang w:eastAsia="zh-CN"/>
        </w:rPr>
        <w:t xml:space="preserve">This study is not able to indicate the value system directly, but rather compare outcomes of roles supported by active ageing between older people with lower and higher education and between people living in less and more prosperous countries. Level of education and country prosperity are probably the strongest factors connected to materialist/postmaterialist value system </w:t>
      </w:r>
      <w:r w:rsidRPr="00C3671E">
        <w:rPr>
          <w:lang w:eastAsia="zh-CN"/>
        </w:rPr>
        <w:fldChar w:fldCharType="begin" w:fldLock="1"/>
      </w:r>
      <w:r w:rsidR="001257AA" w:rsidRPr="00C3671E">
        <w:rPr>
          <w:lang w:eastAsia="zh-CN"/>
        </w:rPr>
        <w:instrText>ADDIN CSL_CITATION { "citationItems" : [ { "id" : "ITEM-1", "itemData" : { "author" : [ { "dropping-particle" : "", "family" : "Uhlaner", "given" : "Lorraine", "non-dropping-particle" : "", "parse-names" : false, "suffix" : "" }, { "dropping-particle" : "", "family" : "Thurik", "given" : "Roy", "non-dropping-particle" : "", "parse-names" : false, "suffix" : "" } ], "collection-title" : "Discussion Papers on Entrepreneurship, Growth and Public Policy", "id" : "ITEM-1", "issued" : { "date-parts" : [ [ "2004" ] ] }, "number-of-pages" : "20", "publisher-place" : "Jena", "title" : "Post-Materialism Influencing Total Entrepreneurial Activity Across Nations", "type" : "report" }, "uris" : [ "http://www.mendeley.com/documents/?uuid=ef604cdd-00da-4ed6-93db-747c5e9c52b8" ] }, { "id" : "ITEM-2", "itemData" : { "DOI" : "10.1080/01402380701834747", "ISBN" : "0140-2382", "ISSN" : "01402382", "abstract" : "In 1971 it was hypothesised that intergenerational value changes were taking place. More than a generation has passed since then, and today it seems clear that the predicted changes have occurred. A large body of evidence, analysed using three different approaches \u2013 (1) cohort analysis; (2) comparisons of rich and poor countries; (3) examination of actual trends observed over the past 35 years \u2013 all points to the conclusion that major cultural changes are occurring, and that they reflect a process of intergenerational change linked with rising levels of existential security.", "author" : [ { "dropping-particle" : "", "family" : "Inglehart", "given" : "Ronald F.", "non-dropping-particle" : "", "parse-names" : false, "suffix" : "" } ], "container-title" : "West European Politics", "id" : "ITEM-2", "issue" : "1-2", "issued" : { "date-parts" : [ [ "2008" ] ] }, "page" : "130-146", "title" : "Changing values among western publics from 1970 to 2006", "type" : "article-journal", "volume" : "31" }, "uris" : [ "http://www.mendeley.com/documents/?uuid=09afa358-1cfc-4470-b739-434902e22049" ] } ], "mendeley" : { "formattedCitation" : "(Inglehart 2008; Uhlaner and Thurik 2004)", "plainTextFormattedCitation" : "(Inglehart 2008; Uhlaner and Thurik 2004)", "previouslyFormattedCitation" : "(Inglehart 2008; Uhlaner and Thurik 2004)" }, "properties" : { "noteIndex" : 0 }, "schema" : "https://github.com/citation-style-language/schema/raw/master/csl-citation.json" }</w:instrText>
      </w:r>
      <w:r w:rsidRPr="00C3671E">
        <w:rPr>
          <w:lang w:eastAsia="zh-CN"/>
        </w:rPr>
        <w:fldChar w:fldCharType="separate"/>
      </w:r>
      <w:r w:rsidR="00A91559" w:rsidRPr="00C3671E">
        <w:rPr>
          <w:noProof/>
          <w:lang w:eastAsia="zh-CN"/>
        </w:rPr>
        <w:t>(Inglehart 2008; Uhlaner and Thurik 2004)</w:t>
      </w:r>
      <w:r w:rsidRPr="00C3671E">
        <w:rPr>
          <w:lang w:eastAsia="zh-CN"/>
        </w:rPr>
        <w:fldChar w:fldCharType="end"/>
      </w:r>
      <w:r w:rsidRPr="00C3671E">
        <w:rPr>
          <w:lang w:eastAsia="zh-CN"/>
        </w:rPr>
        <w:t>, and thus the effect of these factors could be ascribed to individual values, if no other explanation fits better to the discovered pattern.</w:t>
      </w:r>
    </w:p>
    <w:p w14:paraId="0DF65A74" w14:textId="77777777" w:rsidR="00C94483" w:rsidRPr="00C3671E" w:rsidRDefault="00C94483" w:rsidP="00466C1F">
      <w:pPr>
        <w:pStyle w:val="Newparagraph"/>
        <w:jc w:val="both"/>
        <w:rPr>
          <w:lang w:eastAsia="zh-CN"/>
        </w:rPr>
      </w:pPr>
      <w:r w:rsidRPr="00C3671E">
        <w:rPr>
          <w:lang w:eastAsia="zh-CN"/>
        </w:rPr>
        <w:t xml:space="preserve">This paper hypothesizes that the effects of roles supported </w:t>
      </w:r>
      <w:r w:rsidRPr="00C3671E">
        <w:t>by</w:t>
      </w:r>
      <w:r w:rsidRPr="00C3671E">
        <w:rPr>
          <w:lang w:eastAsia="zh-CN"/>
        </w:rPr>
        <w:t xml:space="preserve"> active ageing are predominantly positive, if we estimate the effects within individuals. Moreover, this effect seems to be more beneficial for older people with higher education and those from wealthier countries in case of volunteering and learning and less beneficial in case of participation in labour force, organized politics, and sport clubs. The paper also hypothesizes that the effect does not differ for the provision of care and physical activity, as it is not possible to formulate a coherent assumption for these activities.</w:t>
      </w:r>
    </w:p>
    <w:p w14:paraId="3EF8BCAD" w14:textId="77777777" w:rsidR="00C94483" w:rsidRPr="00C3671E" w:rsidRDefault="00C94483" w:rsidP="007E6D8E">
      <w:pPr>
        <w:pStyle w:val="Nadpis2"/>
        <w:spacing w:line="480" w:lineRule="auto"/>
        <w:rPr>
          <w:sz w:val="26"/>
          <w:szCs w:val="26"/>
          <w:lang w:val="en-GB"/>
        </w:rPr>
      </w:pPr>
      <w:bookmarkStart w:id="91" w:name="_Toc512687783"/>
      <w:r w:rsidRPr="00C3671E">
        <w:rPr>
          <w:sz w:val="26"/>
          <w:szCs w:val="26"/>
          <w:lang w:val="en-GB"/>
        </w:rPr>
        <w:t>Data, methods, and variables</w:t>
      </w:r>
      <w:bookmarkEnd w:id="91"/>
    </w:p>
    <w:p w14:paraId="676B1CF3" w14:textId="77777777" w:rsidR="00C94483" w:rsidRPr="00C3671E" w:rsidRDefault="00C94483" w:rsidP="007E6D8E">
      <w:pPr>
        <w:pStyle w:val="Nadpis3"/>
        <w:spacing w:line="480" w:lineRule="auto"/>
        <w:rPr>
          <w:rFonts w:ascii="Times New Roman" w:hAnsi="Times New Roman" w:cs="Times New Roman"/>
          <w:b w:val="0"/>
          <w:i/>
          <w:lang w:val="en-GB" w:eastAsia="zh-CN"/>
        </w:rPr>
      </w:pPr>
      <w:bookmarkStart w:id="92" w:name="_Toc512687784"/>
      <w:r w:rsidRPr="00C3671E">
        <w:rPr>
          <w:rFonts w:ascii="Times New Roman" w:hAnsi="Times New Roman" w:cs="Times New Roman"/>
          <w:b w:val="0"/>
          <w:i/>
          <w:lang w:val="en-GB" w:eastAsia="zh-CN"/>
        </w:rPr>
        <w:lastRenderedPageBreak/>
        <w:t>Data and sample</w:t>
      </w:r>
      <w:bookmarkEnd w:id="92"/>
    </w:p>
    <w:p w14:paraId="134289E5" w14:textId="429FF938" w:rsidR="00C94483" w:rsidRPr="00C3671E" w:rsidRDefault="00C94483" w:rsidP="00C94483">
      <w:pPr>
        <w:suppressAutoHyphens/>
        <w:spacing w:line="480" w:lineRule="auto"/>
        <w:jc w:val="both"/>
        <w:rPr>
          <w:lang w:val="en-GB"/>
        </w:rPr>
      </w:pPr>
      <w:r w:rsidRPr="00C3671E">
        <w:rPr>
          <w:lang w:val="en-GB"/>
        </w:rPr>
        <w:t xml:space="preserve">This study use data from the SHARE project, which is a large European project, in which respondents from nationally </w:t>
      </w:r>
      <w:r w:rsidRPr="00C3671E">
        <w:rPr>
          <w:lang w:val="en-GB" w:eastAsia="zh-CN"/>
        </w:rPr>
        <w:t>representative</w:t>
      </w:r>
      <w:r w:rsidRPr="00C3671E">
        <w:rPr>
          <w:lang w:val="en-GB"/>
        </w:rPr>
        <w:t xml:space="preserve"> samples of the population over 50 years and their spouses are interviewed every </w:t>
      </w:r>
      <w:r w:rsidRPr="00C3671E">
        <w:rPr>
          <w:lang w:val="en-GB" w:eastAsia="zh-CN"/>
        </w:rPr>
        <w:t>two</w:t>
      </w:r>
      <w:r w:rsidRPr="00C3671E">
        <w:rPr>
          <w:lang w:val="en-GB"/>
        </w:rPr>
        <w:t xml:space="preserve"> years. SHARE dataset contains information on health, family, social networks, and economic situation of respondents and it also provides information on the intensity of performed activities and more measurement of subjective quality of life. So far, six waves of the SHARE data collection have been conducted (with wave 3 asking different questions) and this paper utilizes data from waves 4, 5, and 6 conducted in 2011, 2013, and 2015 </w:t>
      </w:r>
      <w:r w:rsidRPr="00C3671E">
        <w:rPr>
          <w:lang w:val="en-GB"/>
        </w:rPr>
        <w:fldChar w:fldCharType="begin" w:fldLock="1"/>
      </w:r>
      <w:r w:rsidR="001257AA" w:rsidRPr="00C3671E">
        <w:rPr>
          <w:lang w:val="en-GB"/>
        </w:rPr>
        <w:instrText>ADDIN CSL_CITATION { "citationItems" : [ { "id" : "ITEM-1", "itemData" : { "DOI" : "10.1093/ije/dyt088", "ISBN" : "0300-5771", "ISSN" : "03005771", "PMID" : "23778574", "abstract" : "SHARE is a unique panel database of micro data on health, socio-economic status and social and family networks covering most of the European Union and Israel. To date, SHARE has collected three panel waves (2004, 2006, 2010) of current living circumstances and retrospective life histories (2008, SHARELIFE); 6 additional waves are planned until 2024. The more than 150 000 interviews give a broad picture of life after the age of 50 years, measuring physical and mental health, economic and non-economic activities, income and wealth, transfers of time and money within and outside the family as well as life satisfaction and well-being. The data are available to the scientific community free of charge at www.share-project.org after registration. SHARE is harmonized with the US Health and Retirement Study (HRS) and the English Longitudinal Study of Ageing (ELSA) and has become a role model for several ageing surveys worldwide. SHARE's scientific power is based on its panel design that grasps the dynamic character of the ageing process, its multidisciplinary approach that delivers the full picture of individual and societal ageing, and its cross-nationally ex-ante harmonized design that permits international comparisons of health, economic and social outcomes in Europe and the USA.", "author" : [ { "dropping-particle" : "", "family" : "B\u00f6rsch-Supan", "given" : "Axel", "non-dropping-particle" : "", "parse-names" : false, "suffix" : "" }, { "dropping-particle" : "", "family" : "Brandt", "given" : "Martina", "non-dropping-particle" : "", "parse-names" : false, "suffix" : "" }, { "dropping-particle" : "", "family" : "Hunkler", "given" : "Christian", "non-dropping-particle" : "", "parse-names" : false, "suffix" : "" }, { "dropping-particle" : "", "family" : "Kneip", "given" : "Thorsten", "non-dropping-particle" : "", "parse-names" : false, "suffix" : "" }, { "dropping-particle" : "", "family" : "Korbmacher", "given" : "Julie", "non-dropping-particle" : "", "parse-names" : false, "suffix" : "" }, { "dropping-particle" : "", "family" : "Malter", "given" : "Frederic", "non-dropping-particle" : "", "parse-names" : false, "suffix" : "" }, { "dropping-particle" : "", "family" : "Schaan", "given" : "Barbara", "non-dropping-particle" : "", "parse-names" : false, "suffix" : "" }, { "dropping-particle" : "", "family" : "Stuck", "given" : "Stephanie", "non-dropping-particle" : "", "parse-names" : false, "suffix" : "" }, { "dropping-particle" : "", "family" : "Zuber", "given" : "Sabrina", "non-dropping-particle" : "", "parse-names" : false, "suffix" : "" } ], "container-title" : "International Journal of Epidemiology", "id" : "ITEM-1", "issue" : "4", "issued" : { "date-parts" : [ [ "2013" ] ] }, "page" : "992-1001", "title" : "Data resource profile: The Survey of Health, Ageing and Retirement in Europe (SHARE)", "type" : "article-journal", "volume" : "42" }, "uris" : [ "http://www.mendeley.com/documents/?uuid=a62ea0f6-9469-4439-98a6-a5f414d5782a" ] }, { "id" : "ITEM-2", "itemData" : { "DOI" : "10.6103/SHARE.w4.600", "author" : [ { "dropping-particle" : "", "family" : "B\u00f6rsch-Supan", "given" : "Axel", "non-dropping-particle" : "", "parse-names" : false, "suffix" : "" } ], "id" : "ITEM-2", "issued" : { "date-parts" : [ [ "2017" ] ] }, "title" : "Survey of Health, Ageing and Retirement in Europe (SHARE) Wave 4. Release version: 6.0.0. SHARE-ERIC. Data set.", "type" : "article" }, "uris" : [ "http://www.mendeley.com/documents/?uuid=7960e2a7-9a68-4c6c-b429-f38b262e12a4" ] }, { "id" : "ITEM-3", "itemData" : { "DOI" : "10.6103/SHARE.w5.600", "author" : [ { "dropping-particle" : "", "family" : "B\u00f6rsch-Supan", "given" : "Axel", "non-dropping-particle" : "", "parse-names" : false, "suffix" : "" } ], "id" : "ITEM-3", "issued" : { "date-parts" : [ [ "2017" ] ] }, "title" : "Survey of Health, Ageing and Retirement in Europe (SHARE) Wave 5. Release version: 6.0.0. SHARE-ERIC. Data set.", "type" : "article" }, "uris" : [ "http://www.mendeley.com/documents/?uuid=405d206e-dfc8-44a6-8abb-51e7bf458eb0" ] }, { "id" : "ITEM-4", "itemData" : { "DOI" : "10.6103/SHARE.w6.600", "author" : [ { "dropping-particle" : "", "family" : "B\u00f6rsch-Supan", "given" : "Axel", "non-dropping-particle" : "", "parse-names" : false, "suffix" : "" } ], "id" : "ITEM-4", "issued" : { "date-parts" : [ [ "2017" ] ] }, "title" : "Survey of Health, Ageing and Retirement in Europe (SHARE) Wave 6. Release version: 6.0.0. SHARE-ERIC. Data set.", "type" : "article" }, "uris" : [ "http://www.mendeley.com/documents/?uuid=509eb8ec-6e26-4145-8fe8-95bd3ced9407" ] } ], "mendeley" : { "formattedCitation" : "(B\u00f6rsch-Supan 2017c, 2017d, 2017e; B\u00f6rsch-Supan et al. 2013)", "plainTextFormattedCitation" : "(B\u00f6rsch-Supan 2017c, 2017d, 2017e; B\u00f6rsch-Supan et al. 2013)", "previouslyFormattedCitation" : "(B\u00f6rsch-Supan 2017c, 2017d, 2017e; B\u00f6rsch-Supan et al. 2013)" }, "properties" : { "noteIndex" : 0 }, "schema" : "https://github.com/citation-style-language/schema/raw/master/csl-citation.json" }</w:instrText>
      </w:r>
      <w:r w:rsidRPr="00C3671E">
        <w:rPr>
          <w:lang w:val="en-GB"/>
        </w:rPr>
        <w:fldChar w:fldCharType="separate"/>
      </w:r>
      <w:r w:rsidR="00A91559" w:rsidRPr="00C3671E">
        <w:rPr>
          <w:noProof/>
          <w:lang w:val="en-GB"/>
        </w:rPr>
        <w:t>(Börsch-Supan 2017c, 2017d, 2017e; Börsch-Supan et al. 2013)</w:t>
      </w:r>
      <w:r w:rsidRPr="00C3671E">
        <w:rPr>
          <w:lang w:val="en-GB"/>
        </w:rPr>
        <w:fldChar w:fldCharType="end"/>
      </w:r>
      <w:r w:rsidRPr="00C3671E">
        <w:rPr>
          <w:lang w:val="en-GB"/>
        </w:rPr>
        <w:t>.</w:t>
      </w:r>
    </w:p>
    <w:p w14:paraId="7AB0D414" w14:textId="77777777" w:rsidR="00C94483" w:rsidRPr="00C3671E" w:rsidRDefault="00C94483" w:rsidP="00466C1F">
      <w:pPr>
        <w:pStyle w:val="Newparagraph"/>
        <w:jc w:val="both"/>
      </w:pPr>
      <w:r w:rsidRPr="00C3671E">
        <w:t xml:space="preserve">Employment of data from waves 4, 5, and 6 provide a recent information from three time-points in a medium time-span, which should provide enough within-person variation. Furthermore, more countries participated in these latter waves than on the previous ones. Still, each of the waves misses some of the participating countries, and thus the final sample consists of data from 12 countries – Austria, Belgium, Czechia, Denmark, Estonia, France, Germany, Italy, Slovenia, Spain, Sweden, and </w:t>
      </w:r>
      <w:r w:rsidRPr="00C3671E">
        <w:rPr>
          <w:lang w:eastAsia="zh-CN"/>
        </w:rPr>
        <w:t>Switzerland</w:t>
      </w:r>
      <w:r w:rsidRPr="00C3671E">
        <w:t>.</w:t>
      </w:r>
    </w:p>
    <w:p w14:paraId="6CC504D0" w14:textId="332B0233" w:rsidR="00C94483" w:rsidRPr="00C3671E" w:rsidRDefault="00C94483" w:rsidP="00466C1F">
      <w:pPr>
        <w:pStyle w:val="Newparagraph"/>
        <w:jc w:val="both"/>
        <w:rPr>
          <w:lang w:eastAsia="zh-CN"/>
        </w:rPr>
      </w:pPr>
      <w:r w:rsidRPr="00C3671E">
        <w:rPr>
          <w:lang w:eastAsia="zh-CN"/>
        </w:rPr>
        <w:t xml:space="preserve">This study keeps respondents between 51 and 86 years of age in </w:t>
      </w:r>
      <w:r w:rsidRPr="00C3671E">
        <w:t>wave</w:t>
      </w:r>
      <w:r w:rsidRPr="00C3671E">
        <w:rPr>
          <w:lang w:eastAsia="zh-CN"/>
        </w:rPr>
        <w:t xml:space="preserve"> 4 (that means age range 55-90), as active ageing addresses chronological age as a flexible characteristic and aims its policies for all groups of older adults </w:t>
      </w:r>
      <w:r w:rsidRPr="00C3671E">
        <w:rPr>
          <w:lang w:eastAsia="zh-CN"/>
        </w:rPr>
        <w:fldChar w:fldCharType="begin" w:fldLock="1"/>
      </w:r>
      <w:r w:rsidR="001257AA" w:rsidRPr="00C3671E">
        <w:rPr>
          <w:lang w:eastAsia="zh-CN"/>
        </w:rPr>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"id" : "ITEM-2", "itemData" : { "DOI" : "10.1007/s12062-017-9174-6", "ISSN" : "1874-7884", "abstract" : "Why Active Ageing Matters\\r\\nBy the end of the first half of the twentieth century most European states had introduced public pension schemes of one sort or another. In doing so they were affirming the role of the state in providing individuals with a form of support that all but a few would struggle to provide for themselves. The objectives of these schemes were generally quite limited: to reduce the risk of poverty in old age by facilitating savings during working life. The rationale was simple: to provide access to financial support - a regular and reliable income \u2013 for a time of life when the ability to work was increasingly impaired by loss of health or functional ability. In the second half of the century, after the second world war, increasing affluence combined with a more demanding view of the responsibilities of government to improve the generosity of pensions and to expand welfare systems in ways that conferred other benefits on their older populations besides a basic pension income, including the provision of social care (e.g. care homes for older people who had no family and were unable to look after themselves in their own homes). Policy was still broadly conceived as a collective response to age-related losses that undermined independence.", "author" : [ { "dropping-particle" : "", "family" : "Zaidi", "given" : "Asghar", "non-dropping-particle" : "", "parse-names" : false, "suffix" : "" }, { "dropping-particle" : "", "family" : "Howse", "given" : "Kenneth", "non-dropping-particle" : "", "parse-names" : false, "suffix" : "" } ], "container-title" : "Journal of Population Ageing", "id" : "ITEM-2", "issue" : "1", "issued" : { "date-parts" : [ [ "2017" ] ] }, "page" : "1-10", "publisher" : "Journal of Population Ageing", "title" : "The Policy Discourse of Active Ageing: Some Reflections", "type" : "article-journal", "volume" : "10" }, "uris" : [ "http://www.mendeley.com/documents/?uuid=badd02a6-0ba4-4766-b6a7-a04a46414a57" ] } ], "mendeley" : { "formattedCitation" : "(Timonen 2016; Zaidi and Howse 2017)", "plainTextFormattedCitation" : "(Timonen 2016; Zaidi and Howse 2017)", "previouslyFormattedCitation" : "(Timonen 2016; Zaidi and Howse 2017)" }, "properties" : { "noteIndex" : 0 }, "schema" : "https://github.com/citation-style-language/schema/raw/master/csl-citation.json" }</w:instrText>
      </w:r>
      <w:r w:rsidRPr="00C3671E">
        <w:rPr>
          <w:lang w:eastAsia="zh-CN"/>
        </w:rPr>
        <w:fldChar w:fldCharType="separate"/>
      </w:r>
      <w:r w:rsidR="00A91559" w:rsidRPr="00C3671E">
        <w:rPr>
          <w:noProof/>
          <w:lang w:eastAsia="zh-CN"/>
        </w:rPr>
        <w:t>(Timonen 2016; Zaidi and Howse 2017)</w:t>
      </w:r>
      <w:r w:rsidRPr="00C3671E">
        <w:rPr>
          <w:lang w:eastAsia="zh-CN"/>
        </w:rPr>
        <w:fldChar w:fldCharType="end"/>
      </w:r>
      <w:r w:rsidRPr="00C3671E">
        <w:rPr>
          <w:lang w:eastAsia="zh-CN"/>
        </w:rPr>
        <w:t>. The respondents over the age of 86 (which was about 2 %) were dropped in order to prevent distortion of the results by outliers with different characteristics and life conditions. After dropping respondents with missing values in utilized variables, the final consists of 14,989 individuals present in all three waves.</w:t>
      </w:r>
    </w:p>
    <w:p w14:paraId="0A7CE143" w14:textId="09258A4A" w:rsidR="00C94483" w:rsidRPr="00C3671E" w:rsidRDefault="00C94483" w:rsidP="00466C1F">
      <w:pPr>
        <w:pStyle w:val="Newparagraph"/>
        <w:jc w:val="both"/>
        <w:rPr>
          <w:lang w:eastAsia="zh-CN"/>
        </w:rPr>
      </w:pPr>
      <w:r w:rsidRPr="00C3671E">
        <w:rPr>
          <w:lang w:eastAsia="zh-CN"/>
        </w:rPr>
        <w:t xml:space="preserve">The baseline characteristics of the sample from wave 4 in 2011 are displayed in Table </w:t>
      </w:r>
      <w:r w:rsidR="00F96318" w:rsidRPr="00C3671E">
        <w:rPr>
          <w:lang w:eastAsia="zh-CN"/>
        </w:rPr>
        <w:t>8</w:t>
      </w:r>
      <w:r w:rsidRPr="00C3671E">
        <w:rPr>
          <w:lang w:eastAsia="zh-CN"/>
        </w:rPr>
        <w:t xml:space="preserve">. The table contains descriptive statistics of the whole sample, but also of two education categories separately, as this grouping plays important role in the analysis. In overall, some </w:t>
      </w:r>
      <w:r w:rsidRPr="00C3671E">
        <w:rPr>
          <w:lang w:eastAsia="zh-CN"/>
        </w:rPr>
        <w:lastRenderedPageBreak/>
        <w:t>activities are more prevalent among older adults – labour force participation, care provided outside households, and physical activity – while caregiving within household, educational courses, and participation in political organizations are rare. Respondents with tertiary education, who hold postmaterialist values more often, are substantially more often male, living with a partner, younger, and better off in QoL, health and economic situation. More educated respondents come more often from Belgium, Denmark, or Germany compared to Czech Republic, Italy, or Sweden. They incline more to roles of worker, volunteer, student, and most other types of activities apart from caregiving.</w:t>
      </w:r>
    </w:p>
    <w:p w14:paraId="09B6B86D" w14:textId="52B22FE9" w:rsidR="00C94483" w:rsidRPr="00C3671E" w:rsidRDefault="00F96318" w:rsidP="00F96318">
      <w:pPr>
        <w:spacing w:before="100" w:beforeAutospacing="1"/>
        <w:jc w:val="both"/>
        <w:rPr>
          <w:b/>
          <w:lang w:val="en-GB"/>
        </w:rPr>
      </w:pPr>
      <w:bookmarkStart w:id="93" w:name="_Toc512687483"/>
      <w:r w:rsidRPr="00C3671E">
        <w:rPr>
          <w:b/>
          <w:lang w:val="en-GB"/>
        </w:rPr>
        <w:t xml:space="preserve">Table </w:t>
      </w:r>
      <w:r w:rsidRPr="00C3671E">
        <w:rPr>
          <w:b/>
          <w:lang w:val="en-GB"/>
        </w:rPr>
        <w:fldChar w:fldCharType="begin"/>
      </w:r>
      <w:r w:rsidRPr="00C3671E">
        <w:rPr>
          <w:b/>
          <w:lang w:val="en-GB"/>
        </w:rPr>
        <w:instrText xml:space="preserve"> SEQ Table \* ARABIC </w:instrText>
      </w:r>
      <w:r w:rsidRPr="00C3671E">
        <w:rPr>
          <w:b/>
          <w:lang w:val="en-GB"/>
        </w:rPr>
        <w:fldChar w:fldCharType="separate"/>
      </w:r>
      <w:r w:rsidRPr="00C3671E">
        <w:rPr>
          <w:b/>
          <w:noProof/>
          <w:lang w:val="en-GB"/>
        </w:rPr>
        <w:t>8</w:t>
      </w:r>
      <w:r w:rsidRPr="00C3671E">
        <w:rPr>
          <w:b/>
          <w:lang w:val="en-GB"/>
        </w:rPr>
        <w:fldChar w:fldCharType="end"/>
      </w:r>
      <w:r w:rsidR="00C94483" w:rsidRPr="00C3671E">
        <w:rPr>
          <w:b/>
          <w:lang w:val="en-GB"/>
        </w:rPr>
        <w:t>: Descriptive statistics of the baseline characteristics of 14,989 respondents available for analysis in waves 4, 5, and 6 sorted by education.</w:t>
      </w:r>
      <w:bookmarkEnd w:id="93"/>
    </w:p>
    <w:tbl>
      <w:tblPr>
        <w:tblW w:w="9248" w:type="dxa"/>
        <w:tblInd w:w="-176" w:type="dxa"/>
        <w:tblLayout w:type="fixed"/>
        <w:tblLook w:val="0000" w:firstRow="0" w:lastRow="0" w:firstColumn="0" w:lastColumn="0" w:noHBand="0" w:noVBand="0"/>
      </w:tblPr>
      <w:tblGrid>
        <w:gridCol w:w="3089"/>
        <w:gridCol w:w="2126"/>
        <w:gridCol w:w="1344"/>
        <w:gridCol w:w="1344"/>
        <w:gridCol w:w="1345"/>
      </w:tblGrid>
      <w:tr w:rsidR="00C94483" w:rsidRPr="00C3671E" w14:paraId="481E8F55" w14:textId="77777777" w:rsidTr="00C94483">
        <w:trPr>
          <w:trHeight w:val="329"/>
        </w:trPr>
        <w:tc>
          <w:tcPr>
            <w:tcW w:w="3089" w:type="dxa"/>
            <w:tcBorders>
              <w:top w:val="single" w:sz="12" w:space="0" w:color="000000"/>
              <w:bottom w:val="single" w:sz="12" w:space="0" w:color="000000"/>
            </w:tcBorders>
            <w:vAlign w:val="center"/>
          </w:tcPr>
          <w:p w14:paraId="41CDEABD" w14:textId="77777777" w:rsidR="00C94483" w:rsidRPr="00C3671E" w:rsidRDefault="00C94483" w:rsidP="00C94483">
            <w:pPr>
              <w:rPr>
                <w:bCs/>
                <w:sz w:val="20"/>
                <w:szCs w:val="20"/>
                <w:lang w:val="en-GB"/>
              </w:rPr>
            </w:pPr>
            <w:r w:rsidRPr="00C3671E">
              <w:rPr>
                <w:bCs/>
                <w:sz w:val="20"/>
                <w:szCs w:val="20"/>
                <w:lang w:val="en-GB"/>
              </w:rPr>
              <w:t>Variable</w:t>
            </w:r>
          </w:p>
        </w:tc>
        <w:tc>
          <w:tcPr>
            <w:tcW w:w="2126" w:type="dxa"/>
            <w:tcBorders>
              <w:top w:val="single" w:sz="12" w:space="0" w:color="000000"/>
              <w:bottom w:val="single" w:sz="12" w:space="0" w:color="000000"/>
            </w:tcBorders>
            <w:vAlign w:val="center"/>
          </w:tcPr>
          <w:p w14:paraId="13B336E5" w14:textId="77777777" w:rsidR="00C94483" w:rsidRPr="00C3671E" w:rsidRDefault="00C94483" w:rsidP="00C94483">
            <w:pPr>
              <w:jc w:val="center"/>
              <w:rPr>
                <w:bCs/>
                <w:sz w:val="20"/>
                <w:szCs w:val="20"/>
                <w:lang w:val="en-GB"/>
              </w:rPr>
            </w:pPr>
            <w:r w:rsidRPr="00C3671E">
              <w:rPr>
                <w:bCs/>
                <w:sz w:val="20"/>
                <w:szCs w:val="20"/>
                <w:lang w:val="en-GB"/>
              </w:rPr>
              <w:t>Categories or range</w:t>
            </w:r>
          </w:p>
        </w:tc>
        <w:tc>
          <w:tcPr>
            <w:tcW w:w="1344" w:type="dxa"/>
            <w:tcBorders>
              <w:top w:val="single" w:sz="12" w:space="0" w:color="000000"/>
              <w:bottom w:val="single" w:sz="12" w:space="0" w:color="000000"/>
            </w:tcBorders>
            <w:vAlign w:val="center"/>
          </w:tcPr>
          <w:p w14:paraId="5D4DA7B0" w14:textId="77777777" w:rsidR="00C94483" w:rsidRPr="00C3671E" w:rsidRDefault="00C94483" w:rsidP="00C94483">
            <w:pPr>
              <w:jc w:val="center"/>
              <w:rPr>
                <w:bCs/>
                <w:sz w:val="20"/>
                <w:szCs w:val="20"/>
                <w:lang w:val="en-GB"/>
              </w:rPr>
            </w:pPr>
            <w:r w:rsidRPr="00C3671E">
              <w:rPr>
                <w:bCs/>
                <w:sz w:val="20"/>
                <w:szCs w:val="20"/>
                <w:lang w:val="en-GB"/>
              </w:rPr>
              <w:t>Lower than tertiary</w:t>
            </w:r>
          </w:p>
          <w:p w14:paraId="0726E322" w14:textId="77777777" w:rsidR="00C94483" w:rsidRPr="00C3671E" w:rsidRDefault="00C94483" w:rsidP="00C94483">
            <w:pPr>
              <w:jc w:val="center"/>
              <w:rPr>
                <w:bCs/>
                <w:sz w:val="20"/>
                <w:szCs w:val="20"/>
                <w:lang w:val="en-GB"/>
              </w:rPr>
            </w:pPr>
            <w:r w:rsidRPr="00C3671E">
              <w:rPr>
                <w:bCs/>
                <w:sz w:val="20"/>
                <w:szCs w:val="20"/>
                <w:lang w:val="en-GB"/>
              </w:rPr>
              <w:t>(% or mean)</w:t>
            </w:r>
          </w:p>
        </w:tc>
        <w:tc>
          <w:tcPr>
            <w:tcW w:w="1344" w:type="dxa"/>
            <w:tcBorders>
              <w:top w:val="single" w:sz="12" w:space="0" w:color="000000"/>
              <w:bottom w:val="single" w:sz="12" w:space="0" w:color="000000"/>
            </w:tcBorders>
            <w:vAlign w:val="center"/>
          </w:tcPr>
          <w:p w14:paraId="79E43ACF" w14:textId="77777777" w:rsidR="00C94483" w:rsidRPr="00C3671E" w:rsidRDefault="00C94483" w:rsidP="00C94483">
            <w:pPr>
              <w:jc w:val="center"/>
              <w:rPr>
                <w:bCs/>
                <w:sz w:val="20"/>
                <w:szCs w:val="20"/>
                <w:lang w:val="en-GB"/>
              </w:rPr>
            </w:pPr>
            <w:r w:rsidRPr="00C3671E">
              <w:rPr>
                <w:bCs/>
                <w:sz w:val="20"/>
                <w:szCs w:val="20"/>
                <w:lang w:val="en-GB"/>
              </w:rPr>
              <w:t>Tertiary</w:t>
            </w:r>
          </w:p>
          <w:p w14:paraId="43B0FE87" w14:textId="77777777" w:rsidR="00C94483" w:rsidRPr="00C3671E" w:rsidRDefault="00C94483" w:rsidP="00C94483">
            <w:pPr>
              <w:jc w:val="center"/>
              <w:rPr>
                <w:bCs/>
                <w:sz w:val="20"/>
                <w:szCs w:val="20"/>
                <w:lang w:val="en-GB"/>
              </w:rPr>
            </w:pPr>
            <w:r w:rsidRPr="00C3671E">
              <w:rPr>
                <w:bCs/>
                <w:sz w:val="20"/>
                <w:szCs w:val="20"/>
                <w:lang w:val="en-GB"/>
              </w:rPr>
              <w:t>(% or mean)</w:t>
            </w:r>
          </w:p>
        </w:tc>
        <w:tc>
          <w:tcPr>
            <w:tcW w:w="1345" w:type="dxa"/>
            <w:tcBorders>
              <w:top w:val="single" w:sz="12" w:space="0" w:color="000000"/>
              <w:bottom w:val="single" w:sz="12" w:space="0" w:color="000000"/>
            </w:tcBorders>
            <w:vAlign w:val="center"/>
          </w:tcPr>
          <w:p w14:paraId="78214719" w14:textId="77777777" w:rsidR="00C94483" w:rsidRPr="00C3671E" w:rsidRDefault="00C94483" w:rsidP="00C94483">
            <w:pPr>
              <w:jc w:val="center"/>
              <w:rPr>
                <w:bCs/>
                <w:sz w:val="20"/>
                <w:szCs w:val="20"/>
                <w:lang w:val="en-GB"/>
              </w:rPr>
            </w:pPr>
            <w:r w:rsidRPr="00C3671E">
              <w:rPr>
                <w:bCs/>
                <w:sz w:val="20"/>
                <w:szCs w:val="20"/>
                <w:lang w:val="en-GB"/>
              </w:rPr>
              <w:t>Total</w:t>
            </w:r>
          </w:p>
          <w:p w14:paraId="2FB183EB" w14:textId="77777777" w:rsidR="00C94483" w:rsidRPr="00C3671E" w:rsidRDefault="00C94483" w:rsidP="00C94483">
            <w:pPr>
              <w:jc w:val="center"/>
              <w:rPr>
                <w:bCs/>
                <w:sz w:val="20"/>
                <w:szCs w:val="20"/>
                <w:lang w:val="en-GB"/>
              </w:rPr>
            </w:pPr>
            <w:r w:rsidRPr="00C3671E">
              <w:rPr>
                <w:bCs/>
                <w:sz w:val="20"/>
                <w:szCs w:val="20"/>
                <w:lang w:val="en-GB"/>
              </w:rPr>
              <w:t>(% or mean)</w:t>
            </w:r>
          </w:p>
        </w:tc>
      </w:tr>
      <w:tr w:rsidR="00C94483" w:rsidRPr="00C3671E" w14:paraId="6CA22263" w14:textId="77777777" w:rsidTr="00C94483">
        <w:trPr>
          <w:trHeight w:val="329"/>
        </w:trPr>
        <w:tc>
          <w:tcPr>
            <w:tcW w:w="3089" w:type="dxa"/>
            <w:tcBorders>
              <w:top w:val="single" w:sz="12" w:space="0" w:color="000000"/>
            </w:tcBorders>
            <w:vAlign w:val="center"/>
          </w:tcPr>
          <w:p w14:paraId="576D9C39" w14:textId="77777777" w:rsidR="00C94483" w:rsidRPr="00C3671E" w:rsidRDefault="00C94483" w:rsidP="00C94483">
            <w:pPr>
              <w:rPr>
                <w:bCs/>
                <w:sz w:val="20"/>
                <w:szCs w:val="20"/>
                <w:lang w:val="en-GB"/>
              </w:rPr>
            </w:pPr>
            <w:r w:rsidRPr="00C3671E">
              <w:rPr>
                <w:bCs/>
                <w:sz w:val="20"/>
                <w:szCs w:val="20"/>
                <w:lang w:val="en-GB"/>
              </w:rPr>
              <w:t>Quality of life: CASP-12</w:t>
            </w:r>
          </w:p>
        </w:tc>
        <w:tc>
          <w:tcPr>
            <w:tcW w:w="2126" w:type="dxa"/>
            <w:tcBorders>
              <w:top w:val="single" w:sz="12" w:space="0" w:color="000000"/>
            </w:tcBorders>
            <w:vAlign w:val="center"/>
          </w:tcPr>
          <w:p w14:paraId="230F2993" w14:textId="77777777" w:rsidR="00C94483" w:rsidRPr="00C3671E" w:rsidRDefault="00C94483" w:rsidP="00C94483">
            <w:pPr>
              <w:jc w:val="both"/>
              <w:rPr>
                <w:bCs/>
                <w:sz w:val="20"/>
                <w:szCs w:val="20"/>
                <w:lang w:val="en-GB"/>
              </w:rPr>
            </w:pPr>
            <w:r w:rsidRPr="00C3671E">
              <w:rPr>
                <w:bCs/>
                <w:sz w:val="20"/>
                <w:szCs w:val="20"/>
                <w:lang w:val="en-GB"/>
              </w:rPr>
              <w:t>13–48</w:t>
            </w:r>
          </w:p>
        </w:tc>
        <w:tc>
          <w:tcPr>
            <w:tcW w:w="1344" w:type="dxa"/>
            <w:tcBorders>
              <w:top w:val="single" w:sz="12" w:space="0" w:color="000000"/>
            </w:tcBorders>
            <w:vAlign w:val="center"/>
          </w:tcPr>
          <w:p w14:paraId="17BAB157"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37.2</w:t>
            </w:r>
          </w:p>
        </w:tc>
        <w:tc>
          <w:tcPr>
            <w:tcW w:w="1344" w:type="dxa"/>
            <w:tcBorders>
              <w:top w:val="single" w:sz="12" w:space="0" w:color="000000"/>
            </w:tcBorders>
            <w:vAlign w:val="center"/>
          </w:tcPr>
          <w:p w14:paraId="70320E46"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39.3</w:t>
            </w:r>
          </w:p>
        </w:tc>
        <w:tc>
          <w:tcPr>
            <w:tcW w:w="1345" w:type="dxa"/>
            <w:tcBorders>
              <w:top w:val="single" w:sz="12" w:space="0" w:color="000000"/>
            </w:tcBorders>
            <w:vAlign w:val="center"/>
          </w:tcPr>
          <w:p w14:paraId="4B5A920F"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37.7</w:t>
            </w:r>
          </w:p>
        </w:tc>
      </w:tr>
      <w:tr w:rsidR="00C94483" w:rsidRPr="00C3671E" w14:paraId="769C1B23" w14:textId="77777777" w:rsidTr="00C94483">
        <w:trPr>
          <w:trHeight w:val="329"/>
        </w:trPr>
        <w:tc>
          <w:tcPr>
            <w:tcW w:w="3089" w:type="dxa"/>
            <w:vAlign w:val="center"/>
          </w:tcPr>
          <w:p w14:paraId="230E211C" w14:textId="77777777" w:rsidR="00C94483" w:rsidRPr="00C3671E" w:rsidRDefault="00C94483" w:rsidP="00C94483">
            <w:pPr>
              <w:rPr>
                <w:bCs/>
                <w:sz w:val="20"/>
                <w:szCs w:val="20"/>
                <w:lang w:val="en-GB"/>
              </w:rPr>
            </w:pPr>
            <w:r w:rsidRPr="00C3671E">
              <w:rPr>
                <w:bCs/>
                <w:sz w:val="20"/>
                <w:szCs w:val="20"/>
                <w:lang w:val="en-GB"/>
              </w:rPr>
              <w:t>Labour force participation</w:t>
            </w:r>
          </w:p>
        </w:tc>
        <w:tc>
          <w:tcPr>
            <w:tcW w:w="2126" w:type="dxa"/>
            <w:vAlign w:val="center"/>
          </w:tcPr>
          <w:p w14:paraId="7018ED6F" w14:textId="77777777" w:rsidR="00C94483" w:rsidRPr="00C3671E" w:rsidRDefault="00C94483" w:rsidP="00C94483">
            <w:pPr>
              <w:jc w:val="both"/>
              <w:rPr>
                <w:bCs/>
                <w:sz w:val="20"/>
                <w:szCs w:val="20"/>
                <w:lang w:val="en-GB"/>
              </w:rPr>
            </w:pPr>
            <w:r w:rsidRPr="00C3671E">
              <w:rPr>
                <w:bCs/>
                <w:sz w:val="20"/>
                <w:szCs w:val="20"/>
                <w:lang w:val="en-GB"/>
              </w:rPr>
              <w:t>yes</w:t>
            </w:r>
          </w:p>
        </w:tc>
        <w:tc>
          <w:tcPr>
            <w:tcW w:w="1344" w:type="dxa"/>
            <w:vAlign w:val="center"/>
          </w:tcPr>
          <w:p w14:paraId="0759B95B"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27.9</w:t>
            </w:r>
          </w:p>
        </w:tc>
        <w:tc>
          <w:tcPr>
            <w:tcW w:w="1344" w:type="dxa"/>
            <w:vAlign w:val="center"/>
          </w:tcPr>
          <w:p w14:paraId="18289F9E"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46.5</w:t>
            </w:r>
          </w:p>
        </w:tc>
        <w:tc>
          <w:tcPr>
            <w:tcW w:w="1345" w:type="dxa"/>
            <w:vAlign w:val="center"/>
          </w:tcPr>
          <w:p w14:paraId="698035C8"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32.2</w:t>
            </w:r>
          </w:p>
        </w:tc>
      </w:tr>
      <w:tr w:rsidR="00C94483" w:rsidRPr="00C3671E" w14:paraId="702A8F58" w14:textId="77777777" w:rsidTr="00C94483">
        <w:trPr>
          <w:trHeight w:val="329"/>
        </w:trPr>
        <w:tc>
          <w:tcPr>
            <w:tcW w:w="3089" w:type="dxa"/>
            <w:vAlign w:val="center"/>
          </w:tcPr>
          <w:p w14:paraId="5DC9F39E" w14:textId="77777777" w:rsidR="00C94483" w:rsidRPr="00C3671E" w:rsidRDefault="00C94483" w:rsidP="00C94483">
            <w:pPr>
              <w:rPr>
                <w:bCs/>
                <w:sz w:val="20"/>
                <w:szCs w:val="20"/>
                <w:lang w:val="en-GB"/>
              </w:rPr>
            </w:pPr>
            <w:r w:rsidRPr="00C3671E">
              <w:rPr>
                <w:bCs/>
                <w:sz w:val="20"/>
                <w:szCs w:val="20"/>
                <w:lang w:val="en-GB"/>
              </w:rPr>
              <w:t>Caregiving outside household</w:t>
            </w:r>
          </w:p>
        </w:tc>
        <w:tc>
          <w:tcPr>
            <w:tcW w:w="2126" w:type="dxa"/>
            <w:vAlign w:val="center"/>
          </w:tcPr>
          <w:p w14:paraId="2793CF70" w14:textId="77777777" w:rsidR="00C94483" w:rsidRPr="00C3671E" w:rsidRDefault="00C94483" w:rsidP="00C94483">
            <w:pPr>
              <w:jc w:val="both"/>
              <w:rPr>
                <w:bCs/>
                <w:sz w:val="20"/>
                <w:szCs w:val="20"/>
                <w:lang w:val="en-GB"/>
              </w:rPr>
            </w:pPr>
            <w:r w:rsidRPr="00C3671E">
              <w:rPr>
                <w:bCs/>
                <w:sz w:val="20"/>
                <w:szCs w:val="20"/>
                <w:lang w:val="en-GB"/>
              </w:rPr>
              <w:t>yes</w:t>
            </w:r>
          </w:p>
        </w:tc>
        <w:tc>
          <w:tcPr>
            <w:tcW w:w="1344" w:type="dxa"/>
            <w:vAlign w:val="center"/>
          </w:tcPr>
          <w:p w14:paraId="6C89C9C3"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40.0</w:t>
            </w:r>
          </w:p>
        </w:tc>
        <w:tc>
          <w:tcPr>
            <w:tcW w:w="1344" w:type="dxa"/>
            <w:vAlign w:val="center"/>
          </w:tcPr>
          <w:p w14:paraId="7D0E2204"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43.7</w:t>
            </w:r>
          </w:p>
        </w:tc>
        <w:tc>
          <w:tcPr>
            <w:tcW w:w="1345" w:type="dxa"/>
            <w:vAlign w:val="center"/>
          </w:tcPr>
          <w:p w14:paraId="223BEE1D"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40.9</w:t>
            </w:r>
          </w:p>
        </w:tc>
      </w:tr>
      <w:tr w:rsidR="00C94483" w:rsidRPr="00C3671E" w14:paraId="2D98C609" w14:textId="77777777" w:rsidTr="00C94483">
        <w:trPr>
          <w:trHeight w:val="329"/>
        </w:trPr>
        <w:tc>
          <w:tcPr>
            <w:tcW w:w="3089" w:type="dxa"/>
            <w:vAlign w:val="center"/>
          </w:tcPr>
          <w:p w14:paraId="2BCA27BE" w14:textId="77777777" w:rsidR="00C94483" w:rsidRPr="00C3671E" w:rsidRDefault="00C94483" w:rsidP="00C94483">
            <w:pPr>
              <w:rPr>
                <w:bCs/>
                <w:sz w:val="20"/>
                <w:szCs w:val="20"/>
                <w:lang w:val="en-GB"/>
              </w:rPr>
            </w:pPr>
            <w:r w:rsidRPr="00C3671E">
              <w:rPr>
                <w:bCs/>
                <w:sz w:val="20"/>
                <w:szCs w:val="20"/>
                <w:lang w:val="en-GB"/>
              </w:rPr>
              <w:t>Caregiving within household</w:t>
            </w:r>
          </w:p>
        </w:tc>
        <w:tc>
          <w:tcPr>
            <w:tcW w:w="2126" w:type="dxa"/>
            <w:vAlign w:val="center"/>
          </w:tcPr>
          <w:p w14:paraId="056378C5" w14:textId="77777777" w:rsidR="00C94483" w:rsidRPr="00C3671E" w:rsidRDefault="00C94483" w:rsidP="00C94483">
            <w:pPr>
              <w:jc w:val="both"/>
              <w:rPr>
                <w:bCs/>
                <w:sz w:val="20"/>
                <w:szCs w:val="20"/>
                <w:lang w:val="en-GB"/>
              </w:rPr>
            </w:pPr>
            <w:r w:rsidRPr="00C3671E">
              <w:rPr>
                <w:bCs/>
                <w:sz w:val="20"/>
                <w:szCs w:val="20"/>
                <w:lang w:val="en-GB"/>
              </w:rPr>
              <w:t>yes</w:t>
            </w:r>
          </w:p>
        </w:tc>
        <w:tc>
          <w:tcPr>
            <w:tcW w:w="1344" w:type="dxa"/>
            <w:vAlign w:val="center"/>
          </w:tcPr>
          <w:p w14:paraId="541CE1C0"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5.7</w:t>
            </w:r>
          </w:p>
        </w:tc>
        <w:tc>
          <w:tcPr>
            <w:tcW w:w="1344" w:type="dxa"/>
            <w:vAlign w:val="center"/>
          </w:tcPr>
          <w:p w14:paraId="730D67D3"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5.1</w:t>
            </w:r>
          </w:p>
        </w:tc>
        <w:tc>
          <w:tcPr>
            <w:tcW w:w="1345" w:type="dxa"/>
            <w:vAlign w:val="center"/>
          </w:tcPr>
          <w:p w14:paraId="64550B20"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5.6</w:t>
            </w:r>
          </w:p>
        </w:tc>
      </w:tr>
      <w:tr w:rsidR="00C94483" w:rsidRPr="00C3671E" w14:paraId="4F7F0D10" w14:textId="77777777" w:rsidTr="00C94483">
        <w:trPr>
          <w:trHeight w:val="329"/>
        </w:trPr>
        <w:tc>
          <w:tcPr>
            <w:tcW w:w="3089" w:type="dxa"/>
            <w:vAlign w:val="center"/>
          </w:tcPr>
          <w:p w14:paraId="58F200F7" w14:textId="77777777" w:rsidR="00C94483" w:rsidRPr="00C3671E" w:rsidRDefault="00C94483" w:rsidP="00C94483">
            <w:pPr>
              <w:rPr>
                <w:bCs/>
                <w:sz w:val="20"/>
                <w:szCs w:val="20"/>
                <w:lang w:val="en-GB"/>
              </w:rPr>
            </w:pPr>
            <w:r w:rsidRPr="00C3671E">
              <w:rPr>
                <w:bCs/>
                <w:sz w:val="20"/>
                <w:szCs w:val="20"/>
                <w:lang w:val="en-GB"/>
              </w:rPr>
              <w:t>Volunteering</w:t>
            </w:r>
          </w:p>
        </w:tc>
        <w:tc>
          <w:tcPr>
            <w:tcW w:w="2126" w:type="dxa"/>
            <w:vAlign w:val="center"/>
          </w:tcPr>
          <w:p w14:paraId="571BD853" w14:textId="77777777" w:rsidR="00C94483" w:rsidRPr="00C3671E" w:rsidRDefault="00C94483" w:rsidP="00C94483">
            <w:pPr>
              <w:jc w:val="both"/>
              <w:rPr>
                <w:bCs/>
                <w:sz w:val="20"/>
                <w:szCs w:val="20"/>
                <w:lang w:val="en-GB"/>
              </w:rPr>
            </w:pPr>
            <w:r w:rsidRPr="00C3671E">
              <w:rPr>
                <w:bCs/>
                <w:sz w:val="20"/>
                <w:szCs w:val="20"/>
                <w:lang w:val="en-GB"/>
              </w:rPr>
              <w:t>yes</w:t>
            </w:r>
          </w:p>
        </w:tc>
        <w:tc>
          <w:tcPr>
            <w:tcW w:w="1344" w:type="dxa"/>
            <w:vAlign w:val="center"/>
          </w:tcPr>
          <w:p w14:paraId="6246C4C3"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13.2</w:t>
            </w:r>
          </w:p>
        </w:tc>
        <w:tc>
          <w:tcPr>
            <w:tcW w:w="1344" w:type="dxa"/>
            <w:vAlign w:val="center"/>
          </w:tcPr>
          <w:p w14:paraId="4FF75A29"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22.8</w:t>
            </w:r>
          </w:p>
        </w:tc>
        <w:tc>
          <w:tcPr>
            <w:tcW w:w="1345" w:type="dxa"/>
            <w:vAlign w:val="center"/>
          </w:tcPr>
          <w:p w14:paraId="5F4AB142"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15.5</w:t>
            </w:r>
          </w:p>
        </w:tc>
      </w:tr>
      <w:tr w:rsidR="00C94483" w:rsidRPr="00C3671E" w14:paraId="3F086B4A" w14:textId="77777777" w:rsidTr="00C94483">
        <w:trPr>
          <w:trHeight w:val="329"/>
        </w:trPr>
        <w:tc>
          <w:tcPr>
            <w:tcW w:w="3089" w:type="dxa"/>
            <w:vAlign w:val="center"/>
          </w:tcPr>
          <w:p w14:paraId="582501B7" w14:textId="77777777" w:rsidR="00C94483" w:rsidRPr="00C3671E" w:rsidRDefault="00C94483" w:rsidP="00C94483">
            <w:pPr>
              <w:rPr>
                <w:bCs/>
                <w:sz w:val="20"/>
                <w:szCs w:val="20"/>
                <w:lang w:val="en-GB"/>
              </w:rPr>
            </w:pPr>
            <w:r w:rsidRPr="00C3671E">
              <w:rPr>
                <w:bCs/>
                <w:sz w:val="20"/>
                <w:szCs w:val="20"/>
                <w:lang w:val="en-GB"/>
              </w:rPr>
              <w:t>Educational course</w:t>
            </w:r>
          </w:p>
        </w:tc>
        <w:tc>
          <w:tcPr>
            <w:tcW w:w="2126" w:type="dxa"/>
            <w:vAlign w:val="center"/>
          </w:tcPr>
          <w:p w14:paraId="1EBFC0B2" w14:textId="77777777" w:rsidR="00C94483" w:rsidRPr="00C3671E" w:rsidRDefault="00C94483" w:rsidP="00C94483">
            <w:pPr>
              <w:jc w:val="both"/>
              <w:rPr>
                <w:bCs/>
                <w:sz w:val="20"/>
                <w:szCs w:val="20"/>
                <w:lang w:val="en-GB"/>
              </w:rPr>
            </w:pPr>
            <w:r w:rsidRPr="00C3671E">
              <w:rPr>
                <w:bCs/>
                <w:sz w:val="20"/>
                <w:szCs w:val="20"/>
                <w:lang w:val="en-GB"/>
              </w:rPr>
              <w:t>yes</w:t>
            </w:r>
          </w:p>
        </w:tc>
        <w:tc>
          <w:tcPr>
            <w:tcW w:w="1344" w:type="dxa"/>
            <w:vAlign w:val="center"/>
          </w:tcPr>
          <w:p w14:paraId="3D501FC4"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4.9</w:t>
            </w:r>
          </w:p>
        </w:tc>
        <w:tc>
          <w:tcPr>
            <w:tcW w:w="1344" w:type="dxa"/>
            <w:vAlign w:val="center"/>
          </w:tcPr>
          <w:p w14:paraId="45DF7766"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16.0</w:t>
            </w:r>
          </w:p>
        </w:tc>
        <w:tc>
          <w:tcPr>
            <w:tcW w:w="1345" w:type="dxa"/>
            <w:vAlign w:val="center"/>
          </w:tcPr>
          <w:p w14:paraId="28F44BB0"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7.5</w:t>
            </w:r>
          </w:p>
        </w:tc>
      </w:tr>
      <w:tr w:rsidR="00C94483" w:rsidRPr="00C3671E" w14:paraId="7E946806" w14:textId="77777777" w:rsidTr="00C94483">
        <w:trPr>
          <w:trHeight w:val="329"/>
        </w:trPr>
        <w:tc>
          <w:tcPr>
            <w:tcW w:w="3089" w:type="dxa"/>
            <w:vAlign w:val="center"/>
          </w:tcPr>
          <w:p w14:paraId="4108D33E" w14:textId="77777777" w:rsidR="00C94483" w:rsidRPr="00C3671E" w:rsidRDefault="00C94483" w:rsidP="00C94483">
            <w:pPr>
              <w:rPr>
                <w:bCs/>
                <w:sz w:val="20"/>
                <w:szCs w:val="20"/>
                <w:lang w:val="en-GB"/>
              </w:rPr>
            </w:pPr>
            <w:r w:rsidRPr="00C3671E">
              <w:rPr>
                <w:bCs/>
                <w:sz w:val="20"/>
                <w:szCs w:val="20"/>
                <w:lang w:val="en-GB"/>
              </w:rPr>
              <w:t>Sport or social club</w:t>
            </w:r>
          </w:p>
        </w:tc>
        <w:tc>
          <w:tcPr>
            <w:tcW w:w="2126" w:type="dxa"/>
            <w:vAlign w:val="center"/>
          </w:tcPr>
          <w:p w14:paraId="0A9CD7CE" w14:textId="77777777" w:rsidR="00C94483" w:rsidRPr="00C3671E" w:rsidRDefault="00C94483" w:rsidP="00C94483">
            <w:pPr>
              <w:jc w:val="both"/>
              <w:rPr>
                <w:bCs/>
                <w:sz w:val="20"/>
                <w:szCs w:val="20"/>
                <w:lang w:val="en-GB"/>
              </w:rPr>
            </w:pPr>
            <w:r w:rsidRPr="00C3671E">
              <w:rPr>
                <w:bCs/>
                <w:sz w:val="20"/>
                <w:szCs w:val="20"/>
                <w:lang w:val="en-GB"/>
              </w:rPr>
              <w:t>yes</w:t>
            </w:r>
          </w:p>
        </w:tc>
        <w:tc>
          <w:tcPr>
            <w:tcW w:w="1344" w:type="dxa"/>
            <w:vAlign w:val="center"/>
          </w:tcPr>
          <w:p w14:paraId="3E0FAAFD"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24.1</w:t>
            </w:r>
          </w:p>
        </w:tc>
        <w:tc>
          <w:tcPr>
            <w:tcW w:w="1344" w:type="dxa"/>
            <w:vAlign w:val="center"/>
          </w:tcPr>
          <w:p w14:paraId="7A1F8BBD"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40.4</w:t>
            </w:r>
          </w:p>
        </w:tc>
        <w:tc>
          <w:tcPr>
            <w:tcW w:w="1345" w:type="dxa"/>
            <w:vAlign w:val="center"/>
          </w:tcPr>
          <w:p w14:paraId="2740DE14"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27.9</w:t>
            </w:r>
          </w:p>
        </w:tc>
      </w:tr>
      <w:tr w:rsidR="00C94483" w:rsidRPr="00C3671E" w14:paraId="34EAE10C" w14:textId="77777777" w:rsidTr="00C94483">
        <w:trPr>
          <w:trHeight w:val="329"/>
        </w:trPr>
        <w:tc>
          <w:tcPr>
            <w:tcW w:w="3089" w:type="dxa"/>
            <w:vAlign w:val="center"/>
          </w:tcPr>
          <w:p w14:paraId="1E67A851" w14:textId="77777777" w:rsidR="00C94483" w:rsidRPr="00C3671E" w:rsidRDefault="00C94483" w:rsidP="00C94483">
            <w:pPr>
              <w:rPr>
                <w:bCs/>
                <w:sz w:val="20"/>
                <w:szCs w:val="20"/>
                <w:lang w:val="en-GB"/>
              </w:rPr>
            </w:pPr>
            <w:r w:rsidRPr="00C3671E">
              <w:rPr>
                <w:bCs/>
                <w:sz w:val="20"/>
                <w:szCs w:val="20"/>
                <w:lang w:val="en-GB"/>
              </w:rPr>
              <w:t>Political organization</w:t>
            </w:r>
          </w:p>
        </w:tc>
        <w:tc>
          <w:tcPr>
            <w:tcW w:w="2126" w:type="dxa"/>
            <w:vAlign w:val="center"/>
          </w:tcPr>
          <w:p w14:paraId="09B0E1E7" w14:textId="77777777" w:rsidR="00C94483" w:rsidRPr="00C3671E" w:rsidRDefault="00C94483" w:rsidP="00C94483">
            <w:pPr>
              <w:jc w:val="both"/>
              <w:rPr>
                <w:bCs/>
                <w:sz w:val="20"/>
                <w:szCs w:val="20"/>
                <w:lang w:val="en-GB"/>
              </w:rPr>
            </w:pPr>
            <w:r w:rsidRPr="00C3671E">
              <w:rPr>
                <w:bCs/>
                <w:sz w:val="20"/>
                <w:szCs w:val="20"/>
                <w:lang w:val="en-GB"/>
              </w:rPr>
              <w:t>yes</w:t>
            </w:r>
          </w:p>
        </w:tc>
        <w:tc>
          <w:tcPr>
            <w:tcW w:w="1344" w:type="dxa"/>
            <w:vAlign w:val="center"/>
          </w:tcPr>
          <w:p w14:paraId="61D7106A"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3.2</w:t>
            </w:r>
          </w:p>
        </w:tc>
        <w:tc>
          <w:tcPr>
            <w:tcW w:w="1344" w:type="dxa"/>
            <w:vAlign w:val="center"/>
          </w:tcPr>
          <w:p w14:paraId="129DA6E0"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8.3</w:t>
            </w:r>
          </w:p>
        </w:tc>
        <w:tc>
          <w:tcPr>
            <w:tcW w:w="1345" w:type="dxa"/>
            <w:vAlign w:val="center"/>
          </w:tcPr>
          <w:p w14:paraId="45179639"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4.4</w:t>
            </w:r>
          </w:p>
        </w:tc>
      </w:tr>
      <w:tr w:rsidR="00C94483" w:rsidRPr="00C3671E" w14:paraId="53F1E4D4" w14:textId="77777777" w:rsidTr="00C94483">
        <w:trPr>
          <w:trHeight w:val="329"/>
        </w:trPr>
        <w:tc>
          <w:tcPr>
            <w:tcW w:w="3089" w:type="dxa"/>
            <w:vAlign w:val="center"/>
          </w:tcPr>
          <w:p w14:paraId="31C8691E" w14:textId="77777777" w:rsidR="00C94483" w:rsidRPr="00C3671E" w:rsidRDefault="00C94483" w:rsidP="00C94483">
            <w:pPr>
              <w:rPr>
                <w:bCs/>
                <w:sz w:val="20"/>
                <w:szCs w:val="20"/>
                <w:lang w:val="en-GB"/>
              </w:rPr>
            </w:pPr>
            <w:r w:rsidRPr="00C3671E">
              <w:rPr>
                <w:bCs/>
                <w:sz w:val="20"/>
                <w:szCs w:val="20"/>
                <w:lang w:val="en-GB"/>
              </w:rPr>
              <w:t>Physical activity</w:t>
            </w:r>
          </w:p>
        </w:tc>
        <w:tc>
          <w:tcPr>
            <w:tcW w:w="2126" w:type="dxa"/>
            <w:vAlign w:val="center"/>
          </w:tcPr>
          <w:p w14:paraId="707582FB" w14:textId="77777777" w:rsidR="00C94483" w:rsidRPr="00C3671E" w:rsidRDefault="00C94483" w:rsidP="00C94483">
            <w:pPr>
              <w:jc w:val="both"/>
              <w:rPr>
                <w:bCs/>
                <w:sz w:val="20"/>
                <w:szCs w:val="20"/>
                <w:lang w:val="en-GB"/>
              </w:rPr>
            </w:pPr>
            <w:r w:rsidRPr="00C3671E">
              <w:rPr>
                <w:bCs/>
                <w:sz w:val="20"/>
                <w:szCs w:val="20"/>
                <w:lang w:val="en-GB"/>
              </w:rPr>
              <w:t>yes</w:t>
            </w:r>
          </w:p>
        </w:tc>
        <w:tc>
          <w:tcPr>
            <w:tcW w:w="1344" w:type="dxa"/>
            <w:vAlign w:val="center"/>
          </w:tcPr>
          <w:p w14:paraId="672EC447"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56.7</w:t>
            </w:r>
          </w:p>
        </w:tc>
        <w:tc>
          <w:tcPr>
            <w:tcW w:w="1344" w:type="dxa"/>
            <w:vAlign w:val="center"/>
          </w:tcPr>
          <w:p w14:paraId="082CC39E"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68.3</w:t>
            </w:r>
          </w:p>
        </w:tc>
        <w:tc>
          <w:tcPr>
            <w:tcW w:w="1345" w:type="dxa"/>
            <w:vAlign w:val="center"/>
          </w:tcPr>
          <w:p w14:paraId="3859467C"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59.4</w:t>
            </w:r>
          </w:p>
        </w:tc>
      </w:tr>
      <w:tr w:rsidR="00C94483" w:rsidRPr="00C3671E" w14:paraId="3CE19738" w14:textId="77777777" w:rsidTr="00C94483">
        <w:trPr>
          <w:trHeight w:val="329"/>
        </w:trPr>
        <w:tc>
          <w:tcPr>
            <w:tcW w:w="3089" w:type="dxa"/>
            <w:vAlign w:val="center"/>
          </w:tcPr>
          <w:p w14:paraId="01E4746F" w14:textId="77777777" w:rsidR="00C94483" w:rsidRPr="00C3671E" w:rsidRDefault="00C94483" w:rsidP="00C94483">
            <w:pPr>
              <w:rPr>
                <w:bCs/>
                <w:sz w:val="20"/>
                <w:szCs w:val="20"/>
                <w:lang w:val="en-GB"/>
              </w:rPr>
            </w:pPr>
            <w:r w:rsidRPr="00C3671E">
              <w:rPr>
                <w:bCs/>
                <w:sz w:val="20"/>
                <w:szCs w:val="20"/>
                <w:lang w:val="en-GB"/>
              </w:rPr>
              <w:t>Age</w:t>
            </w:r>
          </w:p>
        </w:tc>
        <w:tc>
          <w:tcPr>
            <w:tcW w:w="2126" w:type="dxa"/>
            <w:vAlign w:val="center"/>
          </w:tcPr>
          <w:p w14:paraId="34536A84" w14:textId="77777777" w:rsidR="00C94483" w:rsidRPr="00C3671E" w:rsidRDefault="00C94483" w:rsidP="00C94483">
            <w:pPr>
              <w:jc w:val="both"/>
              <w:rPr>
                <w:bCs/>
                <w:sz w:val="20"/>
                <w:szCs w:val="20"/>
                <w:lang w:val="en-GB"/>
              </w:rPr>
            </w:pPr>
            <w:r w:rsidRPr="00C3671E">
              <w:rPr>
                <w:bCs/>
                <w:sz w:val="20"/>
                <w:szCs w:val="20"/>
                <w:lang w:val="en-GB"/>
              </w:rPr>
              <w:t>51-86</w:t>
            </w:r>
          </w:p>
        </w:tc>
        <w:tc>
          <w:tcPr>
            <w:tcW w:w="1344" w:type="dxa"/>
            <w:vAlign w:val="center"/>
          </w:tcPr>
          <w:p w14:paraId="7F2A1987"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66.0</w:t>
            </w:r>
          </w:p>
        </w:tc>
        <w:tc>
          <w:tcPr>
            <w:tcW w:w="1344" w:type="dxa"/>
            <w:vAlign w:val="center"/>
          </w:tcPr>
          <w:p w14:paraId="0D223D24"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63.8</w:t>
            </w:r>
          </w:p>
        </w:tc>
        <w:tc>
          <w:tcPr>
            <w:tcW w:w="1345" w:type="dxa"/>
            <w:vAlign w:val="center"/>
          </w:tcPr>
          <w:p w14:paraId="75905389"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65.5</w:t>
            </w:r>
          </w:p>
        </w:tc>
      </w:tr>
      <w:tr w:rsidR="00C94483" w:rsidRPr="00C3671E" w14:paraId="777F0EE9" w14:textId="77777777" w:rsidTr="00C94483">
        <w:trPr>
          <w:trHeight w:val="329"/>
        </w:trPr>
        <w:tc>
          <w:tcPr>
            <w:tcW w:w="3089" w:type="dxa"/>
            <w:vAlign w:val="center"/>
          </w:tcPr>
          <w:p w14:paraId="35732147" w14:textId="77777777" w:rsidR="00C94483" w:rsidRPr="00C3671E" w:rsidRDefault="00C94483" w:rsidP="00C94483">
            <w:pPr>
              <w:rPr>
                <w:bCs/>
                <w:sz w:val="20"/>
                <w:szCs w:val="20"/>
                <w:lang w:val="en-GB"/>
              </w:rPr>
            </w:pPr>
            <w:r w:rsidRPr="00C3671E">
              <w:rPr>
                <w:bCs/>
                <w:sz w:val="20"/>
                <w:szCs w:val="20"/>
                <w:lang w:val="en-GB"/>
              </w:rPr>
              <w:t>Partner in the household</w:t>
            </w:r>
          </w:p>
        </w:tc>
        <w:tc>
          <w:tcPr>
            <w:tcW w:w="2126" w:type="dxa"/>
            <w:vAlign w:val="center"/>
          </w:tcPr>
          <w:p w14:paraId="1CD063C8" w14:textId="77777777" w:rsidR="00C94483" w:rsidRPr="00C3671E" w:rsidRDefault="00C94483" w:rsidP="00C94483">
            <w:pPr>
              <w:jc w:val="both"/>
              <w:rPr>
                <w:bCs/>
                <w:sz w:val="20"/>
                <w:szCs w:val="20"/>
                <w:lang w:val="en-GB"/>
              </w:rPr>
            </w:pPr>
            <w:r w:rsidRPr="00C3671E">
              <w:rPr>
                <w:bCs/>
                <w:sz w:val="20"/>
                <w:szCs w:val="20"/>
                <w:lang w:val="en-GB"/>
              </w:rPr>
              <w:t>yes</w:t>
            </w:r>
          </w:p>
        </w:tc>
        <w:tc>
          <w:tcPr>
            <w:tcW w:w="1344" w:type="dxa"/>
            <w:vAlign w:val="center"/>
          </w:tcPr>
          <w:p w14:paraId="0190B1F9"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55.5</w:t>
            </w:r>
          </w:p>
        </w:tc>
        <w:tc>
          <w:tcPr>
            <w:tcW w:w="1344" w:type="dxa"/>
            <w:vAlign w:val="center"/>
          </w:tcPr>
          <w:p w14:paraId="2708476B"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59.6</w:t>
            </w:r>
          </w:p>
        </w:tc>
        <w:tc>
          <w:tcPr>
            <w:tcW w:w="1345" w:type="dxa"/>
            <w:vAlign w:val="center"/>
          </w:tcPr>
          <w:p w14:paraId="03A8A2ED"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56.4</w:t>
            </w:r>
          </w:p>
        </w:tc>
      </w:tr>
      <w:tr w:rsidR="00C94483" w:rsidRPr="00C3671E" w14:paraId="5372CD2C" w14:textId="77777777" w:rsidTr="00C94483">
        <w:trPr>
          <w:trHeight w:val="329"/>
        </w:trPr>
        <w:tc>
          <w:tcPr>
            <w:tcW w:w="3089" w:type="dxa"/>
            <w:vAlign w:val="center"/>
          </w:tcPr>
          <w:p w14:paraId="606BFAAA" w14:textId="77777777" w:rsidR="00C94483" w:rsidRPr="00C3671E" w:rsidRDefault="00C94483" w:rsidP="00C94483">
            <w:pPr>
              <w:rPr>
                <w:bCs/>
                <w:sz w:val="20"/>
                <w:szCs w:val="20"/>
                <w:lang w:val="en-GB"/>
              </w:rPr>
            </w:pPr>
            <w:r w:rsidRPr="00C3671E">
              <w:rPr>
                <w:bCs/>
                <w:sz w:val="20"/>
                <w:szCs w:val="20"/>
                <w:lang w:val="en-GB"/>
              </w:rPr>
              <w:t>Able to make ends meet</w:t>
            </w:r>
          </w:p>
        </w:tc>
        <w:tc>
          <w:tcPr>
            <w:tcW w:w="2126" w:type="dxa"/>
            <w:vAlign w:val="center"/>
          </w:tcPr>
          <w:p w14:paraId="297C314A" w14:textId="77777777" w:rsidR="00C94483" w:rsidRPr="00C3671E" w:rsidRDefault="00C94483" w:rsidP="00C94483">
            <w:pPr>
              <w:jc w:val="both"/>
              <w:rPr>
                <w:bCs/>
                <w:sz w:val="20"/>
                <w:szCs w:val="20"/>
                <w:lang w:val="en-GB"/>
              </w:rPr>
            </w:pPr>
            <w:r w:rsidRPr="00C3671E">
              <w:rPr>
                <w:bCs/>
                <w:sz w:val="20"/>
                <w:szCs w:val="20"/>
                <w:lang w:val="en-GB"/>
              </w:rPr>
              <w:t>with great difficulty</w:t>
            </w:r>
          </w:p>
        </w:tc>
        <w:tc>
          <w:tcPr>
            <w:tcW w:w="1344" w:type="dxa"/>
            <w:vAlign w:val="center"/>
          </w:tcPr>
          <w:p w14:paraId="1C7B9C15"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11.5</w:t>
            </w:r>
          </w:p>
        </w:tc>
        <w:tc>
          <w:tcPr>
            <w:tcW w:w="1344" w:type="dxa"/>
            <w:vAlign w:val="center"/>
          </w:tcPr>
          <w:p w14:paraId="4D1F8DF2"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4.3</w:t>
            </w:r>
          </w:p>
        </w:tc>
        <w:tc>
          <w:tcPr>
            <w:tcW w:w="1345" w:type="dxa"/>
            <w:vAlign w:val="center"/>
          </w:tcPr>
          <w:p w14:paraId="4E955F38"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9.8</w:t>
            </w:r>
          </w:p>
        </w:tc>
      </w:tr>
      <w:tr w:rsidR="00C94483" w:rsidRPr="00C3671E" w14:paraId="50AD7EC0" w14:textId="77777777" w:rsidTr="00C94483">
        <w:trPr>
          <w:trHeight w:val="329"/>
        </w:trPr>
        <w:tc>
          <w:tcPr>
            <w:tcW w:w="3089" w:type="dxa"/>
            <w:vAlign w:val="center"/>
          </w:tcPr>
          <w:p w14:paraId="7635E50D" w14:textId="77777777" w:rsidR="00C94483" w:rsidRPr="00C3671E" w:rsidRDefault="00C94483" w:rsidP="00C94483">
            <w:pPr>
              <w:rPr>
                <w:bCs/>
                <w:sz w:val="20"/>
                <w:szCs w:val="20"/>
                <w:lang w:val="en-GB"/>
              </w:rPr>
            </w:pPr>
          </w:p>
        </w:tc>
        <w:tc>
          <w:tcPr>
            <w:tcW w:w="2126" w:type="dxa"/>
            <w:vAlign w:val="center"/>
          </w:tcPr>
          <w:p w14:paraId="0CA11C49" w14:textId="77777777" w:rsidR="00C94483" w:rsidRPr="00C3671E" w:rsidRDefault="00C94483" w:rsidP="00C94483">
            <w:pPr>
              <w:jc w:val="both"/>
              <w:rPr>
                <w:bCs/>
                <w:sz w:val="20"/>
                <w:szCs w:val="20"/>
                <w:lang w:val="en-GB"/>
              </w:rPr>
            </w:pPr>
            <w:r w:rsidRPr="00C3671E">
              <w:rPr>
                <w:bCs/>
                <w:sz w:val="20"/>
                <w:szCs w:val="20"/>
                <w:lang w:val="en-GB"/>
              </w:rPr>
              <w:t>with some difficulty</w:t>
            </w:r>
          </w:p>
        </w:tc>
        <w:tc>
          <w:tcPr>
            <w:tcW w:w="1344" w:type="dxa"/>
            <w:vAlign w:val="center"/>
          </w:tcPr>
          <w:p w14:paraId="1BC6DA0A"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29.5</w:t>
            </w:r>
          </w:p>
        </w:tc>
        <w:tc>
          <w:tcPr>
            <w:tcW w:w="1344" w:type="dxa"/>
            <w:vAlign w:val="center"/>
          </w:tcPr>
          <w:p w14:paraId="36A769FB"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17.5</w:t>
            </w:r>
          </w:p>
        </w:tc>
        <w:tc>
          <w:tcPr>
            <w:tcW w:w="1345" w:type="dxa"/>
            <w:vAlign w:val="center"/>
          </w:tcPr>
          <w:p w14:paraId="4F998C70"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27.0</w:t>
            </w:r>
          </w:p>
        </w:tc>
      </w:tr>
      <w:tr w:rsidR="00C94483" w:rsidRPr="00C3671E" w14:paraId="44F353E4" w14:textId="77777777" w:rsidTr="00C94483">
        <w:trPr>
          <w:trHeight w:val="329"/>
        </w:trPr>
        <w:tc>
          <w:tcPr>
            <w:tcW w:w="3089" w:type="dxa"/>
            <w:vAlign w:val="center"/>
          </w:tcPr>
          <w:p w14:paraId="2AE47254" w14:textId="77777777" w:rsidR="00C94483" w:rsidRPr="00C3671E" w:rsidRDefault="00C94483" w:rsidP="00C94483">
            <w:pPr>
              <w:rPr>
                <w:bCs/>
                <w:sz w:val="20"/>
                <w:szCs w:val="20"/>
                <w:lang w:val="en-GB"/>
              </w:rPr>
            </w:pPr>
          </w:p>
        </w:tc>
        <w:tc>
          <w:tcPr>
            <w:tcW w:w="2126" w:type="dxa"/>
            <w:vAlign w:val="center"/>
          </w:tcPr>
          <w:p w14:paraId="1902CD8B" w14:textId="77777777" w:rsidR="00C94483" w:rsidRPr="00C3671E" w:rsidRDefault="00C94483" w:rsidP="00C94483">
            <w:pPr>
              <w:jc w:val="both"/>
              <w:rPr>
                <w:bCs/>
                <w:sz w:val="20"/>
                <w:szCs w:val="20"/>
                <w:lang w:val="en-GB"/>
              </w:rPr>
            </w:pPr>
            <w:r w:rsidRPr="00C3671E">
              <w:rPr>
                <w:bCs/>
                <w:sz w:val="20"/>
                <w:szCs w:val="20"/>
                <w:lang w:val="en-GB"/>
              </w:rPr>
              <w:t>fairly easily</w:t>
            </w:r>
          </w:p>
        </w:tc>
        <w:tc>
          <w:tcPr>
            <w:tcW w:w="1344" w:type="dxa"/>
            <w:vAlign w:val="center"/>
          </w:tcPr>
          <w:p w14:paraId="1B941CD9"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33.8</w:t>
            </w:r>
          </w:p>
        </w:tc>
        <w:tc>
          <w:tcPr>
            <w:tcW w:w="1344" w:type="dxa"/>
            <w:vAlign w:val="center"/>
          </w:tcPr>
          <w:p w14:paraId="1C237206"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32.7</w:t>
            </w:r>
          </w:p>
        </w:tc>
        <w:tc>
          <w:tcPr>
            <w:tcW w:w="1345" w:type="dxa"/>
            <w:vAlign w:val="center"/>
          </w:tcPr>
          <w:p w14:paraId="16DA04B5"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33.5</w:t>
            </w:r>
          </w:p>
        </w:tc>
      </w:tr>
      <w:tr w:rsidR="00C94483" w:rsidRPr="00C3671E" w14:paraId="57CEC71C" w14:textId="77777777" w:rsidTr="00C94483">
        <w:trPr>
          <w:trHeight w:val="329"/>
        </w:trPr>
        <w:tc>
          <w:tcPr>
            <w:tcW w:w="3089" w:type="dxa"/>
            <w:vAlign w:val="center"/>
          </w:tcPr>
          <w:p w14:paraId="45E63E40" w14:textId="77777777" w:rsidR="00C94483" w:rsidRPr="00C3671E" w:rsidRDefault="00C94483" w:rsidP="00C94483">
            <w:pPr>
              <w:rPr>
                <w:bCs/>
                <w:sz w:val="20"/>
                <w:szCs w:val="20"/>
                <w:lang w:val="en-GB"/>
              </w:rPr>
            </w:pPr>
          </w:p>
        </w:tc>
        <w:tc>
          <w:tcPr>
            <w:tcW w:w="2126" w:type="dxa"/>
            <w:vAlign w:val="center"/>
          </w:tcPr>
          <w:p w14:paraId="2CEEF0B9" w14:textId="77777777" w:rsidR="00C94483" w:rsidRPr="00C3671E" w:rsidRDefault="00C94483" w:rsidP="00C94483">
            <w:pPr>
              <w:jc w:val="both"/>
              <w:rPr>
                <w:bCs/>
                <w:sz w:val="20"/>
                <w:szCs w:val="20"/>
                <w:lang w:val="en-GB"/>
              </w:rPr>
            </w:pPr>
            <w:r w:rsidRPr="00C3671E">
              <w:rPr>
                <w:bCs/>
                <w:sz w:val="20"/>
                <w:szCs w:val="20"/>
                <w:lang w:val="en-GB"/>
              </w:rPr>
              <w:t>easily</w:t>
            </w:r>
          </w:p>
        </w:tc>
        <w:tc>
          <w:tcPr>
            <w:tcW w:w="1344" w:type="dxa"/>
            <w:vAlign w:val="center"/>
          </w:tcPr>
          <w:p w14:paraId="6595AA05"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24.9</w:t>
            </w:r>
          </w:p>
        </w:tc>
        <w:tc>
          <w:tcPr>
            <w:tcW w:w="1344" w:type="dxa"/>
            <w:vAlign w:val="center"/>
          </w:tcPr>
          <w:p w14:paraId="39A8603A"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45.5</w:t>
            </w:r>
          </w:p>
        </w:tc>
        <w:tc>
          <w:tcPr>
            <w:tcW w:w="1345" w:type="dxa"/>
            <w:vAlign w:val="center"/>
          </w:tcPr>
          <w:p w14:paraId="0B8065D1"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29.7</w:t>
            </w:r>
          </w:p>
        </w:tc>
      </w:tr>
      <w:tr w:rsidR="00C94483" w:rsidRPr="00C3671E" w14:paraId="41CCEAC0" w14:textId="77777777" w:rsidTr="00C94483">
        <w:trPr>
          <w:trHeight w:val="329"/>
        </w:trPr>
        <w:tc>
          <w:tcPr>
            <w:tcW w:w="3089" w:type="dxa"/>
            <w:vAlign w:val="center"/>
          </w:tcPr>
          <w:p w14:paraId="32B96240" w14:textId="77777777" w:rsidR="00C94483" w:rsidRPr="00C3671E" w:rsidRDefault="00C94483" w:rsidP="00C94483">
            <w:pPr>
              <w:rPr>
                <w:bCs/>
                <w:sz w:val="20"/>
                <w:szCs w:val="20"/>
                <w:lang w:val="en-GB"/>
              </w:rPr>
            </w:pPr>
            <w:r w:rsidRPr="00C3671E">
              <w:rPr>
                <w:bCs/>
                <w:sz w:val="20"/>
                <w:szCs w:val="20"/>
                <w:lang w:val="en-GB"/>
              </w:rPr>
              <w:t>Subjective health status</w:t>
            </w:r>
          </w:p>
        </w:tc>
        <w:tc>
          <w:tcPr>
            <w:tcW w:w="2126" w:type="dxa"/>
            <w:vAlign w:val="center"/>
          </w:tcPr>
          <w:p w14:paraId="0CFB0C5E" w14:textId="77777777" w:rsidR="00C94483" w:rsidRPr="00C3671E" w:rsidRDefault="00C94483" w:rsidP="00C94483">
            <w:pPr>
              <w:jc w:val="both"/>
              <w:rPr>
                <w:bCs/>
                <w:sz w:val="20"/>
                <w:szCs w:val="20"/>
                <w:lang w:val="en-GB"/>
              </w:rPr>
            </w:pPr>
            <w:r w:rsidRPr="00C3671E">
              <w:rPr>
                <w:bCs/>
                <w:sz w:val="20"/>
                <w:szCs w:val="20"/>
                <w:lang w:val="en-GB"/>
              </w:rPr>
              <w:t>poor</w:t>
            </w:r>
          </w:p>
        </w:tc>
        <w:tc>
          <w:tcPr>
            <w:tcW w:w="1344" w:type="dxa"/>
            <w:vAlign w:val="center"/>
          </w:tcPr>
          <w:p w14:paraId="161620D5"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10.1</w:t>
            </w:r>
          </w:p>
        </w:tc>
        <w:tc>
          <w:tcPr>
            <w:tcW w:w="1344" w:type="dxa"/>
            <w:vAlign w:val="center"/>
          </w:tcPr>
          <w:p w14:paraId="69F64512"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4.0</w:t>
            </w:r>
          </w:p>
        </w:tc>
        <w:tc>
          <w:tcPr>
            <w:tcW w:w="1345" w:type="dxa"/>
            <w:vAlign w:val="center"/>
          </w:tcPr>
          <w:p w14:paraId="27C4BE80"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8.6</w:t>
            </w:r>
          </w:p>
        </w:tc>
      </w:tr>
      <w:tr w:rsidR="00C94483" w:rsidRPr="00C3671E" w14:paraId="22CB35C8" w14:textId="77777777" w:rsidTr="00C94483">
        <w:trPr>
          <w:trHeight w:val="329"/>
        </w:trPr>
        <w:tc>
          <w:tcPr>
            <w:tcW w:w="3089" w:type="dxa"/>
            <w:vAlign w:val="center"/>
          </w:tcPr>
          <w:p w14:paraId="6D568EB4" w14:textId="77777777" w:rsidR="00C94483" w:rsidRPr="00C3671E" w:rsidRDefault="00C94483" w:rsidP="00C94483">
            <w:pPr>
              <w:rPr>
                <w:bCs/>
                <w:sz w:val="20"/>
                <w:szCs w:val="20"/>
                <w:lang w:val="en-GB"/>
              </w:rPr>
            </w:pPr>
          </w:p>
        </w:tc>
        <w:tc>
          <w:tcPr>
            <w:tcW w:w="2126" w:type="dxa"/>
            <w:vAlign w:val="center"/>
          </w:tcPr>
          <w:p w14:paraId="2CAD901E" w14:textId="77777777" w:rsidR="00C94483" w:rsidRPr="00C3671E" w:rsidRDefault="00C94483" w:rsidP="00C94483">
            <w:pPr>
              <w:jc w:val="both"/>
              <w:rPr>
                <w:bCs/>
                <w:sz w:val="20"/>
                <w:szCs w:val="20"/>
                <w:lang w:val="en-GB"/>
              </w:rPr>
            </w:pPr>
            <w:r w:rsidRPr="00C3671E">
              <w:rPr>
                <w:bCs/>
                <w:sz w:val="20"/>
                <w:szCs w:val="20"/>
                <w:lang w:val="en-GB"/>
              </w:rPr>
              <w:t>fair</w:t>
            </w:r>
          </w:p>
        </w:tc>
        <w:tc>
          <w:tcPr>
            <w:tcW w:w="1344" w:type="dxa"/>
            <w:vAlign w:val="center"/>
          </w:tcPr>
          <w:p w14:paraId="197EAB23"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30.6</w:t>
            </w:r>
          </w:p>
        </w:tc>
        <w:tc>
          <w:tcPr>
            <w:tcW w:w="1344" w:type="dxa"/>
            <w:vAlign w:val="center"/>
          </w:tcPr>
          <w:p w14:paraId="2B782832"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19.2</w:t>
            </w:r>
          </w:p>
        </w:tc>
        <w:tc>
          <w:tcPr>
            <w:tcW w:w="1345" w:type="dxa"/>
            <w:vAlign w:val="center"/>
          </w:tcPr>
          <w:p w14:paraId="3BAACEC5"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28.0</w:t>
            </w:r>
          </w:p>
        </w:tc>
      </w:tr>
      <w:tr w:rsidR="00C94483" w:rsidRPr="00C3671E" w14:paraId="337F802D" w14:textId="77777777" w:rsidTr="00C94483">
        <w:trPr>
          <w:trHeight w:val="329"/>
        </w:trPr>
        <w:tc>
          <w:tcPr>
            <w:tcW w:w="3089" w:type="dxa"/>
            <w:vAlign w:val="center"/>
          </w:tcPr>
          <w:p w14:paraId="68DB07CE" w14:textId="77777777" w:rsidR="00C94483" w:rsidRPr="00C3671E" w:rsidRDefault="00C94483" w:rsidP="00C94483">
            <w:pPr>
              <w:rPr>
                <w:bCs/>
                <w:sz w:val="20"/>
                <w:szCs w:val="20"/>
                <w:lang w:val="en-GB"/>
              </w:rPr>
            </w:pPr>
          </w:p>
        </w:tc>
        <w:tc>
          <w:tcPr>
            <w:tcW w:w="2126" w:type="dxa"/>
            <w:vAlign w:val="center"/>
          </w:tcPr>
          <w:p w14:paraId="35C754FC" w14:textId="77777777" w:rsidR="00C94483" w:rsidRPr="00C3671E" w:rsidRDefault="00C94483" w:rsidP="00C94483">
            <w:pPr>
              <w:jc w:val="both"/>
              <w:rPr>
                <w:bCs/>
                <w:sz w:val="20"/>
                <w:szCs w:val="20"/>
                <w:lang w:val="en-GB"/>
              </w:rPr>
            </w:pPr>
            <w:r w:rsidRPr="00C3671E">
              <w:rPr>
                <w:bCs/>
                <w:sz w:val="20"/>
                <w:szCs w:val="20"/>
                <w:lang w:val="en-GB"/>
              </w:rPr>
              <w:t>good</w:t>
            </w:r>
          </w:p>
        </w:tc>
        <w:tc>
          <w:tcPr>
            <w:tcW w:w="1344" w:type="dxa"/>
            <w:vAlign w:val="center"/>
          </w:tcPr>
          <w:p w14:paraId="3B1417A5"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36.6</w:t>
            </w:r>
          </w:p>
        </w:tc>
        <w:tc>
          <w:tcPr>
            <w:tcW w:w="1344" w:type="dxa"/>
            <w:vAlign w:val="center"/>
          </w:tcPr>
          <w:p w14:paraId="0CDBF574"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36.1</w:t>
            </w:r>
          </w:p>
        </w:tc>
        <w:tc>
          <w:tcPr>
            <w:tcW w:w="1345" w:type="dxa"/>
            <w:vAlign w:val="center"/>
          </w:tcPr>
          <w:p w14:paraId="6D6414D1"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36.5</w:t>
            </w:r>
          </w:p>
        </w:tc>
      </w:tr>
      <w:tr w:rsidR="00C94483" w:rsidRPr="00C3671E" w14:paraId="5A751A06" w14:textId="77777777" w:rsidTr="00C94483">
        <w:trPr>
          <w:trHeight w:val="329"/>
        </w:trPr>
        <w:tc>
          <w:tcPr>
            <w:tcW w:w="3089" w:type="dxa"/>
            <w:vAlign w:val="center"/>
          </w:tcPr>
          <w:p w14:paraId="3D6507B4" w14:textId="77777777" w:rsidR="00C94483" w:rsidRPr="00C3671E" w:rsidRDefault="00C94483" w:rsidP="00C94483">
            <w:pPr>
              <w:rPr>
                <w:bCs/>
                <w:sz w:val="20"/>
                <w:szCs w:val="20"/>
                <w:lang w:val="en-GB"/>
              </w:rPr>
            </w:pPr>
          </w:p>
        </w:tc>
        <w:tc>
          <w:tcPr>
            <w:tcW w:w="2126" w:type="dxa"/>
            <w:vAlign w:val="center"/>
          </w:tcPr>
          <w:p w14:paraId="67E5578F" w14:textId="77777777" w:rsidR="00C94483" w:rsidRPr="00C3671E" w:rsidRDefault="00C94483" w:rsidP="00C94483">
            <w:pPr>
              <w:jc w:val="both"/>
              <w:rPr>
                <w:bCs/>
                <w:sz w:val="20"/>
                <w:szCs w:val="20"/>
                <w:lang w:val="en-GB"/>
              </w:rPr>
            </w:pPr>
            <w:r w:rsidRPr="00C3671E">
              <w:rPr>
                <w:bCs/>
                <w:sz w:val="20"/>
                <w:szCs w:val="20"/>
                <w:lang w:val="en-GB"/>
              </w:rPr>
              <w:t>very good</w:t>
            </w:r>
          </w:p>
        </w:tc>
        <w:tc>
          <w:tcPr>
            <w:tcW w:w="1344" w:type="dxa"/>
            <w:vAlign w:val="center"/>
          </w:tcPr>
          <w:p w14:paraId="645CFA9D"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16.2</w:t>
            </w:r>
          </w:p>
        </w:tc>
        <w:tc>
          <w:tcPr>
            <w:tcW w:w="1344" w:type="dxa"/>
            <w:vAlign w:val="center"/>
          </w:tcPr>
          <w:p w14:paraId="5E0747ED"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26.8</w:t>
            </w:r>
          </w:p>
        </w:tc>
        <w:tc>
          <w:tcPr>
            <w:tcW w:w="1345" w:type="dxa"/>
            <w:vAlign w:val="center"/>
          </w:tcPr>
          <w:p w14:paraId="585F48B5"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18.7</w:t>
            </w:r>
          </w:p>
        </w:tc>
      </w:tr>
      <w:tr w:rsidR="00C94483" w:rsidRPr="00C3671E" w14:paraId="3157007E" w14:textId="77777777" w:rsidTr="00C94483">
        <w:trPr>
          <w:trHeight w:val="329"/>
        </w:trPr>
        <w:tc>
          <w:tcPr>
            <w:tcW w:w="3089" w:type="dxa"/>
            <w:vAlign w:val="center"/>
          </w:tcPr>
          <w:p w14:paraId="597442F4" w14:textId="77777777" w:rsidR="00C94483" w:rsidRPr="00C3671E" w:rsidRDefault="00C94483" w:rsidP="00C94483">
            <w:pPr>
              <w:rPr>
                <w:bCs/>
                <w:sz w:val="20"/>
                <w:szCs w:val="20"/>
                <w:lang w:val="en-GB"/>
              </w:rPr>
            </w:pPr>
          </w:p>
        </w:tc>
        <w:tc>
          <w:tcPr>
            <w:tcW w:w="2126" w:type="dxa"/>
            <w:vAlign w:val="center"/>
          </w:tcPr>
          <w:p w14:paraId="5C395E42" w14:textId="77777777" w:rsidR="00C94483" w:rsidRPr="00C3671E" w:rsidRDefault="00C94483" w:rsidP="00C94483">
            <w:pPr>
              <w:jc w:val="both"/>
              <w:rPr>
                <w:bCs/>
                <w:sz w:val="20"/>
                <w:szCs w:val="20"/>
                <w:lang w:val="en-GB"/>
              </w:rPr>
            </w:pPr>
            <w:r w:rsidRPr="00C3671E">
              <w:rPr>
                <w:bCs/>
                <w:sz w:val="20"/>
                <w:szCs w:val="20"/>
                <w:lang w:val="en-GB"/>
              </w:rPr>
              <w:t>excellent</w:t>
            </w:r>
          </w:p>
        </w:tc>
        <w:tc>
          <w:tcPr>
            <w:tcW w:w="1344" w:type="dxa"/>
            <w:vAlign w:val="center"/>
          </w:tcPr>
          <w:p w14:paraId="1FE1FF17"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6.5</w:t>
            </w:r>
          </w:p>
        </w:tc>
        <w:tc>
          <w:tcPr>
            <w:tcW w:w="1344" w:type="dxa"/>
            <w:vAlign w:val="center"/>
          </w:tcPr>
          <w:p w14:paraId="3C03EB86"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13.9</w:t>
            </w:r>
          </w:p>
        </w:tc>
        <w:tc>
          <w:tcPr>
            <w:tcW w:w="1345" w:type="dxa"/>
            <w:vAlign w:val="center"/>
          </w:tcPr>
          <w:p w14:paraId="7D6F492B"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8.2</w:t>
            </w:r>
          </w:p>
        </w:tc>
      </w:tr>
      <w:tr w:rsidR="00C94483" w:rsidRPr="00C3671E" w14:paraId="1189072F" w14:textId="77777777" w:rsidTr="00C94483">
        <w:trPr>
          <w:trHeight w:val="329"/>
        </w:trPr>
        <w:tc>
          <w:tcPr>
            <w:tcW w:w="3089" w:type="dxa"/>
            <w:vAlign w:val="center"/>
          </w:tcPr>
          <w:p w14:paraId="71BA9DA3" w14:textId="77777777" w:rsidR="00C94483" w:rsidRPr="00C3671E" w:rsidRDefault="00C94483" w:rsidP="00C94483">
            <w:pPr>
              <w:rPr>
                <w:bCs/>
                <w:sz w:val="20"/>
                <w:szCs w:val="20"/>
                <w:lang w:val="en-GB"/>
              </w:rPr>
            </w:pPr>
            <w:r w:rsidRPr="00C3671E">
              <w:rPr>
                <w:bCs/>
                <w:sz w:val="20"/>
                <w:szCs w:val="20"/>
                <w:lang w:val="en-GB"/>
              </w:rPr>
              <w:t>Gender</w:t>
            </w:r>
          </w:p>
        </w:tc>
        <w:tc>
          <w:tcPr>
            <w:tcW w:w="2126" w:type="dxa"/>
            <w:vAlign w:val="center"/>
          </w:tcPr>
          <w:p w14:paraId="1F3E7B71" w14:textId="77777777" w:rsidR="00C94483" w:rsidRPr="00C3671E" w:rsidRDefault="00C94483" w:rsidP="00C94483">
            <w:pPr>
              <w:jc w:val="both"/>
              <w:rPr>
                <w:bCs/>
                <w:sz w:val="20"/>
                <w:szCs w:val="20"/>
                <w:lang w:val="en-GB"/>
              </w:rPr>
            </w:pPr>
            <w:r w:rsidRPr="00C3671E">
              <w:rPr>
                <w:bCs/>
                <w:sz w:val="20"/>
                <w:szCs w:val="20"/>
                <w:lang w:val="en-GB"/>
              </w:rPr>
              <w:t>male</w:t>
            </w:r>
          </w:p>
        </w:tc>
        <w:tc>
          <w:tcPr>
            <w:tcW w:w="1344" w:type="dxa"/>
            <w:vAlign w:val="center"/>
          </w:tcPr>
          <w:p w14:paraId="3B125007"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36.5</w:t>
            </w:r>
          </w:p>
        </w:tc>
        <w:tc>
          <w:tcPr>
            <w:tcW w:w="1344" w:type="dxa"/>
            <w:vAlign w:val="center"/>
          </w:tcPr>
          <w:p w14:paraId="4894FC4D"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42.5</w:t>
            </w:r>
          </w:p>
        </w:tc>
        <w:tc>
          <w:tcPr>
            <w:tcW w:w="1345" w:type="dxa"/>
            <w:vAlign w:val="center"/>
          </w:tcPr>
          <w:p w14:paraId="169FF50F"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37.9</w:t>
            </w:r>
          </w:p>
        </w:tc>
      </w:tr>
      <w:tr w:rsidR="00C94483" w:rsidRPr="00C3671E" w14:paraId="4E595216" w14:textId="77777777" w:rsidTr="00C94483">
        <w:trPr>
          <w:trHeight w:val="329"/>
        </w:trPr>
        <w:tc>
          <w:tcPr>
            <w:tcW w:w="3089" w:type="dxa"/>
            <w:vAlign w:val="center"/>
          </w:tcPr>
          <w:p w14:paraId="50E55B88" w14:textId="77777777" w:rsidR="00C94483" w:rsidRPr="00C3671E" w:rsidRDefault="00C94483" w:rsidP="00C94483">
            <w:pPr>
              <w:rPr>
                <w:bCs/>
                <w:sz w:val="20"/>
                <w:szCs w:val="20"/>
                <w:lang w:val="en-GB"/>
              </w:rPr>
            </w:pPr>
          </w:p>
        </w:tc>
        <w:tc>
          <w:tcPr>
            <w:tcW w:w="2126" w:type="dxa"/>
            <w:vAlign w:val="center"/>
          </w:tcPr>
          <w:p w14:paraId="09F558DC" w14:textId="77777777" w:rsidR="00C94483" w:rsidRPr="00C3671E" w:rsidRDefault="00C94483" w:rsidP="00C94483">
            <w:pPr>
              <w:jc w:val="both"/>
              <w:rPr>
                <w:bCs/>
                <w:sz w:val="20"/>
                <w:szCs w:val="20"/>
                <w:lang w:val="en-GB"/>
              </w:rPr>
            </w:pPr>
            <w:r w:rsidRPr="00C3671E">
              <w:rPr>
                <w:bCs/>
                <w:sz w:val="20"/>
                <w:szCs w:val="20"/>
                <w:lang w:val="en-GB"/>
              </w:rPr>
              <w:t>female</w:t>
            </w:r>
          </w:p>
        </w:tc>
        <w:tc>
          <w:tcPr>
            <w:tcW w:w="1344" w:type="dxa"/>
            <w:vAlign w:val="center"/>
          </w:tcPr>
          <w:p w14:paraId="245EAB58"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63.5</w:t>
            </w:r>
          </w:p>
        </w:tc>
        <w:tc>
          <w:tcPr>
            <w:tcW w:w="1344" w:type="dxa"/>
            <w:vAlign w:val="center"/>
          </w:tcPr>
          <w:p w14:paraId="5EE00404"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57.5</w:t>
            </w:r>
          </w:p>
        </w:tc>
        <w:tc>
          <w:tcPr>
            <w:tcW w:w="1345" w:type="dxa"/>
            <w:vAlign w:val="center"/>
          </w:tcPr>
          <w:p w14:paraId="5306FE5F"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62.1</w:t>
            </w:r>
          </w:p>
        </w:tc>
      </w:tr>
      <w:tr w:rsidR="00C94483" w:rsidRPr="00C3671E" w14:paraId="3083C1C4" w14:textId="77777777" w:rsidTr="00C94483">
        <w:trPr>
          <w:trHeight w:val="329"/>
        </w:trPr>
        <w:tc>
          <w:tcPr>
            <w:tcW w:w="3089" w:type="dxa"/>
            <w:vAlign w:val="center"/>
          </w:tcPr>
          <w:p w14:paraId="53AEEC15" w14:textId="77777777" w:rsidR="00C94483" w:rsidRPr="00C3671E" w:rsidRDefault="00C94483" w:rsidP="00C94483">
            <w:pPr>
              <w:rPr>
                <w:bCs/>
                <w:sz w:val="20"/>
                <w:szCs w:val="20"/>
                <w:lang w:val="en-GB"/>
              </w:rPr>
            </w:pPr>
            <w:r w:rsidRPr="00C3671E">
              <w:rPr>
                <w:bCs/>
                <w:sz w:val="20"/>
                <w:szCs w:val="20"/>
                <w:lang w:val="en-GB"/>
              </w:rPr>
              <w:t>Country</w:t>
            </w:r>
          </w:p>
        </w:tc>
        <w:tc>
          <w:tcPr>
            <w:tcW w:w="2126" w:type="dxa"/>
            <w:vAlign w:val="center"/>
          </w:tcPr>
          <w:p w14:paraId="78A3D684" w14:textId="77777777" w:rsidR="00C94483" w:rsidRPr="00C3671E" w:rsidRDefault="00C94483" w:rsidP="00C94483">
            <w:pPr>
              <w:jc w:val="both"/>
              <w:rPr>
                <w:bCs/>
                <w:sz w:val="20"/>
                <w:szCs w:val="20"/>
                <w:lang w:val="en-GB"/>
              </w:rPr>
            </w:pPr>
            <w:r w:rsidRPr="00C3671E">
              <w:rPr>
                <w:bCs/>
                <w:sz w:val="20"/>
                <w:szCs w:val="20"/>
                <w:lang w:val="en-GB"/>
              </w:rPr>
              <w:t>Austria</w:t>
            </w:r>
          </w:p>
        </w:tc>
        <w:tc>
          <w:tcPr>
            <w:tcW w:w="1344" w:type="dxa"/>
            <w:vAlign w:val="center"/>
          </w:tcPr>
          <w:p w14:paraId="40696D94"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9.8</w:t>
            </w:r>
          </w:p>
        </w:tc>
        <w:tc>
          <w:tcPr>
            <w:tcW w:w="1344" w:type="dxa"/>
            <w:vAlign w:val="center"/>
          </w:tcPr>
          <w:p w14:paraId="279DA8B3"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13.2</w:t>
            </w:r>
          </w:p>
        </w:tc>
        <w:tc>
          <w:tcPr>
            <w:tcW w:w="1345" w:type="dxa"/>
            <w:vAlign w:val="center"/>
          </w:tcPr>
          <w:p w14:paraId="665D9E03"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10.6</w:t>
            </w:r>
          </w:p>
        </w:tc>
      </w:tr>
      <w:tr w:rsidR="00C94483" w:rsidRPr="00C3671E" w14:paraId="39C38012" w14:textId="77777777" w:rsidTr="00C94483">
        <w:trPr>
          <w:trHeight w:val="329"/>
        </w:trPr>
        <w:tc>
          <w:tcPr>
            <w:tcW w:w="3089" w:type="dxa"/>
            <w:vAlign w:val="center"/>
          </w:tcPr>
          <w:p w14:paraId="49AD4C87" w14:textId="77777777" w:rsidR="00C94483" w:rsidRPr="00C3671E" w:rsidRDefault="00C94483" w:rsidP="00C94483">
            <w:pPr>
              <w:rPr>
                <w:bCs/>
                <w:sz w:val="20"/>
                <w:szCs w:val="20"/>
                <w:lang w:val="en-GB"/>
              </w:rPr>
            </w:pPr>
          </w:p>
        </w:tc>
        <w:tc>
          <w:tcPr>
            <w:tcW w:w="2126" w:type="dxa"/>
            <w:vAlign w:val="center"/>
          </w:tcPr>
          <w:p w14:paraId="185DA618" w14:textId="77777777" w:rsidR="00C94483" w:rsidRPr="00C3671E" w:rsidRDefault="00C94483" w:rsidP="00C94483">
            <w:pPr>
              <w:jc w:val="both"/>
              <w:rPr>
                <w:bCs/>
                <w:sz w:val="20"/>
                <w:szCs w:val="20"/>
                <w:lang w:val="en-GB"/>
              </w:rPr>
            </w:pPr>
            <w:r w:rsidRPr="00C3671E">
              <w:rPr>
                <w:bCs/>
                <w:sz w:val="20"/>
                <w:szCs w:val="20"/>
                <w:lang w:val="en-GB"/>
              </w:rPr>
              <w:t>Belgium</w:t>
            </w:r>
          </w:p>
        </w:tc>
        <w:tc>
          <w:tcPr>
            <w:tcW w:w="1344" w:type="dxa"/>
            <w:vAlign w:val="center"/>
          </w:tcPr>
          <w:p w14:paraId="5BB9B265"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9.6</w:t>
            </w:r>
          </w:p>
        </w:tc>
        <w:tc>
          <w:tcPr>
            <w:tcW w:w="1344" w:type="dxa"/>
            <w:vAlign w:val="center"/>
          </w:tcPr>
          <w:p w14:paraId="7DFDB80F"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17.0</w:t>
            </w:r>
          </w:p>
        </w:tc>
        <w:tc>
          <w:tcPr>
            <w:tcW w:w="1345" w:type="dxa"/>
            <w:vAlign w:val="center"/>
          </w:tcPr>
          <w:p w14:paraId="098B22D2"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11.3</w:t>
            </w:r>
          </w:p>
        </w:tc>
      </w:tr>
      <w:tr w:rsidR="00C94483" w:rsidRPr="00C3671E" w14:paraId="51454CCC" w14:textId="77777777" w:rsidTr="00C94483">
        <w:trPr>
          <w:trHeight w:val="329"/>
        </w:trPr>
        <w:tc>
          <w:tcPr>
            <w:tcW w:w="3089" w:type="dxa"/>
            <w:vAlign w:val="center"/>
          </w:tcPr>
          <w:p w14:paraId="1C150BB5" w14:textId="77777777" w:rsidR="00C94483" w:rsidRPr="00C3671E" w:rsidRDefault="00C94483" w:rsidP="00C94483">
            <w:pPr>
              <w:rPr>
                <w:bCs/>
                <w:sz w:val="20"/>
                <w:szCs w:val="20"/>
                <w:lang w:val="en-GB"/>
              </w:rPr>
            </w:pPr>
          </w:p>
        </w:tc>
        <w:tc>
          <w:tcPr>
            <w:tcW w:w="2126" w:type="dxa"/>
            <w:vAlign w:val="center"/>
          </w:tcPr>
          <w:p w14:paraId="6E6ED812" w14:textId="77777777" w:rsidR="00C94483" w:rsidRPr="00C3671E" w:rsidRDefault="00C94483" w:rsidP="00C94483">
            <w:pPr>
              <w:jc w:val="both"/>
              <w:rPr>
                <w:bCs/>
                <w:sz w:val="20"/>
                <w:szCs w:val="20"/>
                <w:lang w:val="en-GB"/>
              </w:rPr>
            </w:pPr>
            <w:r w:rsidRPr="00C3671E">
              <w:rPr>
                <w:bCs/>
                <w:sz w:val="20"/>
                <w:szCs w:val="20"/>
                <w:lang w:val="en-GB"/>
              </w:rPr>
              <w:t>Czech Republic</w:t>
            </w:r>
          </w:p>
        </w:tc>
        <w:tc>
          <w:tcPr>
            <w:tcW w:w="1344" w:type="dxa"/>
            <w:vAlign w:val="center"/>
          </w:tcPr>
          <w:p w14:paraId="2D642905"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11.5</w:t>
            </w:r>
          </w:p>
        </w:tc>
        <w:tc>
          <w:tcPr>
            <w:tcW w:w="1344" w:type="dxa"/>
            <w:vAlign w:val="center"/>
          </w:tcPr>
          <w:p w14:paraId="76866FAB"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6.0</w:t>
            </w:r>
          </w:p>
        </w:tc>
        <w:tc>
          <w:tcPr>
            <w:tcW w:w="1345" w:type="dxa"/>
            <w:vAlign w:val="center"/>
          </w:tcPr>
          <w:p w14:paraId="1E76DE92"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10.1</w:t>
            </w:r>
          </w:p>
        </w:tc>
      </w:tr>
      <w:tr w:rsidR="00C94483" w:rsidRPr="00C3671E" w14:paraId="417C24D3" w14:textId="77777777" w:rsidTr="00C94483">
        <w:trPr>
          <w:trHeight w:val="329"/>
        </w:trPr>
        <w:tc>
          <w:tcPr>
            <w:tcW w:w="3089" w:type="dxa"/>
            <w:vAlign w:val="center"/>
          </w:tcPr>
          <w:p w14:paraId="6AA00C11" w14:textId="77777777" w:rsidR="00C94483" w:rsidRPr="00C3671E" w:rsidRDefault="00C94483" w:rsidP="00C94483">
            <w:pPr>
              <w:rPr>
                <w:bCs/>
                <w:sz w:val="20"/>
                <w:szCs w:val="20"/>
                <w:lang w:val="en-GB"/>
              </w:rPr>
            </w:pPr>
          </w:p>
        </w:tc>
        <w:tc>
          <w:tcPr>
            <w:tcW w:w="2126" w:type="dxa"/>
            <w:vAlign w:val="center"/>
          </w:tcPr>
          <w:p w14:paraId="18FBDFD7" w14:textId="77777777" w:rsidR="00C94483" w:rsidRPr="00C3671E" w:rsidRDefault="00C94483" w:rsidP="00C94483">
            <w:pPr>
              <w:jc w:val="both"/>
              <w:rPr>
                <w:bCs/>
                <w:sz w:val="20"/>
                <w:szCs w:val="20"/>
                <w:lang w:val="en-GB"/>
              </w:rPr>
            </w:pPr>
            <w:r w:rsidRPr="00C3671E">
              <w:rPr>
                <w:bCs/>
                <w:sz w:val="20"/>
                <w:szCs w:val="20"/>
                <w:lang w:val="en-GB"/>
              </w:rPr>
              <w:t>Denmark</w:t>
            </w:r>
          </w:p>
        </w:tc>
        <w:tc>
          <w:tcPr>
            <w:tcW w:w="1344" w:type="dxa"/>
            <w:vAlign w:val="center"/>
          </w:tcPr>
          <w:p w14:paraId="11C6F1A8"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4.3</w:t>
            </w:r>
          </w:p>
        </w:tc>
        <w:tc>
          <w:tcPr>
            <w:tcW w:w="1344" w:type="dxa"/>
            <w:vAlign w:val="center"/>
          </w:tcPr>
          <w:p w14:paraId="18317680"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11.8</w:t>
            </w:r>
          </w:p>
        </w:tc>
        <w:tc>
          <w:tcPr>
            <w:tcW w:w="1345" w:type="dxa"/>
            <w:vAlign w:val="center"/>
          </w:tcPr>
          <w:p w14:paraId="3C9BD661"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6.1</w:t>
            </w:r>
          </w:p>
        </w:tc>
      </w:tr>
      <w:tr w:rsidR="00C94483" w:rsidRPr="00C3671E" w14:paraId="176ED1F7" w14:textId="77777777" w:rsidTr="00C94483">
        <w:trPr>
          <w:trHeight w:val="329"/>
        </w:trPr>
        <w:tc>
          <w:tcPr>
            <w:tcW w:w="3089" w:type="dxa"/>
            <w:vAlign w:val="center"/>
          </w:tcPr>
          <w:p w14:paraId="529D8778" w14:textId="77777777" w:rsidR="00C94483" w:rsidRPr="00C3671E" w:rsidRDefault="00C94483" w:rsidP="00C94483">
            <w:pPr>
              <w:rPr>
                <w:bCs/>
                <w:sz w:val="20"/>
                <w:szCs w:val="20"/>
                <w:lang w:val="en-GB"/>
              </w:rPr>
            </w:pPr>
          </w:p>
        </w:tc>
        <w:tc>
          <w:tcPr>
            <w:tcW w:w="2126" w:type="dxa"/>
            <w:vAlign w:val="center"/>
          </w:tcPr>
          <w:p w14:paraId="0062F81D" w14:textId="77777777" w:rsidR="00C94483" w:rsidRPr="00C3671E" w:rsidRDefault="00C94483" w:rsidP="00C94483">
            <w:pPr>
              <w:jc w:val="both"/>
              <w:rPr>
                <w:bCs/>
                <w:sz w:val="20"/>
                <w:szCs w:val="20"/>
                <w:lang w:val="en-GB"/>
              </w:rPr>
            </w:pPr>
            <w:r w:rsidRPr="00C3671E">
              <w:rPr>
                <w:bCs/>
                <w:sz w:val="20"/>
                <w:szCs w:val="20"/>
                <w:lang w:val="en-GB"/>
              </w:rPr>
              <w:t>Estonia</w:t>
            </w:r>
          </w:p>
        </w:tc>
        <w:tc>
          <w:tcPr>
            <w:tcW w:w="1344" w:type="dxa"/>
            <w:vAlign w:val="center"/>
          </w:tcPr>
          <w:p w14:paraId="6FD52B20"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14.1</w:t>
            </w:r>
          </w:p>
        </w:tc>
        <w:tc>
          <w:tcPr>
            <w:tcW w:w="1344" w:type="dxa"/>
            <w:vAlign w:val="center"/>
          </w:tcPr>
          <w:p w14:paraId="5FE46C7A"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14.5</w:t>
            </w:r>
          </w:p>
        </w:tc>
        <w:tc>
          <w:tcPr>
            <w:tcW w:w="1345" w:type="dxa"/>
            <w:vAlign w:val="center"/>
          </w:tcPr>
          <w:p w14:paraId="5922644D"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14.2</w:t>
            </w:r>
          </w:p>
        </w:tc>
      </w:tr>
      <w:tr w:rsidR="00C94483" w:rsidRPr="00C3671E" w14:paraId="7555F176" w14:textId="77777777" w:rsidTr="00C94483">
        <w:trPr>
          <w:trHeight w:val="329"/>
        </w:trPr>
        <w:tc>
          <w:tcPr>
            <w:tcW w:w="3089" w:type="dxa"/>
            <w:vAlign w:val="center"/>
          </w:tcPr>
          <w:p w14:paraId="1179AB1A" w14:textId="77777777" w:rsidR="00C94483" w:rsidRPr="00C3671E" w:rsidRDefault="00C94483" w:rsidP="00C94483">
            <w:pPr>
              <w:rPr>
                <w:bCs/>
                <w:sz w:val="20"/>
                <w:szCs w:val="20"/>
                <w:lang w:val="en-GB"/>
              </w:rPr>
            </w:pPr>
          </w:p>
        </w:tc>
        <w:tc>
          <w:tcPr>
            <w:tcW w:w="2126" w:type="dxa"/>
            <w:vAlign w:val="center"/>
          </w:tcPr>
          <w:p w14:paraId="03A5CB08" w14:textId="77777777" w:rsidR="00C94483" w:rsidRPr="00C3671E" w:rsidRDefault="00C94483" w:rsidP="00C94483">
            <w:pPr>
              <w:jc w:val="both"/>
              <w:rPr>
                <w:bCs/>
                <w:sz w:val="20"/>
                <w:szCs w:val="20"/>
                <w:lang w:val="en-GB"/>
              </w:rPr>
            </w:pPr>
            <w:r w:rsidRPr="00C3671E">
              <w:rPr>
                <w:bCs/>
                <w:sz w:val="20"/>
                <w:szCs w:val="20"/>
                <w:lang w:val="en-GB"/>
              </w:rPr>
              <w:t>France</w:t>
            </w:r>
          </w:p>
        </w:tc>
        <w:tc>
          <w:tcPr>
            <w:tcW w:w="1344" w:type="dxa"/>
            <w:vAlign w:val="center"/>
          </w:tcPr>
          <w:p w14:paraId="0A6AA96F"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9.8</w:t>
            </w:r>
          </w:p>
        </w:tc>
        <w:tc>
          <w:tcPr>
            <w:tcW w:w="1344" w:type="dxa"/>
            <w:vAlign w:val="center"/>
          </w:tcPr>
          <w:p w14:paraId="38F2AB4A"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9.7</w:t>
            </w:r>
          </w:p>
        </w:tc>
        <w:tc>
          <w:tcPr>
            <w:tcW w:w="1345" w:type="dxa"/>
            <w:vAlign w:val="center"/>
          </w:tcPr>
          <w:p w14:paraId="50A216EA"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9.8</w:t>
            </w:r>
          </w:p>
        </w:tc>
      </w:tr>
      <w:tr w:rsidR="00C94483" w:rsidRPr="00C3671E" w14:paraId="27638EC6" w14:textId="77777777" w:rsidTr="00C94483">
        <w:trPr>
          <w:trHeight w:val="329"/>
        </w:trPr>
        <w:tc>
          <w:tcPr>
            <w:tcW w:w="3089" w:type="dxa"/>
            <w:vAlign w:val="center"/>
          </w:tcPr>
          <w:p w14:paraId="7D1D2FA1" w14:textId="77777777" w:rsidR="00C94483" w:rsidRPr="00C3671E" w:rsidRDefault="00C94483" w:rsidP="00C94483">
            <w:pPr>
              <w:rPr>
                <w:bCs/>
                <w:sz w:val="20"/>
                <w:szCs w:val="20"/>
                <w:lang w:val="en-GB"/>
              </w:rPr>
            </w:pPr>
          </w:p>
        </w:tc>
        <w:tc>
          <w:tcPr>
            <w:tcW w:w="2126" w:type="dxa"/>
            <w:vAlign w:val="center"/>
          </w:tcPr>
          <w:p w14:paraId="63B925C1" w14:textId="77777777" w:rsidR="00C94483" w:rsidRPr="00C3671E" w:rsidRDefault="00C94483" w:rsidP="00C94483">
            <w:pPr>
              <w:jc w:val="both"/>
              <w:rPr>
                <w:bCs/>
                <w:sz w:val="20"/>
                <w:szCs w:val="20"/>
                <w:lang w:val="en-GB"/>
              </w:rPr>
            </w:pPr>
            <w:r w:rsidRPr="00C3671E">
              <w:rPr>
                <w:bCs/>
                <w:sz w:val="20"/>
                <w:szCs w:val="20"/>
                <w:lang w:val="en-GB"/>
              </w:rPr>
              <w:t>Germany</w:t>
            </w:r>
          </w:p>
        </w:tc>
        <w:tc>
          <w:tcPr>
            <w:tcW w:w="1344" w:type="dxa"/>
            <w:vAlign w:val="center"/>
          </w:tcPr>
          <w:p w14:paraId="50EA371A"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2.7</w:t>
            </w:r>
          </w:p>
        </w:tc>
        <w:tc>
          <w:tcPr>
            <w:tcW w:w="1344" w:type="dxa"/>
            <w:vAlign w:val="center"/>
          </w:tcPr>
          <w:p w14:paraId="4450C00E"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4.9</w:t>
            </w:r>
          </w:p>
        </w:tc>
        <w:tc>
          <w:tcPr>
            <w:tcW w:w="1345" w:type="dxa"/>
            <w:vAlign w:val="center"/>
          </w:tcPr>
          <w:p w14:paraId="68E4AA3B"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3.3</w:t>
            </w:r>
          </w:p>
        </w:tc>
      </w:tr>
      <w:tr w:rsidR="00C94483" w:rsidRPr="00C3671E" w14:paraId="704FA2C4" w14:textId="77777777" w:rsidTr="00C94483">
        <w:trPr>
          <w:trHeight w:val="329"/>
        </w:trPr>
        <w:tc>
          <w:tcPr>
            <w:tcW w:w="3089" w:type="dxa"/>
            <w:vAlign w:val="center"/>
          </w:tcPr>
          <w:p w14:paraId="316906A4" w14:textId="77777777" w:rsidR="00C94483" w:rsidRPr="00C3671E" w:rsidRDefault="00C94483" w:rsidP="00C94483">
            <w:pPr>
              <w:rPr>
                <w:bCs/>
                <w:sz w:val="20"/>
                <w:szCs w:val="20"/>
                <w:lang w:val="en-GB"/>
              </w:rPr>
            </w:pPr>
          </w:p>
        </w:tc>
        <w:tc>
          <w:tcPr>
            <w:tcW w:w="2126" w:type="dxa"/>
            <w:vAlign w:val="center"/>
          </w:tcPr>
          <w:p w14:paraId="25308AB6" w14:textId="77777777" w:rsidR="00C94483" w:rsidRPr="00C3671E" w:rsidRDefault="00C94483" w:rsidP="00C94483">
            <w:pPr>
              <w:jc w:val="both"/>
              <w:rPr>
                <w:bCs/>
                <w:sz w:val="20"/>
                <w:szCs w:val="20"/>
                <w:lang w:val="en-GB"/>
              </w:rPr>
            </w:pPr>
            <w:r w:rsidRPr="00C3671E">
              <w:rPr>
                <w:bCs/>
                <w:sz w:val="20"/>
                <w:szCs w:val="20"/>
                <w:lang w:val="en-GB"/>
              </w:rPr>
              <w:t>Italy</w:t>
            </w:r>
          </w:p>
        </w:tc>
        <w:tc>
          <w:tcPr>
            <w:tcW w:w="1344" w:type="dxa"/>
            <w:vAlign w:val="center"/>
          </w:tcPr>
          <w:p w14:paraId="52462662"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8.2</w:t>
            </w:r>
          </w:p>
        </w:tc>
        <w:tc>
          <w:tcPr>
            <w:tcW w:w="1344" w:type="dxa"/>
            <w:vAlign w:val="center"/>
          </w:tcPr>
          <w:p w14:paraId="683B5544"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1.8</w:t>
            </w:r>
          </w:p>
        </w:tc>
        <w:tc>
          <w:tcPr>
            <w:tcW w:w="1345" w:type="dxa"/>
            <w:vAlign w:val="center"/>
          </w:tcPr>
          <w:p w14:paraId="4742FF79"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6.7</w:t>
            </w:r>
          </w:p>
        </w:tc>
      </w:tr>
      <w:tr w:rsidR="00C94483" w:rsidRPr="00C3671E" w14:paraId="6687E9B8" w14:textId="77777777" w:rsidTr="00C94483">
        <w:trPr>
          <w:trHeight w:val="329"/>
        </w:trPr>
        <w:tc>
          <w:tcPr>
            <w:tcW w:w="3089" w:type="dxa"/>
            <w:vAlign w:val="center"/>
          </w:tcPr>
          <w:p w14:paraId="3A2422ED" w14:textId="77777777" w:rsidR="00C94483" w:rsidRPr="00C3671E" w:rsidRDefault="00C94483" w:rsidP="00C94483">
            <w:pPr>
              <w:rPr>
                <w:bCs/>
                <w:sz w:val="20"/>
                <w:szCs w:val="20"/>
                <w:lang w:val="en-GB"/>
              </w:rPr>
            </w:pPr>
          </w:p>
        </w:tc>
        <w:tc>
          <w:tcPr>
            <w:tcW w:w="2126" w:type="dxa"/>
            <w:vAlign w:val="center"/>
          </w:tcPr>
          <w:p w14:paraId="175CC354" w14:textId="77777777" w:rsidR="00C94483" w:rsidRPr="00C3671E" w:rsidRDefault="00C94483" w:rsidP="00C94483">
            <w:pPr>
              <w:jc w:val="both"/>
              <w:rPr>
                <w:bCs/>
                <w:sz w:val="20"/>
                <w:szCs w:val="20"/>
                <w:lang w:val="en-GB"/>
              </w:rPr>
            </w:pPr>
            <w:r w:rsidRPr="00C3671E">
              <w:rPr>
                <w:bCs/>
                <w:sz w:val="20"/>
                <w:szCs w:val="20"/>
                <w:lang w:val="en-GB"/>
              </w:rPr>
              <w:t>Slovenia</w:t>
            </w:r>
          </w:p>
        </w:tc>
        <w:tc>
          <w:tcPr>
            <w:tcW w:w="1344" w:type="dxa"/>
            <w:vAlign w:val="center"/>
          </w:tcPr>
          <w:p w14:paraId="5CBE3033"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7.6</w:t>
            </w:r>
          </w:p>
        </w:tc>
        <w:tc>
          <w:tcPr>
            <w:tcW w:w="1344" w:type="dxa"/>
            <w:vAlign w:val="center"/>
          </w:tcPr>
          <w:p w14:paraId="074C07B2"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5.7</w:t>
            </w:r>
          </w:p>
        </w:tc>
        <w:tc>
          <w:tcPr>
            <w:tcW w:w="1345" w:type="dxa"/>
            <w:vAlign w:val="center"/>
          </w:tcPr>
          <w:p w14:paraId="0ACFF21D"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7.2</w:t>
            </w:r>
          </w:p>
        </w:tc>
      </w:tr>
      <w:tr w:rsidR="00C94483" w:rsidRPr="00C3671E" w14:paraId="01406536" w14:textId="77777777" w:rsidTr="00C94483">
        <w:trPr>
          <w:trHeight w:val="329"/>
        </w:trPr>
        <w:tc>
          <w:tcPr>
            <w:tcW w:w="3089" w:type="dxa"/>
            <w:vAlign w:val="center"/>
          </w:tcPr>
          <w:p w14:paraId="071E37FA" w14:textId="77777777" w:rsidR="00C94483" w:rsidRPr="00C3671E" w:rsidRDefault="00C94483" w:rsidP="00C94483">
            <w:pPr>
              <w:rPr>
                <w:bCs/>
                <w:sz w:val="20"/>
                <w:szCs w:val="20"/>
                <w:lang w:val="en-GB"/>
              </w:rPr>
            </w:pPr>
          </w:p>
        </w:tc>
        <w:tc>
          <w:tcPr>
            <w:tcW w:w="2126" w:type="dxa"/>
            <w:vAlign w:val="center"/>
          </w:tcPr>
          <w:p w14:paraId="2D561629" w14:textId="77777777" w:rsidR="00C94483" w:rsidRPr="00C3671E" w:rsidRDefault="00C94483" w:rsidP="00C94483">
            <w:pPr>
              <w:jc w:val="both"/>
              <w:rPr>
                <w:bCs/>
                <w:sz w:val="20"/>
                <w:szCs w:val="20"/>
                <w:lang w:val="en-GB"/>
              </w:rPr>
            </w:pPr>
            <w:r w:rsidRPr="00C3671E">
              <w:rPr>
                <w:bCs/>
                <w:sz w:val="20"/>
                <w:szCs w:val="20"/>
                <w:lang w:val="en-GB"/>
              </w:rPr>
              <w:t>Spain</w:t>
            </w:r>
          </w:p>
        </w:tc>
        <w:tc>
          <w:tcPr>
            <w:tcW w:w="1344" w:type="dxa"/>
            <w:vAlign w:val="center"/>
          </w:tcPr>
          <w:p w14:paraId="5A9D0067"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7.8</w:t>
            </w:r>
          </w:p>
        </w:tc>
        <w:tc>
          <w:tcPr>
            <w:tcW w:w="1344" w:type="dxa"/>
            <w:vAlign w:val="center"/>
          </w:tcPr>
          <w:p w14:paraId="542563A1"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3.0</w:t>
            </w:r>
          </w:p>
        </w:tc>
        <w:tc>
          <w:tcPr>
            <w:tcW w:w="1345" w:type="dxa"/>
            <w:vAlign w:val="center"/>
          </w:tcPr>
          <w:p w14:paraId="396C0D20"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6.6</w:t>
            </w:r>
          </w:p>
        </w:tc>
      </w:tr>
      <w:tr w:rsidR="00C94483" w:rsidRPr="00C3671E" w14:paraId="481A61F2" w14:textId="77777777" w:rsidTr="00C94483">
        <w:trPr>
          <w:trHeight w:val="329"/>
        </w:trPr>
        <w:tc>
          <w:tcPr>
            <w:tcW w:w="3089" w:type="dxa"/>
            <w:vAlign w:val="center"/>
          </w:tcPr>
          <w:p w14:paraId="1E778144" w14:textId="77777777" w:rsidR="00C94483" w:rsidRPr="00C3671E" w:rsidRDefault="00C94483" w:rsidP="00C94483">
            <w:pPr>
              <w:rPr>
                <w:bCs/>
                <w:sz w:val="20"/>
                <w:szCs w:val="20"/>
                <w:lang w:val="en-GB"/>
              </w:rPr>
            </w:pPr>
          </w:p>
        </w:tc>
        <w:tc>
          <w:tcPr>
            <w:tcW w:w="2126" w:type="dxa"/>
            <w:vAlign w:val="center"/>
          </w:tcPr>
          <w:p w14:paraId="69A6CD77" w14:textId="77777777" w:rsidR="00C94483" w:rsidRPr="00C3671E" w:rsidRDefault="00C94483" w:rsidP="00C94483">
            <w:pPr>
              <w:jc w:val="both"/>
              <w:rPr>
                <w:bCs/>
                <w:sz w:val="20"/>
                <w:szCs w:val="20"/>
                <w:lang w:val="en-GB"/>
              </w:rPr>
            </w:pPr>
            <w:r w:rsidRPr="00C3671E">
              <w:rPr>
                <w:bCs/>
                <w:sz w:val="20"/>
                <w:szCs w:val="20"/>
                <w:lang w:val="en-GB"/>
              </w:rPr>
              <w:t>Sweden</w:t>
            </w:r>
          </w:p>
        </w:tc>
        <w:tc>
          <w:tcPr>
            <w:tcW w:w="1344" w:type="dxa"/>
            <w:vAlign w:val="center"/>
          </w:tcPr>
          <w:p w14:paraId="3F2549AD"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4.0</w:t>
            </w:r>
          </w:p>
        </w:tc>
        <w:tc>
          <w:tcPr>
            <w:tcW w:w="1344" w:type="dxa"/>
            <w:vAlign w:val="center"/>
          </w:tcPr>
          <w:p w14:paraId="1488422C"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5.5</w:t>
            </w:r>
          </w:p>
        </w:tc>
        <w:tc>
          <w:tcPr>
            <w:tcW w:w="1345" w:type="dxa"/>
            <w:vAlign w:val="center"/>
          </w:tcPr>
          <w:p w14:paraId="4A5F6109"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4.4</w:t>
            </w:r>
          </w:p>
        </w:tc>
      </w:tr>
      <w:tr w:rsidR="00C94483" w:rsidRPr="00C3671E" w14:paraId="61B8DDDC" w14:textId="77777777" w:rsidTr="00C94483">
        <w:trPr>
          <w:trHeight w:val="329"/>
        </w:trPr>
        <w:tc>
          <w:tcPr>
            <w:tcW w:w="3089" w:type="dxa"/>
            <w:vAlign w:val="center"/>
          </w:tcPr>
          <w:p w14:paraId="372C6C4A" w14:textId="77777777" w:rsidR="00C94483" w:rsidRPr="00C3671E" w:rsidRDefault="00C94483" w:rsidP="00C94483">
            <w:pPr>
              <w:rPr>
                <w:bCs/>
                <w:sz w:val="20"/>
                <w:szCs w:val="20"/>
                <w:lang w:val="en-GB"/>
              </w:rPr>
            </w:pPr>
          </w:p>
        </w:tc>
        <w:tc>
          <w:tcPr>
            <w:tcW w:w="2126" w:type="dxa"/>
            <w:vAlign w:val="center"/>
          </w:tcPr>
          <w:p w14:paraId="3E431186" w14:textId="77777777" w:rsidR="00C94483" w:rsidRPr="00C3671E" w:rsidRDefault="00C94483" w:rsidP="00C94483">
            <w:pPr>
              <w:jc w:val="both"/>
              <w:rPr>
                <w:bCs/>
                <w:sz w:val="20"/>
                <w:szCs w:val="20"/>
                <w:lang w:val="en-GB"/>
              </w:rPr>
            </w:pPr>
            <w:r w:rsidRPr="00C3671E">
              <w:rPr>
                <w:bCs/>
                <w:sz w:val="20"/>
                <w:szCs w:val="20"/>
                <w:lang w:val="en-GB"/>
              </w:rPr>
              <w:t>Switzerland</w:t>
            </w:r>
          </w:p>
        </w:tc>
        <w:tc>
          <w:tcPr>
            <w:tcW w:w="1344" w:type="dxa"/>
            <w:vAlign w:val="center"/>
          </w:tcPr>
          <w:p w14:paraId="2E0415D3"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10.6</w:t>
            </w:r>
          </w:p>
        </w:tc>
        <w:tc>
          <w:tcPr>
            <w:tcW w:w="1344" w:type="dxa"/>
            <w:vAlign w:val="center"/>
          </w:tcPr>
          <w:p w14:paraId="6DC618D1"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6.9</w:t>
            </w:r>
          </w:p>
        </w:tc>
        <w:tc>
          <w:tcPr>
            <w:tcW w:w="1345" w:type="dxa"/>
            <w:vAlign w:val="center"/>
          </w:tcPr>
          <w:p w14:paraId="63B2E99B"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9.7</w:t>
            </w:r>
          </w:p>
        </w:tc>
      </w:tr>
      <w:tr w:rsidR="00C94483" w:rsidRPr="00C3671E" w14:paraId="5BC1C8A4" w14:textId="77777777" w:rsidTr="00C94483">
        <w:trPr>
          <w:trHeight w:val="329"/>
        </w:trPr>
        <w:tc>
          <w:tcPr>
            <w:tcW w:w="3089" w:type="dxa"/>
            <w:tcBorders>
              <w:bottom w:val="single" w:sz="12" w:space="0" w:color="auto"/>
            </w:tcBorders>
            <w:vAlign w:val="center"/>
          </w:tcPr>
          <w:p w14:paraId="0C24391C" w14:textId="77777777" w:rsidR="00C94483" w:rsidRPr="00C3671E" w:rsidRDefault="00C94483" w:rsidP="00C94483">
            <w:pPr>
              <w:rPr>
                <w:bCs/>
                <w:sz w:val="20"/>
                <w:szCs w:val="20"/>
                <w:lang w:val="en-GB"/>
              </w:rPr>
            </w:pPr>
            <w:r w:rsidRPr="00C3671E">
              <w:rPr>
                <w:bCs/>
                <w:sz w:val="20"/>
                <w:szCs w:val="20"/>
                <w:lang w:val="en-GB"/>
              </w:rPr>
              <w:t>N</w:t>
            </w:r>
          </w:p>
        </w:tc>
        <w:tc>
          <w:tcPr>
            <w:tcW w:w="2126" w:type="dxa"/>
            <w:tcBorders>
              <w:bottom w:val="single" w:sz="12" w:space="0" w:color="auto"/>
            </w:tcBorders>
            <w:vAlign w:val="center"/>
          </w:tcPr>
          <w:p w14:paraId="64AFA822" w14:textId="77777777" w:rsidR="00C94483" w:rsidRPr="00C3671E" w:rsidRDefault="00C94483" w:rsidP="00C94483">
            <w:pPr>
              <w:jc w:val="both"/>
              <w:rPr>
                <w:bCs/>
                <w:sz w:val="20"/>
                <w:szCs w:val="20"/>
                <w:lang w:val="en-GB"/>
              </w:rPr>
            </w:pPr>
          </w:p>
        </w:tc>
        <w:tc>
          <w:tcPr>
            <w:tcW w:w="1344" w:type="dxa"/>
            <w:tcBorders>
              <w:bottom w:val="single" w:sz="12" w:space="0" w:color="auto"/>
            </w:tcBorders>
            <w:vAlign w:val="center"/>
          </w:tcPr>
          <w:p w14:paraId="41D20CB3"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11,486</w:t>
            </w:r>
          </w:p>
        </w:tc>
        <w:tc>
          <w:tcPr>
            <w:tcW w:w="1344" w:type="dxa"/>
            <w:tcBorders>
              <w:bottom w:val="single" w:sz="12" w:space="0" w:color="auto"/>
            </w:tcBorders>
            <w:vAlign w:val="center"/>
          </w:tcPr>
          <w:p w14:paraId="323DFB88"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3503</w:t>
            </w:r>
          </w:p>
        </w:tc>
        <w:tc>
          <w:tcPr>
            <w:tcW w:w="1345" w:type="dxa"/>
            <w:tcBorders>
              <w:bottom w:val="single" w:sz="12" w:space="0" w:color="auto"/>
            </w:tcBorders>
            <w:vAlign w:val="center"/>
          </w:tcPr>
          <w:p w14:paraId="0EE75558" w14:textId="77777777" w:rsidR="00C94483" w:rsidRPr="00C3671E" w:rsidRDefault="00C94483" w:rsidP="00C94483">
            <w:pPr>
              <w:tabs>
                <w:tab w:val="decimal" w:pos="206"/>
              </w:tabs>
              <w:jc w:val="center"/>
              <w:rPr>
                <w:bCs/>
                <w:sz w:val="20"/>
                <w:szCs w:val="20"/>
                <w:lang w:val="en-GB"/>
              </w:rPr>
            </w:pPr>
            <w:r w:rsidRPr="00C3671E">
              <w:rPr>
                <w:bCs/>
                <w:sz w:val="20"/>
                <w:szCs w:val="20"/>
                <w:lang w:val="en-GB"/>
              </w:rPr>
              <w:t>14,989</w:t>
            </w:r>
          </w:p>
        </w:tc>
      </w:tr>
    </w:tbl>
    <w:p w14:paraId="343B13D8" w14:textId="77777777" w:rsidR="00C94483" w:rsidRPr="00C3671E" w:rsidRDefault="00C94483" w:rsidP="00C94483">
      <w:pPr>
        <w:ind w:left="426"/>
        <w:rPr>
          <w:i/>
          <w:sz w:val="20"/>
          <w:szCs w:val="20"/>
          <w:lang w:val="en-GB"/>
        </w:rPr>
      </w:pPr>
      <w:r w:rsidRPr="00C3671E">
        <w:rPr>
          <w:i/>
          <w:sz w:val="20"/>
          <w:szCs w:val="20"/>
          <w:lang w:val="en-GB"/>
        </w:rPr>
        <w:t>Source: SHARE, waves 4, 5, and 6, own calculations.</w:t>
      </w:r>
    </w:p>
    <w:p w14:paraId="2EABA3C6" w14:textId="77777777" w:rsidR="00C94483" w:rsidRPr="00C3671E" w:rsidRDefault="00C94483" w:rsidP="00F96318">
      <w:pPr>
        <w:suppressAutoHyphens/>
        <w:spacing w:line="480" w:lineRule="auto"/>
        <w:jc w:val="both"/>
        <w:rPr>
          <w:lang w:val="en-GB" w:eastAsia="zh-CN"/>
        </w:rPr>
      </w:pPr>
    </w:p>
    <w:p w14:paraId="5F923012" w14:textId="77777777" w:rsidR="00C94483" w:rsidRPr="00C3671E" w:rsidRDefault="00C94483" w:rsidP="007E6D8E">
      <w:pPr>
        <w:pStyle w:val="Nadpis3"/>
        <w:spacing w:line="480" w:lineRule="auto"/>
        <w:rPr>
          <w:rFonts w:ascii="Times New Roman" w:hAnsi="Times New Roman" w:cs="Times New Roman"/>
          <w:b w:val="0"/>
          <w:i/>
          <w:lang w:val="en-GB" w:eastAsia="zh-CN"/>
        </w:rPr>
      </w:pPr>
      <w:bookmarkStart w:id="94" w:name="_Toc512687785"/>
      <w:r w:rsidRPr="00C3671E">
        <w:rPr>
          <w:rFonts w:ascii="Times New Roman" w:hAnsi="Times New Roman" w:cs="Times New Roman"/>
          <w:b w:val="0"/>
          <w:i/>
          <w:lang w:val="en-GB" w:eastAsia="zh-CN"/>
        </w:rPr>
        <w:t>Method</w:t>
      </w:r>
      <w:bookmarkEnd w:id="94"/>
    </w:p>
    <w:p w14:paraId="064AFA5C" w14:textId="6212C37C" w:rsidR="00C94483" w:rsidRPr="00C3671E" w:rsidRDefault="00C94483" w:rsidP="00C94483">
      <w:pPr>
        <w:suppressAutoHyphens/>
        <w:spacing w:line="480" w:lineRule="auto"/>
        <w:jc w:val="both"/>
        <w:rPr>
          <w:lang w:val="en-GB"/>
        </w:rPr>
      </w:pPr>
      <w:r w:rsidRPr="00C3671E">
        <w:rPr>
          <w:lang w:val="en-GB"/>
        </w:rPr>
        <w:t xml:space="preserve">The analysis capitalizes on the </w:t>
      </w:r>
      <w:r w:rsidRPr="00C3671E">
        <w:rPr>
          <w:lang w:val="en-GB" w:eastAsia="zh-CN"/>
        </w:rPr>
        <w:t>panel</w:t>
      </w:r>
      <w:r w:rsidRPr="00C3671E">
        <w:rPr>
          <w:lang w:val="en-GB"/>
        </w:rPr>
        <w:t xml:space="preserve"> dimension of SHARE and use data from three waves with continuous outcome variable. Hypothesized effects can be estimated through random effects regression in this data structure, which is a first step of the analysis. Random effects regression has characteristics similar to OLS regression – it uses both between-person and within-person variation and treats unobserved differences as random, which leads to higher efficiency at the expense of higher risk of bias. The alternative approach applicable to the same data structure is fixed effects regression. Fixed effects regression uses only within-person variation for estimation of the coefficients </w:t>
      </w:r>
      <w:r w:rsidRPr="00C3671E">
        <w:rPr>
          <w:lang w:val="en-GB"/>
        </w:rPr>
        <w:fldChar w:fldCharType="begin" w:fldLock="1"/>
      </w:r>
      <w:r w:rsidR="00AA6335" w:rsidRPr="00C3671E">
        <w:rPr>
          <w:lang w:val="en-GB"/>
        </w:rPr>
        <w:instrText>ADDIN CSL_CITATION { "citationItems" : [ { "id" : "ITEM-1", "itemData" : { "author" : [ { "dropping-particle" : "", "family" : "Allison", "given" : "Paul David", "non-dropping-particle" : "", "parse-names" : false, "suffix" : "" } ], "id" : "ITEM-1", "issued" : { "date-parts" : [ [ "2009" ] ] }, "publisher" : "SAGE", "publisher-place" : "Los Angeles", "title" : "Fixed effects regression models", "type" : "book" }, "uris" : [ "http://www.mendeley.com/documents/?uuid=82128fc0-2eda-479e-a701-961bff3c770f" ] } ], "mendeley" : { "formattedCitation" : "(Allison 2009)", "plainTextFormattedCitation" : "(Allison 2009)", "previouslyFormattedCitation" : "(Allison 2009)" }, "properties" : { "noteIndex" : 0 }, "schema" : "https://github.com/citation-style-language/schema/raw/master/csl-citation.json" }</w:instrText>
      </w:r>
      <w:r w:rsidRPr="00C3671E">
        <w:rPr>
          <w:lang w:val="en-GB"/>
        </w:rPr>
        <w:fldChar w:fldCharType="separate"/>
      </w:r>
      <w:r w:rsidRPr="00C3671E">
        <w:rPr>
          <w:noProof/>
          <w:lang w:val="en-GB"/>
        </w:rPr>
        <w:t>(Allison 2009)</w:t>
      </w:r>
      <w:r w:rsidRPr="00C3671E">
        <w:rPr>
          <w:lang w:val="en-GB"/>
        </w:rPr>
        <w:fldChar w:fldCharType="end"/>
      </w:r>
      <w:r w:rsidRPr="00C3671E">
        <w:rPr>
          <w:lang w:val="en-GB"/>
        </w:rPr>
        <w:t xml:space="preserve">. This procedure enables to use every individual as his control, and thus it controls also all stable (un)observable characteristics, such as macro-context and value orientation. This robustness is conditioned by some variation of predictor and their exogeneity. A difference in coefficients between random effects model (REM) and fixed effects model (FEM) indicates spurious effects in REM, while much higher standard errors in FEM means low efficiency of FEM estimation </w:t>
      </w:r>
      <w:r w:rsidRPr="00C3671E">
        <w:rPr>
          <w:lang w:val="en-GB"/>
        </w:rPr>
        <w:fldChar w:fldCharType="begin" w:fldLock="1"/>
      </w:r>
      <w:r w:rsidR="00AA6335" w:rsidRPr="00C3671E">
        <w:rPr>
          <w:lang w:val="en-GB"/>
        </w:rPr>
        <w:instrText>ADDIN CSL_CITATION { "citationItems" : [ { "id" : "ITEM-1", "itemData" : { "author" : [ { "dropping-particle" : "", "family" : "Allison", "given" : "Paul David", "non-dropping-particle" : "", "parse-names" : false, "suffix" : "" } ], "id" : "ITEM-1", "issued" : { "date-parts" : [ [ "2009" ] ] }, "publisher" : "SAGE", "publisher-place" : "Los Angeles", "title" : "Fixed effects regression models", "type" : "book" }, "uris" : [ "http://www.mendeley.com/documents/?uuid=82128fc0-2eda-479e-a701-961bff3c770f" ] } ], "mendeley" : { "formattedCitation" : "(Allison 2009)", "plainTextFormattedCitation" : "(Allison 2009)", "previouslyFormattedCitation" : "(Allison 2009)" }, "properties" : { "noteIndex" : 0 }, "schema" : "https://github.com/citation-style-language/schema/raw/master/csl-citation.json" }</w:instrText>
      </w:r>
      <w:r w:rsidRPr="00C3671E">
        <w:rPr>
          <w:lang w:val="en-GB"/>
        </w:rPr>
        <w:fldChar w:fldCharType="separate"/>
      </w:r>
      <w:r w:rsidRPr="00C3671E">
        <w:rPr>
          <w:noProof/>
          <w:lang w:val="en-GB"/>
        </w:rPr>
        <w:t>(Allison 2009)</w:t>
      </w:r>
      <w:r w:rsidRPr="00C3671E">
        <w:rPr>
          <w:lang w:val="en-GB"/>
        </w:rPr>
        <w:fldChar w:fldCharType="end"/>
      </w:r>
      <w:r w:rsidRPr="00C3671E">
        <w:rPr>
          <w:lang w:val="en-GB"/>
        </w:rPr>
        <w:t>. Therefore, both models are estimated on the whole sample and the more appropriate one is used for the analysis of subgroups.</w:t>
      </w:r>
    </w:p>
    <w:p w14:paraId="05734A68" w14:textId="77777777" w:rsidR="00C94483" w:rsidRPr="00C3671E" w:rsidRDefault="00C94483" w:rsidP="007E6D8E">
      <w:pPr>
        <w:pStyle w:val="Nadpis3"/>
        <w:spacing w:line="480" w:lineRule="auto"/>
        <w:rPr>
          <w:rFonts w:ascii="Times New Roman" w:hAnsi="Times New Roman" w:cs="Times New Roman"/>
          <w:b w:val="0"/>
          <w:i/>
          <w:lang w:val="en-GB" w:eastAsia="zh-CN"/>
        </w:rPr>
      </w:pPr>
      <w:bookmarkStart w:id="95" w:name="_Toc512687786"/>
      <w:r w:rsidRPr="00C3671E">
        <w:rPr>
          <w:rFonts w:ascii="Times New Roman" w:hAnsi="Times New Roman" w:cs="Times New Roman"/>
          <w:b w:val="0"/>
          <w:i/>
          <w:lang w:val="en-GB" w:eastAsia="zh-CN"/>
        </w:rPr>
        <w:lastRenderedPageBreak/>
        <w:t>Dependent variable</w:t>
      </w:r>
      <w:bookmarkEnd w:id="95"/>
    </w:p>
    <w:p w14:paraId="32FA26FD" w14:textId="197A5B9B" w:rsidR="00C94483" w:rsidRPr="00C3671E" w:rsidRDefault="00C94483" w:rsidP="00C94483">
      <w:pPr>
        <w:suppressAutoHyphens/>
        <w:spacing w:line="480" w:lineRule="auto"/>
        <w:jc w:val="both"/>
        <w:rPr>
          <w:lang w:val="en-GB"/>
        </w:rPr>
      </w:pPr>
      <w:r w:rsidRPr="00C3671E">
        <w:rPr>
          <w:lang w:val="en-GB"/>
        </w:rPr>
        <w:t xml:space="preserve">Subjective QoL is </w:t>
      </w:r>
      <w:r w:rsidRPr="00C3671E">
        <w:rPr>
          <w:lang w:val="en-GB" w:eastAsia="zh-CN"/>
        </w:rPr>
        <w:t>indicated</w:t>
      </w:r>
      <w:r w:rsidRPr="00C3671E">
        <w:rPr>
          <w:lang w:val="en-GB"/>
        </w:rPr>
        <w:t xml:space="preserve"> on a CASP-12 scale, which is both theoretically and empirically grounded measurement of QoL in younger old age </w:t>
      </w:r>
      <w:r w:rsidRPr="00C3671E">
        <w:rPr>
          <w:lang w:val="en-GB"/>
        </w:rPr>
        <w:fldChar w:fldCharType="begin" w:fldLock="1"/>
      </w:r>
      <w:r w:rsidR="001257AA" w:rsidRPr="00C3671E">
        <w:rPr>
          <w:lang w:val="en-GB"/>
        </w:rPr>
        <w:instrText>ADDIN CSL_CITATION { "citationItems" : [ { "id" : "ITEM-1", "itemData" : { "DOI" : "10.1111/1467-9515.00336", "ISBN" : "0144-5596", "ISSN" : "1467-9515", "abstract" : "Measurement of quality of life has become a major feature of much social and epidemiological research in health and social care settings. It is seen as an important alternative to more process-based outcome measures but remains poorly defined. A major weakness is the absence of any coherent theoretical underpinning whether sociological, psychological or philosophical. Into this conceptual vacuum proxies for quality of life have been introduced. Quality of life [QoL] research into older populations has focused on measures of health and illness as equivalents of QoL. This paper argues that this response is inadequate as it reduces old age to a dimension of health, disability and disease. Instead, we argue that it is necessary to create a theoretically based measure of QoL in early old age which relates to those aspects of later life that are not defined by health. We present a model of QoL that is derived from aspects of contemporary social theory as they relate to the ontology of late modernity. In particular, we utilize a model based upon needs satisfaction. The model contains four domains: Control, Autonomy, Pleasure and Self-realization. The measure consists of a 19-item scale. The four domains load on to a single latent QoL factor. We argue that the CASP 19 scale offers an approach to QoL that integrates a sociologically based model of quality of life with a meaningful and valid research instrument.", "author" : [ { "dropping-particle" : "", "family" : "Higgs", "given" : "Paul", "non-dropping-particle" : "", "parse-names" : false, "suffix" : "" }, { "dropping-particle" : "", "family" : "Hyde", "given" : "Martin", "non-dropping-particle" : "", "parse-names" : false, "suffix" : "" }, { "dropping-particle" : "", "family" : "Wiggins", "given" : "Richard", "non-dropping-particle" : "", "parse-names" : false, "suffix" : "" }, { "dropping-particle" : "", "family" : "Blane", "given" : "David", "non-dropping-particle" : "", "parse-names" : false, "suffix" : "" } ], "container-title" : "Social Policy &amp; Administration", "id" : "ITEM-1", "issue" : "3", "issued" : { "date-parts" : [ [ "2003" ] ] }, "note" : "Higgs, Hyde, Wiggins, Blane 2003: Researching Quality of Life in Early Old Age: The Importance of the Sociological Dimension\nboom of QoL - important alternative, but poorly defined, absence of theoretical underpinning\ninadequate measurement of QoL as health in old age\na model of QoL that is derived from aspects of contemporary social theory as they relate to the ontology of late modernity\nIn particular, we utilize a model based upon needs satisfaction - CASP\nan approach to QoL that integrates a sociologically based model of quality of life with a meaningful and valid research instrument", "page" : "239\u2013252", "title" : "Researching Quality of Life in Early Old Age: The Importance of the Sociological Dimension", "type" : "article-journal", "volume" : "37" }, "uris" : [ "http://www.mendeley.com/documents/?uuid=7105cc95-ef76-45a5-9996-cfd6dee69270" ] } ], "mendeley" : { "formattedCitation" : "(Higgs et al. 2003b)", "plainTextFormattedCitation" : "(Higgs et al. 2003b)", "previouslyFormattedCitation" : "(Higgs et al. 2003b)" }, "properties" : { "noteIndex" : 0 }, "schema" : "https://github.com/citation-style-language/schema/raw/master/csl-citation.json" }</w:instrText>
      </w:r>
      <w:r w:rsidRPr="00C3671E">
        <w:rPr>
          <w:lang w:val="en-GB"/>
        </w:rPr>
        <w:fldChar w:fldCharType="separate"/>
      </w:r>
      <w:r w:rsidR="00C004DA" w:rsidRPr="00C3671E">
        <w:rPr>
          <w:noProof/>
          <w:lang w:val="en-GB"/>
        </w:rPr>
        <w:t>(Higgs et al. 2003b)</w:t>
      </w:r>
      <w:r w:rsidRPr="00C3671E">
        <w:rPr>
          <w:lang w:val="en-GB"/>
        </w:rPr>
        <w:fldChar w:fldCharType="end"/>
      </w:r>
      <w:r w:rsidRPr="00C3671E">
        <w:rPr>
          <w:lang w:val="en-GB"/>
        </w:rPr>
        <w:t xml:space="preserve">, but is applicable also for very old adults </w:t>
      </w:r>
      <w:r w:rsidRPr="00C3671E">
        <w:rPr>
          <w:lang w:val="en-GB"/>
        </w:rPr>
        <w:fldChar w:fldCharType="begin" w:fldLock="1"/>
      </w:r>
      <w:r w:rsidR="001257AA" w:rsidRPr="00C3671E">
        <w:rPr>
          <w:lang w:val="en-GB"/>
        </w:rPr>
        <w:instrText>ADDIN CSL_CITATION { "citationItems" : [ { "id" : "ITEM-1", "itemData" : { "ISBN" : "2006028812", "author" : [ { "dropping-particle" : "", "family" : "Lakom\u00fd", "given" : "Martin", "non-dropping-particle" : "", "parse-names" : false, "suffix" : "" }, { "dropping-particle" : "", "family" : "Petrov\u00e1 Kafkov\u00e1", "given" : "Marcela", "non-dropping-particle" : "", "parse-names" : false, "suffix" : "" } ], "container-title" : "Sociologick\u00fd \u010dasopis/Czech Sociological Review", "id" : "ITEM-1", "issue" : "3", "issued" : { "date-parts" : [ [ "2017" ] ] }, "page" : "369-392", "title" : "Resilience as a Factor of Longevity and Gender Differences in Its Effects", "type" : "article-journal", "volume" : "53" }, "uris" : [ "http://www.mendeley.com/documents/?uuid=2cd0b9f0-4d1d-42ac-a91c-5136c386de75" ] }, { "id" : "ITEM-2", "itemData" : { "author" : [ { "dropping-particle" : "", "family" : "Gjon\u00e7a", "given" : "Edlira", "non-dropping-particle" : "", "parse-names" : false, "suffix" : "" }, { "dropping-particle" : "", "family" : "Stafford", "given" : "Mai", "non-dropping-particle" : "", "parse-names" : false, "suffix" : "" }, { "dropping-particle" : "", "family" : "Zaninotto", "given" : "Paola", "non-dropping-particle" : "", "parse-names" : false, "suffix" : "" }, { "dropping-particle" : "", "family" : "Nazroo", "given" : "James", "non-dropping-particle" : "", "parse-names" : false, "suffix" : "" }, { "dropping-particle" : "", "family" : "Wood", "given" : "Natasha", "non-dropping-particle" : "", "parse-names" : false, "suffix" : "" } ], "chapter-number" : "6", "container-title" : "Financial Circumstances, Health and Well-Being of the Older Population in England: The 2008 English Longitudinal Study of Ageing (Wave 4)", "editor" : [ { "dropping-particle" : "", "family" : "Banks", "given" : "James", "non-dropping-particle" : "", "parse-names" : false, "suffix" : "" }, { "dropping-particle" : "", "family" : "Lessof", "given" : "Carli", "non-dropping-particle" : "", "parse-names" : false, "suffix" : "" }, { "dropping-particle" : "", "family" : "Nazroo", "given" : "James", "non-dropping-particle" : "", "parse-names" : false, "suffix" : "" }, { "dropping-particle" : "", "family" : "Rogers", "given" : "Nina", "non-dropping-particle" : "", "parse-names" : false, "suffix" : "" }, { "dropping-particle" : "", "family" : "Stafford", "given" : "Mai", "non-dropping-particle" : "", "parse-names" : false, "suffix" : "" }, { "dropping-particle" : "", "family" : "Steptoe", "given" : "Andrew", "non-dropping-particle" : "", "parse-names" : false, "suffix" : "" } ], "id" : "ITEM-2", "issued" : { "date-parts" : [ [ "2010" ] ] }, "page" : "227-253", "publisher" : "The Institute for Fiscal Studies", "publisher-place" : "London", "title" : "Health and Social Engagement among the Oldest Old", "type" : "chapter" }, "uris" : [ "http://www.mendeley.com/documents/?uuid=9037f1b4-980b-4e11-8a00-2dd6ad72125b" ] } ], "mendeley" : { "formattedCitation" : "(Gjon\u00e7a et al. 2010; Lakom\u00fd and Petrov\u00e1 Kafkov\u00e1 2017)", "plainTextFormattedCitation" : "(Gjon\u00e7a et al. 2010; Lakom\u00fd and Petrov\u00e1 Kafkov\u00e1 2017)", "previouslyFormattedCitation" : "(Gjon\u00e7a et al. 2010; Lakom\u00fd and Petrov\u00e1 Kafkov\u00e1 2017)" }, "properties" : { "noteIndex" : 0 }, "schema" : "https://github.com/citation-style-language/schema/raw/master/csl-citation.json" }</w:instrText>
      </w:r>
      <w:r w:rsidRPr="00C3671E">
        <w:rPr>
          <w:lang w:val="en-GB"/>
        </w:rPr>
        <w:fldChar w:fldCharType="separate"/>
      </w:r>
      <w:r w:rsidR="00A91559" w:rsidRPr="00C3671E">
        <w:rPr>
          <w:noProof/>
          <w:lang w:val="en-GB"/>
        </w:rPr>
        <w:t>(Gjonça et al. 2010; Lakomý and Petrová Kafková 2017)</w:t>
      </w:r>
      <w:r w:rsidRPr="00C3671E">
        <w:rPr>
          <w:lang w:val="en-GB"/>
        </w:rPr>
        <w:fldChar w:fldCharType="end"/>
      </w:r>
      <w:r w:rsidRPr="00C3671E">
        <w:rPr>
          <w:lang w:val="en-GB"/>
        </w:rPr>
        <w:t xml:space="preserve"> due to very overlapping life priorities of these two phases </w:t>
      </w:r>
      <w:r w:rsidRPr="00C3671E">
        <w:rPr>
          <w:lang w:val="en-GB"/>
        </w:rPr>
        <w:fldChar w:fldCharType="begin" w:fldLock="1"/>
      </w:r>
      <w:r w:rsidR="001257AA" w:rsidRPr="00C3671E">
        <w:rPr>
          <w:lang w:val="en-GB"/>
        </w:rPr>
        <w:instrText>ADDIN CSL_CITATION { "citationItems" : [ { "id" : "ITEM-1", "itemData" : { "author" : [ { "dropping-particle" : "", "family" : "Baltes", "given" : "Paul B.", "non-dropping-particle" : "", "parse-names" : false, "suffix" : "" }, { "dropping-particle" : "", "family" : "Smith", "given" : "Jasqui", "non-dropping-particle" : "", "parse-names" : false, "suffix" : "" } ], "container-title" : "Gerontology", "id" : "ITEM-1", "issue" : "2", "issued" : { "date-parts" : [ [ "2003" ] ] }, "page" : "123\u2013135", "title" : "New frontiers in the future of ageing: from successful ageing of young old to the dilemmas of the fourth age", "type" : "article-journal", "volume" : "49" }, "uris" : [ "http://www.mendeley.com/documents/?uuid=6ddff66e-fb64-4a8f-8419-289b98ecc1a7" ] }, { "id" : "ITEM-2", "itemData" : { "ISSN" : "1079-5014", "PMID" : "17284563", "abstract" : "OBJECTIVES: The purpose of this study was to see if feelings of control over highly valued social roles decline across late life. I also made an effort to see if two types of social support explained age-related decline in control. METHODS: Harris Interactive of New York conducted interviews with a nationwide longitudinal sample of older adults. Survey questions assessed feelings of control over the most highly valued role, anticipated support (i.e., the belief that support will be forthcoming if needed), and enacted support. RESULTS: The data suggested that feelings of control over the most highly valued role tend to decline across late life. The results also revealed that anticipated support is associated with a stronger sense of control over time, but I observed this relationship only through age 75. Beyond that point, anticipated support was less helpful. In contrast, enacted support did not appear to help older people maintain a strong sense of role-specific control at any age. DISCUSSION: Current research has largely been concerned with age-related change in feelings of control over life as a whole. The findings from this study suggest that it may also be helpful to consider control over the most highly valued role while studying this process.", "author" : [ { "dropping-particle" : "", "family" : "Krause", "given" : "Neal", "non-dropping-particle" : "", "parse-names" : false, "suffix" : "" } ], "container-title" : "The journals of gerontology. Series B, Psychological sciences and social sciences", "id" : "ITEM-2", "issue" : "1", "issued" : { "date-parts" : [ [ "2007" ] ] }, "page" : "S28-S35", "title" : "Age and decline in role-specific feelings of control", "type" : "article-journal", "volume" : "62" }, "uris" : [ "http://www.mendeley.com/documents/?uuid=c2a7c533-695d-431e-a1d0-bbd83b230a18" ] } ], "mendeley" : { "formattedCitation" : "(Baltes and Smith 2003; Krause 2007)", "plainTextFormattedCitation" : "(Baltes and Smith 2003; Krause 2007)", "previouslyFormattedCitation" : "(Baltes and Smith 2003; Krause 2007)" }, "properties" : { "noteIndex" : 0 }, "schema" : "https://github.com/citation-style-language/schema/raw/master/csl-citation.json" }</w:instrText>
      </w:r>
      <w:r w:rsidRPr="00C3671E">
        <w:rPr>
          <w:lang w:val="en-GB"/>
        </w:rPr>
        <w:fldChar w:fldCharType="separate"/>
      </w:r>
      <w:r w:rsidR="00A91559" w:rsidRPr="00C3671E">
        <w:rPr>
          <w:noProof/>
          <w:lang w:val="en-GB"/>
        </w:rPr>
        <w:t>(Baltes and Smith 2003; Krause 2007)</w:t>
      </w:r>
      <w:r w:rsidRPr="00C3671E">
        <w:rPr>
          <w:lang w:val="en-GB"/>
        </w:rPr>
        <w:fldChar w:fldCharType="end"/>
      </w:r>
      <w:r w:rsidRPr="00C3671E">
        <w:rPr>
          <w:lang w:val="en-GB"/>
        </w:rPr>
        <w:t>. CASP is an acronym for control, autonomy, self-realisation, and pleasure – the four key domains of QoL in older age according to sociological theory. Each of four domains consists of three items measured on a 4-point scale. Hence, the CASP-12 scale altogether takes values between 12 and 48 and fits the format of the continuous outcome.</w:t>
      </w:r>
    </w:p>
    <w:p w14:paraId="41B67C05" w14:textId="77777777" w:rsidR="00C94483" w:rsidRPr="00C3671E" w:rsidRDefault="00C94483" w:rsidP="007E6D8E">
      <w:pPr>
        <w:pStyle w:val="Nadpis3"/>
        <w:spacing w:line="480" w:lineRule="auto"/>
        <w:rPr>
          <w:rFonts w:ascii="Times New Roman" w:hAnsi="Times New Roman" w:cs="Times New Roman"/>
          <w:b w:val="0"/>
          <w:i/>
          <w:lang w:val="en-GB" w:eastAsia="zh-CN"/>
        </w:rPr>
      </w:pPr>
      <w:bookmarkStart w:id="96" w:name="_Toc512687787"/>
      <w:r w:rsidRPr="00C3671E">
        <w:rPr>
          <w:rFonts w:ascii="Times New Roman" w:hAnsi="Times New Roman" w:cs="Times New Roman"/>
          <w:b w:val="0"/>
          <w:i/>
          <w:lang w:val="en-GB" w:eastAsia="zh-CN"/>
        </w:rPr>
        <w:t>Main explanatory variables</w:t>
      </w:r>
      <w:bookmarkEnd w:id="96"/>
    </w:p>
    <w:p w14:paraId="10C0A9EE" w14:textId="77777777" w:rsidR="00C94483" w:rsidRPr="00C3671E" w:rsidRDefault="00C94483" w:rsidP="00C94483">
      <w:pPr>
        <w:suppressAutoHyphens/>
        <w:spacing w:line="480" w:lineRule="auto"/>
        <w:jc w:val="both"/>
        <w:rPr>
          <w:lang w:val="en-GB"/>
        </w:rPr>
      </w:pPr>
      <w:r w:rsidRPr="00C3671E">
        <w:rPr>
          <w:lang w:val="en-GB"/>
        </w:rPr>
        <w:t>This paper examines the effect of roles prescribed by active ageing, and thus it uses all activities with hypothesized impact as explanatory variables. The utilized roles belong to various sections of SHARE dataset and their measurement takes various forms. The aims of variable transformations were a) to produce simple binary indicator for each activity with sufficient within-person variation and b) to fit the definition of any particular activity by active ageing approach as well as possible.</w:t>
      </w:r>
    </w:p>
    <w:p w14:paraId="4A43C855" w14:textId="77777777" w:rsidR="00C94483" w:rsidRPr="00C3671E" w:rsidRDefault="00C94483" w:rsidP="00466C1F">
      <w:pPr>
        <w:pStyle w:val="Newparagraph"/>
        <w:jc w:val="both"/>
        <w:rPr>
          <w:lang w:eastAsia="zh-CN"/>
        </w:rPr>
      </w:pPr>
      <w:r w:rsidRPr="00C3671E">
        <w:rPr>
          <w:lang w:eastAsia="zh-CN"/>
        </w:rPr>
        <w:t xml:space="preserve">An indicator of labour force participation groups respondents into categories of economically active – employed, self-employed, or unemployed – and economically inactive – retired, homemakers, rentiers, or permanently disabled. Variable ‘care outside household’ indicates care or help provided to any recipient monthly or more often (the same frequency as in AAI) and ‘care within household’ more intensive care and personal help (daily is the only intensity measured by SHARE) for anybody living in the same household. These two variables were constructed from a set of more specific questions inquiring the type, recipient, and frequency of each caregiving relationship. Other activities are indicated if provided at least monthly versus provided less often or not at all. These activities are measured by direct </w:t>
      </w:r>
      <w:r w:rsidRPr="00C3671E">
        <w:rPr>
          <w:lang w:eastAsia="zh-CN"/>
        </w:rPr>
        <w:lastRenderedPageBreak/>
        <w:t>questions on ‘voluntary or charity work’, ‘educational or training course’, ‘sport, social or other kind of club’, ‘taken part in a political or community-related organization’, and ‘vigorous physical activity, such as sports, heavy housework, or a job that involves physical labour’.</w:t>
      </w:r>
    </w:p>
    <w:p w14:paraId="2569398D" w14:textId="6D26ADEB" w:rsidR="00C94483" w:rsidRPr="00C3671E" w:rsidRDefault="00C94483" w:rsidP="00466C1F">
      <w:pPr>
        <w:pStyle w:val="Newparagraph"/>
        <w:jc w:val="both"/>
        <w:rPr>
          <w:lang w:eastAsia="zh-CN"/>
        </w:rPr>
      </w:pPr>
      <w:r w:rsidRPr="00C3671E">
        <w:rPr>
          <w:lang w:eastAsia="zh-CN"/>
        </w:rPr>
        <w:t xml:space="preserve">Other two explanatory variables are level of education and European region, but these have a different meaning in the analysis than activities prescribed by active ageing. Education and region indicate a prevalence of value orientation, which aims to explain some variation in the effect of activities on QoL. The variable level of education is dichotomized to categories ‘lower than tertiary education’ and ‘tertiary education’, as individuals with completed tertiary education are the main protagonists of the shift towards postmaterialist value orientation. Similarly, this shift is also more profound in countries from Northern and Western Europe than Southern and Central/Eastern Europe. Hence, the variable ‘European regions’ was dichotomized to North/West (Austria, Belgium, Denmark, France, Germany, Sweden, Switzerland) and South/East (Czechia, Estonia, Italy, Slovenia, Spain), since these two categories represent the main European contrast in values, prosperity, norms, social policies, etc. </w:t>
      </w:r>
      <w:r w:rsidRPr="00C3671E">
        <w:rPr>
          <w:lang w:eastAsia="zh-CN"/>
        </w:rPr>
        <w:fldChar w:fldCharType="begin" w:fldLock="1"/>
      </w:r>
      <w:r w:rsidR="001257AA" w:rsidRPr="00C3671E">
        <w:rPr>
          <w:lang w:eastAsia="zh-CN"/>
        </w:rPr>
        <w:instrText>ADDIN CSL_CITATION { "citationItems" : [ { "id" : "ITEM-1", "itemData" : { "DOI" : "10.1007/s10680-014-9336-7", "ISBN" : "1068001493367", "ISSN" : "15729885", "abstract" : "We analyse the impact of the provision of care on the health and quality of life (QoL) of adult female informal caregivers using a representative sample drawn from the survey of health, ageing and retirement in Europe (SHARE). We match each informal caregiver with a non-carer using propensity score matching and test whether matched individuals differ on self-assessed health and a functional indicator of QoL and whether this relationship differs across European regions. We find a North-South gradient both for self-assessed health and QoL, and our results show that the provision of caregiving to close relatives in Europe impacts on the caregivers' QoL and health in a way that depends on their geographical location, the degree of formal care and specific cultural and social factors of the area. We find that informal caregiving is a complex phenomenon which may bring both psychological rewards and distress to providers of care and this complexity, along with the geographical gradient highlight the importance of ensuring that policies match the needs of individual carers in their own geographical areas and cultural contexts. [ABSTRACT FROM AUTHOR] Copyright of European Journal of Population is the property of Springer Science &amp; Business Media B.V.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"Novi", "given" : "Cinzia", "non-dropping-particle" : "Di", "parse-names" : false, "suffix" : "" }, { "dropping-particle" : "", "family" : "Jacobs", "given" : "Rowena", "non-dropping-particle" : "", "parse-names" : false, "suffix" : "" }, { "dropping-particle" : "", "family" : "Migheli", "given" : "Matteo", "non-dropping-particle" : "", "parse-names" : false, "suffix" : "" } ], "container-title" : "European Journal of Population", "id" : "ITEM-1", "issue" : "3", "issued" : { "date-parts" : [ [ "2015" ] ] }, "page" : "309-333", "publisher" : "Springer Netherlands", "title" : "The Quality of Life of Female Informal Caregivers: From Scandinavia to the Mediterranean Sea", "type" : "article-journal", "volume" : "31" }, "uris" : [ "http://www.mendeley.com/documents/?uuid=1ccc65b6-fa56-4844-8194-2bfe00ef56d5" ] }, { "id" : "ITEM-2", "itemData" : { "ISBN" : "9783110295467", "author" : [ { "dropping-particle" : "", "family" : "Borges Neves", "given" : "Rita", "non-dropping-particle" : "", "parse-names" : false, "suffix" : "" }, { "dropping-particle" : "", "family" : "Barbosa", "given" : "F\u00e1tima", "non-dropping-particle" : "", "parse-names" : false, "suffix" : "" }, { "dropping-particle" : "", "family" : "Matos", "given" : "Alice Delerue", "non-dropping-particle" : "", "parse-names" : false, "suffix" : "" }, { "dropping-particle" : "", "family" : "Rodrigues", "given" : "Victor", "non-dropping-particle" : "", "parse-names" : false, "suffix" : "" }, { "dropping-particle" : "", "family" : "Machado", "given" : "Jos\u00e9", "non-dropping-particle" : "", "parse-names" : false, "suffix" : "" } ], "chapter-number" : "8", "container-title" : "Active ageing and solidarity between generations in Europe: first results from SHARE after the economic crisis", "editor" : [ { "dropping-particle" : "", "family" : "B\u00f6rsch-Supan", "given" : "Axel", "non-dropping-particle" : "", "parse-names" : false, "suffix" : "" }, { "dropping-particle" : "", "family" : "Brandt", "given" : "Martina", "non-dropping-particle" : "", "parse-names" : false, "suffix" : "" }, { "dropping-particle" : "", "family" : "Litwin", "given" : "Howard", "non-dropping-particle" : "", "parse-names" : false, "suffix" : "" }, { "dropping-particle" : "", "family" : "Weber", "given" : "Guglielmo", "non-dropping-particle" : "", "parse-names" : false, "suffix" : "" } ], "id" : "ITEM-2", "issued" : { "date-parts" : [ [ "2013" ] ] }, "page" : "91-100", "publisher" : "De Gruyter", "publisher-place" : "Berlin", "title" : "Unemployed 50+: exploring risk factors for depression in Europe", "type" : "chapter" }, "uris" : [ "http://www.mendeley.com/documents/?uuid=4c05bf1f-3887-461f-bfcf-4489bfcc36c8" ] }, { "id" : "ITEM-3", "itemData" : { "ISBN" : "0-335-21513-0", "author" : [ { "dropping-particle" : "", "family" : "Walker", "given" : "Alan", "non-dropping-particle" : "", "parse-names" : false, "suffix" : "" } ], "chapter-number" : "1", "container-title" : "Growing older in Europe", "editor" : [ { "dropping-particle" : "", "family" : "Walker", "given" : "Alan", "non-dropping-particle" : "", "parse-names" : false, "suffix" : "" } ], "id" : "ITEM-3", "issued" : { "date-parts" : [ [ "2004" ] ] }, "page" : "1-30", "publisher" : "Open University Press", "publisher-place" : "Maidenhead", "title" : "Quality of life in old age in Europe", "type" : "chapter" }, "uris" : [ "http://www.mendeley.com/documents/?uuid=50d6f5fc-128c-4195-b27d-ab7f3f67bfab" ] } ], "mendeley" : { "formattedCitation" : "(Borges Neves et al. 2013; Di Novi et al. 2015; Walker 2004)", "plainTextFormattedCitation" : "(Borges Neves et al. 2013; Di Novi et al. 2015; Walker 2004)", "previouslyFormattedCitation" : "(Borges Neves et al. 2013; Di Novi et al. 2015; Walker 2004)" }, "properties" : { "noteIndex" : 0 }, "schema" : "https://github.com/citation-style-language/schema/raw/master/csl-citation.json" }</w:instrText>
      </w:r>
      <w:r w:rsidRPr="00C3671E">
        <w:rPr>
          <w:lang w:eastAsia="zh-CN"/>
        </w:rPr>
        <w:fldChar w:fldCharType="separate"/>
      </w:r>
      <w:r w:rsidR="00A91559" w:rsidRPr="00C3671E">
        <w:rPr>
          <w:noProof/>
          <w:lang w:eastAsia="zh-CN"/>
        </w:rPr>
        <w:t>(Borges Neves et al. 2013; Di Novi et al. 2015; Walker 2004)</w:t>
      </w:r>
      <w:r w:rsidRPr="00C3671E">
        <w:rPr>
          <w:lang w:eastAsia="zh-CN"/>
        </w:rPr>
        <w:fldChar w:fldCharType="end"/>
      </w:r>
      <w:r w:rsidRPr="00C3671E">
        <w:rPr>
          <w:lang w:eastAsia="zh-CN"/>
        </w:rPr>
        <w:t>. To test this assumption, models were also compared between Northern and Western Europe and between Southern and Eastern Europe with no substantial differences identified. Hence, the dichotomous definition of regions is kept in order to provide less fragmented results with higher within-person variation for each model.</w:t>
      </w:r>
    </w:p>
    <w:p w14:paraId="50D19370" w14:textId="77777777" w:rsidR="00C94483" w:rsidRPr="00C3671E" w:rsidRDefault="00C94483" w:rsidP="007E6D8E">
      <w:pPr>
        <w:pStyle w:val="Nadpis3"/>
        <w:spacing w:line="480" w:lineRule="auto"/>
        <w:rPr>
          <w:rFonts w:ascii="Times New Roman" w:hAnsi="Times New Roman" w:cs="Times New Roman"/>
          <w:b w:val="0"/>
          <w:i/>
          <w:lang w:val="en-GB" w:eastAsia="zh-CN"/>
        </w:rPr>
      </w:pPr>
      <w:bookmarkStart w:id="97" w:name="_Toc512687788"/>
      <w:r w:rsidRPr="00C3671E">
        <w:rPr>
          <w:rFonts w:ascii="Times New Roman" w:hAnsi="Times New Roman" w:cs="Times New Roman"/>
          <w:b w:val="0"/>
          <w:i/>
          <w:lang w:val="en-GB" w:eastAsia="zh-CN"/>
        </w:rPr>
        <w:t>Control variables</w:t>
      </w:r>
      <w:bookmarkEnd w:id="97"/>
    </w:p>
    <w:p w14:paraId="131218E4" w14:textId="77777777" w:rsidR="00C94483" w:rsidRPr="00C3671E" w:rsidRDefault="00C94483" w:rsidP="00C94483">
      <w:pPr>
        <w:suppressAutoHyphens/>
        <w:spacing w:line="480" w:lineRule="auto"/>
        <w:jc w:val="both"/>
        <w:rPr>
          <w:lang w:val="en-GB"/>
        </w:rPr>
      </w:pPr>
      <w:r w:rsidRPr="00C3671E">
        <w:rPr>
          <w:lang w:val="en-GB"/>
        </w:rPr>
        <w:t xml:space="preserve">Gender, country, and other time-invariant variables are not included in the analysis, as they are controlled </w:t>
      </w:r>
      <w:r w:rsidRPr="00C3671E">
        <w:rPr>
          <w:lang w:val="en-GB" w:eastAsia="zh-CN"/>
        </w:rPr>
        <w:t>automatically</w:t>
      </w:r>
      <w:r w:rsidRPr="00C3671E">
        <w:rPr>
          <w:lang w:val="en-GB"/>
        </w:rPr>
        <w:t xml:space="preserve">. Thus, the presented models contain only for time-variant control variables. Age is accompanied by age squared to identify a potentially non-linear effect. The subjective economic situation is measured by a question ‘would you say that your household is able to make ends meet...’ with the following options: with great difficulty, with some </w:t>
      </w:r>
      <w:r w:rsidRPr="00C3671E">
        <w:rPr>
          <w:lang w:val="en-GB"/>
        </w:rPr>
        <w:lastRenderedPageBreak/>
        <w:t>difficulty, fairly easily, and easily. Subjective health status is also measured directly using options poor, fair, good, very good, and excellent.</w:t>
      </w:r>
    </w:p>
    <w:p w14:paraId="38519734" w14:textId="77777777" w:rsidR="00C94483" w:rsidRPr="00C3671E" w:rsidRDefault="00C94483" w:rsidP="007E6D8E">
      <w:pPr>
        <w:pStyle w:val="Nadpis2"/>
        <w:spacing w:line="480" w:lineRule="auto"/>
        <w:rPr>
          <w:sz w:val="26"/>
          <w:szCs w:val="26"/>
          <w:lang w:val="en-GB"/>
        </w:rPr>
      </w:pPr>
      <w:bookmarkStart w:id="98" w:name="_Toc512687789"/>
      <w:r w:rsidRPr="00C3671E">
        <w:rPr>
          <w:sz w:val="26"/>
          <w:szCs w:val="26"/>
          <w:lang w:val="en-GB"/>
        </w:rPr>
        <w:t>Results</w:t>
      </w:r>
      <w:bookmarkEnd w:id="98"/>
    </w:p>
    <w:p w14:paraId="2D227E75" w14:textId="77777777" w:rsidR="00C94483" w:rsidRPr="00C3671E" w:rsidRDefault="00C94483" w:rsidP="007E6D8E">
      <w:pPr>
        <w:pStyle w:val="Nadpis3"/>
        <w:spacing w:line="480" w:lineRule="auto"/>
        <w:rPr>
          <w:rFonts w:ascii="Times New Roman" w:hAnsi="Times New Roman" w:cs="Times New Roman"/>
          <w:b w:val="0"/>
          <w:i/>
          <w:lang w:val="en-GB" w:eastAsia="zh-CN"/>
        </w:rPr>
      </w:pPr>
      <w:bookmarkStart w:id="99" w:name="_Toc512687790"/>
      <w:r w:rsidRPr="00C3671E">
        <w:rPr>
          <w:rFonts w:ascii="Times New Roman" w:hAnsi="Times New Roman" w:cs="Times New Roman"/>
          <w:b w:val="0"/>
          <w:i/>
          <w:lang w:val="en-GB" w:eastAsia="zh-CN"/>
        </w:rPr>
        <w:t>Comparison of REM and FEM</w:t>
      </w:r>
      <w:bookmarkEnd w:id="99"/>
    </w:p>
    <w:p w14:paraId="06145F10" w14:textId="58C27850" w:rsidR="00C94483" w:rsidRPr="00C3671E" w:rsidRDefault="00C94483" w:rsidP="00C94483">
      <w:pPr>
        <w:suppressAutoHyphens/>
        <w:spacing w:line="480" w:lineRule="auto"/>
        <w:jc w:val="both"/>
        <w:rPr>
          <w:lang w:val="en-GB"/>
        </w:rPr>
      </w:pPr>
      <w:r w:rsidRPr="00C3671E">
        <w:rPr>
          <w:lang w:val="en-GB"/>
        </w:rPr>
        <w:t xml:space="preserve">Table </w:t>
      </w:r>
      <w:r w:rsidR="00F96318" w:rsidRPr="00C3671E">
        <w:rPr>
          <w:lang w:val="en-GB"/>
        </w:rPr>
        <w:t>9</w:t>
      </w:r>
      <w:r w:rsidRPr="00C3671E">
        <w:rPr>
          <w:lang w:val="en-GB"/>
        </w:rPr>
        <w:t xml:space="preserve"> presents models of random effects regression and fixed effects regression for the whole sample. REM </w:t>
      </w:r>
      <w:r w:rsidRPr="00C3671E">
        <w:rPr>
          <w:lang w:val="en-GB" w:eastAsia="zh-CN"/>
        </w:rPr>
        <w:t>shows</w:t>
      </w:r>
      <w:r w:rsidRPr="00C3671E">
        <w:rPr>
          <w:lang w:val="en-GB"/>
        </w:rPr>
        <w:t xml:space="preserve"> five significantly positive effects and one negative effect of performed roles. These effects indicate the impact of change over time and suggest that older adults, who ended with a job, volunteering, physical activity or participation in sport club or political organization between waves, perceive a decline in the subjective QoL. In contrast, starting these activities have a presumably beneficial effect, which supports the assumptions of active ageing approach. Age has nonlinear effect implying the increase of QoL followed by a reversed trend in higher age, while the effects of good financial situation and good health are presumably beneficial. However, some of the presented effects can be spurious, if they get significantly lower in FEM.</w:t>
      </w:r>
    </w:p>
    <w:p w14:paraId="760DAB4B" w14:textId="1DE8BA5A" w:rsidR="00C94483" w:rsidRPr="00C3671E" w:rsidRDefault="00F96318" w:rsidP="00F96318">
      <w:pPr>
        <w:spacing w:before="100" w:beforeAutospacing="1"/>
        <w:jc w:val="both"/>
        <w:rPr>
          <w:b/>
          <w:lang w:val="en-GB"/>
        </w:rPr>
      </w:pPr>
      <w:bookmarkStart w:id="100" w:name="_Toc512687484"/>
      <w:r w:rsidRPr="00C3671E">
        <w:rPr>
          <w:b/>
          <w:lang w:val="en-GB"/>
        </w:rPr>
        <w:t xml:space="preserve">Table </w:t>
      </w:r>
      <w:r w:rsidRPr="00C3671E">
        <w:rPr>
          <w:b/>
          <w:lang w:val="en-GB"/>
        </w:rPr>
        <w:fldChar w:fldCharType="begin"/>
      </w:r>
      <w:r w:rsidRPr="00C3671E">
        <w:rPr>
          <w:b/>
          <w:lang w:val="en-GB"/>
        </w:rPr>
        <w:instrText xml:space="preserve"> SEQ Table \* ARABIC </w:instrText>
      </w:r>
      <w:r w:rsidRPr="00C3671E">
        <w:rPr>
          <w:b/>
          <w:lang w:val="en-GB"/>
        </w:rPr>
        <w:fldChar w:fldCharType="separate"/>
      </w:r>
      <w:r w:rsidRPr="00C3671E">
        <w:rPr>
          <w:b/>
          <w:noProof/>
          <w:lang w:val="en-GB"/>
        </w:rPr>
        <w:t>9</w:t>
      </w:r>
      <w:r w:rsidRPr="00C3671E">
        <w:rPr>
          <w:b/>
          <w:lang w:val="en-GB"/>
        </w:rPr>
        <w:fldChar w:fldCharType="end"/>
      </w:r>
      <w:r w:rsidR="00C94483" w:rsidRPr="00C3671E">
        <w:rPr>
          <w:b/>
          <w:lang w:val="en-GB"/>
        </w:rPr>
        <w:t>: Random effects and fixed effects regression models predicting QoL</w:t>
      </w:r>
      <w:bookmarkEnd w:id="100"/>
    </w:p>
    <w:tbl>
      <w:tblPr>
        <w:tblW w:w="8964" w:type="dxa"/>
        <w:tblInd w:w="108" w:type="dxa"/>
        <w:tblLayout w:type="fixed"/>
        <w:tblLook w:val="0020" w:firstRow="1" w:lastRow="0" w:firstColumn="0" w:lastColumn="0" w:noHBand="0" w:noVBand="0"/>
      </w:tblPr>
      <w:tblGrid>
        <w:gridCol w:w="3544"/>
        <w:gridCol w:w="1355"/>
        <w:gridCol w:w="1355"/>
        <w:gridCol w:w="1355"/>
        <w:gridCol w:w="1355"/>
      </w:tblGrid>
      <w:tr w:rsidR="00C94483" w:rsidRPr="00C3671E" w14:paraId="68897AAA" w14:textId="77777777" w:rsidTr="00C94483">
        <w:trPr>
          <w:trHeight w:val="340"/>
        </w:trPr>
        <w:tc>
          <w:tcPr>
            <w:tcW w:w="3544" w:type="dxa"/>
            <w:tcBorders>
              <w:top w:val="single" w:sz="12" w:space="0" w:color="auto"/>
              <w:bottom w:val="single" w:sz="12" w:space="0" w:color="auto"/>
            </w:tcBorders>
            <w:shd w:val="clear" w:color="auto" w:fill="auto"/>
            <w:vAlign w:val="center"/>
          </w:tcPr>
          <w:p w14:paraId="05714A52" w14:textId="77777777" w:rsidR="00C94483" w:rsidRPr="00C3671E" w:rsidRDefault="00C94483" w:rsidP="00C94483">
            <w:pPr>
              <w:rPr>
                <w:sz w:val="20"/>
                <w:szCs w:val="20"/>
                <w:lang w:val="en-GB"/>
              </w:rPr>
            </w:pPr>
          </w:p>
        </w:tc>
        <w:tc>
          <w:tcPr>
            <w:tcW w:w="2710" w:type="dxa"/>
            <w:gridSpan w:val="2"/>
            <w:tcBorders>
              <w:top w:val="single" w:sz="12" w:space="0" w:color="auto"/>
              <w:bottom w:val="single" w:sz="12" w:space="0" w:color="auto"/>
            </w:tcBorders>
            <w:shd w:val="clear" w:color="auto" w:fill="auto"/>
            <w:vAlign w:val="center"/>
          </w:tcPr>
          <w:p w14:paraId="663CD8D2" w14:textId="77777777" w:rsidR="00C94483" w:rsidRPr="00C3671E" w:rsidRDefault="00C94483" w:rsidP="00C94483">
            <w:pPr>
              <w:jc w:val="center"/>
              <w:rPr>
                <w:sz w:val="20"/>
                <w:szCs w:val="20"/>
                <w:lang w:val="en-GB"/>
              </w:rPr>
            </w:pPr>
            <w:r w:rsidRPr="00C3671E">
              <w:rPr>
                <w:sz w:val="20"/>
                <w:szCs w:val="20"/>
                <w:lang w:val="en-GB"/>
              </w:rPr>
              <w:t>Random effects model</w:t>
            </w:r>
          </w:p>
        </w:tc>
        <w:tc>
          <w:tcPr>
            <w:tcW w:w="2710" w:type="dxa"/>
            <w:gridSpan w:val="2"/>
            <w:tcBorders>
              <w:top w:val="single" w:sz="12" w:space="0" w:color="auto"/>
              <w:bottom w:val="single" w:sz="12" w:space="0" w:color="auto"/>
            </w:tcBorders>
            <w:shd w:val="clear" w:color="auto" w:fill="auto"/>
            <w:vAlign w:val="center"/>
          </w:tcPr>
          <w:p w14:paraId="4756D07F" w14:textId="77777777" w:rsidR="00C94483" w:rsidRPr="00C3671E" w:rsidRDefault="00C94483" w:rsidP="00C94483">
            <w:pPr>
              <w:jc w:val="center"/>
              <w:rPr>
                <w:sz w:val="20"/>
                <w:szCs w:val="20"/>
                <w:lang w:val="en-GB"/>
              </w:rPr>
            </w:pPr>
            <w:r w:rsidRPr="00C3671E">
              <w:rPr>
                <w:sz w:val="20"/>
                <w:szCs w:val="20"/>
                <w:lang w:val="en-GB"/>
              </w:rPr>
              <w:t>Fixed effects model</w:t>
            </w:r>
          </w:p>
        </w:tc>
      </w:tr>
      <w:tr w:rsidR="00C94483" w:rsidRPr="00C3671E" w14:paraId="456FABDB" w14:textId="77777777" w:rsidTr="00C94483">
        <w:trPr>
          <w:trHeight w:val="340"/>
        </w:trPr>
        <w:tc>
          <w:tcPr>
            <w:tcW w:w="3544" w:type="dxa"/>
            <w:tcBorders>
              <w:bottom w:val="single" w:sz="12" w:space="0" w:color="auto"/>
            </w:tcBorders>
            <w:shd w:val="clear" w:color="auto" w:fill="auto"/>
            <w:vAlign w:val="center"/>
          </w:tcPr>
          <w:p w14:paraId="7D33C67D" w14:textId="77777777" w:rsidR="00C94483" w:rsidRPr="00C3671E" w:rsidRDefault="00C94483" w:rsidP="00C94483">
            <w:pPr>
              <w:rPr>
                <w:sz w:val="20"/>
                <w:szCs w:val="20"/>
                <w:lang w:val="en-GB"/>
              </w:rPr>
            </w:pPr>
          </w:p>
        </w:tc>
        <w:tc>
          <w:tcPr>
            <w:tcW w:w="1355" w:type="dxa"/>
            <w:tcBorders>
              <w:bottom w:val="single" w:sz="12" w:space="0" w:color="auto"/>
            </w:tcBorders>
            <w:shd w:val="clear" w:color="auto" w:fill="auto"/>
            <w:vAlign w:val="center"/>
          </w:tcPr>
          <w:p w14:paraId="4652977B" w14:textId="77777777" w:rsidR="00C94483" w:rsidRPr="00C3671E" w:rsidRDefault="00C94483" w:rsidP="00C94483">
            <w:pPr>
              <w:jc w:val="center"/>
              <w:rPr>
                <w:sz w:val="20"/>
                <w:szCs w:val="20"/>
                <w:lang w:val="en-GB"/>
              </w:rPr>
            </w:pPr>
            <w:r w:rsidRPr="00C3671E">
              <w:rPr>
                <w:sz w:val="20"/>
                <w:szCs w:val="20"/>
                <w:lang w:val="en-GB"/>
              </w:rPr>
              <w:t>Coefficient</w:t>
            </w:r>
          </w:p>
        </w:tc>
        <w:tc>
          <w:tcPr>
            <w:tcW w:w="1355" w:type="dxa"/>
            <w:tcBorders>
              <w:bottom w:val="single" w:sz="12" w:space="0" w:color="auto"/>
            </w:tcBorders>
            <w:vAlign w:val="center"/>
          </w:tcPr>
          <w:p w14:paraId="698A1D14" w14:textId="77777777" w:rsidR="00C94483" w:rsidRPr="00C3671E" w:rsidRDefault="00C94483" w:rsidP="00C94483">
            <w:pPr>
              <w:jc w:val="center"/>
              <w:rPr>
                <w:sz w:val="20"/>
                <w:szCs w:val="20"/>
                <w:lang w:val="en-GB"/>
              </w:rPr>
            </w:pPr>
            <w:r w:rsidRPr="00C3671E">
              <w:rPr>
                <w:sz w:val="20"/>
                <w:szCs w:val="20"/>
                <w:lang w:val="en-GB"/>
              </w:rPr>
              <w:t>SE</w:t>
            </w:r>
          </w:p>
        </w:tc>
        <w:tc>
          <w:tcPr>
            <w:tcW w:w="1355" w:type="dxa"/>
            <w:tcBorders>
              <w:bottom w:val="single" w:sz="12" w:space="0" w:color="auto"/>
            </w:tcBorders>
            <w:shd w:val="clear" w:color="auto" w:fill="auto"/>
            <w:vAlign w:val="center"/>
          </w:tcPr>
          <w:p w14:paraId="728A6879" w14:textId="77777777" w:rsidR="00C94483" w:rsidRPr="00C3671E" w:rsidRDefault="00C94483" w:rsidP="00C94483">
            <w:pPr>
              <w:jc w:val="center"/>
              <w:rPr>
                <w:sz w:val="20"/>
                <w:szCs w:val="20"/>
                <w:lang w:val="en-GB"/>
              </w:rPr>
            </w:pPr>
            <w:r w:rsidRPr="00C3671E">
              <w:rPr>
                <w:sz w:val="20"/>
                <w:szCs w:val="20"/>
                <w:lang w:val="en-GB"/>
              </w:rPr>
              <w:t>Coefficient</w:t>
            </w:r>
          </w:p>
        </w:tc>
        <w:tc>
          <w:tcPr>
            <w:tcW w:w="1355" w:type="dxa"/>
            <w:tcBorders>
              <w:bottom w:val="single" w:sz="12" w:space="0" w:color="auto"/>
            </w:tcBorders>
            <w:vAlign w:val="center"/>
          </w:tcPr>
          <w:p w14:paraId="42D6CC7D" w14:textId="77777777" w:rsidR="00C94483" w:rsidRPr="00C3671E" w:rsidRDefault="00C94483" w:rsidP="00C94483">
            <w:pPr>
              <w:jc w:val="center"/>
              <w:rPr>
                <w:sz w:val="20"/>
                <w:szCs w:val="20"/>
                <w:lang w:val="en-GB"/>
              </w:rPr>
            </w:pPr>
            <w:r w:rsidRPr="00C3671E">
              <w:rPr>
                <w:sz w:val="20"/>
                <w:szCs w:val="20"/>
                <w:lang w:val="en-GB"/>
              </w:rPr>
              <w:t>SE</w:t>
            </w:r>
          </w:p>
        </w:tc>
      </w:tr>
      <w:tr w:rsidR="00C94483" w:rsidRPr="00C3671E" w14:paraId="2C294C60" w14:textId="77777777" w:rsidTr="00C94483">
        <w:trPr>
          <w:trHeight w:val="340"/>
        </w:trPr>
        <w:tc>
          <w:tcPr>
            <w:tcW w:w="3544" w:type="dxa"/>
            <w:tcBorders>
              <w:top w:val="single" w:sz="12" w:space="0" w:color="auto"/>
            </w:tcBorders>
            <w:shd w:val="clear" w:color="auto" w:fill="auto"/>
            <w:vAlign w:val="center"/>
          </w:tcPr>
          <w:p w14:paraId="6820BF3B" w14:textId="77777777" w:rsidR="00C94483" w:rsidRPr="00C3671E" w:rsidRDefault="00C94483" w:rsidP="00C94483">
            <w:pPr>
              <w:rPr>
                <w:sz w:val="20"/>
                <w:szCs w:val="20"/>
                <w:lang w:val="en-GB"/>
              </w:rPr>
            </w:pPr>
            <w:r w:rsidRPr="00C3671E">
              <w:rPr>
                <w:sz w:val="20"/>
                <w:szCs w:val="20"/>
                <w:lang w:val="en-GB"/>
              </w:rPr>
              <w:t>Constant</w:t>
            </w:r>
          </w:p>
        </w:tc>
        <w:tc>
          <w:tcPr>
            <w:tcW w:w="1355" w:type="dxa"/>
            <w:tcBorders>
              <w:top w:val="single" w:sz="12" w:space="0" w:color="auto"/>
            </w:tcBorders>
            <w:shd w:val="clear" w:color="auto" w:fill="auto"/>
            <w:vAlign w:val="center"/>
          </w:tcPr>
          <w:p w14:paraId="4B552FFF" w14:textId="77777777" w:rsidR="00C94483" w:rsidRPr="00C3671E" w:rsidRDefault="00C94483" w:rsidP="00C94483">
            <w:pPr>
              <w:tabs>
                <w:tab w:val="decimal" w:pos="466"/>
              </w:tabs>
              <w:rPr>
                <w:sz w:val="20"/>
                <w:szCs w:val="20"/>
                <w:lang w:val="en-GB"/>
              </w:rPr>
            </w:pPr>
            <w:r w:rsidRPr="00C3671E">
              <w:rPr>
                <w:sz w:val="20"/>
                <w:szCs w:val="20"/>
                <w:lang w:val="en-GB"/>
              </w:rPr>
              <w:t>12.398***</w:t>
            </w:r>
          </w:p>
        </w:tc>
        <w:tc>
          <w:tcPr>
            <w:tcW w:w="1355" w:type="dxa"/>
            <w:tcBorders>
              <w:top w:val="single" w:sz="12" w:space="0" w:color="auto"/>
            </w:tcBorders>
            <w:vAlign w:val="center"/>
          </w:tcPr>
          <w:p w14:paraId="1E1F2341" w14:textId="77777777" w:rsidR="00C94483" w:rsidRPr="00C3671E" w:rsidRDefault="00C94483" w:rsidP="00C94483">
            <w:pPr>
              <w:tabs>
                <w:tab w:val="decimal" w:pos="466"/>
              </w:tabs>
              <w:rPr>
                <w:sz w:val="20"/>
                <w:szCs w:val="20"/>
                <w:lang w:val="en-GB"/>
              </w:rPr>
            </w:pPr>
            <w:r w:rsidRPr="00C3671E">
              <w:rPr>
                <w:sz w:val="20"/>
                <w:szCs w:val="20"/>
                <w:lang w:val="en-GB"/>
              </w:rPr>
              <w:t>1.624</w:t>
            </w:r>
          </w:p>
        </w:tc>
        <w:tc>
          <w:tcPr>
            <w:tcW w:w="1355" w:type="dxa"/>
            <w:tcBorders>
              <w:top w:val="single" w:sz="12" w:space="0" w:color="auto"/>
            </w:tcBorders>
            <w:shd w:val="clear" w:color="auto" w:fill="auto"/>
            <w:vAlign w:val="center"/>
          </w:tcPr>
          <w:p w14:paraId="2B983162" w14:textId="77777777" w:rsidR="00C94483" w:rsidRPr="00C3671E" w:rsidRDefault="00C94483" w:rsidP="00C94483">
            <w:pPr>
              <w:tabs>
                <w:tab w:val="decimal" w:pos="466"/>
              </w:tabs>
              <w:rPr>
                <w:sz w:val="20"/>
                <w:szCs w:val="20"/>
                <w:lang w:val="en-GB"/>
              </w:rPr>
            </w:pPr>
            <w:r w:rsidRPr="00C3671E">
              <w:rPr>
                <w:sz w:val="20"/>
                <w:szCs w:val="20"/>
                <w:lang w:val="en-GB"/>
              </w:rPr>
              <w:t>6.409+</w:t>
            </w:r>
          </w:p>
        </w:tc>
        <w:tc>
          <w:tcPr>
            <w:tcW w:w="1355" w:type="dxa"/>
            <w:tcBorders>
              <w:top w:val="single" w:sz="12" w:space="0" w:color="auto"/>
            </w:tcBorders>
            <w:vAlign w:val="center"/>
          </w:tcPr>
          <w:p w14:paraId="08AB3BFF" w14:textId="77777777" w:rsidR="00C94483" w:rsidRPr="00C3671E" w:rsidRDefault="00C94483" w:rsidP="00C94483">
            <w:pPr>
              <w:tabs>
                <w:tab w:val="decimal" w:pos="466"/>
              </w:tabs>
              <w:rPr>
                <w:sz w:val="20"/>
                <w:szCs w:val="20"/>
                <w:lang w:val="en-GB"/>
              </w:rPr>
            </w:pPr>
            <w:r w:rsidRPr="00C3671E">
              <w:rPr>
                <w:sz w:val="20"/>
                <w:szCs w:val="20"/>
                <w:lang w:val="en-GB"/>
              </w:rPr>
              <w:t>3.432</w:t>
            </w:r>
          </w:p>
        </w:tc>
      </w:tr>
      <w:tr w:rsidR="00C94483" w:rsidRPr="00C3671E" w14:paraId="408DB1D2" w14:textId="77777777" w:rsidTr="00C94483">
        <w:trPr>
          <w:trHeight w:val="340"/>
        </w:trPr>
        <w:tc>
          <w:tcPr>
            <w:tcW w:w="3544" w:type="dxa"/>
            <w:shd w:val="clear" w:color="auto" w:fill="auto"/>
            <w:vAlign w:val="center"/>
          </w:tcPr>
          <w:p w14:paraId="4763D531" w14:textId="77777777" w:rsidR="00C94483" w:rsidRPr="00C3671E" w:rsidRDefault="00C94483" w:rsidP="00C94483">
            <w:pPr>
              <w:rPr>
                <w:sz w:val="20"/>
                <w:szCs w:val="20"/>
                <w:lang w:val="en-GB"/>
              </w:rPr>
            </w:pPr>
            <w:r w:rsidRPr="00C3671E">
              <w:rPr>
                <w:bCs/>
                <w:sz w:val="20"/>
                <w:szCs w:val="20"/>
                <w:lang w:val="en-GB"/>
              </w:rPr>
              <w:t>Labour force participation</w:t>
            </w:r>
          </w:p>
        </w:tc>
        <w:tc>
          <w:tcPr>
            <w:tcW w:w="1355" w:type="dxa"/>
            <w:shd w:val="clear" w:color="auto" w:fill="auto"/>
            <w:vAlign w:val="center"/>
          </w:tcPr>
          <w:p w14:paraId="5BF69C3B" w14:textId="77777777" w:rsidR="00C94483" w:rsidRPr="00C3671E" w:rsidRDefault="00C94483" w:rsidP="00C94483">
            <w:pPr>
              <w:tabs>
                <w:tab w:val="decimal" w:pos="466"/>
              </w:tabs>
              <w:rPr>
                <w:sz w:val="20"/>
                <w:szCs w:val="20"/>
                <w:lang w:val="en-GB"/>
              </w:rPr>
            </w:pPr>
            <w:r w:rsidRPr="00C3671E">
              <w:rPr>
                <w:sz w:val="20"/>
                <w:szCs w:val="20"/>
                <w:lang w:val="en-GB"/>
              </w:rPr>
              <w:t>0.226***</w:t>
            </w:r>
          </w:p>
        </w:tc>
        <w:tc>
          <w:tcPr>
            <w:tcW w:w="1355" w:type="dxa"/>
            <w:vAlign w:val="center"/>
          </w:tcPr>
          <w:p w14:paraId="1ED45EB3" w14:textId="77777777" w:rsidR="00C94483" w:rsidRPr="00C3671E" w:rsidRDefault="00C94483" w:rsidP="00C94483">
            <w:pPr>
              <w:tabs>
                <w:tab w:val="decimal" w:pos="466"/>
              </w:tabs>
              <w:rPr>
                <w:sz w:val="20"/>
                <w:szCs w:val="20"/>
                <w:lang w:val="en-GB"/>
              </w:rPr>
            </w:pPr>
            <w:r w:rsidRPr="00C3671E">
              <w:rPr>
                <w:sz w:val="20"/>
                <w:szCs w:val="20"/>
                <w:lang w:val="en-GB"/>
              </w:rPr>
              <w:t>0.076</w:t>
            </w:r>
          </w:p>
        </w:tc>
        <w:tc>
          <w:tcPr>
            <w:tcW w:w="1355" w:type="dxa"/>
            <w:shd w:val="clear" w:color="auto" w:fill="auto"/>
            <w:vAlign w:val="center"/>
          </w:tcPr>
          <w:p w14:paraId="5441B5A5" w14:textId="77777777" w:rsidR="00C94483" w:rsidRPr="00C3671E" w:rsidRDefault="00C94483" w:rsidP="00C94483">
            <w:pPr>
              <w:tabs>
                <w:tab w:val="decimal" w:pos="466"/>
              </w:tabs>
              <w:rPr>
                <w:sz w:val="20"/>
                <w:szCs w:val="20"/>
                <w:lang w:val="en-GB"/>
              </w:rPr>
            </w:pPr>
            <w:r w:rsidRPr="00C3671E">
              <w:rPr>
                <w:sz w:val="20"/>
                <w:szCs w:val="20"/>
                <w:lang w:val="en-GB"/>
              </w:rPr>
              <w:t>-0.016</w:t>
            </w:r>
          </w:p>
        </w:tc>
        <w:tc>
          <w:tcPr>
            <w:tcW w:w="1355" w:type="dxa"/>
            <w:vAlign w:val="center"/>
          </w:tcPr>
          <w:p w14:paraId="77E252C1" w14:textId="77777777" w:rsidR="00C94483" w:rsidRPr="00C3671E" w:rsidRDefault="00C94483" w:rsidP="00C94483">
            <w:pPr>
              <w:tabs>
                <w:tab w:val="decimal" w:pos="466"/>
              </w:tabs>
              <w:rPr>
                <w:sz w:val="20"/>
                <w:szCs w:val="20"/>
                <w:lang w:val="en-GB"/>
              </w:rPr>
            </w:pPr>
            <w:r w:rsidRPr="00C3671E">
              <w:rPr>
                <w:sz w:val="20"/>
                <w:szCs w:val="20"/>
                <w:lang w:val="en-GB"/>
              </w:rPr>
              <w:t>0.124</w:t>
            </w:r>
          </w:p>
        </w:tc>
      </w:tr>
      <w:tr w:rsidR="00C94483" w:rsidRPr="00C3671E" w14:paraId="5169DFCB" w14:textId="77777777" w:rsidTr="00C94483">
        <w:trPr>
          <w:trHeight w:val="340"/>
        </w:trPr>
        <w:tc>
          <w:tcPr>
            <w:tcW w:w="3544" w:type="dxa"/>
            <w:shd w:val="clear" w:color="auto" w:fill="auto"/>
            <w:vAlign w:val="center"/>
          </w:tcPr>
          <w:p w14:paraId="16EB9AEF" w14:textId="77777777" w:rsidR="00C94483" w:rsidRPr="00C3671E" w:rsidRDefault="00C94483" w:rsidP="00C94483">
            <w:pPr>
              <w:rPr>
                <w:sz w:val="20"/>
                <w:szCs w:val="20"/>
                <w:lang w:val="en-GB"/>
              </w:rPr>
            </w:pPr>
            <w:r w:rsidRPr="00C3671E">
              <w:rPr>
                <w:bCs/>
                <w:sz w:val="20"/>
                <w:szCs w:val="20"/>
                <w:lang w:val="en-GB"/>
              </w:rPr>
              <w:t>Caregiving outside household</w:t>
            </w:r>
          </w:p>
        </w:tc>
        <w:tc>
          <w:tcPr>
            <w:tcW w:w="1355" w:type="dxa"/>
            <w:shd w:val="clear" w:color="auto" w:fill="auto"/>
            <w:vAlign w:val="center"/>
          </w:tcPr>
          <w:p w14:paraId="67A38DE6" w14:textId="77777777" w:rsidR="00C94483" w:rsidRPr="00C3671E" w:rsidRDefault="00C94483" w:rsidP="00C94483">
            <w:pPr>
              <w:tabs>
                <w:tab w:val="decimal" w:pos="466"/>
              </w:tabs>
              <w:rPr>
                <w:sz w:val="20"/>
                <w:szCs w:val="20"/>
                <w:lang w:val="en-GB"/>
              </w:rPr>
            </w:pPr>
            <w:r w:rsidRPr="00C3671E">
              <w:rPr>
                <w:sz w:val="20"/>
                <w:szCs w:val="20"/>
                <w:lang w:val="en-GB"/>
              </w:rPr>
              <w:t>-0.024</w:t>
            </w:r>
          </w:p>
        </w:tc>
        <w:tc>
          <w:tcPr>
            <w:tcW w:w="1355" w:type="dxa"/>
            <w:vAlign w:val="center"/>
          </w:tcPr>
          <w:p w14:paraId="0887B0E9" w14:textId="77777777" w:rsidR="00C94483" w:rsidRPr="00C3671E" w:rsidRDefault="00C94483" w:rsidP="00C94483">
            <w:pPr>
              <w:tabs>
                <w:tab w:val="decimal" w:pos="466"/>
              </w:tabs>
              <w:rPr>
                <w:sz w:val="20"/>
                <w:szCs w:val="20"/>
                <w:lang w:val="en-GB"/>
              </w:rPr>
            </w:pPr>
            <w:r w:rsidRPr="00C3671E">
              <w:rPr>
                <w:sz w:val="20"/>
                <w:szCs w:val="20"/>
                <w:lang w:val="en-GB"/>
              </w:rPr>
              <w:t>0.047</w:t>
            </w:r>
          </w:p>
        </w:tc>
        <w:tc>
          <w:tcPr>
            <w:tcW w:w="1355" w:type="dxa"/>
            <w:shd w:val="clear" w:color="auto" w:fill="auto"/>
            <w:vAlign w:val="center"/>
          </w:tcPr>
          <w:p w14:paraId="589A93E3" w14:textId="77777777" w:rsidR="00C94483" w:rsidRPr="00C3671E" w:rsidRDefault="00C94483" w:rsidP="00C94483">
            <w:pPr>
              <w:tabs>
                <w:tab w:val="decimal" w:pos="466"/>
              </w:tabs>
              <w:rPr>
                <w:sz w:val="20"/>
                <w:szCs w:val="20"/>
                <w:lang w:val="en-GB"/>
              </w:rPr>
            </w:pPr>
            <w:r w:rsidRPr="00C3671E">
              <w:rPr>
                <w:sz w:val="20"/>
                <w:szCs w:val="20"/>
                <w:lang w:val="en-GB"/>
              </w:rPr>
              <w:t>-0.044</w:t>
            </w:r>
          </w:p>
        </w:tc>
        <w:tc>
          <w:tcPr>
            <w:tcW w:w="1355" w:type="dxa"/>
            <w:vAlign w:val="center"/>
          </w:tcPr>
          <w:p w14:paraId="3D2862FA" w14:textId="77777777" w:rsidR="00C94483" w:rsidRPr="00C3671E" w:rsidRDefault="00C94483" w:rsidP="00C94483">
            <w:pPr>
              <w:tabs>
                <w:tab w:val="decimal" w:pos="466"/>
              </w:tabs>
              <w:rPr>
                <w:sz w:val="20"/>
                <w:szCs w:val="20"/>
                <w:lang w:val="en-GB"/>
              </w:rPr>
            </w:pPr>
            <w:r w:rsidRPr="00C3671E">
              <w:rPr>
                <w:sz w:val="20"/>
                <w:szCs w:val="20"/>
                <w:lang w:val="en-GB"/>
              </w:rPr>
              <w:t>0.068</w:t>
            </w:r>
          </w:p>
        </w:tc>
      </w:tr>
      <w:tr w:rsidR="00C94483" w:rsidRPr="00C3671E" w14:paraId="0CE06C6E" w14:textId="77777777" w:rsidTr="00C94483">
        <w:trPr>
          <w:trHeight w:val="340"/>
        </w:trPr>
        <w:tc>
          <w:tcPr>
            <w:tcW w:w="3544" w:type="dxa"/>
            <w:shd w:val="clear" w:color="auto" w:fill="auto"/>
            <w:vAlign w:val="center"/>
          </w:tcPr>
          <w:p w14:paraId="65BB59D1" w14:textId="77777777" w:rsidR="00C94483" w:rsidRPr="00C3671E" w:rsidRDefault="00C94483" w:rsidP="00C94483">
            <w:pPr>
              <w:rPr>
                <w:sz w:val="20"/>
                <w:szCs w:val="20"/>
                <w:lang w:val="en-GB"/>
              </w:rPr>
            </w:pPr>
            <w:r w:rsidRPr="00C3671E">
              <w:rPr>
                <w:bCs/>
                <w:sz w:val="20"/>
                <w:szCs w:val="20"/>
                <w:lang w:val="en-GB"/>
              </w:rPr>
              <w:t>Caregiving within household</w:t>
            </w:r>
          </w:p>
        </w:tc>
        <w:tc>
          <w:tcPr>
            <w:tcW w:w="1355" w:type="dxa"/>
            <w:shd w:val="clear" w:color="auto" w:fill="auto"/>
            <w:vAlign w:val="center"/>
          </w:tcPr>
          <w:p w14:paraId="5F71966B" w14:textId="77777777" w:rsidR="00C94483" w:rsidRPr="00C3671E" w:rsidRDefault="00C94483" w:rsidP="00C94483">
            <w:pPr>
              <w:tabs>
                <w:tab w:val="decimal" w:pos="466"/>
              </w:tabs>
              <w:rPr>
                <w:sz w:val="20"/>
                <w:szCs w:val="20"/>
                <w:lang w:val="en-GB"/>
              </w:rPr>
            </w:pPr>
            <w:r w:rsidRPr="00C3671E">
              <w:rPr>
                <w:sz w:val="20"/>
                <w:szCs w:val="20"/>
                <w:lang w:val="en-GB"/>
              </w:rPr>
              <w:t>-1.290***</w:t>
            </w:r>
          </w:p>
        </w:tc>
        <w:tc>
          <w:tcPr>
            <w:tcW w:w="1355" w:type="dxa"/>
            <w:vAlign w:val="center"/>
          </w:tcPr>
          <w:p w14:paraId="23A46B80" w14:textId="77777777" w:rsidR="00C94483" w:rsidRPr="00C3671E" w:rsidRDefault="00C94483" w:rsidP="00C94483">
            <w:pPr>
              <w:tabs>
                <w:tab w:val="decimal" w:pos="466"/>
              </w:tabs>
              <w:rPr>
                <w:sz w:val="20"/>
                <w:szCs w:val="20"/>
                <w:lang w:val="en-GB"/>
              </w:rPr>
            </w:pPr>
            <w:r w:rsidRPr="00C3671E">
              <w:rPr>
                <w:sz w:val="20"/>
                <w:szCs w:val="20"/>
                <w:lang w:val="en-GB"/>
              </w:rPr>
              <w:t>0.094</w:t>
            </w:r>
          </w:p>
        </w:tc>
        <w:tc>
          <w:tcPr>
            <w:tcW w:w="1355" w:type="dxa"/>
            <w:shd w:val="clear" w:color="auto" w:fill="auto"/>
            <w:vAlign w:val="center"/>
          </w:tcPr>
          <w:p w14:paraId="75BCE52A" w14:textId="77777777" w:rsidR="00C94483" w:rsidRPr="00C3671E" w:rsidRDefault="00C94483" w:rsidP="00C94483">
            <w:pPr>
              <w:tabs>
                <w:tab w:val="decimal" w:pos="466"/>
              </w:tabs>
              <w:rPr>
                <w:sz w:val="20"/>
                <w:szCs w:val="20"/>
                <w:lang w:val="en-GB"/>
              </w:rPr>
            </w:pPr>
            <w:r w:rsidRPr="00C3671E">
              <w:rPr>
                <w:sz w:val="20"/>
                <w:szCs w:val="20"/>
                <w:lang w:val="en-GB"/>
              </w:rPr>
              <w:t>-0.916***</w:t>
            </w:r>
          </w:p>
        </w:tc>
        <w:tc>
          <w:tcPr>
            <w:tcW w:w="1355" w:type="dxa"/>
            <w:vAlign w:val="center"/>
          </w:tcPr>
          <w:p w14:paraId="6AB06A07" w14:textId="77777777" w:rsidR="00C94483" w:rsidRPr="00C3671E" w:rsidRDefault="00C94483" w:rsidP="00C94483">
            <w:pPr>
              <w:tabs>
                <w:tab w:val="decimal" w:pos="466"/>
              </w:tabs>
              <w:rPr>
                <w:sz w:val="20"/>
                <w:szCs w:val="20"/>
                <w:lang w:val="en-GB"/>
              </w:rPr>
            </w:pPr>
            <w:r w:rsidRPr="00C3671E">
              <w:rPr>
                <w:sz w:val="20"/>
                <w:szCs w:val="20"/>
                <w:lang w:val="en-GB"/>
              </w:rPr>
              <w:t>0.143</w:t>
            </w:r>
          </w:p>
        </w:tc>
      </w:tr>
      <w:tr w:rsidR="00C94483" w:rsidRPr="00C3671E" w14:paraId="0BD76229" w14:textId="77777777" w:rsidTr="00C94483">
        <w:trPr>
          <w:trHeight w:val="340"/>
        </w:trPr>
        <w:tc>
          <w:tcPr>
            <w:tcW w:w="3544" w:type="dxa"/>
            <w:shd w:val="clear" w:color="auto" w:fill="auto"/>
            <w:vAlign w:val="center"/>
          </w:tcPr>
          <w:p w14:paraId="18AC824B" w14:textId="77777777" w:rsidR="00C94483" w:rsidRPr="00C3671E" w:rsidRDefault="00C94483" w:rsidP="00C94483">
            <w:pPr>
              <w:rPr>
                <w:sz w:val="20"/>
                <w:szCs w:val="20"/>
                <w:lang w:val="en-GB"/>
              </w:rPr>
            </w:pPr>
            <w:r w:rsidRPr="00C3671E">
              <w:rPr>
                <w:bCs/>
                <w:sz w:val="20"/>
                <w:szCs w:val="20"/>
                <w:lang w:val="en-GB"/>
              </w:rPr>
              <w:t>Volunteering</w:t>
            </w:r>
          </w:p>
        </w:tc>
        <w:tc>
          <w:tcPr>
            <w:tcW w:w="1355" w:type="dxa"/>
            <w:shd w:val="clear" w:color="auto" w:fill="auto"/>
            <w:vAlign w:val="center"/>
          </w:tcPr>
          <w:p w14:paraId="2D0F31EB" w14:textId="77777777" w:rsidR="00C94483" w:rsidRPr="00C3671E" w:rsidRDefault="00C94483" w:rsidP="00C94483">
            <w:pPr>
              <w:tabs>
                <w:tab w:val="decimal" w:pos="466"/>
              </w:tabs>
              <w:rPr>
                <w:sz w:val="20"/>
                <w:szCs w:val="20"/>
                <w:lang w:val="en-GB"/>
              </w:rPr>
            </w:pPr>
            <w:r w:rsidRPr="00C3671E">
              <w:rPr>
                <w:sz w:val="20"/>
                <w:szCs w:val="20"/>
                <w:lang w:val="en-GB"/>
              </w:rPr>
              <w:t>0.740***</w:t>
            </w:r>
          </w:p>
        </w:tc>
        <w:tc>
          <w:tcPr>
            <w:tcW w:w="1355" w:type="dxa"/>
            <w:vAlign w:val="center"/>
          </w:tcPr>
          <w:p w14:paraId="3AFAC077" w14:textId="77777777" w:rsidR="00C94483" w:rsidRPr="00C3671E" w:rsidRDefault="00C94483" w:rsidP="00C94483">
            <w:pPr>
              <w:tabs>
                <w:tab w:val="decimal" w:pos="466"/>
              </w:tabs>
              <w:rPr>
                <w:sz w:val="20"/>
                <w:szCs w:val="20"/>
                <w:lang w:val="en-GB"/>
              </w:rPr>
            </w:pPr>
            <w:r w:rsidRPr="00C3671E">
              <w:rPr>
                <w:sz w:val="20"/>
                <w:szCs w:val="20"/>
                <w:lang w:val="en-GB"/>
              </w:rPr>
              <w:t>0.067</w:t>
            </w:r>
          </w:p>
        </w:tc>
        <w:tc>
          <w:tcPr>
            <w:tcW w:w="1355" w:type="dxa"/>
            <w:shd w:val="clear" w:color="auto" w:fill="auto"/>
            <w:vAlign w:val="center"/>
          </w:tcPr>
          <w:p w14:paraId="40B662A2" w14:textId="77777777" w:rsidR="00C94483" w:rsidRPr="00C3671E" w:rsidRDefault="00C94483" w:rsidP="00C94483">
            <w:pPr>
              <w:tabs>
                <w:tab w:val="decimal" w:pos="466"/>
              </w:tabs>
              <w:rPr>
                <w:sz w:val="20"/>
                <w:szCs w:val="20"/>
                <w:lang w:val="en-GB"/>
              </w:rPr>
            </w:pPr>
            <w:r w:rsidRPr="00C3671E">
              <w:rPr>
                <w:sz w:val="20"/>
                <w:szCs w:val="20"/>
                <w:lang w:val="en-GB"/>
              </w:rPr>
              <w:t>0.283**</w:t>
            </w:r>
          </w:p>
        </w:tc>
        <w:tc>
          <w:tcPr>
            <w:tcW w:w="1355" w:type="dxa"/>
            <w:vAlign w:val="center"/>
          </w:tcPr>
          <w:p w14:paraId="2FF2ACAE" w14:textId="77777777" w:rsidR="00C94483" w:rsidRPr="00C3671E" w:rsidRDefault="00C94483" w:rsidP="00C94483">
            <w:pPr>
              <w:tabs>
                <w:tab w:val="decimal" w:pos="466"/>
              </w:tabs>
              <w:rPr>
                <w:sz w:val="20"/>
                <w:szCs w:val="20"/>
                <w:lang w:val="en-GB"/>
              </w:rPr>
            </w:pPr>
            <w:r w:rsidRPr="00C3671E">
              <w:rPr>
                <w:sz w:val="20"/>
                <w:szCs w:val="20"/>
                <w:lang w:val="en-GB"/>
              </w:rPr>
              <w:t>0.092</w:t>
            </w:r>
          </w:p>
        </w:tc>
      </w:tr>
      <w:tr w:rsidR="00C94483" w:rsidRPr="00C3671E" w14:paraId="0D82CC75" w14:textId="77777777" w:rsidTr="00C94483">
        <w:trPr>
          <w:trHeight w:val="340"/>
        </w:trPr>
        <w:tc>
          <w:tcPr>
            <w:tcW w:w="3544" w:type="dxa"/>
            <w:shd w:val="clear" w:color="auto" w:fill="auto"/>
            <w:vAlign w:val="center"/>
          </w:tcPr>
          <w:p w14:paraId="60DD754A" w14:textId="77777777" w:rsidR="00C94483" w:rsidRPr="00C3671E" w:rsidRDefault="00C94483" w:rsidP="00C94483">
            <w:pPr>
              <w:rPr>
                <w:sz w:val="20"/>
                <w:szCs w:val="20"/>
                <w:lang w:val="en-GB"/>
              </w:rPr>
            </w:pPr>
            <w:r w:rsidRPr="00C3671E">
              <w:rPr>
                <w:bCs/>
                <w:sz w:val="20"/>
                <w:szCs w:val="20"/>
                <w:lang w:val="en-GB"/>
              </w:rPr>
              <w:t>Educational course</w:t>
            </w:r>
          </w:p>
        </w:tc>
        <w:tc>
          <w:tcPr>
            <w:tcW w:w="1355" w:type="dxa"/>
            <w:shd w:val="clear" w:color="auto" w:fill="auto"/>
            <w:vAlign w:val="center"/>
          </w:tcPr>
          <w:p w14:paraId="2AE99324" w14:textId="77777777" w:rsidR="00C94483" w:rsidRPr="00C3671E" w:rsidRDefault="00C94483" w:rsidP="00C94483">
            <w:pPr>
              <w:tabs>
                <w:tab w:val="decimal" w:pos="466"/>
              </w:tabs>
              <w:rPr>
                <w:sz w:val="20"/>
                <w:szCs w:val="20"/>
                <w:lang w:val="en-GB"/>
              </w:rPr>
            </w:pPr>
            <w:r w:rsidRPr="00C3671E">
              <w:rPr>
                <w:sz w:val="20"/>
                <w:szCs w:val="20"/>
                <w:lang w:val="en-GB"/>
              </w:rPr>
              <w:t>0.080</w:t>
            </w:r>
          </w:p>
        </w:tc>
        <w:tc>
          <w:tcPr>
            <w:tcW w:w="1355" w:type="dxa"/>
            <w:vAlign w:val="center"/>
          </w:tcPr>
          <w:p w14:paraId="5DBE9E33" w14:textId="77777777" w:rsidR="00C94483" w:rsidRPr="00C3671E" w:rsidRDefault="00C94483" w:rsidP="00C94483">
            <w:pPr>
              <w:tabs>
                <w:tab w:val="decimal" w:pos="466"/>
              </w:tabs>
              <w:rPr>
                <w:sz w:val="20"/>
                <w:szCs w:val="20"/>
                <w:lang w:val="en-GB"/>
              </w:rPr>
            </w:pPr>
            <w:r w:rsidRPr="00C3671E">
              <w:rPr>
                <w:sz w:val="20"/>
                <w:szCs w:val="20"/>
                <w:lang w:val="en-GB"/>
              </w:rPr>
              <w:t>0.088</w:t>
            </w:r>
          </w:p>
        </w:tc>
        <w:tc>
          <w:tcPr>
            <w:tcW w:w="1355" w:type="dxa"/>
            <w:shd w:val="clear" w:color="auto" w:fill="auto"/>
            <w:vAlign w:val="center"/>
          </w:tcPr>
          <w:p w14:paraId="74C7E75C" w14:textId="77777777" w:rsidR="00C94483" w:rsidRPr="00C3671E" w:rsidRDefault="00C94483" w:rsidP="00C94483">
            <w:pPr>
              <w:tabs>
                <w:tab w:val="decimal" w:pos="466"/>
              </w:tabs>
              <w:rPr>
                <w:sz w:val="20"/>
                <w:szCs w:val="20"/>
                <w:lang w:val="en-GB"/>
              </w:rPr>
            </w:pPr>
            <w:r w:rsidRPr="00C3671E">
              <w:rPr>
                <w:sz w:val="20"/>
                <w:szCs w:val="20"/>
                <w:lang w:val="en-GB"/>
              </w:rPr>
              <w:t>-0.010</w:t>
            </w:r>
          </w:p>
        </w:tc>
        <w:tc>
          <w:tcPr>
            <w:tcW w:w="1355" w:type="dxa"/>
            <w:vAlign w:val="center"/>
          </w:tcPr>
          <w:p w14:paraId="3403B6A6" w14:textId="77777777" w:rsidR="00C94483" w:rsidRPr="00C3671E" w:rsidRDefault="00C94483" w:rsidP="00C94483">
            <w:pPr>
              <w:tabs>
                <w:tab w:val="decimal" w:pos="466"/>
              </w:tabs>
              <w:rPr>
                <w:sz w:val="20"/>
                <w:szCs w:val="20"/>
                <w:lang w:val="en-GB"/>
              </w:rPr>
            </w:pPr>
            <w:r w:rsidRPr="00C3671E">
              <w:rPr>
                <w:sz w:val="20"/>
                <w:szCs w:val="20"/>
                <w:lang w:val="en-GB"/>
              </w:rPr>
              <w:t>0.108</w:t>
            </w:r>
          </w:p>
        </w:tc>
      </w:tr>
      <w:tr w:rsidR="00C94483" w:rsidRPr="00C3671E" w14:paraId="17186BF8" w14:textId="77777777" w:rsidTr="00C94483">
        <w:trPr>
          <w:trHeight w:val="340"/>
        </w:trPr>
        <w:tc>
          <w:tcPr>
            <w:tcW w:w="3544" w:type="dxa"/>
            <w:shd w:val="clear" w:color="auto" w:fill="auto"/>
            <w:vAlign w:val="center"/>
          </w:tcPr>
          <w:p w14:paraId="6DEA6949" w14:textId="77777777" w:rsidR="00C94483" w:rsidRPr="00C3671E" w:rsidRDefault="00C94483" w:rsidP="00C94483">
            <w:pPr>
              <w:rPr>
                <w:sz w:val="20"/>
                <w:szCs w:val="20"/>
                <w:lang w:val="en-GB"/>
              </w:rPr>
            </w:pPr>
            <w:r w:rsidRPr="00C3671E">
              <w:rPr>
                <w:bCs/>
                <w:sz w:val="20"/>
                <w:szCs w:val="20"/>
                <w:lang w:val="en-GB"/>
              </w:rPr>
              <w:t>Sport or social club</w:t>
            </w:r>
          </w:p>
        </w:tc>
        <w:tc>
          <w:tcPr>
            <w:tcW w:w="1355" w:type="dxa"/>
            <w:shd w:val="clear" w:color="auto" w:fill="auto"/>
            <w:vAlign w:val="center"/>
          </w:tcPr>
          <w:p w14:paraId="54D60BFB" w14:textId="77777777" w:rsidR="00C94483" w:rsidRPr="00C3671E" w:rsidRDefault="00C94483" w:rsidP="00C94483">
            <w:pPr>
              <w:tabs>
                <w:tab w:val="decimal" w:pos="466"/>
              </w:tabs>
              <w:rPr>
                <w:sz w:val="20"/>
                <w:szCs w:val="20"/>
                <w:lang w:val="en-GB"/>
              </w:rPr>
            </w:pPr>
            <w:r w:rsidRPr="00C3671E">
              <w:rPr>
                <w:sz w:val="20"/>
                <w:szCs w:val="20"/>
                <w:lang w:val="en-GB"/>
              </w:rPr>
              <w:t>0.672***</w:t>
            </w:r>
          </w:p>
        </w:tc>
        <w:tc>
          <w:tcPr>
            <w:tcW w:w="1355" w:type="dxa"/>
            <w:vAlign w:val="center"/>
          </w:tcPr>
          <w:p w14:paraId="32967CC4" w14:textId="77777777" w:rsidR="00C94483" w:rsidRPr="00C3671E" w:rsidRDefault="00C94483" w:rsidP="00C94483">
            <w:pPr>
              <w:tabs>
                <w:tab w:val="decimal" w:pos="466"/>
              </w:tabs>
              <w:rPr>
                <w:sz w:val="20"/>
                <w:szCs w:val="20"/>
                <w:lang w:val="en-GB"/>
              </w:rPr>
            </w:pPr>
            <w:r w:rsidRPr="00C3671E">
              <w:rPr>
                <w:sz w:val="20"/>
                <w:szCs w:val="20"/>
                <w:lang w:val="en-GB"/>
              </w:rPr>
              <w:t>0.054</w:t>
            </w:r>
          </w:p>
        </w:tc>
        <w:tc>
          <w:tcPr>
            <w:tcW w:w="1355" w:type="dxa"/>
            <w:shd w:val="clear" w:color="auto" w:fill="auto"/>
            <w:vAlign w:val="center"/>
          </w:tcPr>
          <w:p w14:paraId="523D4A36" w14:textId="77777777" w:rsidR="00C94483" w:rsidRPr="00C3671E" w:rsidRDefault="00C94483" w:rsidP="00C94483">
            <w:pPr>
              <w:tabs>
                <w:tab w:val="decimal" w:pos="466"/>
              </w:tabs>
              <w:rPr>
                <w:sz w:val="20"/>
                <w:szCs w:val="20"/>
                <w:lang w:val="en-GB"/>
              </w:rPr>
            </w:pPr>
            <w:r w:rsidRPr="00C3671E">
              <w:rPr>
                <w:sz w:val="20"/>
                <w:szCs w:val="20"/>
                <w:lang w:val="en-GB"/>
              </w:rPr>
              <w:t>0.230**</w:t>
            </w:r>
          </w:p>
        </w:tc>
        <w:tc>
          <w:tcPr>
            <w:tcW w:w="1355" w:type="dxa"/>
            <w:vAlign w:val="center"/>
          </w:tcPr>
          <w:p w14:paraId="1454DFBF" w14:textId="77777777" w:rsidR="00C94483" w:rsidRPr="00C3671E" w:rsidRDefault="00C94483" w:rsidP="00C94483">
            <w:pPr>
              <w:tabs>
                <w:tab w:val="decimal" w:pos="466"/>
              </w:tabs>
              <w:rPr>
                <w:sz w:val="20"/>
                <w:szCs w:val="20"/>
                <w:lang w:val="en-GB"/>
              </w:rPr>
            </w:pPr>
            <w:r w:rsidRPr="00C3671E">
              <w:rPr>
                <w:sz w:val="20"/>
                <w:szCs w:val="20"/>
                <w:lang w:val="en-GB"/>
              </w:rPr>
              <w:t>0.075</w:t>
            </w:r>
          </w:p>
        </w:tc>
      </w:tr>
      <w:tr w:rsidR="00C94483" w:rsidRPr="00C3671E" w14:paraId="3FB16865" w14:textId="77777777" w:rsidTr="00C94483">
        <w:trPr>
          <w:trHeight w:val="340"/>
        </w:trPr>
        <w:tc>
          <w:tcPr>
            <w:tcW w:w="3544" w:type="dxa"/>
            <w:shd w:val="clear" w:color="auto" w:fill="auto"/>
            <w:vAlign w:val="center"/>
          </w:tcPr>
          <w:p w14:paraId="1EF2CACF" w14:textId="77777777" w:rsidR="00C94483" w:rsidRPr="00C3671E" w:rsidRDefault="00C94483" w:rsidP="00C94483">
            <w:pPr>
              <w:rPr>
                <w:sz w:val="20"/>
                <w:szCs w:val="20"/>
                <w:lang w:val="en-GB"/>
              </w:rPr>
            </w:pPr>
            <w:r w:rsidRPr="00C3671E">
              <w:rPr>
                <w:bCs/>
                <w:sz w:val="20"/>
                <w:szCs w:val="20"/>
                <w:lang w:val="en-GB"/>
              </w:rPr>
              <w:t>Political organization</w:t>
            </w:r>
          </w:p>
        </w:tc>
        <w:tc>
          <w:tcPr>
            <w:tcW w:w="1355" w:type="dxa"/>
            <w:shd w:val="clear" w:color="auto" w:fill="auto"/>
            <w:vAlign w:val="center"/>
          </w:tcPr>
          <w:p w14:paraId="635B2623" w14:textId="77777777" w:rsidR="00C94483" w:rsidRPr="00C3671E" w:rsidRDefault="00C94483" w:rsidP="00C94483">
            <w:pPr>
              <w:tabs>
                <w:tab w:val="decimal" w:pos="466"/>
              </w:tabs>
              <w:rPr>
                <w:sz w:val="20"/>
                <w:szCs w:val="20"/>
                <w:lang w:val="en-GB"/>
              </w:rPr>
            </w:pPr>
            <w:r w:rsidRPr="00C3671E">
              <w:rPr>
                <w:sz w:val="20"/>
                <w:szCs w:val="20"/>
                <w:lang w:val="en-GB"/>
              </w:rPr>
              <w:t>0.214*</w:t>
            </w:r>
          </w:p>
        </w:tc>
        <w:tc>
          <w:tcPr>
            <w:tcW w:w="1355" w:type="dxa"/>
            <w:vAlign w:val="center"/>
          </w:tcPr>
          <w:p w14:paraId="3AD2FCBC" w14:textId="77777777" w:rsidR="00C94483" w:rsidRPr="00C3671E" w:rsidRDefault="00C94483" w:rsidP="00C94483">
            <w:pPr>
              <w:tabs>
                <w:tab w:val="decimal" w:pos="466"/>
              </w:tabs>
              <w:rPr>
                <w:sz w:val="20"/>
                <w:szCs w:val="20"/>
                <w:lang w:val="en-GB"/>
              </w:rPr>
            </w:pPr>
            <w:r w:rsidRPr="00C3671E">
              <w:rPr>
                <w:sz w:val="20"/>
                <w:szCs w:val="20"/>
                <w:lang w:val="en-GB"/>
              </w:rPr>
              <w:t>0.106</w:t>
            </w:r>
          </w:p>
        </w:tc>
        <w:tc>
          <w:tcPr>
            <w:tcW w:w="1355" w:type="dxa"/>
            <w:shd w:val="clear" w:color="auto" w:fill="auto"/>
            <w:vAlign w:val="center"/>
          </w:tcPr>
          <w:p w14:paraId="4B3680FA" w14:textId="77777777" w:rsidR="00C94483" w:rsidRPr="00C3671E" w:rsidRDefault="00C94483" w:rsidP="00C94483">
            <w:pPr>
              <w:tabs>
                <w:tab w:val="decimal" w:pos="466"/>
              </w:tabs>
              <w:rPr>
                <w:sz w:val="20"/>
                <w:szCs w:val="20"/>
                <w:lang w:val="en-GB"/>
              </w:rPr>
            </w:pPr>
            <w:r w:rsidRPr="00C3671E">
              <w:rPr>
                <w:sz w:val="20"/>
                <w:szCs w:val="20"/>
                <w:lang w:val="en-GB"/>
              </w:rPr>
              <w:t>-0.026</w:t>
            </w:r>
          </w:p>
        </w:tc>
        <w:tc>
          <w:tcPr>
            <w:tcW w:w="1355" w:type="dxa"/>
            <w:vAlign w:val="center"/>
          </w:tcPr>
          <w:p w14:paraId="04FED802" w14:textId="77777777" w:rsidR="00C94483" w:rsidRPr="00C3671E" w:rsidRDefault="00C94483" w:rsidP="00C94483">
            <w:pPr>
              <w:tabs>
                <w:tab w:val="decimal" w:pos="466"/>
              </w:tabs>
              <w:rPr>
                <w:sz w:val="20"/>
                <w:szCs w:val="20"/>
                <w:lang w:val="en-GB"/>
              </w:rPr>
            </w:pPr>
            <w:r w:rsidRPr="00C3671E">
              <w:rPr>
                <w:sz w:val="20"/>
                <w:szCs w:val="20"/>
                <w:lang w:val="en-GB"/>
              </w:rPr>
              <w:t>0.139</w:t>
            </w:r>
          </w:p>
        </w:tc>
      </w:tr>
      <w:tr w:rsidR="00C94483" w:rsidRPr="00C3671E" w14:paraId="06BBA4BD" w14:textId="77777777" w:rsidTr="00C94483">
        <w:trPr>
          <w:trHeight w:val="340"/>
        </w:trPr>
        <w:tc>
          <w:tcPr>
            <w:tcW w:w="3544" w:type="dxa"/>
            <w:shd w:val="clear" w:color="auto" w:fill="auto"/>
            <w:vAlign w:val="center"/>
          </w:tcPr>
          <w:p w14:paraId="13FEAFDA" w14:textId="77777777" w:rsidR="00C94483" w:rsidRPr="00C3671E" w:rsidRDefault="00C94483" w:rsidP="00C94483">
            <w:pPr>
              <w:rPr>
                <w:sz w:val="20"/>
                <w:szCs w:val="20"/>
                <w:lang w:val="en-GB"/>
              </w:rPr>
            </w:pPr>
            <w:r w:rsidRPr="00C3671E">
              <w:rPr>
                <w:bCs/>
                <w:sz w:val="20"/>
                <w:szCs w:val="20"/>
                <w:lang w:val="en-GB"/>
              </w:rPr>
              <w:t>Physical activity</w:t>
            </w:r>
          </w:p>
        </w:tc>
        <w:tc>
          <w:tcPr>
            <w:tcW w:w="1355" w:type="dxa"/>
            <w:shd w:val="clear" w:color="auto" w:fill="auto"/>
            <w:vAlign w:val="center"/>
          </w:tcPr>
          <w:p w14:paraId="2CAD0AC6" w14:textId="77777777" w:rsidR="00C94483" w:rsidRPr="00C3671E" w:rsidRDefault="00C94483" w:rsidP="00C94483">
            <w:pPr>
              <w:tabs>
                <w:tab w:val="decimal" w:pos="466"/>
              </w:tabs>
              <w:rPr>
                <w:sz w:val="20"/>
                <w:szCs w:val="20"/>
                <w:lang w:val="en-GB"/>
              </w:rPr>
            </w:pPr>
            <w:r w:rsidRPr="00C3671E">
              <w:rPr>
                <w:sz w:val="20"/>
                <w:szCs w:val="20"/>
                <w:lang w:val="en-GB"/>
              </w:rPr>
              <w:t>0.641***</w:t>
            </w:r>
          </w:p>
        </w:tc>
        <w:tc>
          <w:tcPr>
            <w:tcW w:w="1355" w:type="dxa"/>
            <w:vAlign w:val="center"/>
          </w:tcPr>
          <w:p w14:paraId="058319D6" w14:textId="77777777" w:rsidR="00C94483" w:rsidRPr="00C3671E" w:rsidRDefault="00C94483" w:rsidP="00C94483">
            <w:pPr>
              <w:tabs>
                <w:tab w:val="decimal" w:pos="466"/>
              </w:tabs>
              <w:rPr>
                <w:sz w:val="20"/>
                <w:szCs w:val="20"/>
                <w:lang w:val="en-GB"/>
              </w:rPr>
            </w:pPr>
            <w:r w:rsidRPr="00C3671E">
              <w:rPr>
                <w:sz w:val="20"/>
                <w:szCs w:val="20"/>
                <w:lang w:val="en-GB"/>
              </w:rPr>
              <w:t>0.047</w:t>
            </w:r>
          </w:p>
        </w:tc>
        <w:tc>
          <w:tcPr>
            <w:tcW w:w="1355" w:type="dxa"/>
            <w:shd w:val="clear" w:color="auto" w:fill="auto"/>
            <w:vAlign w:val="center"/>
          </w:tcPr>
          <w:p w14:paraId="1182DA4C" w14:textId="77777777" w:rsidR="00C94483" w:rsidRPr="00C3671E" w:rsidRDefault="00C94483" w:rsidP="00C94483">
            <w:pPr>
              <w:tabs>
                <w:tab w:val="decimal" w:pos="466"/>
              </w:tabs>
              <w:rPr>
                <w:sz w:val="20"/>
                <w:szCs w:val="20"/>
                <w:lang w:val="en-GB"/>
              </w:rPr>
            </w:pPr>
            <w:r w:rsidRPr="00C3671E">
              <w:rPr>
                <w:sz w:val="20"/>
                <w:szCs w:val="20"/>
                <w:lang w:val="en-GB"/>
              </w:rPr>
              <w:t>0.198**</w:t>
            </w:r>
          </w:p>
        </w:tc>
        <w:tc>
          <w:tcPr>
            <w:tcW w:w="1355" w:type="dxa"/>
            <w:vAlign w:val="center"/>
          </w:tcPr>
          <w:p w14:paraId="63FD47E2" w14:textId="77777777" w:rsidR="00C94483" w:rsidRPr="00C3671E" w:rsidRDefault="00C94483" w:rsidP="00C94483">
            <w:pPr>
              <w:tabs>
                <w:tab w:val="decimal" w:pos="466"/>
              </w:tabs>
              <w:rPr>
                <w:sz w:val="20"/>
                <w:szCs w:val="20"/>
                <w:lang w:val="en-GB"/>
              </w:rPr>
            </w:pPr>
            <w:r w:rsidRPr="00C3671E">
              <w:rPr>
                <w:sz w:val="20"/>
                <w:szCs w:val="20"/>
                <w:lang w:val="en-GB"/>
              </w:rPr>
              <w:t>0.068</w:t>
            </w:r>
          </w:p>
        </w:tc>
      </w:tr>
      <w:tr w:rsidR="00C94483" w:rsidRPr="00C3671E" w14:paraId="174FE72F" w14:textId="77777777" w:rsidTr="00C94483">
        <w:trPr>
          <w:trHeight w:val="340"/>
        </w:trPr>
        <w:tc>
          <w:tcPr>
            <w:tcW w:w="3544" w:type="dxa"/>
            <w:shd w:val="clear" w:color="auto" w:fill="auto"/>
            <w:vAlign w:val="center"/>
          </w:tcPr>
          <w:p w14:paraId="67AB8EE5" w14:textId="77777777" w:rsidR="00C94483" w:rsidRPr="00C3671E" w:rsidRDefault="00C94483" w:rsidP="00C94483">
            <w:pPr>
              <w:rPr>
                <w:sz w:val="20"/>
                <w:szCs w:val="20"/>
                <w:lang w:val="en-GB"/>
              </w:rPr>
            </w:pPr>
            <w:r w:rsidRPr="00C3671E">
              <w:rPr>
                <w:bCs/>
                <w:sz w:val="20"/>
                <w:szCs w:val="20"/>
                <w:lang w:val="en-GB"/>
              </w:rPr>
              <w:t>Age</w:t>
            </w:r>
          </w:p>
        </w:tc>
        <w:tc>
          <w:tcPr>
            <w:tcW w:w="1355" w:type="dxa"/>
            <w:shd w:val="clear" w:color="auto" w:fill="auto"/>
            <w:vAlign w:val="center"/>
          </w:tcPr>
          <w:p w14:paraId="3B95D5C9" w14:textId="77777777" w:rsidR="00C94483" w:rsidRPr="00C3671E" w:rsidRDefault="00C94483" w:rsidP="00C94483">
            <w:pPr>
              <w:tabs>
                <w:tab w:val="decimal" w:pos="466"/>
              </w:tabs>
              <w:rPr>
                <w:sz w:val="20"/>
                <w:szCs w:val="20"/>
                <w:lang w:val="en-GB"/>
              </w:rPr>
            </w:pPr>
            <w:r w:rsidRPr="00C3671E">
              <w:rPr>
                <w:sz w:val="20"/>
                <w:szCs w:val="20"/>
                <w:lang w:val="en-GB"/>
              </w:rPr>
              <w:t>0.532***</w:t>
            </w:r>
          </w:p>
        </w:tc>
        <w:tc>
          <w:tcPr>
            <w:tcW w:w="1355" w:type="dxa"/>
            <w:vAlign w:val="center"/>
          </w:tcPr>
          <w:p w14:paraId="7E375DC0" w14:textId="77777777" w:rsidR="00C94483" w:rsidRPr="00C3671E" w:rsidRDefault="00C94483" w:rsidP="00C94483">
            <w:pPr>
              <w:tabs>
                <w:tab w:val="decimal" w:pos="466"/>
              </w:tabs>
              <w:rPr>
                <w:sz w:val="20"/>
                <w:szCs w:val="20"/>
                <w:lang w:val="en-GB"/>
              </w:rPr>
            </w:pPr>
            <w:r w:rsidRPr="00C3671E">
              <w:rPr>
                <w:sz w:val="20"/>
                <w:szCs w:val="20"/>
                <w:lang w:val="en-GB"/>
              </w:rPr>
              <w:t>0.047</w:t>
            </w:r>
          </w:p>
        </w:tc>
        <w:tc>
          <w:tcPr>
            <w:tcW w:w="1355" w:type="dxa"/>
            <w:shd w:val="clear" w:color="auto" w:fill="auto"/>
            <w:vAlign w:val="center"/>
          </w:tcPr>
          <w:p w14:paraId="2D1497DF" w14:textId="77777777" w:rsidR="00C94483" w:rsidRPr="00C3671E" w:rsidRDefault="00C94483" w:rsidP="00C94483">
            <w:pPr>
              <w:tabs>
                <w:tab w:val="decimal" w:pos="466"/>
              </w:tabs>
              <w:rPr>
                <w:sz w:val="20"/>
                <w:szCs w:val="20"/>
                <w:lang w:val="en-GB"/>
              </w:rPr>
            </w:pPr>
            <w:r w:rsidRPr="00C3671E">
              <w:rPr>
                <w:sz w:val="20"/>
                <w:szCs w:val="20"/>
                <w:lang w:val="en-GB"/>
              </w:rPr>
              <w:t>0.820***</w:t>
            </w:r>
          </w:p>
        </w:tc>
        <w:tc>
          <w:tcPr>
            <w:tcW w:w="1355" w:type="dxa"/>
            <w:vAlign w:val="center"/>
          </w:tcPr>
          <w:p w14:paraId="0A130913" w14:textId="77777777" w:rsidR="00C94483" w:rsidRPr="00C3671E" w:rsidRDefault="00C94483" w:rsidP="00C94483">
            <w:pPr>
              <w:tabs>
                <w:tab w:val="decimal" w:pos="466"/>
              </w:tabs>
              <w:rPr>
                <w:sz w:val="20"/>
                <w:szCs w:val="20"/>
                <w:lang w:val="en-GB"/>
              </w:rPr>
            </w:pPr>
            <w:r w:rsidRPr="00C3671E">
              <w:rPr>
                <w:sz w:val="20"/>
                <w:szCs w:val="20"/>
                <w:lang w:val="en-GB"/>
              </w:rPr>
              <w:t>0.102</w:t>
            </w:r>
          </w:p>
        </w:tc>
      </w:tr>
      <w:tr w:rsidR="00C94483" w:rsidRPr="00C3671E" w14:paraId="48B8B7AA" w14:textId="77777777" w:rsidTr="00C94483">
        <w:trPr>
          <w:trHeight w:val="340"/>
        </w:trPr>
        <w:tc>
          <w:tcPr>
            <w:tcW w:w="3544" w:type="dxa"/>
            <w:shd w:val="clear" w:color="auto" w:fill="auto"/>
            <w:vAlign w:val="center"/>
          </w:tcPr>
          <w:p w14:paraId="6F64C246" w14:textId="77777777" w:rsidR="00C94483" w:rsidRPr="00C3671E" w:rsidRDefault="00C94483" w:rsidP="00C94483">
            <w:pPr>
              <w:rPr>
                <w:bCs/>
                <w:sz w:val="20"/>
                <w:szCs w:val="20"/>
                <w:lang w:val="en-GB"/>
              </w:rPr>
            </w:pPr>
            <w:r w:rsidRPr="00C3671E">
              <w:rPr>
                <w:bCs/>
                <w:sz w:val="20"/>
                <w:szCs w:val="20"/>
                <w:lang w:val="en-GB"/>
              </w:rPr>
              <w:t>Age squared</w:t>
            </w:r>
          </w:p>
        </w:tc>
        <w:tc>
          <w:tcPr>
            <w:tcW w:w="1355" w:type="dxa"/>
            <w:shd w:val="clear" w:color="auto" w:fill="auto"/>
            <w:vAlign w:val="center"/>
          </w:tcPr>
          <w:p w14:paraId="077DED39" w14:textId="77777777" w:rsidR="00C94483" w:rsidRPr="00C3671E" w:rsidRDefault="00C94483" w:rsidP="00C94483">
            <w:pPr>
              <w:tabs>
                <w:tab w:val="decimal" w:pos="466"/>
              </w:tabs>
              <w:rPr>
                <w:sz w:val="20"/>
                <w:szCs w:val="20"/>
                <w:lang w:val="en-GB"/>
              </w:rPr>
            </w:pPr>
            <w:r w:rsidRPr="00C3671E">
              <w:rPr>
                <w:sz w:val="20"/>
                <w:szCs w:val="20"/>
                <w:lang w:val="en-GB"/>
              </w:rPr>
              <w:t>-0.004***</w:t>
            </w:r>
          </w:p>
        </w:tc>
        <w:tc>
          <w:tcPr>
            <w:tcW w:w="1355" w:type="dxa"/>
            <w:vAlign w:val="center"/>
          </w:tcPr>
          <w:p w14:paraId="05024581" w14:textId="77777777" w:rsidR="00C94483" w:rsidRPr="00C3671E" w:rsidRDefault="00C94483" w:rsidP="00C94483">
            <w:pPr>
              <w:tabs>
                <w:tab w:val="decimal" w:pos="466"/>
              </w:tabs>
              <w:rPr>
                <w:sz w:val="20"/>
                <w:szCs w:val="20"/>
                <w:lang w:val="en-GB"/>
              </w:rPr>
            </w:pPr>
            <w:r w:rsidRPr="00C3671E">
              <w:rPr>
                <w:sz w:val="20"/>
                <w:szCs w:val="20"/>
                <w:lang w:val="en-GB"/>
              </w:rPr>
              <w:t>0.000</w:t>
            </w:r>
          </w:p>
        </w:tc>
        <w:tc>
          <w:tcPr>
            <w:tcW w:w="1355" w:type="dxa"/>
            <w:shd w:val="clear" w:color="auto" w:fill="auto"/>
            <w:vAlign w:val="center"/>
          </w:tcPr>
          <w:p w14:paraId="43311644" w14:textId="77777777" w:rsidR="00C94483" w:rsidRPr="00C3671E" w:rsidRDefault="00C94483" w:rsidP="00C94483">
            <w:pPr>
              <w:tabs>
                <w:tab w:val="decimal" w:pos="466"/>
              </w:tabs>
              <w:rPr>
                <w:sz w:val="20"/>
                <w:szCs w:val="20"/>
                <w:lang w:val="en-GB"/>
              </w:rPr>
            </w:pPr>
            <w:r w:rsidRPr="00C3671E">
              <w:rPr>
                <w:sz w:val="20"/>
                <w:szCs w:val="20"/>
                <w:lang w:val="en-GB"/>
              </w:rPr>
              <w:t>-0.008***</w:t>
            </w:r>
          </w:p>
        </w:tc>
        <w:tc>
          <w:tcPr>
            <w:tcW w:w="1355" w:type="dxa"/>
            <w:vAlign w:val="center"/>
          </w:tcPr>
          <w:p w14:paraId="4D301594" w14:textId="77777777" w:rsidR="00C94483" w:rsidRPr="00C3671E" w:rsidRDefault="00C94483" w:rsidP="00C94483">
            <w:pPr>
              <w:tabs>
                <w:tab w:val="decimal" w:pos="466"/>
              </w:tabs>
              <w:rPr>
                <w:sz w:val="20"/>
                <w:szCs w:val="20"/>
                <w:lang w:val="en-GB"/>
              </w:rPr>
            </w:pPr>
            <w:r w:rsidRPr="00C3671E">
              <w:rPr>
                <w:sz w:val="20"/>
                <w:szCs w:val="20"/>
                <w:lang w:val="en-GB"/>
              </w:rPr>
              <w:t>0.001</w:t>
            </w:r>
          </w:p>
        </w:tc>
      </w:tr>
      <w:tr w:rsidR="00C94483" w:rsidRPr="00C3671E" w14:paraId="1543EED6" w14:textId="77777777" w:rsidTr="00C94483">
        <w:trPr>
          <w:trHeight w:val="340"/>
        </w:trPr>
        <w:tc>
          <w:tcPr>
            <w:tcW w:w="3544" w:type="dxa"/>
            <w:shd w:val="clear" w:color="auto" w:fill="auto"/>
            <w:vAlign w:val="center"/>
          </w:tcPr>
          <w:p w14:paraId="716AD9FC" w14:textId="77777777" w:rsidR="00C94483" w:rsidRPr="00C3671E" w:rsidRDefault="00C94483" w:rsidP="00C94483">
            <w:pPr>
              <w:rPr>
                <w:sz w:val="20"/>
                <w:szCs w:val="20"/>
                <w:lang w:val="en-GB"/>
              </w:rPr>
            </w:pPr>
            <w:r w:rsidRPr="00C3671E">
              <w:rPr>
                <w:bCs/>
                <w:sz w:val="20"/>
                <w:szCs w:val="20"/>
                <w:lang w:val="en-GB"/>
              </w:rPr>
              <w:t>Partner in the household</w:t>
            </w:r>
          </w:p>
        </w:tc>
        <w:tc>
          <w:tcPr>
            <w:tcW w:w="1355" w:type="dxa"/>
            <w:shd w:val="clear" w:color="auto" w:fill="auto"/>
            <w:vAlign w:val="center"/>
          </w:tcPr>
          <w:p w14:paraId="2B398199" w14:textId="77777777" w:rsidR="00C94483" w:rsidRPr="00C3671E" w:rsidRDefault="00C94483" w:rsidP="00C94483">
            <w:pPr>
              <w:tabs>
                <w:tab w:val="decimal" w:pos="466"/>
              </w:tabs>
              <w:rPr>
                <w:sz w:val="20"/>
                <w:szCs w:val="20"/>
                <w:lang w:val="en-GB"/>
              </w:rPr>
            </w:pPr>
            <w:r w:rsidRPr="00C3671E">
              <w:rPr>
                <w:sz w:val="20"/>
                <w:szCs w:val="20"/>
                <w:lang w:val="en-GB"/>
              </w:rPr>
              <w:t>0.443***</w:t>
            </w:r>
          </w:p>
        </w:tc>
        <w:tc>
          <w:tcPr>
            <w:tcW w:w="1355" w:type="dxa"/>
            <w:vAlign w:val="center"/>
          </w:tcPr>
          <w:p w14:paraId="582D9788" w14:textId="77777777" w:rsidR="00C94483" w:rsidRPr="00C3671E" w:rsidRDefault="00C94483" w:rsidP="00C94483">
            <w:pPr>
              <w:tabs>
                <w:tab w:val="decimal" w:pos="466"/>
              </w:tabs>
              <w:rPr>
                <w:sz w:val="20"/>
                <w:szCs w:val="20"/>
                <w:lang w:val="en-GB"/>
              </w:rPr>
            </w:pPr>
            <w:r w:rsidRPr="00C3671E">
              <w:rPr>
                <w:sz w:val="20"/>
                <w:szCs w:val="20"/>
                <w:lang w:val="en-GB"/>
              </w:rPr>
              <w:t>0.062</w:t>
            </w:r>
          </w:p>
        </w:tc>
        <w:tc>
          <w:tcPr>
            <w:tcW w:w="1355" w:type="dxa"/>
            <w:shd w:val="clear" w:color="auto" w:fill="auto"/>
            <w:vAlign w:val="center"/>
          </w:tcPr>
          <w:p w14:paraId="681B2B26" w14:textId="77777777" w:rsidR="00C94483" w:rsidRPr="00C3671E" w:rsidRDefault="00C94483" w:rsidP="00C94483">
            <w:pPr>
              <w:tabs>
                <w:tab w:val="decimal" w:pos="466"/>
              </w:tabs>
              <w:rPr>
                <w:sz w:val="20"/>
                <w:szCs w:val="20"/>
                <w:lang w:val="en-GB"/>
              </w:rPr>
            </w:pPr>
            <w:r w:rsidRPr="00C3671E">
              <w:rPr>
                <w:sz w:val="20"/>
                <w:szCs w:val="20"/>
                <w:lang w:val="en-GB"/>
              </w:rPr>
              <w:t>-0.105</w:t>
            </w:r>
          </w:p>
        </w:tc>
        <w:tc>
          <w:tcPr>
            <w:tcW w:w="1355" w:type="dxa"/>
            <w:vAlign w:val="center"/>
          </w:tcPr>
          <w:p w14:paraId="75533C79" w14:textId="77777777" w:rsidR="00C94483" w:rsidRPr="00C3671E" w:rsidRDefault="00C94483" w:rsidP="00C94483">
            <w:pPr>
              <w:tabs>
                <w:tab w:val="decimal" w:pos="466"/>
              </w:tabs>
              <w:rPr>
                <w:sz w:val="20"/>
                <w:szCs w:val="20"/>
                <w:lang w:val="en-GB"/>
              </w:rPr>
            </w:pPr>
            <w:r w:rsidRPr="00C3671E">
              <w:rPr>
                <w:sz w:val="20"/>
                <w:szCs w:val="20"/>
                <w:lang w:val="en-GB"/>
              </w:rPr>
              <w:t>0.180</w:t>
            </w:r>
          </w:p>
        </w:tc>
      </w:tr>
      <w:tr w:rsidR="00C94483" w:rsidRPr="00C3671E" w14:paraId="2BFE5BA4" w14:textId="77777777" w:rsidTr="00C94483">
        <w:trPr>
          <w:trHeight w:val="340"/>
        </w:trPr>
        <w:tc>
          <w:tcPr>
            <w:tcW w:w="3544" w:type="dxa"/>
            <w:shd w:val="clear" w:color="auto" w:fill="auto"/>
            <w:vAlign w:val="center"/>
          </w:tcPr>
          <w:p w14:paraId="6A2E4B66" w14:textId="77777777" w:rsidR="00C94483" w:rsidRPr="00C3671E" w:rsidRDefault="00C94483" w:rsidP="00C94483">
            <w:pPr>
              <w:rPr>
                <w:sz w:val="20"/>
                <w:szCs w:val="20"/>
                <w:lang w:val="en-GB"/>
              </w:rPr>
            </w:pPr>
            <w:r w:rsidRPr="00C3671E">
              <w:rPr>
                <w:bCs/>
                <w:sz w:val="20"/>
                <w:szCs w:val="20"/>
                <w:lang w:val="en-GB"/>
              </w:rPr>
              <w:lastRenderedPageBreak/>
              <w:t>Able to make ends meet (with great difficulty as ref.)</w:t>
            </w:r>
          </w:p>
        </w:tc>
        <w:tc>
          <w:tcPr>
            <w:tcW w:w="1355" w:type="dxa"/>
            <w:shd w:val="clear" w:color="auto" w:fill="auto"/>
            <w:vAlign w:val="center"/>
          </w:tcPr>
          <w:p w14:paraId="0D0F8916" w14:textId="77777777" w:rsidR="00C94483" w:rsidRPr="00C3671E" w:rsidRDefault="00C94483" w:rsidP="00C94483">
            <w:pPr>
              <w:tabs>
                <w:tab w:val="decimal" w:pos="466"/>
              </w:tabs>
              <w:rPr>
                <w:sz w:val="20"/>
                <w:szCs w:val="20"/>
                <w:lang w:val="en-GB"/>
              </w:rPr>
            </w:pPr>
          </w:p>
        </w:tc>
        <w:tc>
          <w:tcPr>
            <w:tcW w:w="1355" w:type="dxa"/>
            <w:vAlign w:val="center"/>
          </w:tcPr>
          <w:p w14:paraId="280ABC3A" w14:textId="77777777" w:rsidR="00C94483" w:rsidRPr="00C3671E" w:rsidRDefault="00C94483" w:rsidP="00C94483">
            <w:pPr>
              <w:tabs>
                <w:tab w:val="decimal" w:pos="466"/>
              </w:tabs>
              <w:rPr>
                <w:sz w:val="20"/>
                <w:szCs w:val="20"/>
                <w:lang w:val="en-GB"/>
              </w:rPr>
            </w:pPr>
          </w:p>
        </w:tc>
        <w:tc>
          <w:tcPr>
            <w:tcW w:w="1355" w:type="dxa"/>
            <w:shd w:val="clear" w:color="auto" w:fill="auto"/>
            <w:vAlign w:val="center"/>
          </w:tcPr>
          <w:p w14:paraId="3EE3CF7E" w14:textId="77777777" w:rsidR="00C94483" w:rsidRPr="00C3671E" w:rsidRDefault="00C94483" w:rsidP="00C94483">
            <w:pPr>
              <w:tabs>
                <w:tab w:val="decimal" w:pos="466"/>
              </w:tabs>
              <w:rPr>
                <w:sz w:val="20"/>
                <w:szCs w:val="20"/>
                <w:lang w:val="en-GB"/>
              </w:rPr>
            </w:pPr>
          </w:p>
        </w:tc>
        <w:tc>
          <w:tcPr>
            <w:tcW w:w="1355" w:type="dxa"/>
            <w:vAlign w:val="center"/>
          </w:tcPr>
          <w:p w14:paraId="449BE71F" w14:textId="77777777" w:rsidR="00C94483" w:rsidRPr="00C3671E" w:rsidRDefault="00C94483" w:rsidP="00C94483">
            <w:pPr>
              <w:tabs>
                <w:tab w:val="decimal" w:pos="466"/>
              </w:tabs>
              <w:rPr>
                <w:sz w:val="20"/>
                <w:szCs w:val="20"/>
                <w:lang w:val="en-GB"/>
              </w:rPr>
            </w:pPr>
          </w:p>
        </w:tc>
      </w:tr>
      <w:tr w:rsidR="00C94483" w:rsidRPr="00C3671E" w14:paraId="3ABDA6FA" w14:textId="77777777" w:rsidTr="00C94483">
        <w:trPr>
          <w:trHeight w:val="340"/>
        </w:trPr>
        <w:tc>
          <w:tcPr>
            <w:tcW w:w="3544" w:type="dxa"/>
            <w:shd w:val="clear" w:color="auto" w:fill="auto"/>
            <w:vAlign w:val="center"/>
          </w:tcPr>
          <w:p w14:paraId="580E7213" w14:textId="77777777" w:rsidR="00C94483" w:rsidRPr="00C3671E" w:rsidRDefault="00C94483" w:rsidP="00C94483">
            <w:pPr>
              <w:rPr>
                <w:sz w:val="20"/>
                <w:szCs w:val="20"/>
                <w:lang w:val="en-GB"/>
              </w:rPr>
            </w:pPr>
            <w:r w:rsidRPr="00C3671E">
              <w:rPr>
                <w:bCs/>
                <w:sz w:val="20"/>
                <w:szCs w:val="20"/>
                <w:lang w:val="en-GB"/>
              </w:rPr>
              <w:t xml:space="preserve">     with some difficulty</w:t>
            </w:r>
          </w:p>
        </w:tc>
        <w:tc>
          <w:tcPr>
            <w:tcW w:w="1355" w:type="dxa"/>
            <w:shd w:val="clear" w:color="auto" w:fill="auto"/>
            <w:vAlign w:val="center"/>
          </w:tcPr>
          <w:p w14:paraId="3D3B3864" w14:textId="77777777" w:rsidR="00C94483" w:rsidRPr="00C3671E" w:rsidRDefault="00C94483" w:rsidP="00C94483">
            <w:pPr>
              <w:tabs>
                <w:tab w:val="decimal" w:pos="466"/>
              </w:tabs>
              <w:rPr>
                <w:sz w:val="20"/>
                <w:szCs w:val="20"/>
                <w:lang w:val="en-GB"/>
              </w:rPr>
            </w:pPr>
            <w:r w:rsidRPr="00C3671E">
              <w:rPr>
                <w:sz w:val="20"/>
                <w:szCs w:val="20"/>
                <w:lang w:val="en-GB"/>
              </w:rPr>
              <w:t>1.680***</w:t>
            </w:r>
          </w:p>
        </w:tc>
        <w:tc>
          <w:tcPr>
            <w:tcW w:w="1355" w:type="dxa"/>
            <w:vAlign w:val="center"/>
          </w:tcPr>
          <w:p w14:paraId="23EF26FA" w14:textId="77777777" w:rsidR="00C94483" w:rsidRPr="00C3671E" w:rsidRDefault="00C94483" w:rsidP="00C94483">
            <w:pPr>
              <w:tabs>
                <w:tab w:val="decimal" w:pos="466"/>
              </w:tabs>
              <w:rPr>
                <w:sz w:val="20"/>
                <w:szCs w:val="20"/>
                <w:lang w:val="en-GB"/>
              </w:rPr>
            </w:pPr>
            <w:r w:rsidRPr="00C3671E">
              <w:rPr>
                <w:sz w:val="20"/>
                <w:szCs w:val="20"/>
                <w:lang w:val="en-GB"/>
              </w:rPr>
              <w:t>0.082</w:t>
            </w:r>
          </w:p>
        </w:tc>
        <w:tc>
          <w:tcPr>
            <w:tcW w:w="1355" w:type="dxa"/>
            <w:shd w:val="clear" w:color="auto" w:fill="auto"/>
            <w:vAlign w:val="center"/>
          </w:tcPr>
          <w:p w14:paraId="28B705B6" w14:textId="77777777" w:rsidR="00C94483" w:rsidRPr="00C3671E" w:rsidRDefault="00C94483" w:rsidP="00C94483">
            <w:pPr>
              <w:tabs>
                <w:tab w:val="decimal" w:pos="466"/>
              </w:tabs>
              <w:rPr>
                <w:sz w:val="20"/>
                <w:szCs w:val="20"/>
                <w:lang w:val="en-GB"/>
              </w:rPr>
            </w:pPr>
            <w:r w:rsidRPr="00C3671E">
              <w:rPr>
                <w:sz w:val="20"/>
                <w:szCs w:val="20"/>
                <w:lang w:val="en-GB"/>
              </w:rPr>
              <w:t>1.082***</w:t>
            </w:r>
          </w:p>
        </w:tc>
        <w:tc>
          <w:tcPr>
            <w:tcW w:w="1355" w:type="dxa"/>
            <w:vAlign w:val="center"/>
          </w:tcPr>
          <w:p w14:paraId="1062D623" w14:textId="77777777" w:rsidR="00C94483" w:rsidRPr="00C3671E" w:rsidRDefault="00C94483" w:rsidP="00C94483">
            <w:pPr>
              <w:tabs>
                <w:tab w:val="decimal" w:pos="466"/>
              </w:tabs>
              <w:rPr>
                <w:sz w:val="20"/>
                <w:szCs w:val="20"/>
                <w:lang w:val="en-GB"/>
              </w:rPr>
            </w:pPr>
            <w:r w:rsidRPr="00C3671E">
              <w:rPr>
                <w:sz w:val="20"/>
                <w:szCs w:val="20"/>
                <w:lang w:val="en-GB"/>
              </w:rPr>
              <w:t>0.129</w:t>
            </w:r>
          </w:p>
        </w:tc>
      </w:tr>
      <w:tr w:rsidR="00C94483" w:rsidRPr="00C3671E" w14:paraId="684423EC" w14:textId="77777777" w:rsidTr="00C94483">
        <w:trPr>
          <w:trHeight w:val="340"/>
        </w:trPr>
        <w:tc>
          <w:tcPr>
            <w:tcW w:w="3544" w:type="dxa"/>
            <w:shd w:val="clear" w:color="auto" w:fill="auto"/>
            <w:vAlign w:val="center"/>
          </w:tcPr>
          <w:p w14:paraId="18BB8962" w14:textId="77777777" w:rsidR="00C94483" w:rsidRPr="00C3671E" w:rsidRDefault="00C94483" w:rsidP="00C94483">
            <w:pPr>
              <w:rPr>
                <w:sz w:val="20"/>
                <w:szCs w:val="20"/>
                <w:lang w:val="en-GB"/>
              </w:rPr>
            </w:pPr>
            <w:r w:rsidRPr="00C3671E">
              <w:rPr>
                <w:bCs/>
                <w:sz w:val="20"/>
                <w:szCs w:val="20"/>
                <w:lang w:val="en-GB"/>
              </w:rPr>
              <w:t xml:space="preserve">     fairly easily</w:t>
            </w:r>
          </w:p>
        </w:tc>
        <w:tc>
          <w:tcPr>
            <w:tcW w:w="1355" w:type="dxa"/>
            <w:shd w:val="clear" w:color="auto" w:fill="auto"/>
            <w:vAlign w:val="center"/>
          </w:tcPr>
          <w:p w14:paraId="6D922FCB" w14:textId="77777777" w:rsidR="00C94483" w:rsidRPr="00C3671E" w:rsidRDefault="00C94483" w:rsidP="00C94483">
            <w:pPr>
              <w:tabs>
                <w:tab w:val="decimal" w:pos="466"/>
              </w:tabs>
              <w:rPr>
                <w:sz w:val="20"/>
                <w:szCs w:val="20"/>
                <w:lang w:val="en-GB"/>
              </w:rPr>
            </w:pPr>
            <w:r w:rsidRPr="00C3671E">
              <w:rPr>
                <w:sz w:val="20"/>
                <w:szCs w:val="20"/>
                <w:lang w:val="en-GB"/>
              </w:rPr>
              <w:t>3.564***</w:t>
            </w:r>
          </w:p>
        </w:tc>
        <w:tc>
          <w:tcPr>
            <w:tcW w:w="1355" w:type="dxa"/>
            <w:vAlign w:val="center"/>
          </w:tcPr>
          <w:p w14:paraId="1C406B9F" w14:textId="77777777" w:rsidR="00C94483" w:rsidRPr="00C3671E" w:rsidRDefault="00C94483" w:rsidP="00C94483">
            <w:pPr>
              <w:tabs>
                <w:tab w:val="decimal" w:pos="466"/>
              </w:tabs>
              <w:rPr>
                <w:sz w:val="20"/>
                <w:szCs w:val="20"/>
                <w:lang w:val="en-GB"/>
              </w:rPr>
            </w:pPr>
            <w:r w:rsidRPr="00C3671E">
              <w:rPr>
                <w:sz w:val="20"/>
                <w:szCs w:val="20"/>
                <w:lang w:val="en-GB"/>
              </w:rPr>
              <w:t>0.086</w:t>
            </w:r>
          </w:p>
        </w:tc>
        <w:tc>
          <w:tcPr>
            <w:tcW w:w="1355" w:type="dxa"/>
            <w:shd w:val="clear" w:color="auto" w:fill="auto"/>
            <w:vAlign w:val="center"/>
          </w:tcPr>
          <w:p w14:paraId="6E6D6363" w14:textId="77777777" w:rsidR="00C94483" w:rsidRPr="00C3671E" w:rsidRDefault="00C94483" w:rsidP="00C94483">
            <w:pPr>
              <w:tabs>
                <w:tab w:val="decimal" w:pos="466"/>
              </w:tabs>
              <w:rPr>
                <w:sz w:val="20"/>
                <w:szCs w:val="20"/>
                <w:lang w:val="en-GB"/>
              </w:rPr>
            </w:pPr>
            <w:r w:rsidRPr="00C3671E">
              <w:rPr>
                <w:sz w:val="20"/>
                <w:szCs w:val="20"/>
                <w:lang w:val="en-GB"/>
              </w:rPr>
              <w:t>2.295***</w:t>
            </w:r>
          </w:p>
        </w:tc>
        <w:tc>
          <w:tcPr>
            <w:tcW w:w="1355" w:type="dxa"/>
            <w:vAlign w:val="center"/>
          </w:tcPr>
          <w:p w14:paraId="758AC8BE" w14:textId="77777777" w:rsidR="00C94483" w:rsidRPr="00C3671E" w:rsidRDefault="00C94483" w:rsidP="00C94483">
            <w:pPr>
              <w:tabs>
                <w:tab w:val="decimal" w:pos="466"/>
              </w:tabs>
              <w:rPr>
                <w:sz w:val="20"/>
                <w:szCs w:val="20"/>
                <w:lang w:val="en-GB"/>
              </w:rPr>
            </w:pPr>
            <w:r w:rsidRPr="00C3671E">
              <w:rPr>
                <w:sz w:val="20"/>
                <w:szCs w:val="20"/>
                <w:lang w:val="en-GB"/>
              </w:rPr>
              <w:t>0.142</w:t>
            </w:r>
          </w:p>
        </w:tc>
      </w:tr>
      <w:tr w:rsidR="00C94483" w:rsidRPr="00C3671E" w14:paraId="36331945" w14:textId="77777777" w:rsidTr="00C94483">
        <w:trPr>
          <w:trHeight w:val="340"/>
        </w:trPr>
        <w:tc>
          <w:tcPr>
            <w:tcW w:w="3544" w:type="dxa"/>
            <w:shd w:val="clear" w:color="auto" w:fill="auto"/>
            <w:vAlign w:val="center"/>
          </w:tcPr>
          <w:p w14:paraId="1922FB2A" w14:textId="77777777" w:rsidR="00C94483" w:rsidRPr="00C3671E" w:rsidRDefault="00C94483" w:rsidP="00C94483">
            <w:pPr>
              <w:rPr>
                <w:sz w:val="20"/>
                <w:szCs w:val="20"/>
                <w:lang w:val="en-GB"/>
              </w:rPr>
            </w:pPr>
            <w:r w:rsidRPr="00C3671E">
              <w:rPr>
                <w:bCs/>
                <w:sz w:val="20"/>
                <w:szCs w:val="20"/>
                <w:lang w:val="en-GB"/>
              </w:rPr>
              <w:t xml:space="preserve">     easily</w:t>
            </w:r>
          </w:p>
        </w:tc>
        <w:tc>
          <w:tcPr>
            <w:tcW w:w="1355" w:type="dxa"/>
            <w:shd w:val="clear" w:color="auto" w:fill="auto"/>
            <w:vAlign w:val="center"/>
          </w:tcPr>
          <w:p w14:paraId="6E0A3958" w14:textId="77777777" w:rsidR="00C94483" w:rsidRPr="00C3671E" w:rsidRDefault="00C94483" w:rsidP="00C94483">
            <w:pPr>
              <w:tabs>
                <w:tab w:val="decimal" w:pos="466"/>
              </w:tabs>
              <w:rPr>
                <w:sz w:val="20"/>
                <w:szCs w:val="20"/>
                <w:lang w:val="en-GB"/>
              </w:rPr>
            </w:pPr>
            <w:r w:rsidRPr="00C3671E">
              <w:rPr>
                <w:sz w:val="20"/>
                <w:szCs w:val="20"/>
                <w:lang w:val="en-GB"/>
              </w:rPr>
              <w:t>4.789***</w:t>
            </w:r>
          </w:p>
        </w:tc>
        <w:tc>
          <w:tcPr>
            <w:tcW w:w="1355" w:type="dxa"/>
            <w:vAlign w:val="center"/>
          </w:tcPr>
          <w:p w14:paraId="1946E2ED" w14:textId="77777777" w:rsidR="00C94483" w:rsidRPr="00C3671E" w:rsidRDefault="00C94483" w:rsidP="00C94483">
            <w:pPr>
              <w:tabs>
                <w:tab w:val="decimal" w:pos="466"/>
              </w:tabs>
              <w:rPr>
                <w:sz w:val="20"/>
                <w:szCs w:val="20"/>
                <w:lang w:val="en-GB"/>
              </w:rPr>
            </w:pPr>
            <w:r w:rsidRPr="00C3671E">
              <w:rPr>
                <w:sz w:val="20"/>
                <w:szCs w:val="20"/>
                <w:lang w:val="en-GB"/>
              </w:rPr>
              <w:t>0.089</w:t>
            </w:r>
          </w:p>
        </w:tc>
        <w:tc>
          <w:tcPr>
            <w:tcW w:w="1355" w:type="dxa"/>
            <w:shd w:val="clear" w:color="auto" w:fill="auto"/>
            <w:vAlign w:val="center"/>
          </w:tcPr>
          <w:p w14:paraId="4F7C5E9C" w14:textId="77777777" w:rsidR="00C94483" w:rsidRPr="00C3671E" w:rsidRDefault="00C94483" w:rsidP="00C94483">
            <w:pPr>
              <w:tabs>
                <w:tab w:val="decimal" w:pos="466"/>
              </w:tabs>
              <w:rPr>
                <w:sz w:val="20"/>
                <w:szCs w:val="20"/>
                <w:lang w:val="en-GB"/>
              </w:rPr>
            </w:pPr>
            <w:r w:rsidRPr="00C3671E">
              <w:rPr>
                <w:sz w:val="20"/>
                <w:szCs w:val="20"/>
                <w:lang w:val="en-GB"/>
              </w:rPr>
              <w:t>2.860***</w:t>
            </w:r>
          </w:p>
        </w:tc>
        <w:tc>
          <w:tcPr>
            <w:tcW w:w="1355" w:type="dxa"/>
            <w:vAlign w:val="center"/>
          </w:tcPr>
          <w:p w14:paraId="71466F92" w14:textId="77777777" w:rsidR="00C94483" w:rsidRPr="00C3671E" w:rsidRDefault="00C94483" w:rsidP="00C94483">
            <w:pPr>
              <w:tabs>
                <w:tab w:val="decimal" w:pos="466"/>
              </w:tabs>
              <w:rPr>
                <w:sz w:val="20"/>
                <w:szCs w:val="20"/>
                <w:lang w:val="en-GB"/>
              </w:rPr>
            </w:pPr>
            <w:r w:rsidRPr="00C3671E">
              <w:rPr>
                <w:sz w:val="20"/>
                <w:szCs w:val="20"/>
                <w:lang w:val="en-GB"/>
              </w:rPr>
              <w:t>0.151</w:t>
            </w:r>
          </w:p>
        </w:tc>
      </w:tr>
      <w:tr w:rsidR="00C94483" w:rsidRPr="00C3671E" w14:paraId="50B38D9A" w14:textId="77777777" w:rsidTr="00C94483">
        <w:trPr>
          <w:trHeight w:val="340"/>
        </w:trPr>
        <w:tc>
          <w:tcPr>
            <w:tcW w:w="3544" w:type="dxa"/>
            <w:shd w:val="clear" w:color="auto" w:fill="auto"/>
            <w:vAlign w:val="center"/>
          </w:tcPr>
          <w:p w14:paraId="615D2ED3" w14:textId="77777777" w:rsidR="00C94483" w:rsidRPr="00C3671E" w:rsidRDefault="00C94483" w:rsidP="00C94483">
            <w:pPr>
              <w:rPr>
                <w:sz w:val="20"/>
                <w:szCs w:val="20"/>
                <w:lang w:val="en-GB"/>
              </w:rPr>
            </w:pPr>
            <w:r w:rsidRPr="00C3671E">
              <w:rPr>
                <w:sz w:val="20"/>
                <w:szCs w:val="20"/>
                <w:lang w:val="en-GB"/>
              </w:rPr>
              <w:t>Subjective health status (poor as ref.)</w:t>
            </w:r>
          </w:p>
        </w:tc>
        <w:tc>
          <w:tcPr>
            <w:tcW w:w="1355" w:type="dxa"/>
            <w:shd w:val="clear" w:color="auto" w:fill="auto"/>
            <w:vAlign w:val="center"/>
          </w:tcPr>
          <w:p w14:paraId="4EDA4EC9" w14:textId="77777777" w:rsidR="00C94483" w:rsidRPr="00C3671E" w:rsidRDefault="00C94483" w:rsidP="00C94483">
            <w:pPr>
              <w:tabs>
                <w:tab w:val="decimal" w:pos="466"/>
              </w:tabs>
              <w:rPr>
                <w:sz w:val="20"/>
                <w:szCs w:val="20"/>
                <w:lang w:val="en-GB"/>
              </w:rPr>
            </w:pPr>
          </w:p>
        </w:tc>
        <w:tc>
          <w:tcPr>
            <w:tcW w:w="1355" w:type="dxa"/>
            <w:vAlign w:val="center"/>
          </w:tcPr>
          <w:p w14:paraId="280D51B5" w14:textId="77777777" w:rsidR="00C94483" w:rsidRPr="00C3671E" w:rsidRDefault="00C94483" w:rsidP="00C94483">
            <w:pPr>
              <w:tabs>
                <w:tab w:val="decimal" w:pos="466"/>
              </w:tabs>
              <w:rPr>
                <w:sz w:val="20"/>
                <w:szCs w:val="20"/>
                <w:lang w:val="en-GB"/>
              </w:rPr>
            </w:pPr>
          </w:p>
        </w:tc>
        <w:tc>
          <w:tcPr>
            <w:tcW w:w="1355" w:type="dxa"/>
            <w:shd w:val="clear" w:color="auto" w:fill="auto"/>
            <w:vAlign w:val="center"/>
          </w:tcPr>
          <w:p w14:paraId="22045AAE" w14:textId="77777777" w:rsidR="00C94483" w:rsidRPr="00C3671E" w:rsidRDefault="00C94483" w:rsidP="00C94483">
            <w:pPr>
              <w:tabs>
                <w:tab w:val="decimal" w:pos="466"/>
              </w:tabs>
              <w:rPr>
                <w:sz w:val="20"/>
                <w:szCs w:val="20"/>
                <w:lang w:val="en-GB"/>
              </w:rPr>
            </w:pPr>
          </w:p>
        </w:tc>
        <w:tc>
          <w:tcPr>
            <w:tcW w:w="1355" w:type="dxa"/>
            <w:vAlign w:val="center"/>
          </w:tcPr>
          <w:p w14:paraId="1C179B75" w14:textId="77777777" w:rsidR="00C94483" w:rsidRPr="00C3671E" w:rsidRDefault="00C94483" w:rsidP="00C94483">
            <w:pPr>
              <w:tabs>
                <w:tab w:val="decimal" w:pos="466"/>
              </w:tabs>
              <w:rPr>
                <w:sz w:val="20"/>
                <w:szCs w:val="20"/>
                <w:lang w:val="en-GB"/>
              </w:rPr>
            </w:pPr>
          </w:p>
        </w:tc>
      </w:tr>
      <w:tr w:rsidR="00C94483" w:rsidRPr="00C3671E" w14:paraId="68CE19EC" w14:textId="77777777" w:rsidTr="00C94483">
        <w:trPr>
          <w:trHeight w:val="340"/>
        </w:trPr>
        <w:tc>
          <w:tcPr>
            <w:tcW w:w="3544" w:type="dxa"/>
            <w:shd w:val="clear" w:color="auto" w:fill="auto"/>
            <w:vAlign w:val="center"/>
          </w:tcPr>
          <w:p w14:paraId="134C2C55" w14:textId="77777777" w:rsidR="00C94483" w:rsidRPr="00C3671E" w:rsidRDefault="00C94483" w:rsidP="00C94483">
            <w:pPr>
              <w:rPr>
                <w:sz w:val="20"/>
                <w:szCs w:val="20"/>
                <w:lang w:val="en-GB"/>
              </w:rPr>
            </w:pPr>
            <w:r w:rsidRPr="00C3671E">
              <w:rPr>
                <w:bCs/>
                <w:sz w:val="20"/>
                <w:szCs w:val="20"/>
                <w:lang w:val="en-GB"/>
              </w:rPr>
              <w:t xml:space="preserve">     fair</w:t>
            </w:r>
          </w:p>
        </w:tc>
        <w:tc>
          <w:tcPr>
            <w:tcW w:w="1355" w:type="dxa"/>
            <w:shd w:val="clear" w:color="auto" w:fill="auto"/>
            <w:vAlign w:val="center"/>
          </w:tcPr>
          <w:p w14:paraId="6C4D751E" w14:textId="77777777" w:rsidR="00C94483" w:rsidRPr="00C3671E" w:rsidRDefault="00C94483" w:rsidP="00C94483">
            <w:pPr>
              <w:tabs>
                <w:tab w:val="decimal" w:pos="466"/>
              </w:tabs>
              <w:rPr>
                <w:sz w:val="20"/>
                <w:szCs w:val="20"/>
                <w:lang w:val="en-GB"/>
              </w:rPr>
            </w:pPr>
            <w:r w:rsidRPr="00C3671E">
              <w:rPr>
                <w:sz w:val="20"/>
                <w:szCs w:val="20"/>
                <w:lang w:val="en-GB"/>
              </w:rPr>
              <w:t>2.721***</w:t>
            </w:r>
          </w:p>
        </w:tc>
        <w:tc>
          <w:tcPr>
            <w:tcW w:w="1355" w:type="dxa"/>
            <w:vAlign w:val="center"/>
          </w:tcPr>
          <w:p w14:paraId="72930199" w14:textId="77777777" w:rsidR="00C94483" w:rsidRPr="00C3671E" w:rsidRDefault="00C94483" w:rsidP="00C94483">
            <w:pPr>
              <w:tabs>
                <w:tab w:val="decimal" w:pos="466"/>
              </w:tabs>
              <w:rPr>
                <w:sz w:val="20"/>
                <w:szCs w:val="20"/>
                <w:lang w:val="en-GB"/>
              </w:rPr>
            </w:pPr>
            <w:r w:rsidRPr="00C3671E">
              <w:rPr>
                <w:sz w:val="20"/>
                <w:szCs w:val="20"/>
                <w:lang w:val="en-GB"/>
              </w:rPr>
              <w:t>0.086</w:t>
            </w:r>
          </w:p>
        </w:tc>
        <w:tc>
          <w:tcPr>
            <w:tcW w:w="1355" w:type="dxa"/>
            <w:shd w:val="clear" w:color="auto" w:fill="auto"/>
            <w:vAlign w:val="center"/>
          </w:tcPr>
          <w:p w14:paraId="0CB1349C" w14:textId="77777777" w:rsidR="00C94483" w:rsidRPr="00C3671E" w:rsidRDefault="00C94483" w:rsidP="00C94483">
            <w:pPr>
              <w:tabs>
                <w:tab w:val="decimal" w:pos="466"/>
              </w:tabs>
              <w:rPr>
                <w:sz w:val="20"/>
                <w:szCs w:val="20"/>
                <w:lang w:val="en-GB"/>
              </w:rPr>
            </w:pPr>
            <w:r w:rsidRPr="00C3671E">
              <w:rPr>
                <w:sz w:val="20"/>
                <w:szCs w:val="20"/>
                <w:lang w:val="en-GB"/>
              </w:rPr>
              <w:t>1.707***</w:t>
            </w:r>
          </w:p>
        </w:tc>
        <w:tc>
          <w:tcPr>
            <w:tcW w:w="1355" w:type="dxa"/>
            <w:vAlign w:val="center"/>
          </w:tcPr>
          <w:p w14:paraId="053BF90D" w14:textId="77777777" w:rsidR="00C94483" w:rsidRPr="00C3671E" w:rsidRDefault="00C94483" w:rsidP="00C94483">
            <w:pPr>
              <w:tabs>
                <w:tab w:val="decimal" w:pos="466"/>
              </w:tabs>
              <w:rPr>
                <w:sz w:val="20"/>
                <w:szCs w:val="20"/>
                <w:lang w:val="en-GB"/>
              </w:rPr>
            </w:pPr>
            <w:r w:rsidRPr="00C3671E">
              <w:rPr>
                <w:sz w:val="20"/>
                <w:szCs w:val="20"/>
                <w:lang w:val="en-GB"/>
              </w:rPr>
              <w:t>0.145</w:t>
            </w:r>
          </w:p>
        </w:tc>
      </w:tr>
      <w:tr w:rsidR="00C94483" w:rsidRPr="00C3671E" w14:paraId="77311D6A" w14:textId="77777777" w:rsidTr="00C94483">
        <w:trPr>
          <w:trHeight w:val="340"/>
        </w:trPr>
        <w:tc>
          <w:tcPr>
            <w:tcW w:w="3544" w:type="dxa"/>
            <w:shd w:val="clear" w:color="auto" w:fill="auto"/>
            <w:vAlign w:val="center"/>
          </w:tcPr>
          <w:p w14:paraId="45C56766" w14:textId="77777777" w:rsidR="00C94483" w:rsidRPr="00C3671E" w:rsidRDefault="00C94483" w:rsidP="00C94483">
            <w:pPr>
              <w:rPr>
                <w:sz w:val="20"/>
                <w:szCs w:val="20"/>
                <w:lang w:val="en-GB"/>
              </w:rPr>
            </w:pPr>
            <w:r w:rsidRPr="00C3671E">
              <w:rPr>
                <w:bCs/>
                <w:sz w:val="20"/>
                <w:szCs w:val="20"/>
                <w:lang w:val="en-GB"/>
              </w:rPr>
              <w:t xml:space="preserve">     good</w:t>
            </w:r>
          </w:p>
        </w:tc>
        <w:tc>
          <w:tcPr>
            <w:tcW w:w="1355" w:type="dxa"/>
            <w:shd w:val="clear" w:color="auto" w:fill="auto"/>
            <w:vAlign w:val="center"/>
          </w:tcPr>
          <w:p w14:paraId="411C86C7" w14:textId="77777777" w:rsidR="00C94483" w:rsidRPr="00C3671E" w:rsidRDefault="00C94483" w:rsidP="00C94483">
            <w:pPr>
              <w:tabs>
                <w:tab w:val="decimal" w:pos="466"/>
              </w:tabs>
              <w:rPr>
                <w:sz w:val="20"/>
                <w:szCs w:val="20"/>
                <w:lang w:val="en-GB"/>
              </w:rPr>
            </w:pPr>
            <w:r w:rsidRPr="00C3671E">
              <w:rPr>
                <w:sz w:val="20"/>
                <w:szCs w:val="20"/>
                <w:lang w:val="en-GB"/>
              </w:rPr>
              <w:t>4.641***</w:t>
            </w:r>
          </w:p>
        </w:tc>
        <w:tc>
          <w:tcPr>
            <w:tcW w:w="1355" w:type="dxa"/>
            <w:vAlign w:val="center"/>
          </w:tcPr>
          <w:p w14:paraId="7E6B4825" w14:textId="77777777" w:rsidR="00C94483" w:rsidRPr="00C3671E" w:rsidRDefault="00C94483" w:rsidP="00C94483">
            <w:pPr>
              <w:tabs>
                <w:tab w:val="decimal" w:pos="466"/>
              </w:tabs>
              <w:rPr>
                <w:sz w:val="20"/>
                <w:szCs w:val="20"/>
                <w:lang w:val="en-GB"/>
              </w:rPr>
            </w:pPr>
            <w:r w:rsidRPr="00C3671E">
              <w:rPr>
                <w:sz w:val="20"/>
                <w:szCs w:val="20"/>
                <w:lang w:val="en-GB"/>
              </w:rPr>
              <w:t>0.090</w:t>
            </w:r>
          </w:p>
        </w:tc>
        <w:tc>
          <w:tcPr>
            <w:tcW w:w="1355" w:type="dxa"/>
            <w:shd w:val="clear" w:color="auto" w:fill="auto"/>
            <w:vAlign w:val="center"/>
          </w:tcPr>
          <w:p w14:paraId="74BBBB0F" w14:textId="77777777" w:rsidR="00C94483" w:rsidRPr="00C3671E" w:rsidRDefault="00C94483" w:rsidP="00C94483">
            <w:pPr>
              <w:tabs>
                <w:tab w:val="decimal" w:pos="466"/>
              </w:tabs>
              <w:rPr>
                <w:sz w:val="20"/>
                <w:szCs w:val="20"/>
                <w:lang w:val="en-GB"/>
              </w:rPr>
            </w:pPr>
            <w:r w:rsidRPr="00C3671E">
              <w:rPr>
                <w:sz w:val="20"/>
                <w:szCs w:val="20"/>
                <w:lang w:val="en-GB"/>
              </w:rPr>
              <w:t>2.747***</w:t>
            </w:r>
          </w:p>
        </w:tc>
        <w:tc>
          <w:tcPr>
            <w:tcW w:w="1355" w:type="dxa"/>
            <w:vAlign w:val="center"/>
          </w:tcPr>
          <w:p w14:paraId="610425F5" w14:textId="77777777" w:rsidR="00C94483" w:rsidRPr="00C3671E" w:rsidRDefault="00C94483" w:rsidP="00C94483">
            <w:pPr>
              <w:tabs>
                <w:tab w:val="decimal" w:pos="466"/>
              </w:tabs>
              <w:rPr>
                <w:sz w:val="20"/>
                <w:szCs w:val="20"/>
                <w:lang w:val="en-GB"/>
              </w:rPr>
            </w:pPr>
            <w:r w:rsidRPr="00C3671E">
              <w:rPr>
                <w:sz w:val="20"/>
                <w:szCs w:val="20"/>
                <w:lang w:val="en-GB"/>
              </w:rPr>
              <w:t>0.159</w:t>
            </w:r>
          </w:p>
        </w:tc>
      </w:tr>
      <w:tr w:rsidR="00C94483" w:rsidRPr="00C3671E" w14:paraId="31699DEB" w14:textId="77777777" w:rsidTr="00C94483">
        <w:trPr>
          <w:trHeight w:val="340"/>
        </w:trPr>
        <w:tc>
          <w:tcPr>
            <w:tcW w:w="3544" w:type="dxa"/>
            <w:shd w:val="clear" w:color="auto" w:fill="auto"/>
            <w:vAlign w:val="center"/>
          </w:tcPr>
          <w:p w14:paraId="32425D8D" w14:textId="77777777" w:rsidR="00C94483" w:rsidRPr="00C3671E" w:rsidRDefault="00C94483" w:rsidP="00C94483">
            <w:pPr>
              <w:rPr>
                <w:sz w:val="20"/>
                <w:szCs w:val="20"/>
                <w:lang w:val="en-GB"/>
              </w:rPr>
            </w:pPr>
            <w:r w:rsidRPr="00C3671E">
              <w:rPr>
                <w:bCs/>
                <w:sz w:val="20"/>
                <w:szCs w:val="20"/>
                <w:lang w:val="en-GB"/>
              </w:rPr>
              <w:t xml:space="preserve">     very good</w:t>
            </w:r>
          </w:p>
        </w:tc>
        <w:tc>
          <w:tcPr>
            <w:tcW w:w="1355" w:type="dxa"/>
            <w:shd w:val="clear" w:color="auto" w:fill="auto"/>
            <w:vAlign w:val="center"/>
          </w:tcPr>
          <w:p w14:paraId="370BAF62" w14:textId="77777777" w:rsidR="00C94483" w:rsidRPr="00C3671E" w:rsidRDefault="00C94483" w:rsidP="00C94483">
            <w:pPr>
              <w:tabs>
                <w:tab w:val="decimal" w:pos="466"/>
              </w:tabs>
              <w:rPr>
                <w:sz w:val="20"/>
                <w:szCs w:val="20"/>
                <w:lang w:val="en-GB"/>
              </w:rPr>
            </w:pPr>
            <w:r w:rsidRPr="00C3671E">
              <w:rPr>
                <w:sz w:val="20"/>
                <w:szCs w:val="20"/>
                <w:lang w:val="en-GB"/>
              </w:rPr>
              <w:t>5.806***</w:t>
            </w:r>
          </w:p>
        </w:tc>
        <w:tc>
          <w:tcPr>
            <w:tcW w:w="1355" w:type="dxa"/>
            <w:vAlign w:val="center"/>
          </w:tcPr>
          <w:p w14:paraId="56540F2D" w14:textId="77777777" w:rsidR="00C94483" w:rsidRPr="00C3671E" w:rsidRDefault="00C94483" w:rsidP="00C94483">
            <w:pPr>
              <w:tabs>
                <w:tab w:val="decimal" w:pos="466"/>
              </w:tabs>
              <w:rPr>
                <w:sz w:val="20"/>
                <w:szCs w:val="20"/>
                <w:lang w:val="en-GB"/>
              </w:rPr>
            </w:pPr>
            <w:r w:rsidRPr="00C3671E">
              <w:rPr>
                <w:sz w:val="20"/>
                <w:szCs w:val="20"/>
                <w:lang w:val="en-GB"/>
              </w:rPr>
              <w:t>0.102</w:t>
            </w:r>
          </w:p>
        </w:tc>
        <w:tc>
          <w:tcPr>
            <w:tcW w:w="1355" w:type="dxa"/>
            <w:shd w:val="clear" w:color="auto" w:fill="auto"/>
            <w:vAlign w:val="center"/>
          </w:tcPr>
          <w:p w14:paraId="71D7239C" w14:textId="77777777" w:rsidR="00C94483" w:rsidRPr="00C3671E" w:rsidRDefault="00C94483" w:rsidP="00C94483">
            <w:pPr>
              <w:tabs>
                <w:tab w:val="decimal" w:pos="466"/>
              </w:tabs>
              <w:rPr>
                <w:sz w:val="20"/>
                <w:szCs w:val="20"/>
                <w:lang w:val="en-GB"/>
              </w:rPr>
            </w:pPr>
            <w:r w:rsidRPr="00C3671E">
              <w:rPr>
                <w:sz w:val="20"/>
                <w:szCs w:val="20"/>
                <w:lang w:val="en-GB"/>
              </w:rPr>
              <w:t>3.321***</w:t>
            </w:r>
          </w:p>
        </w:tc>
        <w:tc>
          <w:tcPr>
            <w:tcW w:w="1355" w:type="dxa"/>
            <w:vAlign w:val="center"/>
          </w:tcPr>
          <w:p w14:paraId="657E17F2" w14:textId="77777777" w:rsidR="00C94483" w:rsidRPr="00C3671E" w:rsidRDefault="00C94483" w:rsidP="00C94483">
            <w:pPr>
              <w:tabs>
                <w:tab w:val="decimal" w:pos="466"/>
              </w:tabs>
              <w:rPr>
                <w:sz w:val="20"/>
                <w:szCs w:val="20"/>
                <w:lang w:val="en-GB"/>
              </w:rPr>
            </w:pPr>
            <w:r w:rsidRPr="00C3671E">
              <w:rPr>
                <w:sz w:val="20"/>
                <w:szCs w:val="20"/>
                <w:lang w:val="en-GB"/>
              </w:rPr>
              <w:t>0.176</w:t>
            </w:r>
          </w:p>
        </w:tc>
      </w:tr>
      <w:tr w:rsidR="00C94483" w:rsidRPr="00C3671E" w14:paraId="31B5EFB5" w14:textId="77777777" w:rsidTr="00C94483">
        <w:trPr>
          <w:trHeight w:val="340"/>
        </w:trPr>
        <w:tc>
          <w:tcPr>
            <w:tcW w:w="3544" w:type="dxa"/>
            <w:tcBorders>
              <w:bottom w:val="single" w:sz="12" w:space="0" w:color="auto"/>
            </w:tcBorders>
            <w:shd w:val="clear" w:color="auto" w:fill="auto"/>
            <w:vAlign w:val="center"/>
          </w:tcPr>
          <w:p w14:paraId="3BDC15A4" w14:textId="77777777" w:rsidR="00C94483" w:rsidRPr="00C3671E" w:rsidRDefault="00C94483" w:rsidP="00C94483">
            <w:pPr>
              <w:rPr>
                <w:sz w:val="20"/>
                <w:szCs w:val="20"/>
                <w:lang w:val="en-GB"/>
              </w:rPr>
            </w:pPr>
            <w:r w:rsidRPr="00C3671E">
              <w:rPr>
                <w:bCs/>
                <w:sz w:val="20"/>
                <w:szCs w:val="20"/>
                <w:lang w:val="en-GB"/>
              </w:rPr>
              <w:t xml:space="preserve">     excellent</w:t>
            </w:r>
          </w:p>
        </w:tc>
        <w:tc>
          <w:tcPr>
            <w:tcW w:w="1355" w:type="dxa"/>
            <w:tcBorders>
              <w:bottom w:val="single" w:sz="12" w:space="0" w:color="auto"/>
            </w:tcBorders>
            <w:shd w:val="clear" w:color="auto" w:fill="auto"/>
            <w:vAlign w:val="center"/>
          </w:tcPr>
          <w:p w14:paraId="0537032F" w14:textId="77777777" w:rsidR="00C94483" w:rsidRPr="00C3671E" w:rsidRDefault="00C94483" w:rsidP="00C94483">
            <w:pPr>
              <w:tabs>
                <w:tab w:val="decimal" w:pos="466"/>
              </w:tabs>
              <w:rPr>
                <w:sz w:val="20"/>
                <w:szCs w:val="20"/>
                <w:lang w:val="en-GB"/>
              </w:rPr>
            </w:pPr>
            <w:r w:rsidRPr="00C3671E">
              <w:rPr>
                <w:sz w:val="20"/>
                <w:szCs w:val="20"/>
                <w:lang w:val="en-GB"/>
              </w:rPr>
              <w:t>6.595***</w:t>
            </w:r>
          </w:p>
        </w:tc>
        <w:tc>
          <w:tcPr>
            <w:tcW w:w="1355" w:type="dxa"/>
            <w:tcBorders>
              <w:bottom w:val="single" w:sz="12" w:space="0" w:color="auto"/>
            </w:tcBorders>
            <w:vAlign w:val="center"/>
          </w:tcPr>
          <w:p w14:paraId="2A81C3F2" w14:textId="77777777" w:rsidR="00C94483" w:rsidRPr="00C3671E" w:rsidRDefault="00C94483" w:rsidP="00C94483">
            <w:pPr>
              <w:tabs>
                <w:tab w:val="decimal" w:pos="466"/>
              </w:tabs>
              <w:rPr>
                <w:sz w:val="20"/>
                <w:szCs w:val="20"/>
                <w:lang w:val="en-GB"/>
              </w:rPr>
            </w:pPr>
            <w:r w:rsidRPr="00C3671E">
              <w:rPr>
                <w:sz w:val="20"/>
                <w:szCs w:val="20"/>
                <w:lang w:val="en-GB"/>
              </w:rPr>
              <w:t>0.122</w:t>
            </w:r>
          </w:p>
        </w:tc>
        <w:tc>
          <w:tcPr>
            <w:tcW w:w="1355" w:type="dxa"/>
            <w:tcBorders>
              <w:bottom w:val="single" w:sz="12" w:space="0" w:color="auto"/>
            </w:tcBorders>
            <w:shd w:val="clear" w:color="auto" w:fill="auto"/>
            <w:vAlign w:val="center"/>
          </w:tcPr>
          <w:p w14:paraId="4F46D249" w14:textId="77777777" w:rsidR="00C94483" w:rsidRPr="00C3671E" w:rsidRDefault="00C94483" w:rsidP="00C94483">
            <w:pPr>
              <w:tabs>
                <w:tab w:val="decimal" w:pos="466"/>
              </w:tabs>
              <w:rPr>
                <w:sz w:val="20"/>
                <w:szCs w:val="20"/>
                <w:lang w:val="en-GB"/>
              </w:rPr>
            </w:pPr>
            <w:r w:rsidRPr="00C3671E">
              <w:rPr>
                <w:sz w:val="20"/>
                <w:szCs w:val="20"/>
                <w:lang w:val="en-GB"/>
              </w:rPr>
              <w:t>3.673***</w:t>
            </w:r>
          </w:p>
        </w:tc>
        <w:tc>
          <w:tcPr>
            <w:tcW w:w="1355" w:type="dxa"/>
            <w:tcBorders>
              <w:bottom w:val="single" w:sz="12" w:space="0" w:color="auto"/>
            </w:tcBorders>
            <w:vAlign w:val="center"/>
          </w:tcPr>
          <w:p w14:paraId="6AFE1D46" w14:textId="77777777" w:rsidR="00C94483" w:rsidRPr="00C3671E" w:rsidRDefault="00C94483" w:rsidP="00C94483">
            <w:pPr>
              <w:tabs>
                <w:tab w:val="decimal" w:pos="466"/>
              </w:tabs>
              <w:rPr>
                <w:sz w:val="20"/>
                <w:szCs w:val="20"/>
                <w:lang w:val="en-GB"/>
              </w:rPr>
            </w:pPr>
            <w:r w:rsidRPr="00C3671E">
              <w:rPr>
                <w:sz w:val="20"/>
                <w:szCs w:val="20"/>
                <w:lang w:val="en-GB"/>
              </w:rPr>
              <w:t>0.196</w:t>
            </w:r>
          </w:p>
        </w:tc>
      </w:tr>
      <w:tr w:rsidR="00C94483" w:rsidRPr="00C3671E" w14:paraId="5EE5C83F" w14:textId="77777777" w:rsidTr="00C94483">
        <w:trPr>
          <w:trHeight w:val="340"/>
        </w:trPr>
        <w:tc>
          <w:tcPr>
            <w:tcW w:w="3544" w:type="dxa"/>
            <w:tcBorders>
              <w:top w:val="single" w:sz="12" w:space="0" w:color="auto"/>
              <w:bottom w:val="single" w:sz="12" w:space="0" w:color="auto"/>
            </w:tcBorders>
            <w:shd w:val="clear" w:color="auto" w:fill="auto"/>
            <w:vAlign w:val="center"/>
          </w:tcPr>
          <w:p w14:paraId="2BB9AE2C" w14:textId="77777777" w:rsidR="00C94483" w:rsidRPr="00C3671E" w:rsidRDefault="00C94483" w:rsidP="00C94483">
            <w:pPr>
              <w:rPr>
                <w:sz w:val="20"/>
                <w:szCs w:val="20"/>
                <w:lang w:val="en-GB"/>
              </w:rPr>
            </w:pPr>
            <w:r w:rsidRPr="00C3671E">
              <w:rPr>
                <w:sz w:val="20"/>
                <w:szCs w:val="20"/>
                <w:lang w:val="en-GB"/>
              </w:rPr>
              <w:t>N</w:t>
            </w:r>
          </w:p>
        </w:tc>
        <w:tc>
          <w:tcPr>
            <w:tcW w:w="2710" w:type="dxa"/>
            <w:gridSpan w:val="2"/>
            <w:tcBorders>
              <w:top w:val="single" w:sz="12" w:space="0" w:color="auto"/>
              <w:bottom w:val="single" w:sz="12" w:space="0" w:color="auto"/>
            </w:tcBorders>
            <w:shd w:val="clear" w:color="auto" w:fill="auto"/>
            <w:vAlign w:val="center"/>
          </w:tcPr>
          <w:p w14:paraId="0D5BA966" w14:textId="77777777" w:rsidR="00C94483" w:rsidRPr="00C3671E" w:rsidRDefault="00C94483" w:rsidP="00C94483">
            <w:pPr>
              <w:jc w:val="center"/>
              <w:rPr>
                <w:sz w:val="20"/>
                <w:szCs w:val="20"/>
                <w:lang w:val="en-GB"/>
              </w:rPr>
            </w:pPr>
            <w:r w:rsidRPr="00C3671E">
              <w:rPr>
                <w:sz w:val="20"/>
                <w:szCs w:val="20"/>
                <w:lang w:val="en-GB"/>
              </w:rPr>
              <w:t>14,989</w:t>
            </w:r>
          </w:p>
        </w:tc>
        <w:tc>
          <w:tcPr>
            <w:tcW w:w="2710" w:type="dxa"/>
            <w:gridSpan w:val="2"/>
            <w:tcBorders>
              <w:top w:val="single" w:sz="12" w:space="0" w:color="auto"/>
              <w:bottom w:val="single" w:sz="12" w:space="0" w:color="auto"/>
            </w:tcBorders>
            <w:shd w:val="clear" w:color="auto" w:fill="auto"/>
            <w:vAlign w:val="center"/>
          </w:tcPr>
          <w:p w14:paraId="107E789D" w14:textId="77777777" w:rsidR="00C94483" w:rsidRPr="00C3671E" w:rsidRDefault="00C94483" w:rsidP="00C94483">
            <w:pPr>
              <w:jc w:val="center"/>
              <w:rPr>
                <w:sz w:val="20"/>
                <w:szCs w:val="20"/>
                <w:lang w:val="en-GB"/>
              </w:rPr>
            </w:pPr>
            <w:r w:rsidRPr="00C3671E">
              <w:rPr>
                <w:sz w:val="20"/>
                <w:szCs w:val="20"/>
                <w:lang w:val="en-GB"/>
              </w:rPr>
              <w:t>14,989</w:t>
            </w:r>
          </w:p>
        </w:tc>
      </w:tr>
    </w:tbl>
    <w:p w14:paraId="303FEEFB" w14:textId="77777777" w:rsidR="00C94483" w:rsidRPr="00C3671E" w:rsidRDefault="00C94483" w:rsidP="00C94483">
      <w:pPr>
        <w:ind w:left="426"/>
        <w:rPr>
          <w:i/>
          <w:sz w:val="20"/>
          <w:szCs w:val="20"/>
          <w:lang w:val="en-GB"/>
        </w:rPr>
      </w:pPr>
      <w:r w:rsidRPr="00C3671E">
        <w:rPr>
          <w:i/>
          <w:sz w:val="20"/>
          <w:szCs w:val="20"/>
          <w:lang w:val="en-GB"/>
        </w:rPr>
        <w:t>Source: SHARE, waves 4, 5, and 6, own calculations.</w:t>
      </w:r>
    </w:p>
    <w:p w14:paraId="5411EEDE" w14:textId="0E50AD6F" w:rsidR="00C94483" w:rsidRPr="00C3671E" w:rsidRDefault="00C94483" w:rsidP="00F96318">
      <w:pPr>
        <w:ind w:left="426"/>
        <w:rPr>
          <w:i/>
          <w:sz w:val="20"/>
          <w:lang w:val="en-GB"/>
        </w:rPr>
      </w:pPr>
      <w:r w:rsidRPr="00C3671E">
        <w:rPr>
          <w:i/>
          <w:sz w:val="20"/>
          <w:szCs w:val="20"/>
          <w:lang w:val="en-GB"/>
        </w:rPr>
        <w:t>+ p &lt; 0.1, * p &lt; 0.05, ** p &lt; 0.01, *** p &lt; 0.001.</w:t>
      </w:r>
    </w:p>
    <w:p w14:paraId="5C15AF74" w14:textId="77777777" w:rsidR="00C94483" w:rsidRPr="00C3671E" w:rsidRDefault="00C94483" w:rsidP="00C94483">
      <w:pPr>
        <w:suppressAutoHyphens/>
        <w:spacing w:line="480" w:lineRule="auto"/>
        <w:jc w:val="both"/>
        <w:rPr>
          <w:lang w:val="en-GB"/>
        </w:rPr>
      </w:pPr>
    </w:p>
    <w:p w14:paraId="5F0FDD8E" w14:textId="77777777" w:rsidR="00C94483" w:rsidRPr="00C3671E" w:rsidRDefault="00C94483" w:rsidP="00466C1F">
      <w:pPr>
        <w:suppressAutoHyphens/>
        <w:spacing w:line="480" w:lineRule="auto"/>
        <w:jc w:val="both"/>
        <w:rPr>
          <w:lang w:val="en-GB" w:eastAsia="zh-CN"/>
        </w:rPr>
      </w:pPr>
      <w:r w:rsidRPr="00C3671E">
        <w:rPr>
          <w:lang w:val="en-GB" w:eastAsia="zh-CN"/>
        </w:rPr>
        <w:t>Indeed, the effect size in FEM is much lower. On the one hand, the effect of three activities – volunteering, sport club, and physical activity – remains significant, while their coefficients and statistical significance dropped substantially. On the other hand, the negative effect of caregiving within the household from REM remains still high with p=0.000. Other controlled characteristics have strong fixed effects as well, although they decreased in magnitude. Finally, most of the standard errors are about 0.2-0.5 higher in FEM than in REM. The difference between standard errors implies lower efficiency of FEM, but even larger difference between coefficients of these models signifies that random effects can be explained by some time-invariant factors controlled only in FEM. The difference between models is confirmed by Hausman test with p=0.0000. Even a control for gender and country – which is not present in compared models to keep them as similar as possible – does not change the difference between models, and thus FEM provides less biased results.</w:t>
      </w:r>
    </w:p>
    <w:p w14:paraId="7EB37ECD" w14:textId="77777777" w:rsidR="00C94483" w:rsidRPr="00C3671E" w:rsidRDefault="00C94483" w:rsidP="007E6D8E">
      <w:pPr>
        <w:pStyle w:val="Nadpis3"/>
        <w:spacing w:line="480" w:lineRule="auto"/>
        <w:rPr>
          <w:rFonts w:ascii="Times New Roman" w:hAnsi="Times New Roman" w:cs="Times New Roman"/>
          <w:b w:val="0"/>
          <w:i/>
          <w:lang w:val="en-GB" w:eastAsia="zh-CN"/>
        </w:rPr>
      </w:pPr>
      <w:bookmarkStart w:id="101" w:name="_Toc512687791"/>
      <w:r w:rsidRPr="00C3671E">
        <w:rPr>
          <w:rFonts w:ascii="Times New Roman" w:hAnsi="Times New Roman" w:cs="Times New Roman"/>
          <w:b w:val="0"/>
          <w:i/>
          <w:lang w:val="en-GB" w:eastAsia="zh-CN"/>
        </w:rPr>
        <w:t>Differences in FEM between education groups</w:t>
      </w:r>
      <w:bookmarkEnd w:id="101"/>
    </w:p>
    <w:p w14:paraId="5876F0B8" w14:textId="539088DE" w:rsidR="00C94483" w:rsidRPr="00C3671E" w:rsidRDefault="00C94483" w:rsidP="00C94483">
      <w:pPr>
        <w:suppressAutoHyphens/>
        <w:spacing w:line="480" w:lineRule="auto"/>
        <w:jc w:val="both"/>
        <w:rPr>
          <w:lang w:val="en-GB"/>
        </w:rPr>
      </w:pPr>
      <w:r w:rsidRPr="00C3671E">
        <w:rPr>
          <w:lang w:val="en-GB"/>
        </w:rPr>
        <w:t xml:space="preserve">Fixed </w:t>
      </w:r>
      <w:r w:rsidRPr="00C3671E">
        <w:rPr>
          <w:lang w:val="en-GB" w:eastAsia="zh-CN"/>
        </w:rPr>
        <w:t>effects</w:t>
      </w:r>
      <w:r w:rsidRPr="00C3671E">
        <w:rPr>
          <w:lang w:val="en-GB"/>
        </w:rPr>
        <w:t xml:space="preserve"> regression cannot directly test, which unobserved factors predict the dependent variable. Still, the difference between education groups would imply that education directly or some characteristics connected to education – like value orientation – explain some part of the </w:t>
      </w:r>
      <w:r w:rsidRPr="00C3671E">
        <w:rPr>
          <w:lang w:val="en-GB"/>
        </w:rPr>
        <w:lastRenderedPageBreak/>
        <w:t xml:space="preserve">relationship between roles and QoL. Models from Table </w:t>
      </w:r>
      <w:r w:rsidR="00F96318" w:rsidRPr="00C3671E">
        <w:rPr>
          <w:lang w:val="en-GB"/>
        </w:rPr>
        <w:t>10</w:t>
      </w:r>
      <w:r w:rsidRPr="00C3671E">
        <w:rPr>
          <w:lang w:val="en-GB"/>
        </w:rPr>
        <w:t xml:space="preserve"> indicate that this is at least to some point the case. The coefficients are more important for interpretation than a level of significance for much higher standard errors in the second model caused by the smaller sample of older adults with tertiary education.</w:t>
      </w:r>
    </w:p>
    <w:p w14:paraId="51EEE81C" w14:textId="1A06311E" w:rsidR="00C94483" w:rsidRPr="00C3671E" w:rsidRDefault="00F96318" w:rsidP="00F96318">
      <w:pPr>
        <w:spacing w:before="100" w:beforeAutospacing="1"/>
        <w:jc w:val="both"/>
        <w:rPr>
          <w:b/>
          <w:lang w:val="en-GB"/>
        </w:rPr>
      </w:pPr>
      <w:bookmarkStart w:id="102" w:name="_Toc512687485"/>
      <w:r w:rsidRPr="00C3671E">
        <w:rPr>
          <w:b/>
          <w:lang w:val="en-GB"/>
        </w:rPr>
        <w:t xml:space="preserve">Table </w:t>
      </w:r>
      <w:r w:rsidRPr="00C3671E">
        <w:rPr>
          <w:b/>
          <w:lang w:val="en-GB"/>
        </w:rPr>
        <w:fldChar w:fldCharType="begin"/>
      </w:r>
      <w:r w:rsidRPr="00C3671E">
        <w:rPr>
          <w:b/>
          <w:lang w:val="en-GB"/>
        </w:rPr>
        <w:instrText xml:space="preserve"> SEQ Table \* ARABIC </w:instrText>
      </w:r>
      <w:r w:rsidRPr="00C3671E">
        <w:rPr>
          <w:b/>
          <w:lang w:val="en-GB"/>
        </w:rPr>
        <w:fldChar w:fldCharType="separate"/>
      </w:r>
      <w:r w:rsidRPr="00C3671E">
        <w:rPr>
          <w:b/>
          <w:noProof/>
          <w:lang w:val="en-GB"/>
        </w:rPr>
        <w:t>10</w:t>
      </w:r>
      <w:r w:rsidRPr="00C3671E">
        <w:rPr>
          <w:b/>
          <w:lang w:val="en-GB"/>
        </w:rPr>
        <w:fldChar w:fldCharType="end"/>
      </w:r>
      <w:r w:rsidR="00C94483" w:rsidRPr="00C3671E">
        <w:rPr>
          <w:b/>
          <w:lang w:val="en-GB"/>
        </w:rPr>
        <w:t>: Fixed effects regression models predicting QoL sorted by education</w:t>
      </w:r>
      <w:bookmarkEnd w:id="102"/>
    </w:p>
    <w:tbl>
      <w:tblPr>
        <w:tblW w:w="8964" w:type="dxa"/>
        <w:tblInd w:w="108" w:type="dxa"/>
        <w:tblLayout w:type="fixed"/>
        <w:tblLook w:val="0020" w:firstRow="1" w:lastRow="0" w:firstColumn="0" w:lastColumn="0" w:noHBand="0" w:noVBand="0"/>
      </w:tblPr>
      <w:tblGrid>
        <w:gridCol w:w="3544"/>
        <w:gridCol w:w="1355"/>
        <w:gridCol w:w="1355"/>
        <w:gridCol w:w="1355"/>
        <w:gridCol w:w="1355"/>
      </w:tblGrid>
      <w:tr w:rsidR="00C94483" w:rsidRPr="00C3671E" w14:paraId="7366E2A0" w14:textId="77777777" w:rsidTr="00C94483">
        <w:trPr>
          <w:trHeight w:val="340"/>
        </w:trPr>
        <w:tc>
          <w:tcPr>
            <w:tcW w:w="3544" w:type="dxa"/>
            <w:tcBorders>
              <w:top w:val="single" w:sz="12" w:space="0" w:color="auto"/>
              <w:bottom w:val="single" w:sz="12" w:space="0" w:color="auto"/>
            </w:tcBorders>
            <w:shd w:val="clear" w:color="auto" w:fill="auto"/>
            <w:vAlign w:val="center"/>
          </w:tcPr>
          <w:p w14:paraId="554B5DFA" w14:textId="77777777" w:rsidR="00C94483" w:rsidRPr="00C3671E" w:rsidRDefault="00C94483" w:rsidP="00C94483">
            <w:pPr>
              <w:rPr>
                <w:sz w:val="20"/>
                <w:szCs w:val="20"/>
                <w:lang w:val="en-GB"/>
              </w:rPr>
            </w:pPr>
          </w:p>
        </w:tc>
        <w:tc>
          <w:tcPr>
            <w:tcW w:w="2710" w:type="dxa"/>
            <w:gridSpan w:val="2"/>
            <w:tcBorders>
              <w:top w:val="single" w:sz="12" w:space="0" w:color="auto"/>
              <w:bottom w:val="single" w:sz="12" w:space="0" w:color="auto"/>
            </w:tcBorders>
            <w:shd w:val="clear" w:color="auto" w:fill="auto"/>
            <w:vAlign w:val="center"/>
          </w:tcPr>
          <w:p w14:paraId="47611790" w14:textId="77777777" w:rsidR="00C94483" w:rsidRPr="00C3671E" w:rsidRDefault="00C94483" w:rsidP="00C94483">
            <w:pPr>
              <w:jc w:val="center"/>
              <w:rPr>
                <w:sz w:val="20"/>
                <w:szCs w:val="20"/>
                <w:lang w:val="en-GB"/>
              </w:rPr>
            </w:pPr>
            <w:r w:rsidRPr="00C3671E">
              <w:rPr>
                <w:sz w:val="20"/>
                <w:szCs w:val="20"/>
                <w:lang w:val="en-GB"/>
              </w:rPr>
              <w:t>Lower than tertiary</w:t>
            </w:r>
          </w:p>
        </w:tc>
        <w:tc>
          <w:tcPr>
            <w:tcW w:w="2710" w:type="dxa"/>
            <w:gridSpan w:val="2"/>
            <w:tcBorders>
              <w:top w:val="single" w:sz="12" w:space="0" w:color="auto"/>
              <w:bottom w:val="single" w:sz="12" w:space="0" w:color="auto"/>
            </w:tcBorders>
            <w:shd w:val="clear" w:color="auto" w:fill="auto"/>
            <w:vAlign w:val="center"/>
          </w:tcPr>
          <w:p w14:paraId="72D1BDAF" w14:textId="77777777" w:rsidR="00C94483" w:rsidRPr="00C3671E" w:rsidRDefault="00C94483" w:rsidP="00C94483">
            <w:pPr>
              <w:jc w:val="center"/>
              <w:rPr>
                <w:sz w:val="20"/>
                <w:szCs w:val="20"/>
                <w:lang w:val="en-GB"/>
              </w:rPr>
            </w:pPr>
            <w:r w:rsidRPr="00C3671E">
              <w:rPr>
                <w:sz w:val="20"/>
                <w:szCs w:val="20"/>
                <w:lang w:val="en-GB"/>
              </w:rPr>
              <w:t>Tertiary</w:t>
            </w:r>
          </w:p>
        </w:tc>
      </w:tr>
      <w:tr w:rsidR="00C94483" w:rsidRPr="00C3671E" w14:paraId="476177A5" w14:textId="77777777" w:rsidTr="00C94483">
        <w:trPr>
          <w:trHeight w:val="340"/>
        </w:trPr>
        <w:tc>
          <w:tcPr>
            <w:tcW w:w="3544" w:type="dxa"/>
            <w:tcBorders>
              <w:bottom w:val="single" w:sz="12" w:space="0" w:color="auto"/>
            </w:tcBorders>
            <w:shd w:val="clear" w:color="auto" w:fill="auto"/>
            <w:vAlign w:val="center"/>
          </w:tcPr>
          <w:p w14:paraId="4D10FE4C" w14:textId="77777777" w:rsidR="00C94483" w:rsidRPr="00C3671E" w:rsidRDefault="00C94483" w:rsidP="00C94483">
            <w:pPr>
              <w:rPr>
                <w:sz w:val="20"/>
                <w:szCs w:val="20"/>
                <w:lang w:val="en-GB"/>
              </w:rPr>
            </w:pPr>
          </w:p>
        </w:tc>
        <w:tc>
          <w:tcPr>
            <w:tcW w:w="1355" w:type="dxa"/>
            <w:tcBorders>
              <w:bottom w:val="single" w:sz="12" w:space="0" w:color="auto"/>
            </w:tcBorders>
            <w:shd w:val="clear" w:color="auto" w:fill="auto"/>
            <w:vAlign w:val="center"/>
          </w:tcPr>
          <w:p w14:paraId="1FF89249" w14:textId="77777777" w:rsidR="00C94483" w:rsidRPr="00C3671E" w:rsidRDefault="00C94483" w:rsidP="00C94483">
            <w:pPr>
              <w:jc w:val="center"/>
              <w:rPr>
                <w:sz w:val="20"/>
                <w:szCs w:val="20"/>
                <w:lang w:val="en-GB"/>
              </w:rPr>
            </w:pPr>
            <w:r w:rsidRPr="00C3671E">
              <w:rPr>
                <w:sz w:val="20"/>
                <w:szCs w:val="20"/>
                <w:lang w:val="en-GB"/>
              </w:rPr>
              <w:t>Coefficient</w:t>
            </w:r>
          </w:p>
        </w:tc>
        <w:tc>
          <w:tcPr>
            <w:tcW w:w="1355" w:type="dxa"/>
            <w:tcBorders>
              <w:bottom w:val="single" w:sz="12" w:space="0" w:color="auto"/>
            </w:tcBorders>
            <w:vAlign w:val="center"/>
          </w:tcPr>
          <w:p w14:paraId="1E10CAD8" w14:textId="77777777" w:rsidR="00C94483" w:rsidRPr="00C3671E" w:rsidRDefault="00C94483" w:rsidP="00C94483">
            <w:pPr>
              <w:jc w:val="center"/>
              <w:rPr>
                <w:sz w:val="20"/>
                <w:szCs w:val="20"/>
                <w:lang w:val="en-GB"/>
              </w:rPr>
            </w:pPr>
            <w:r w:rsidRPr="00C3671E">
              <w:rPr>
                <w:sz w:val="20"/>
                <w:szCs w:val="20"/>
                <w:lang w:val="en-GB"/>
              </w:rPr>
              <w:t>SE</w:t>
            </w:r>
          </w:p>
        </w:tc>
        <w:tc>
          <w:tcPr>
            <w:tcW w:w="1355" w:type="dxa"/>
            <w:tcBorders>
              <w:bottom w:val="single" w:sz="12" w:space="0" w:color="auto"/>
            </w:tcBorders>
            <w:shd w:val="clear" w:color="auto" w:fill="auto"/>
            <w:vAlign w:val="center"/>
          </w:tcPr>
          <w:p w14:paraId="05428F86" w14:textId="77777777" w:rsidR="00C94483" w:rsidRPr="00C3671E" w:rsidRDefault="00C94483" w:rsidP="00C94483">
            <w:pPr>
              <w:jc w:val="center"/>
              <w:rPr>
                <w:sz w:val="20"/>
                <w:szCs w:val="20"/>
                <w:lang w:val="en-GB"/>
              </w:rPr>
            </w:pPr>
            <w:r w:rsidRPr="00C3671E">
              <w:rPr>
                <w:sz w:val="20"/>
                <w:szCs w:val="20"/>
                <w:lang w:val="en-GB"/>
              </w:rPr>
              <w:t>Coefficient</w:t>
            </w:r>
          </w:p>
        </w:tc>
        <w:tc>
          <w:tcPr>
            <w:tcW w:w="1355" w:type="dxa"/>
            <w:tcBorders>
              <w:bottom w:val="single" w:sz="12" w:space="0" w:color="auto"/>
            </w:tcBorders>
            <w:vAlign w:val="center"/>
          </w:tcPr>
          <w:p w14:paraId="6588ACFE" w14:textId="77777777" w:rsidR="00C94483" w:rsidRPr="00C3671E" w:rsidRDefault="00C94483" w:rsidP="00C94483">
            <w:pPr>
              <w:jc w:val="center"/>
              <w:rPr>
                <w:sz w:val="20"/>
                <w:szCs w:val="20"/>
                <w:lang w:val="en-GB"/>
              </w:rPr>
            </w:pPr>
            <w:r w:rsidRPr="00C3671E">
              <w:rPr>
                <w:sz w:val="20"/>
                <w:szCs w:val="20"/>
                <w:lang w:val="en-GB"/>
              </w:rPr>
              <w:t>SE</w:t>
            </w:r>
          </w:p>
        </w:tc>
      </w:tr>
      <w:tr w:rsidR="00C94483" w:rsidRPr="00C3671E" w14:paraId="596B7E7E" w14:textId="77777777" w:rsidTr="00C94483">
        <w:trPr>
          <w:trHeight w:val="340"/>
        </w:trPr>
        <w:tc>
          <w:tcPr>
            <w:tcW w:w="3544" w:type="dxa"/>
            <w:tcBorders>
              <w:top w:val="single" w:sz="12" w:space="0" w:color="auto"/>
            </w:tcBorders>
            <w:shd w:val="clear" w:color="auto" w:fill="auto"/>
            <w:vAlign w:val="center"/>
          </w:tcPr>
          <w:p w14:paraId="0137D9F3" w14:textId="77777777" w:rsidR="00C94483" w:rsidRPr="00C3671E" w:rsidRDefault="00C94483" w:rsidP="00C94483">
            <w:pPr>
              <w:rPr>
                <w:sz w:val="20"/>
                <w:szCs w:val="20"/>
                <w:lang w:val="en-GB"/>
              </w:rPr>
            </w:pPr>
            <w:r w:rsidRPr="00C3671E">
              <w:rPr>
                <w:sz w:val="20"/>
                <w:szCs w:val="20"/>
                <w:lang w:val="en-GB"/>
              </w:rPr>
              <w:t>Constant</w:t>
            </w:r>
          </w:p>
        </w:tc>
        <w:tc>
          <w:tcPr>
            <w:tcW w:w="1355" w:type="dxa"/>
            <w:tcBorders>
              <w:top w:val="single" w:sz="12" w:space="0" w:color="auto"/>
            </w:tcBorders>
            <w:shd w:val="clear" w:color="auto" w:fill="auto"/>
            <w:vAlign w:val="center"/>
          </w:tcPr>
          <w:p w14:paraId="56B0ED0F" w14:textId="77777777" w:rsidR="00C94483" w:rsidRPr="00C3671E" w:rsidRDefault="00C94483" w:rsidP="00C94483">
            <w:pPr>
              <w:tabs>
                <w:tab w:val="decimal" w:pos="466"/>
              </w:tabs>
              <w:rPr>
                <w:sz w:val="20"/>
                <w:szCs w:val="20"/>
                <w:lang w:val="en-GB"/>
              </w:rPr>
            </w:pPr>
            <w:r w:rsidRPr="00C3671E">
              <w:rPr>
                <w:sz w:val="20"/>
                <w:szCs w:val="20"/>
                <w:lang w:val="en-GB"/>
              </w:rPr>
              <w:t>7.106+</w:t>
            </w:r>
          </w:p>
        </w:tc>
        <w:tc>
          <w:tcPr>
            <w:tcW w:w="1355" w:type="dxa"/>
            <w:tcBorders>
              <w:top w:val="single" w:sz="12" w:space="0" w:color="auto"/>
            </w:tcBorders>
            <w:vAlign w:val="center"/>
          </w:tcPr>
          <w:p w14:paraId="5C83319D" w14:textId="77777777" w:rsidR="00C94483" w:rsidRPr="00C3671E" w:rsidRDefault="00C94483" w:rsidP="00C94483">
            <w:pPr>
              <w:tabs>
                <w:tab w:val="decimal" w:pos="466"/>
              </w:tabs>
              <w:rPr>
                <w:sz w:val="20"/>
                <w:szCs w:val="20"/>
                <w:lang w:val="en-GB"/>
              </w:rPr>
            </w:pPr>
            <w:r w:rsidRPr="00C3671E">
              <w:rPr>
                <w:sz w:val="20"/>
                <w:szCs w:val="20"/>
                <w:lang w:val="en-GB"/>
              </w:rPr>
              <w:t>4.080</w:t>
            </w:r>
          </w:p>
        </w:tc>
        <w:tc>
          <w:tcPr>
            <w:tcW w:w="1355" w:type="dxa"/>
            <w:tcBorders>
              <w:top w:val="single" w:sz="12" w:space="0" w:color="auto"/>
            </w:tcBorders>
            <w:shd w:val="clear" w:color="auto" w:fill="auto"/>
            <w:vAlign w:val="center"/>
          </w:tcPr>
          <w:p w14:paraId="30133F2F" w14:textId="77777777" w:rsidR="00C94483" w:rsidRPr="00C3671E" w:rsidRDefault="00C94483" w:rsidP="00C94483">
            <w:pPr>
              <w:tabs>
                <w:tab w:val="decimal" w:pos="466"/>
              </w:tabs>
              <w:rPr>
                <w:sz w:val="20"/>
                <w:szCs w:val="20"/>
                <w:lang w:val="en-GB"/>
              </w:rPr>
            </w:pPr>
            <w:r w:rsidRPr="00C3671E">
              <w:rPr>
                <w:sz w:val="20"/>
                <w:szCs w:val="20"/>
                <w:lang w:val="en-GB"/>
              </w:rPr>
              <w:t>7.047</w:t>
            </w:r>
          </w:p>
        </w:tc>
        <w:tc>
          <w:tcPr>
            <w:tcW w:w="1355" w:type="dxa"/>
            <w:tcBorders>
              <w:top w:val="single" w:sz="12" w:space="0" w:color="auto"/>
            </w:tcBorders>
            <w:vAlign w:val="center"/>
          </w:tcPr>
          <w:p w14:paraId="6D6BBE2C" w14:textId="77777777" w:rsidR="00C94483" w:rsidRPr="00C3671E" w:rsidRDefault="00C94483" w:rsidP="00C94483">
            <w:pPr>
              <w:tabs>
                <w:tab w:val="decimal" w:pos="466"/>
              </w:tabs>
              <w:rPr>
                <w:sz w:val="20"/>
                <w:szCs w:val="20"/>
                <w:lang w:val="en-GB"/>
              </w:rPr>
            </w:pPr>
            <w:r w:rsidRPr="00C3671E">
              <w:rPr>
                <w:sz w:val="20"/>
                <w:szCs w:val="20"/>
                <w:lang w:val="en-GB"/>
              </w:rPr>
              <w:t>6.316</w:t>
            </w:r>
          </w:p>
        </w:tc>
      </w:tr>
      <w:tr w:rsidR="00C94483" w:rsidRPr="00C3671E" w14:paraId="6782F998" w14:textId="77777777" w:rsidTr="00C94483">
        <w:trPr>
          <w:trHeight w:val="340"/>
        </w:trPr>
        <w:tc>
          <w:tcPr>
            <w:tcW w:w="3544" w:type="dxa"/>
            <w:shd w:val="clear" w:color="auto" w:fill="auto"/>
            <w:vAlign w:val="center"/>
          </w:tcPr>
          <w:p w14:paraId="0BE07FD1" w14:textId="77777777" w:rsidR="00C94483" w:rsidRPr="00C3671E" w:rsidRDefault="00C94483" w:rsidP="00C94483">
            <w:pPr>
              <w:rPr>
                <w:sz w:val="20"/>
                <w:szCs w:val="20"/>
                <w:lang w:val="en-GB"/>
              </w:rPr>
            </w:pPr>
            <w:r w:rsidRPr="00C3671E">
              <w:rPr>
                <w:bCs/>
                <w:sz w:val="20"/>
                <w:szCs w:val="20"/>
                <w:lang w:val="en-GB"/>
              </w:rPr>
              <w:t>Labour force participation</w:t>
            </w:r>
          </w:p>
        </w:tc>
        <w:tc>
          <w:tcPr>
            <w:tcW w:w="1355" w:type="dxa"/>
            <w:shd w:val="clear" w:color="auto" w:fill="auto"/>
            <w:vAlign w:val="center"/>
          </w:tcPr>
          <w:p w14:paraId="3E9438D0" w14:textId="77777777" w:rsidR="00C94483" w:rsidRPr="00C3671E" w:rsidRDefault="00C94483" w:rsidP="00C94483">
            <w:pPr>
              <w:tabs>
                <w:tab w:val="decimal" w:pos="466"/>
              </w:tabs>
              <w:rPr>
                <w:sz w:val="20"/>
                <w:szCs w:val="20"/>
                <w:lang w:val="en-GB"/>
              </w:rPr>
            </w:pPr>
            <w:r w:rsidRPr="00C3671E">
              <w:rPr>
                <w:sz w:val="20"/>
                <w:szCs w:val="20"/>
                <w:lang w:val="en-GB"/>
              </w:rPr>
              <w:t>0.012</w:t>
            </w:r>
          </w:p>
        </w:tc>
        <w:tc>
          <w:tcPr>
            <w:tcW w:w="1355" w:type="dxa"/>
            <w:vAlign w:val="center"/>
          </w:tcPr>
          <w:p w14:paraId="57544CC4" w14:textId="77777777" w:rsidR="00C94483" w:rsidRPr="00C3671E" w:rsidRDefault="00C94483" w:rsidP="00C94483">
            <w:pPr>
              <w:tabs>
                <w:tab w:val="decimal" w:pos="466"/>
              </w:tabs>
              <w:rPr>
                <w:sz w:val="20"/>
                <w:szCs w:val="20"/>
                <w:lang w:val="en-GB"/>
              </w:rPr>
            </w:pPr>
            <w:r w:rsidRPr="00C3671E">
              <w:rPr>
                <w:sz w:val="20"/>
                <w:szCs w:val="20"/>
                <w:lang w:val="en-GB"/>
              </w:rPr>
              <w:t>0.152</w:t>
            </w:r>
          </w:p>
        </w:tc>
        <w:tc>
          <w:tcPr>
            <w:tcW w:w="1355" w:type="dxa"/>
            <w:shd w:val="clear" w:color="auto" w:fill="auto"/>
            <w:vAlign w:val="center"/>
          </w:tcPr>
          <w:p w14:paraId="5811E6CD" w14:textId="77777777" w:rsidR="00C94483" w:rsidRPr="00C3671E" w:rsidRDefault="00C94483" w:rsidP="00C94483">
            <w:pPr>
              <w:tabs>
                <w:tab w:val="decimal" w:pos="466"/>
              </w:tabs>
              <w:rPr>
                <w:sz w:val="20"/>
                <w:szCs w:val="20"/>
                <w:lang w:val="en-GB"/>
              </w:rPr>
            </w:pPr>
            <w:r w:rsidRPr="00C3671E">
              <w:rPr>
                <w:sz w:val="20"/>
                <w:szCs w:val="20"/>
                <w:lang w:val="en-GB"/>
              </w:rPr>
              <w:t>0.021</w:t>
            </w:r>
          </w:p>
        </w:tc>
        <w:tc>
          <w:tcPr>
            <w:tcW w:w="1355" w:type="dxa"/>
            <w:vAlign w:val="center"/>
          </w:tcPr>
          <w:p w14:paraId="41D01A05" w14:textId="77777777" w:rsidR="00C94483" w:rsidRPr="00C3671E" w:rsidRDefault="00C94483" w:rsidP="00C94483">
            <w:pPr>
              <w:tabs>
                <w:tab w:val="decimal" w:pos="466"/>
              </w:tabs>
              <w:rPr>
                <w:sz w:val="20"/>
                <w:szCs w:val="20"/>
                <w:lang w:val="en-GB"/>
              </w:rPr>
            </w:pPr>
            <w:r w:rsidRPr="00C3671E">
              <w:rPr>
                <w:sz w:val="20"/>
                <w:szCs w:val="20"/>
                <w:lang w:val="en-GB"/>
              </w:rPr>
              <w:t>0.214</w:t>
            </w:r>
          </w:p>
        </w:tc>
      </w:tr>
      <w:tr w:rsidR="00C94483" w:rsidRPr="00C3671E" w14:paraId="50D6C66D" w14:textId="77777777" w:rsidTr="00C94483">
        <w:trPr>
          <w:trHeight w:val="340"/>
        </w:trPr>
        <w:tc>
          <w:tcPr>
            <w:tcW w:w="3544" w:type="dxa"/>
            <w:shd w:val="clear" w:color="auto" w:fill="auto"/>
            <w:vAlign w:val="center"/>
          </w:tcPr>
          <w:p w14:paraId="26AE3CDF" w14:textId="77777777" w:rsidR="00C94483" w:rsidRPr="00C3671E" w:rsidRDefault="00C94483" w:rsidP="00C94483">
            <w:pPr>
              <w:rPr>
                <w:sz w:val="20"/>
                <w:szCs w:val="20"/>
                <w:lang w:val="en-GB"/>
              </w:rPr>
            </w:pPr>
            <w:r w:rsidRPr="00C3671E">
              <w:rPr>
                <w:bCs/>
                <w:sz w:val="20"/>
                <w:szCs w:val="20"/>
                <w:lang w:val="en-GB"/>
              </w:rPr>
              <w:t>Caregiving outside household</w:t>
            </w:r>
          </w:p>
        </w:tc>
        <w:tc>
          <w:tcPr>
            <w:tcW w:w="1355" w:type="dxa"/>
            <w:shd w:val="clear" w:color="auto" w:fill="auto"/>
            <w:vAlign w:val="center"/>
          </w:tcPr>
          <w:p w14:paraId="05620C22" w14:textId="77777777" w:rsidR="00C94483" w:rsidRPr="00C3671E" w:rsidRDefault="00C94483" w:rsidP="00C94483">
            <w:pPr>
              <w:tabs>
                <w:tab w:val="decimal" w:pos="466"/>
              </w:tabs>
              <w:rPr>
                <w:sz w:val="20"/>
                <w:szCs w:val="20"/>
                <w:lang w:val="en-GB"/>
              </w:rPr>
            </w:pPr>
            <w:r w:rsidRPr="00C3671E">
              <w:rPr>
                <w:sz w:val="20"/>
                <w:szCs w:val="20"/>
                <w:lang w:val="en-GB"/>
              </w:rPr>
              <w:t>-0.038</w:t>
            </w:r>
          </w:p>
        </w:tc>
        <w:tc>
          <w:tcPr>
            <w:tcW w:w="1355" w:type="dxa"/>
            <w:vAlign w:val="center"/>
          </w:tcPr>
          <w:p w14:paraId="1D783504" w14:textId="77777777" w:rsidR="00C94483" w:rsidRPr="00C3671E" w:rsidRDefault="00C94483" w:rsidP="00C94483">
            <w:pPr>
              <w:tabs>
                <w:tab w:val="decimal" w:pos="466"/>
              </w:tabs>
              <w:rPr>
                <w:sz w:val="20"/>
                <w:szCs w:val="20"/>
                <w:lang w:val="en-GB"/>
              </w:rPr>
            </w:pPr>
            <w:r w:rsidRPr="00C3671E">
              <w:rPr>
                <w:sz w:val="20"/>
                <w:szCs w:val="20"/>
                <w:lang w:val="en-GB"/>
              </w:rPr>
              <w:t>0.080</w:t>
            </w:r>
          </w:p>
        </w:tc>
        <w:tc>
          <w:tcPr>
            <w:tcW w:w="1355" w:type="dxa"/>
            <w:shd w:val="clear" w:color="auto" w:fill="auto"/>
            <w:vAlign w:val="center"/>
          </w:tcPr>
          <w:p w14:paraId="2796AAEE" w14:textId="77777777" w:rsidR="00C94483" w:rsidRPr="00C3671E" w:rsidRDefault="00C94483" w:rsidP="00C94483">
            <w:pPr>
              <w:tabs>
                <w:tab w:val="decimal" w:pos="466"/>
              </w:tabs>
              <w:rPr>
                <w:sz w:val="20"/>
                <w:szCs w:val="20"/>
                <w:lang w:val="en-GB"/>
              </w:rPr>
            </w:pPr>
            <w:r w:rsidRPr="00C3671E">
              <w:rPr>
                <w:sz w:val="20"/>
                <w:szCs w:val="20"/>
                <w:lang w:val="en-GB"/>
              </w:rPr>
              <w:t>-0.062</w:t>
            </w:r>
          </w:p>
        </w:tc>
        <w:tc>
          <w:tcPr>
            <w:tcW w:w="1355" w:type="dxa"/>
            <w:vAlign w:val="center"/>
          </w:tcPr>
          <w:p w14:paraId="5A282315" w14:textId="77777777" w:rsidR="00C94483" w:rsidRPr="00C3671E" w:rsidRDefault="00C94483" w:rsidP="00C94483">
            <w:pPr>
              <w:tabs>
                <w:tab w:val="decimal" w:pos="466"/>
              </w:tabs>
              <w:rPr>
                <w:sz w:val="20"/>
                <w:szCs w:val="20"/>
                <w:lang w:val="en-GB"/>
              </w:rPr>
            </w:pPr>
            <w:r w:rsidRPr="00C3671E">
              <w:rPr>
                <w:sz w:val="20"/>
                <w:szCs w:val="20"/>
                <w:lang w:val="en-GB"/>
              </w:rPr>
              <w:t>0.124</w:t>
            </w:r>
          </w:p>
        </w:tc>
      </w:tr>
      <w:tr w:rsidR="00C94483" w:rsidRPr="00C3671E" w14:paraId="59A83ADD" w14:textId="77777777" w:rsidTr="00C94483">
        <w:trPr>
          <w:trHeight w:val="340"/>
        </w:trPr>
        <w:tc>
          <w:tcPr>
            <w:tcW w:w="3544" w:type="dxa"/>
            <w:shd w:val="clear" w:color="auto" w:fill="auto"/>
            <w:vAlign w:val="center"/>
          </w:tcPr>
          <w:p w14:paraId="5A872FB8" w14:textId="77777777" w:rsidR="00C94483" w:rsidRPr="00C3671E" w:rsidRDefault="00C94483" w:rsidP="00C94483">
            <w:pPr>
              <w:rPr>
                <w:sz w:val="20"/>
                <w:szCs w:val="20"/>
                <w:lang w:val="en-GB"/>
              </w:rPr>
            </w:pPr>
            <w:r w:rsidRPr="00C3671E">
              <w:rPr>
                <w:bCs/>
                <w:sz w:val="20"/>
                <w:szCs w:val="20"/>
                <w:lang w:val="en-GB"/>
              </w:rPr>
              <w:t>Caregiving within household</w:t>
            </w:r>
          </w:p>
        </w:tc>
        <w:tc>
          <w:tcPr>
            <w:tcW w:w="1355" w:type="dxa"/>
            <w:shd w:val="clear" w:color="auto" w:fill="auto"/>
            <w:vAlign w:val="center"/>
          </w:tcPr>
          <w:p w14:paraId="0F3E83CF" w14:textId="77777777" w:rsidR="00C94483" w:rsidRPr="00C3671E" w:rsidRDefault="00C94483" w:rsidP="00C94483">
            <w:pPr>
              <w:tabs>
                <w:tab w:val="decimal" w:pos="466"/>
              </w:tabs>
              <w:rPr>
                <w:sz w:val="20"/>
                <w:szCs w:val="20"/>
                <w:lang w:val="en-GB"/>
              </w:rPr>
            </w:pPr>
            <w:r w:rsidRPr="00C3671E">
              <w:rPr>
                <w:sz w:val="20"/>
                <w:szCs w:val="20"/>
                <w:lang w:val="en-GB"/>
              </w:rPr>
              <w:t>-0.913***</w:t>
            </w:r>
          </w:p>
        </w:tc>
        <w:tc>
          <w:tcPr>
            <w:tcW w:w="1355" w:type="dxa"/>
            <w:vAlign w:val="center"/>
          </w:tcPr>
          <w:p w14:paraId="6C534721" w14:textId="77777777" w:rsidR="00C94483" w:rsidRPr="00C3671E" w:rsidRDefault="00C94483" w:rsidP="00C94483">
            <w:pPr>
              <w:tabs>
                <w:tab w:val="decimal" w:pos="466"/>
              </w:tabs>
              <w:rPr>
                <w:sz w:val="20"/>
                <w:szCs w:val="20"/>
                <w:lang w:val="en-GB"/>
              </w:rPr>
            </w:pPr>
            <w:r w:rsidRPr="00C3671E">
              <w:rPr>
                <w:sz w:val="20"/>
                <w:szCs w:val="20"/>
                <w:lang w:val="en-GB"/>
              </w:rPr>
              <w:t>0.000</w:t>
            </w:r>
          </w:p>
        </w:tc>
        <w:tc>
          <w:tcPr>
            <w:tcW w:w="1355" w:type="dxa"/>
            <w:shd w:val="clear" w:color="auto" w:fill="auto"/>
            <w:vAlign w:val="center"/>
          </w:tcPr>
          <w:p w14:paraId="51DCC043" w14:textId="77777777" w:rsidR="00C94483" w:rsidRPr="00C3671E" w:rsidRDefault="00C94483" w:rsidP="00C94483">
            <w:pPr>
              <w:tabs>
                <w:tab w:val="decimal" w:pos="466"/>
              </w:tabs>
              <w:rPr>
                <w:sz w:val="20"/>
                <w:szCs w:val="20"/>
                <w:lang w:val="en-GB"/>
              </w:rPr>
            </w:pPr>
            <w:r w:rsidRPr="00C3671E">
              <w:rPr>
                <w:sz w:val="20"/>
                <w:szCs w:val="20"/>
                <w:lang w:val="en-GB"/>
              </w:rPr>
              <w:t>-0.867**</w:t>
            </w:r>
          </w:p>
        </w:tc>
        <w:tc>
          <w:tcPr>
            <w:tcW w:w="1355" w:type="dxa"/>
            <w:vAlign w:val="center"/>
          </w:tcPr>
          <w:p w14:paraId="1CC8AD2C" w14:textId="77777777" w:rsidR="00C94483" w:rsidRPr="00C3671E" w:rsidRDefault="00C94483" w:rsidP="00C94483">
            <w:pPr>
              <w:tabs>
                <w:tab w:val="decimal" w:pos="466"/>
              </w:tabs>
              <w:rPr>
                <w:sz w:val="20"/>
                <w:szCs w:val="20"/>
                <w:lang w:val="en-GB"/>
              </w:rPr>
            </w:pPr>
            <w:r w:rsidRPr="00C3671E">
              <w:rPr>
                <w:sz w:val="20"/>
                <w:szCs w:val="20"/>
                <w:lang w:val="en-GB"/>
              </w:rPr>
              <w:t>0.277</w:t>
            </w:r>
          </w:p>
        </w:tc>
      </w:tr>
      <w:tr w:rsidR="00C94483" w:rsidRPr="00C3671E" w14:paraId="4568E5F4" w14:textId="77777777" w:rsidTr="00C94483">
        <w:trPr>
          <w:trHeight w:val="340"/>
        </w:trPr>
        <w:tc>
          <w:tcPr>
            <w:tcW w:w="3544" w:type="dxa"/>
            <w:shd w:val="clear" w:color="auto" w:fill="auto"/>
            <w:vAlign w:val="center"/>
          </w:tcPr>
          <w:p w14:paraId="25E70DDF" w14:textId="77777777" w:rsidR="00C94483" w:rsidRPr="00C3671E" w:rsidRDefault="00C94483" w:rsidP="00C94483">
            <w:pPr>
              <w:rPr>
                <w:sz w:val="20"/>
                <w:szCs w:val="20"/>
                <w:lang w:val="en-GB"/>
              </w:rPr>
            </w:pPr>
            <w:r w:rsidRPr="00C3671E">
              <w:rPr>
                <w:bCs/>
                <w:sz w:val="20"/>
                <w:szCs w:val="20"/>
                <w:lang w:val="en-GB"/>
              </w:rPr>
              <w:t>Volunteering</w:t>
            </w:r>
          </w:p>
        </w:tc>
        <w:tc>
          <w:tcPr>
            <w:tcW w:w="1355" w:type="dxa"/>
            <w:shd w:val="clear" w:color="auto" w:fill="auto"/>
            <w:vAlign w:val="center"/>
          </w:tcPr>
          <w:p w14:paraId="2C0BF8D5" w14:textId="77777777" w:rsidR="00C94483" w:rsidRPr="00C3671E" w:rsidRDefault="00C94483" w:rsidP="00C94483">
            <w:pPr>
              <w:tabs>
                <w:tab w:val="decimal" w:pos="466"/>
              </w:tabs>
              <w:rPr>
                <w:sz w:val="20"/>
                <w:szCs w:val="20"/>
                <w:lang w:val="en-GB"/>
              </w:rPr>
            </w:pPr>
            <w:r w:rsidRPr="00C3671E">
              <w:rPr>
                <w:sz w:val="20"/>
                <w:szCs w:val="20"/>
                <w:lang w:val="en-GB"/>
              </w:rPr>
              <w:t>0.207+</w:t>
            </w:r>
          </w:p>
        </w:tc>
        <w:tc>
          <w:tcPr>
            <w:tcW w:w="1355" w:type="dxa"/>
            <w:vAlign w:val="center"/>
          </w:tcPr>
          <w:p w14:paraId="6255CE88" w14:textId="77777777" w:rsidR="00C94483" w:rsidRPr="00C3671E" w:rsidRDefault="00C94483" w:rsidP="00C94483">
            <w:pPr>
              <w:tabs>
                <w:tab w:val="decimal" w:pos="466"/>
              </w:tabs>
              <w:rPr>
                <w:sz w:val="20"/>
                <w:szCs w:val="20"/>
                <w:lang w:val="en-GB"/>
              </w:rPr>
            </w:pPr>
            <w:r w:rsidRPr="00C3671E">
              <w:rPr>
                <w:sz w:val="20"/>
                <w:szCs w:val="20"/>
                <w:lang w:val="en-GB"/>
              </w:rPr>
              <w:t>0.114</w:t>
            </w:r>
          </w:p>
        </w:tc>
        <w:tc>
          <w:tcPr>
            <w:tcW w:w="1355" w:type="dxa"/>
            <w:shd w:val="clear" w:color="auto" w:fill="auto"/>
            <w:vAlign w:val="center"/>
          </w:tcPr>
          <w:p w14:paraId="10E1185E" w14:textId="77777777" w:rsidR="00C94483" w:rsidRPr="00C3671E" w:rsidRDefault="00C94483" w:rsidP="00C94483">
            <w:pPr>
              <w:tabs>
                <w:tab w:val="decimal" w:pos="466"/>
              </w:tabs>
              <w:rPr>
                <w:sz w:val="20"/>
                <w:szCs w:val="20"/>
                <w:lang w:val="en-GB"/>
              </w:rPr>
            </w:pPr>
            <w:r w:rsidRPr="00C3671E">
              <w:rPr>
                <w:sz w:val="20"/>
                <w:szCs w:val="20"/>
                <w:lang w:val="en-GB"/>
              </w:rPr>
              <w:t>0.463**</w:t>
            </w:r>
          </w:p>
        </w:tc>
        <w:tc>
          <w:tcPr>
            <w:tcW w:w="1355" w:type="dxa"/>
            <w:vAlign w:val="center"/>
          </w:tcPr>
          <w:p w14:paraId="26708346" w14:textId="77777777" w:rsidR="00C94483" w:rsidRPr="00C3671E" w:rsidRDefault="00C94483" w:rsidP="00C94483">
            <w:pPr>
              <w:tabs>
                <w:tab w:val="decimal" w:pos="466"/>
              </w:tabs>
              <w:rPr>
                <w:sz w:val="20"/>
                <w:szCs w:val="20"/>
                <w:lang w:val="en-GB"/>
              </w:rPr>
            </w:pPr>
            <w:r w:rsidRPr="00C3671E">
              <w:rPr>
                <w:sz w:val="20"/>
                <w:szCs w:val="20"/>
                <w:lang w:val="en-GB"/>
              </w:rPr>
              <w:t>0.155</w:t>
            </w:r>
          </w:p>
        </w:tc>
      </w:tr>
      <w:tr w:rsidR="00C94483" w:rsidRPr="00C3671E" w14:paraId="1C840BD7" w14:textId="77777777" w:rsidTr="00C94483">
        <w:trPr>
          <w:trHeight w:val="340"/>
        </w:trPr>
        <w:tc>
          <w:tcPr>
            <w:tcW w:w="3544" w:type="dxa"/>
            <w:shd w:val="clear" w:color="auto" w:fill="auto"/>
            <w:vAlign w:val="center"/>
          </w:tcPr>
          <w:p w14:paraId="644A8D17" w14:textId="77777777" w:rsidR="00C94483" w:rsidRPr="00C3671E" w:rsidRDefault="00C94483" w:rsidP="00C94483">
            <w:pPr>
              <w:rPr>
                <w:sz w:val="20"/>
                <w:szCs w:val="20"/>
                <w:lang w:val="en-GB"/>
              </w:rPr>
            </w:pPr>
            <w:r w:rsidRPr="00C3671E">
              <w:rPr>
                <w:bCs/>
                <w:sz w:val="20"/>
                <w:szCs w:val="20"/>
                <w:lang w:val="en-GB"/>
              </w:rPr>
              <w:t>Educational course</w:t>
            </w:r>
          </w:p>
        </w:tc>
        <w:tc>
          <w:tcPr>
            <w:tcW w:w="1355" w:type="dxa"/>
            <w:shd w:val="clear" w:color="auto" w:fill="auto"/>
            <w:vAlign w:val="center"/>
          </w:tcPr>
          <w:p w14:paraId="1B13A830" w14:textId="77777777" w:rsidR="00C94483" w:rsidRPr="00C3671E" w:rsidRDefault="00C94483" w:rsidP="00C94483">
            <w:pPr>
              <w:tabs>
                <w:tab w:val="decimal" w:pos="466"/>
              </w:tabs>
              <w:rPr>
                <w:sz w:val="20"/>
                <w:szCs w:val="20"/>
                <w:lang w:val="en-GB"/>
              </w:rPr>
            </w:pPr>
            <w:r w:rsidRPr="00C3671E">
              <w:rPr>
                <w:sz w:val="20"/>
                <w:szCs w:val="20"/>
                <w:lang w:val="en-GB"/>
              </w:rPr>
              <w:t>0.014</w:t>
            </w:r>
          </w:p>
        </w:tc>
        <w:tc>
          <w:tcPr>
            <w:tcW w:w="1355" w:type="dxa"/>
            <w:vAlign w:val="center"/>
          </w:tcPr>
          <w:p w14:paraId="5C280470" w14:textId="77777777" w:rsidR="00C94483" w:rsidRPr="00C3671E" w:rsidRDefault="00C94483" w:rsidP="00C94483">
            <w:pPr>
              <w:tabs>
                <w:tab w:val="decimal" w:pos="466"/>
              </w:tabs>
              <w:rPr>
                <w:sz w:val="20"/>
                <w:szCs w:val="20"/>
                <w:lang w:val="en-GB"/>
              </w:rPr>
            </w:pPr>
            <w:r w:rsidRPr="00C3671E">
              <w:rPr>
                <w:sz w:val="20"/>
                <w:szCs w:val="20"/>
                <w:lang w:val="en-GB"/>
              </w:rPr>
              <w:t>0.153</w:t>
            </w:r>
          </w:p>
        </w:tc>
        <w:tc>
          <w:tcPr>
            <w:tcW w:w="1355" w:type="dxa"/>
            <w:shd w:val="clear" w:color="auto" w:fill="auto"/>
            <w:vAlign w:val="center"/>
          </w:tcPr>
          <w:p w14:paraId="063F3613" w14:textId="77777777" w:rsidR="00C94483" w:rsidRPr="00C3671E" w:rsidRDefault="00C94483" w:rsidP="00C94483">
            <w:pPr>
              <w:tabs>
                <w:tab w:val="decimal" w:pos="466"/>
              </w:tabs>
              <w:rPr>
                <w:sz w:val="20"/>
                <w:szCs w:val="20"/>
                <w:lang w:val="en-GB"/>
              </w:rPr>
            </w:pPr>
            <w:r w:rsidRPr="00C3671E">
              <w:rPr>
                <w:sz w:val="20"/>
                <w:szCs w:val="20"/>
                <w:lang w:val="en-GB"/>
              </w:rPr>
              <w:t>-0.043</w:t>
            </w:r>
          </w:p>
        </w:tc>
        <w:tc>
          <w:tcPr>
            <w:tcW w:w="1355" w:type="dxa"/>
            <w:vAlign w:val="center"/>
          </w:tcPr>
          <w:p w14:paraId="420A3445" w14:textId="77777777" w:rsidR="00C94483" w:rsidRPr="00C3671E" w:rsidRDefault="00C94483" w:rsidP="00C94483">
            <w:pPr>
              <w:tabs>
                <w:tab w:val="decimal" w:pos="466"/>
              </w:tabs>
              <w:rPr>
                <w:sz w:val="20"/>
                <w:szCs w:val="20"/>
                <w:lang w:val="en-GB"/>
              </w:rPr>
            </w:pPr>
            <w:r w:rsidRPr="00C3671E">
              <w:rPr>
                <w:sz w:val="20"/>
                <w:szCs w:val="20"/>
                <w:lang w:val="en-GB"/>
              </w:rPr>
              <w:t>0.153</w:t>
            </w:r>
          </w:p>
        </w:tc>
      </w:tr>
      <w:tr w:rsidR="00C94483" w:rsidRPr="00C3671E" w14:paraId="556EC036" w14:textId="77777777" w:rsidTr="00C94483">
        <w:trPr>
          <w:trHeight w:val="340"/>
        </w:trPr>
        <w:tc>
          <w:tcPr>
            <w:tcW w:w="3544" w:type="dxa"/>
            <w:shd w:val="clear" w:color="auto" w:fill="auto"/>
            <w:vAlign w:val="center"/>
          </w:tcPr>
          <w:p w14:paraId="10C7099B" w14:textId="77777777" w:rsidR="00C94483" w:rsidRPr="00C3671E" w:rsidRDefault="00C94483" w:rsidP="00C94483">
            <w:pPr>
              <w:rPr>
                <w:sz w:val="20"/>
                <w:szCs w:val="20"/>
                <w:lang w:val="en-GB"/>
              </w:rPr>
            </w:pPr>
            <w:r w:rsidRPr="00C3671E">
              <w:rPr>
                <w:bCs/>
                <w:sz w:val="20"/>
                <w:szCs w:val="20"/>
                <w:lang w:val="en-GB"/>
              </w:rPr>
              <w:t>Sport or social club</w:t>
            </w:r>
          </w:p>
        </w:tc>
        <w:tc>
          <w:tcPr>
            <w:tcW w:w="1355" w:type="dxa"/>
            <w:shd w:val="clear" w:color="auto" w:fill="auto"/>
            <w:vAlign w:val="center"/>
          </w:tcPr>
          <w:p w14:paraId="3EC83243" w14:textId="77777777" w:rsidR="00C94483" w:rsidRPr="00C3671E" w:rsidRDefault="00C94483" w:rsidP="00C94483">
            <w:pPr>
              <w:tabs>
                <w:tab w:val="decimal" w:pos="466"/>
              </w:tabs>
              <w:rPr>
                <w:sz w:val="20"/>
                <w:szCs w:val="20"/>
                <w:lang w:val="en-GB"/>
              </w:rPr>
            </w:pPr>
            <w:r w:rsidRPr="00C3671E">
              <w:rPr>
                <w:sz w:val="20"/>
                <w:szCs w:val="20"/>
                <w:lang w:val="en-GB"/>
              </w:rPr>
              <w:t>0.252**</w:t>
            </w:r>
          </w:p>
        </w:tc>
        <w:tc>
          <w:tcPr>
            <w:tcW w:w="1355" w:type="dxa"/>
            <w:vAlign w:val="center"/>
          </w:tcPr>
          <w:p w14:paraId="213CFB99" w14:textId="77777777" w:rsidR="00C94483" w:rsidRPr="00C3671E" w:rsidRDefault="00C94483" w:rsidP="00C94483">
            <w:pPr>
              <w:tabs>
                <w:tab w:val="decimal" w:pos="466"/>
              </w:tabs>
              <w:rPr>
                <w:sz w:val="20"/>
                <w:szCs w:val="20"/>
                <w:lang w:val="en-GB"/>
              </w:rPr>
            </w:pPr>
            <w:r w:rsidRPr="00C3671E">
              <w:rPr>
                <w:sz w:val="20"/>
                <w:szCs w:val="20"/>
                <w:lang w:val="en-GB"/>
              </w:rPr>
              <w:t>0.091</w:t>
            </w:r>
          </w:p>
        </w:tc>
        <w:tc>
          <w:tcPr>
            <w:tcW w:w="1355" w:type="dxa"/>
            <w:shd w:val="clear" w:color="auto" w:fill="auto"/>
            <w:vAlign w:val="center"/>
          </w:tcPr>
          <w:p w14:paraId="3B8CEC75" w14:textId="77777777" w:rsidR="00C94483" w:rsidRPr="00C3671E" w:rsidRDefault="00C94483" w:rsidP="00C94483">
            <w:pPr>
              <w:tabs>
                <w:tab w:val="decimal" w:pos="466"/>
              </w:tabs>
              <w:rPr>
                <w:sz w:val="20"/>
                <w:szCs w:val="20"/>
                <w:lang w:val="en-GB"/>
              </w:rPr>
            </w:pPr>
            <w:r w:rsidRPr="00C3671E">
              <w:rPr>
                <w:sz w:val="20"/>
                <w:szCs w:val="20"/>
                <w:lang w:val="en-GB"/>
              </w:rPr>
              <w:t>0.167</w:t>
            </w:r>
          </w:p>
        </w:tc>
        <w:tc>
          <w:tcPr>
            <w:tcW w:w="1355" w:type="dxa"/>
            <w:vAlign w:val="center"/>
          </w:tcPr>
          <w:p w14:paraId="2858101C" w14:textId="77777777" w:rsidR="00C94483" w:rsidRPr="00C3671E" w:rsidRDefault="00C94483" w:rsidP="00C94483">
            <w:pPr>
              <w:tabs>
                <w:tab w:val="decimal" w:pos="466"/>
              </w:tabs>
              <w:rPr>
                <w:sz w:val="20"/>
                <w:szCs w:val="20"/>
                <w:lang w:val="en-GB"/>
              </w:rPr>
            </w:pPr>
            <w:r w:rsidRPr="00C3671E">
              <w:rPr>
                <w:sz w:val="20"/>
                <w:szCs w:val="20"/>
                <w:lang w:val="en-GB"/>
              </w:rPr>
              <w:t>0.131</w:t>
            </w:r>
          </w:p>
        </w:tc>
      </w:tr>
      <w:tr w:rsidR="00C94483" w:rsidRPr="00C3671E" w14:paraId="68E57B3C" w14:textId="77777777" w:rsidTr="00C94483">
        <w:trPr>
          <w:trHeight w:val="340"/>
        </w:trPr>
        <w:tc>
          <w:tcPr>
            <w:tcW w:w="3544" w:type="dxa"/>
            <w:shd w:val="clear" w:color="auto" w:fill="auto"/>
            <w:vAlign w:val="center"/>
          </w:tcPr>
          <w:p w14:paraId="14D0C0BF" w14:textId="77777777" w:rsidR="00C94483" w:rsidRPr="00C3671E" w:rsidRDefault="00C94483" w:rsidP="00C94483">
            <w:pPr>
              <w:rPr>
                <w:sz w:val="20"/>
                <w:szCs w:val="20"/>
                <w:lang w:val="en-GB"/>
              </w:rPr>
            </w:pPr>
            <w:r w:rsidRPr="00C3671E">
              <w:rPr>
                <w:bCs/>
                <w:sz w:val="20"/>
                <w:szCs w:val="20"/>
                <w:lang w:val="en-GB"/>
              </w:rPr>
              <w:t>Political organization</w:t>
            </w:r>
          </w:p>
        </w:tc>
        <w:tc>
          <w:tcPr>
            <w:tcW w:w="1355" w:type="dxa"/>
            <w:shd w:val="clear" w:color="auto" w:fill="auto"/>
            <w:vAlign w:val="center"/>
          </w:tcPr>
          <w:p w14:paraId="277F0CCC" w14:textId="77777777" w:rsidR="00C94483" w:rsidRPr="00C3671E" w:rsidRDefault="00C94483" w:rsidP="00C94483">
            <w:pPr>
              <w:tabs>
                <w:tab w:val="decimal" w:pos="466"/>
              </w:tabs>
              <w:rPr>
                <w:sz w:val="20"/>
                <w:szCs w:val="20"/>
                <w:lang w:val="en-GB"/>
              </w:rPr>
            </w:pPr>
            <w:r w:rsidRPr="00C3671E">
              <w:rPr>
                <w:sz w:val="20"/>
                <w:szCs w:val="20"/>
                <w:lang w:val="en-GB"/>
              </w:rPr>
              <w:t>-0.087</w:t>
            </w:r>
          </w:p>
        </w:tc>
        <w:tc>
          <w:tcPr>
            <w:tcW w:w="1355" w:type="dxa"/>
            <w:vAlign w:val="center"/>
          </w:tcPr>
          <w:p w14:paraId="501AA46F" w14:textId="77777777" w:rsidR="00C94483" w:rsidRPr="00C3671E" w:rsidRDefault="00C94483" w:rsidP="00C94483">
            <w:pPr>
              <w:tabs>
                <w:tab w:val="decimal" w:pos="466"/>
              </w:tabs>
              <w:rPr>
                <w:sz w:val="20"/>
                <w:szCs w:val="20"/>
                <w:lang w:val="en-GB"/>
              </w:rPr>
            </w:pPr>
            <w:r w:rsidRPr="00C3671E">
              <w:rPr>
                <w:sz w:val="20"/>
                <w:szCs w:val="20"/>
                <w:lang w:val="en-GB"/>
              </w:rPr>
              <w:t>0.185</w:t>
            </w:r>
          </w:p>
        </w:tc>
        <w:tc>
          <w:tcPr>
            <w:tcW w:w="1355" w:type="dxa"/>
            <w:shd w:val="clear" w:color="auto" w:fill="auto"/>
            <w:vAlign w:val="center"/>
          </w:tcPr>
          <w:p w14:paraId="29230440" w14:textId="77777777" w:rsidR="00C94483" w:rsidRPr="00C3671E" w:rsidRDefault="00C94483" w:rsidP="00C94483">
            <w:pPr>
              <w:tabs>
                <w:tab w:val="decimal" w:pos="466"/>
              </w:tabs>
              <w:rPr>
                <w:sz w:val="20"/>
                <w:szCs w:val="20"/>
                <w:lang w:val="en-GB"/>
              </w:rPr>
            </w:pPr>
            <w:r w:rsidRPr="00C3671E">
              <w:rPr>
                <w:sz w:val="20"/>
                <w:szCs w:val="20"/>
                <w:lang w:val="en-GB"/>
              </w:rPr>
              <w:t>0.053</w:t>
            </w:r>
          </w:p>
        </w:tc>
        <w:tc>
          <w:tcPr>
            <w:tcW w:w="1355" w:type="dxa"/>
            <w:vAlign w:val="center"/>
          </w:tcPr>
          <w:p w14:paraId="3F66E17E" w14:textId="77777777" w:rsidR="00C94483" w:rsidRPr="00C3671E" w:rsidRDefault="00C94483" w:rsidP="00C94483">
            <w:pPr>
              <w:tabs>
                <w:tab w:val="decimal" w:pos="466"/>
              </w:tabs>
              <w:rPr>
                <w:sz w:val="20"/>
                <w:szCs w:val="20"/>
                <w:lang w:val="en-GB"/>
              </w:rPr>
            </w:pPr>
            <w:r w:rsidRPr="00C3671E">
              <w:rPr>
                <w:sz w:val="20"/>
                <w:szCs w:val="20"/>
                <w:lang w:val="en-GB"/>
              </w:rPr>
              <w:t>0.211</w:t>
            </w:r>
          </w:p>
        </w:tc>
      </w:tr>
      <w:tr w:rsidR="00C94483" w:rsidRPr="00C3671E" w14:paraId="75A2A4FB" w14:textId="77777777" w:rsidTr="00C94483">
        <w:trPr>
          <w:trHeight w:val="340"/>
        </w:trPr>
        <w:tc>
          <w:tcPr>
            <w:tcW w:w="3544" w:type="dxa"/>
            <w:shd w:val="clear" w:color="auto" w:fill="auto"/>
            <w:vAlign w:val="center"/>
          </w:tcPr>
          <w:p w14:paraId="46B58C2E" w14:textId="77777777" w:rsidR="00C94483" w:rsidRPr="00C3671E" w:rsidRDefault="00C94483" w:rsidP="00C94483">
            <w:pPr>
              <w:rPr>
                <w:sz w:val="20"/>
                <w:szCs w:val="20"/>
                <w:lang w:val="en-GB"/>
              </w:rPr>
            </w:pPr>
            <w:r w:rsidRPr="00C3671E">
              <w:rPr>
                <w:bCs/>
                <w:sz w:val="20"/>
                <w:szCs w:val="20"/>
                <w:lang w:val="en-GB"/>
              </w:rPr>
              <w:t>Physical activity</w:t>
            </w:r>
          </w:p>
        </w:tc>
        <w:tc>
          <w:tcPr>
            <w:tcW w:w="1355" w:type="dxa"/>
            <w:shd w:val="clear" w:color="auto" w:fill="auto"/>
            <w:vAlign w:val="center"/>
          </w:tcPr>
          <w:p w14:paraId="3DCFA351" w14:textId="77777777" w:rsidR="00C94483" w:rsidRPr="00C3671E" w:rsidRDefault="00C94483" w:rsidP="00C94483">
            <w:pPr>
              <w:tabs>
                <w:tab w:val="decimal" w:pos="466"/>
              </w:tabs>
              <w:rPr>
                <w:sz w:val="20"/>
                <w:szCs w:val="20"/>
                <w:lang w:val="en-GB"/>
              </w:rPr>
            </w:pPr>
            <w:r w:rsidRPr="00C3671E">
              <w:rPr>
                <w:sz w:val="20"/>
                <w:szCs w:val="20"/>
                <w:lang w:val="en-GB"/>
              </w:rPr>
              <w:t>0.216**</w:t>
            </w:r>
          </w:p>
        </w:tc>
        <w:tc>
          <w:tcPr>
            <w:tcW w:w="1355" w:type="dxa"/>
            <w:vAlign w:val="center"/>
          </w:tcPr>
          <w:p w14:paraId="61B935C3" w14:textId="77777777" w:rsidR="00C94483" w:rsidRPr="00C3671E" w:rsidRDefault="00C94483" w:rsidP="00C94483">
            <w:pPr>
              <w:tabs>
                <w:tab w:val="decimal" w:pos="466"/>
              </w:tabs>
              <w:rPr>
                <w:sz w:val="20"/>
                <w:szCs w:val="20"/>
                <w:lang w:val="en-GB"/>
              </w:rPr>
            </w:pPr>
            <w:r w:rsidRPr="00C3671E">
              <w:rPr>
                <w:sz w:val="20"/>
                <w:szCs w:val="20"/>
                <w:lang w:val="en-GB"/>
              </w:rPr>
              <w:t>0.079</w:t>
            </w:r>
          </w:p>
        </w:tc>
        <w:tc>
          <w:tcPr>
            <w:tcW w:w="1355" w:type="dxa"/>
            <w:shd w:val="clear" w:color="auto" w:fill="auto"/>
            <w:vAlign w:val="center"/>
          </w:tcPr>
          <w:p w14:paraId="195063CB" w14:textId="77777777" w:rsidR="00C94483" w:rsidRPr="00C3671E" w:rsidRDefault="00C94483" w:rsidP="00C94483">
            <w:pPr>
              <w:tabs>
                <w:tab w:val="decimal" w:pos="466"/>
              </w:tabs>
              <w:rPr>
                <w:sz w:val="20"/>
                <w:szCs w:val="20"/>
                <w:lang w:val="en-GB"/>
              </w:rPr>
            </w:pPr>
            <w:r w:rsidRPr="00C3671E">
              <w:rPr>
                <w:sz w:val="20"/>
                <w:szCs w:val="20"/>
                <w:lang w:val="en-GB"/>
              </w:rPr>
              <w:t>0.124</w:t>
            </w:r>
          </w:p>
        </w:tc>
        <w:tc>
          <w:tcPr>
            <w:tcW w:w="1355" w:type="dxa"/>
            <w:vAlign w:val="center"/>
          </w:tcPr>
          <w:p w14:paraId="3C111014" w14:textId="77777777" w:rsidR="00C94483" w:rsidRPr="00C3671E" w:rsidRDefault="00C94483" w:rsidP="00C94483">
            <w:pPr>
              <w:tabs>
                <w:tab w:val="decimal" w:pos="466"/>
              </w:tabs>
              <w:rPr>
                <w:sz w:val="20"/>
                <w:szCs w:val="20"/>
                <w:lang w:val="en-GB"/>
              </w:rPr>
            </w:pPr>
            <w:r w:rsidRPr="00C3671E">
              <w:rPr>
                <w:sz w:val="20"/>
                <w:szCs w:val="20"/>
                <w:lang w:val="en-GB"/>
              </w:rPr>
              <w:t>0.133</w:t>
            </w:r>
          </w:p>
        </w:tc>
      </w:tr>
      <w:tr w:rsidR="00C94483" w:rsidRPr="00C3671E" w14:paraId="499A5AF5" w14:textId="77777777" w:rsidTr="00C94483">
        <w:trPr>
          <w:trHeight w:val="340"/>
        </w:trPr>
        <w:tc>
          <w:tcPr>
            <w:tcW w:w="3544" w:type="dxa"/>
            <w:shd w:val="clear" w:color="auto" w:fill="auto"/>
            <w:vAlign w:val="center"/>
          </w:tcPr>
          <w:p w14:paraId="7BA02997" w14:textId="77777777" w:rsidR="00C94483" w:rsidRPr="00C3671E" w:rsidRDefault="00C94483" w:rsidP="00C94483">
            <w:pPr>
              <w:rPr>
                <w:sz w:val="20"/>
                <w:szCs w:val="20"/>
                <w:lang w:val="en-GB"/>
              </w:rPr>
            </w:pPr>
            <w:r w:rsidRPr="00C3671E">
              <w:rPr>
                <w:bCs/>
                <w:sz w:val="20"/>
                <w:szCs w:val="20"/>
                <w:lang w:val="en-GB"/>
              </w:rPr>
              <w:t>Age</w:t>
            </w:r>
          </w:p>
        </w:tc>
        <w:tc>
          <w:tcPr>
            <w:tcW w:w="1355" w:type="dxa"/>
            <w:shd w:val="clear" w:color="auto" w:fill="auto"/>
            <w:vAlign w:val="center"/>
          </w:tcPr>
          <w:p w14:paraId="4A688229" w14:textId="77777777" w:rsidR="00C94483" w:rsidRPr="00C3671E" w:rsidRDefault="00C94483" w:rsidP="00C94483">
            <w:pPr>
              <w:tabs>
                <w:tab w:val="decimal" w:pos="466"/>
              </w:tabs>
              <w:rPr>
                <w:sz w:val="20"/>
                <w:szCs w:val="20"/>
                <w:lang w:val="en-GB"/>
              </w:rPr>
            </w:pPr>
            <w:r w:rsidRPr="00C3671E">
              <w:rPr>
                <w:sz w:val="20"/>
                <w:szCs w:val="20"/>
                <w:lang w:val="en-GB"/>
              </w:rPr>
              <w:t>0.804***</w:t>
            </w:r>
          </w:p>
        </w:tc>
        <w:tc>
          <w:tcPr>
            <w:tcW w:w="1355" w:type="dxa"/>
            <w:vAlign w:val="center"/>
          </w:tcPr>
          <w:p w14:paraId="265645EC" w14:textId="77777777" w:rsidR="00C94483" w:rsidRPr="00C3671E" w:rsidRDefault="00C94483" w:rsidP="00C94483">
            <w:pPr>
              <w:tabs>
                <w:tab w:val="decimal" w:pos="466"/>
              </w:tabs>
              <w:rPr>
                <w:sz w:val="20"/>
                <w:szCs w:val="20"/>
                <w:lang w:val="en-GB"/>
              </w:rPr>
            </w:pPr>
            <w:r w:rsidRPr="00C3671E">
              <w:rPr>
                <w:sz w:val="20"/>
                <w:szCs w:val="20"/>
                <w:lang w:val="en-GB"/>
              </w:rPr>
              <w:t>0.120</w:t>
            </w:r>
          </w:p>
        </w:tc>
        <w:tc>
          <w:tcPr>
            <w:tcW w:w="1355" w:type="dxa"/>
            <w:shd w:val="clear" w:color="auto" w:fill="auto"/>
            <w:vAlign w:val="center"/>
          </w:tcPr>
          <w:p w14:paraId="56C53F35" w14:textId="77777777" w:rsidR="00C94483" w:rsidRPr="00C3671E" w:rsidRDefault="00C94483" w:rsidP="00C94483">
            <w:pPr>
              <w:tabs>
                <w:tab w:val="decimal" w:pos="466"/>
              </w:tabs>
              <w:rPr>
                <w:sz w:val="20"/>
                <w:szCs w:val="20"/>
                <w:lang w:val="en-GB"/>
              </w:rPr>
            </w:pPr>
            <w:r w:rsidRPr="00C3671E">
              <w:rPr>
                <w:sz w:val="20"/>
                <w:szCs w:val="20"/>
                <w:lang w:val="en-GB"/>
              </w:rPr>
              <w:t>0.802***</w:t>
            </w:r>
          </w:p>
        </w:tc>
        <w:tc>
          <w:tcPr>
            <w:tcW w:w="1355" w:type="dxa"/>
            <w:vAlign w:val="center"/>
          </w:tcPr>
          <w:p w14:paraId="6816B13D" w14:textId="77777777" w:rsidR="00C94483" w:rsidRPr="00C3671E" w:rsidRDefault="00C94483" w:rsidP="00C94483">
            <w:pPr>
              <w:tabs>
                <w:tab w:val="decimal" w:pos="466"/>
              </w:tabs>
              <w:rPr>
                <w:sz w:val="20"/>
                <w:szCs w:val="20"/>
                <w:lang w:val="en-GB"/>
              </w:rPr>
            </w:pPr>
            <w:r w:rsidRPr="00C3671E">
              <w:rPr>
                <w:sz w:val="20"/>
                <w:szCs w:val="20"/>
                <w:lang w:val="en-GB"/>
              </w:rPr>
              <w:t>0.190</w:t>
            </w:r>
          </w:p>
        </w:tc>
      </w:tr>
      <w:tr w:rsidR="00C94483" w:rsidRPr="00C3671E" w14:paraId="18183C26" w14:textId="77777777" w:rsidTr="00C94483">
        <w:trPr>
          <w:trHeight w:val="340"/>
        </w:trPr>
        <w:tc>
          <w:tcPr>
            <w:tcW w:w="3544" w:type="dxa"/>
            <w:shd w:val="clear" w:color="auto" w:fill="auto"/>
            <w:vAlign w:val="center"/>
          </w:tcPr>
          <w:p w14:paraId="41A05520" w14:textId="77777777" w:rsidR="00C94483" w:rsidRPr="00C3671E" w:rsidRDefault="00C94483" w:rsidP="00C94483">
            <w:pPr>
              <w:rPr>
                <w:bCs/>
                <w:sz w:val="20"/>
                <w:szCs w:val="20"/>
                <w:lang w:val="en-GB"/>
              </w:rPr>
            </w:pPr>
            <w:r w:rsidRPr="00C3671E">
              <w:rPr>
                <w:bCs/>
                <w:sz w:val="20"/>
                <w:szCs w:val="20"/>
                <w:lang w:val="en-GB"/>
              </w:rPr>
              <w:t>Age squared</w:t>
            </w:r>
          </w:p>
        </w:tc>
        <w:tc>
          <w:tcPr>
            <w:tcW w:w="1355" w:type="dxa"/>
            <w:shd w:val="clear" w:color="auto" w:fill="auto"/>
            <w:vAlign w:val="center"/>
          </w:tcPr>
          <w:p w14:paraId="3EEE8A96" w14:textId="77777777" w:rsidR="00C94483" w:rsidRPr="00C3671E" w:rsidRDefault="00C94483" w:rsidP="00C94483">
            <w:pPr>
              <w:tabs>
                <w:tab w:val="decimal" w:pos="466"/>
              </w:tabs>
              <w:rPr>
                <w:sz w:val="20"/>
                <w:szCs w:val="20"/>
                <w:lang w:val="en-GB"/>
              </w:rPr>
            </w:pPr>
            <w:r w:rsidRPr="00C3671E">
              <w:rPr>
                <w:sz w:val="20"/>
                <w:szCs w:val="20"/>
                <w:lang w:val="en-GB"/>
              </w:rPr>
              <w:t>-0.006***</w:t>
            </w:r>
          </w:p>
        </w:tc>
        <w:tc>
          <w:tcPr>
            <w:tcW w:w="1355" w:type="dxa"/>
            <w:vAlign w:val="center"/>
          </w:tcPr>
          <w:p w14:paraId="60476DCA" w14:textId="77777777" w:rsidR="00C94483" w:rsidRPr="00C3671E" w:rsidRDefault="00C94483" w:rsidP="00C94483">
            <w:pPr>
              <w:tabs>
                <w:tab w:val="decimal" w:pos="466"/>
              </w:tabs>
              <w:rPr>
                <w:sz w:val="20"/>
                <w:szCs w:val="20"/>
                <w:lang w:val="en-GB"/>
              </w:rPr>
            </w:pPr>
            <w:r w:rsidRPr="00C3671E">
              <w:rPr>
                <w:sz w:val="20"/>
                <w:szCs w:val="20"/>
                <w:lang w:val="en-GB"/>
              </w:rPr>
              <w:t>0.001</w:t>
            </w:r>
          </w:p>
        </w:tc>
        <w:tc>
          <w:tcPr>
            <w:tcW w:w="1355" w:type="dxa"/>
            <w:shd w:val="clear" w:color="auto" w:fill="auto"/>
            <w:vAlign w:val="center"/>
          </w:tcPr>
          <w:p w14:paraId="2F4BBB4C" w14:textId="77777777" w:rsidR="00C94483" w:rsidRPr="00C3671E" w:rsidRDefault="00C94483" w:rsidP="00C94483">
            <w:pPr>
              <w:tabs>
                <w:tab w:val="decimal" w:pos="466"/>
              </w:tabs>
              <w:rPr>
                <w:sz w:val="20"/>
                <w:szCs w:val="20"/>
                <w:lang w:val="en-GB"/>
              </w:rPr>
            </w:pPr>
            <w:r w:rsidRPr="00C3671E">
              <w:rPr>
                <w:sz w:val="20"/>
                <w:szCs w:val="20"/>
                <w:lang w:val="en-GB"/>
              </w:rPr>
              <w:t>-0.006***</w:t>
            </w:r>
          </w:p>
        </w:tc>
        <w:tc>
          <w:tcPr>
            <w:tcW w:w="1355" w:type="dxa"/>
            <w:vAlign w:val="center"/>
          </w:tcPr>
          <w:p w14:paraId="075D0F15" w14:textId="77777777" w:rsidR="00C94483" w:rsidRPr="00C3671E" w:rsidRDefault="00C94483" w:rsidP="00C94483">
            <w:pPr>
              <w:tabs>
                <w:tab w:val="decimal" w:pos="466"/>
              </w:tabs>
              <w:rPr>
                <w:sz w:val="20"/>
                <w:szCs w:val="20"/>
                <w:lang w:val="en-GB"/>
              </w:rPr>
            </w:pPr>
            <w:r w:rsidRPr="00C3671E">
              <w:rPr>
                <w:sz w:val="20"/>
                <w:szCs w:val="20"/>
                <w:lang w:val="en-GB"/>
              </w:rPr>
              <w:t>0.001</w:t>
            </w:r>
          </w:p>
        </w:tc>
      </w:tr>
      <w:tr w:rsidR="00C94483" w:rsidRPr="00C3671E" w14:paraId="69CB85FB" w14:textId="77777777" w:rsidTr="00C94483">
        <w:trPr>
          <w:trHeight w:val="340"/>
        </w:trPr>
        <w:tc>
          <w:tcPr>
            <w:tcW w:w="3544" w:type="dxa"/>
            <w:shd w:val="clear" w:color="auto" w:fill="auto"/>
            <w:vAlign w:val="center"/>
          </w:tcPr>
          <w:p w14:paraId="74C83506" w14:textId="77777777" w:rsidR="00C94483" w:rsidRPr="00C3671E" w:rsidRDefault="00C94483" w:rsidP="00C94483">
            <w:pPr>
              <w:rPr>
                <w:sz w:val="20"/>
                <w:szCs w:val="20"/>
                <w:lang w:val="en-GB"/>
              </w:rPr>
            </w:pPr>
            <w:r w:rsidRPr="00C3671E">
              <w:rPr>
                <w:bCs/>
                <w:sz w:val="20"/>
                <w:szCs w:val="20"/>
                <w:lang w:val="en-GB"/>
              </w:rPr>
              <w:t>Partner in the household</w:t>
            </w:r>
          </w:p>
        </w:tc>
        <w:tc>
          <w:tcPr>
            <w:tcW w:w="1355" w:type="dxa"/>
            <w:shd w:val="clear" w:color="auto" w:fill="auto"/>
            <w:vAlign w:val="center"/>
          </w:tcPr>
          <w:p w14:paraId="3FA7225D" w14:textId="77777777" w:rsidR="00C94483" w:rsidRPr="00C3671E" w:rsidRDefault="00C94483" w:rsidP="00C94483">
            <w:pPr>
              <w:tabs>
                <w:tab w:val="decimal" w:pos="466"/>
              </w:tabs>
              <w:rPr>
                <w:sz w:val="20"/>
                <w:szCs w:val="20"/>
                <w:lang w:val="en-GB"/>
              </w:rPr>
            </w:pPr>
            <w:r w:rsidRPr="00C3671E">
              <w:rPr>
                <w:sz w:val="20"/>
                <w:szCs w:val="20"/>
                <w:lang w:val="en-GB"/>
              </w:rPr>
              <w:t>-0.170</w:t>
            </w:r>
          </w:p>
        </w:tc>
        <w:tc>
          <w:tcPr>
            <w:tcW w:w="1355" w:type="dxa"/>
            <w:vAlign w:val="center"/>
          </w:tcPr>
          <w:p w14:paraId="09DE14F1" w14:textId="77777777" w:rsidR="00C94483" w:rsidRPr="00C3671E" w:rsidRDefault="00C94483" w:rsidP="00C94483">
            <w:pPr>
              <w:tabs>
                <w:tab w:val="decimal" w:pos="466"/>
              </w:tabs>
              <w:rPr>
                <w:sz w:val="20"/>
                <w:szCs w:val="20"/>
                <w:lang w:val="en-GB"/>
              </w:rPr>
            </w:pPr>
            <w:r w:rsidRPr="00C3671E">
              <w:rPr>
                <w:sz w:val="20"/>
                <w:szCs w:val="20"/>
                <w:lang w:val="en-GB"/>
              </w:rPr>
              <w:t>0.210</w:t>
            </w:r>
          </w:p>
        </w:tc>
        <w:tc>
          <w:tcPr>
            <w:tcW w:w="1355" w:type="dxa"/>
            <w:shd w:val="clear" w:color="auto" w:fill="auto"/>
            <w:vAlign w:val="center"/>
          </w:tcPr>
          <w:p w14:paraId="27D61C26" w14:textId="77777777" w:rsidR="00C94483" w:rsidRPr="00C3671E" w:rsidRDefault="00C94483" w:rsidP="00C94483">
            <w:pPr>
              <w:tabs>
                <w:tab w:val="decimal" w:pos="466"/>
              </w:tabs>
              <w:rPr>
                <w:sz w:val="20"/>
                <w:szCs w:val="20"/>
                <w:lang w:val="en-GB"/>
              </w:rPr>
            </w:pPr>
            <w:r w:rsidRPr="00C3671E">
              <w:rPr>
                <w:sz w:val="20"/>
                <w:szCs w:val="20"/>
                <w:lang w:val="en-GB"/>
              </w:rPr>
              <w:t>0.179</w:t>
            </w:r>
          </w:p>
        </w:tc>
        <w:tc>
          <w:tcPr>
            <w:tcW w:w="1355" w:type="dxa"/>
            <w:vAlign w:val="center"/>
          </w:tcPr>
          <w:p w14:paraId="5C0292ED" w14:textId="77777777" w:rsidR="00C94483" w:rsidRPr="00C3671E" w:rsidRDefault="00C94483" w:rsidP="00C94483">
            <w:pPr>
              <w:tabs>
                <w:tab w:val="decimal" w:pos="466"/>
              </w:tabs>
              <w:rPr>
                <w:sz w:val="20"/>
                <w:szCs w:val="20"/>
                <w:lang w:val="en-GB"/>
              </w:rPr>
            </w:pPr>
            <w:r w:rsidRPr="00C3671E">
              <w:rPr>
                <w:sz w:val="20"/>
                <w:szCs w:val="20"/>
                <w:lang w:val="en-GB"/>
              </w:rPr>
              <w:t>0.331</w:t>
            </w:r>
          </w:p>
        </w:tc>
      </w:tr>
      <w:tr w:rsidR="00C94483" w:rsidRPr="00C3671E" w14:paraId="50542C9F" w14:textId="77777777" w:rsidTr="00C94483">
        <w:trPr>
          <w:trHeight w:val="340"/>
        </w:trPr>
        <w:tc>
          <w:tcPr>
            <w:tcW w:w="3544" w:type="dxa"/>
            <w:shd w:val="clear" w:color="auto" w:fill="auto"/>
            <w:vAlign w:val="center"/>
          </w:tcPr>
          <w:p w14:paraId="3FDFE000" w14:textId="77777777" w:rsidR="00C94483" w:rsidRPr="00C3671E" w:rsidRDefault="00C94483" w:rsidP="00C94483">
            <w:pPr>
              <w:rPr>
                <w:sz w:val="20"/>
                <w:szCs w:val="20"/>
                <w:lang w:val="en-GB"/>
              </w:rPr>
            </w:pPr>
            <w:r w:rsidRPr="00C3671E">
              <w:rPr>
                <w:bCs/>
                <w:sz w:val="20"/>
                <w:szCs w:val="20"/>
                <w:lang w:val="en-GB"/>
              </w:rPr>
              <w:t>Able to make ends meet (with great difficulty as ref.)</w:t>
            </w:r>
          </w:p>
        </w:tc>
        <w:tc>
          <w:tcPr>
            <w:tcW w:w="1355" w:type="dxa"/>
            <w:shd w:val="clear" w:color="auto" w:fill="auto"/>
            <w:vAlign w:val="center"/>
          </w:tcPr>
          <w:p w14:paraId="0AA13679" w14:textId="77777777" w:rsidR="00C94483" w:rsidRPr="00C3671E" w:rsidRDefault="00C94483" w:rsidP="00C94483">
            <w:pPr>
              <w:tabs>
                <w:tab w:val="decimal" w:pos="466"/>
              </w:tabs>
              <w:rPr>
                <w:sz w:val="20"/>
                <w:szCs w:val="20"/>
                <w:lang w:val="en-GB"/>
              </w:rPr>
            </w:pPr>
          </w:p>
        </w:tc>
        <w:tc>
          <w:tcPr>
            <w:tcW w:w="1355" w:type="dxa"/>
            <w:vAlign w:val="center"/>
          </w:tcPr>
          <w:p w14:paraId="65B36498" w14:textId="77777777" w:rsidR="00C94483" w:rsidRPr="00C3671E" w:rsidRDefault="00C94483" w:rsidP="00C94483">
            <w:pPr>
              <w:tabs>
                <w:tab w:val="decimal" w:pos="466"/>
              </w:tabs>
              <w:rPr>
                <w:sz w:val="20"/>
                <w:szCs w:val="20"/>
                <w:lang w:val="en-GB"/>
              </w:rPr>
            </w:pPr>
          </w:p>
        </w:tc>
        <w:tc>
          <w:tcPr>
            <w:tcW w:w="1355" w:type="dxa"/>
            <w:shd w:val="clear" w:color="auto" w:fill="auto"/>
            <w:vAlign w:val="center"/>
          </w:tcPr>
          <w:p w14:paraId="2E27149B" w14:textId="77777777" w:rsidR="00C94483" w:rsidRPr="00C3671E" w:rsidRDefault="00C94483" w:rsidP="00C94483">
            <w:pPr>
              <w:tabs>
                <w:tab w:val="decimal" w:pos="466"/>
              </w:tabs>
              <w:rPr>
                <w:sz w:val="20"/>
                <w:szCs w:val="20"/>
                <w:lang w:val="en-GB"/>
              </w:rPr>
            </w:pPr>
          </w:p>
        </w:tc>
        <w:tc>
          <w:tcPr>
            <w:tcW w:w="1355" w:type="dxa"/>
            <w:vAlign w:val="center"/>
          </w:tcPr>
          <w:p w14:paraId="2C4E3BAD" w14:textId="77777777" w:rsidR="00C94483" w:rsidRPr="00C3671E" w:rsidRDefault="00C94483" w:rsidP="00C94483">
            <w:pPr>
              <w:tabs>
                <w:tab w:val="decimal" w:pos="466"/>
              </w:tabs>
              <w:rPr>
                <w:sz w:val="20"/>
                <w:szCs w:val="20"/>
                <w:lang w:val="en-GB"/>
              </w:rPr>
            </w:pPr>
          </w:p>
        </w:tc>
      </w:tr>
      <w:tr w:rsidR="00C94483" w:rsidRPr="00C3671E" w14:paraId="5592DDA3" w14:textId="77777777" w:rsidTr="00C94483">
        <w:trPr>
          <w:trHeight w:val="340"/>
        </w:trPr>
        <w:tc>
          <w:tcPr>
            <w:tcW w:w="3544" w:type="dxa"/>
            <w:shd w:val="clear" w:color="auto" w:fill="auto"/>
            <w:vAlign w:val="center"/>
          </w:tcPr>
          <w:p w14:paraId="4840A242" w14:textId="77777777" w:rsidR="00C94483" w:rsidRPr="00C3671E" w:rsidRDefault="00C94483" w:rsidP="00C94483">
            <w:pPr>
              <w:rPr>
                <w:sz w:val="20"/>
                <w:szCs w:val="20"/>
                <w:lang w:val="en-GB"/>
              </w:rPr>
            </w:pPr>
            <w:r w:rsidRPr="00C3671E">
              <w:rPr>
                <w:bCs/>
                <w:sz w:val="20"/>
                <w:szCs w:val="20"/>
                <w:lang w:val="en-GB"/>
              </w:rPr>
              <w:t xml:space="preserve">     with some difficulty</w:t>
            </w:r>
          </w:p>
        </w:tc>
        <w:tc>
          <w:tcPr>
            <w:tcW w:w="1355" w:type="dxa"/>
            <w:shd w:val="clear" w:color="auto" w:fill="auto"/>
            <w:vAlign w:val="center"/>
          </w:tcPr>
          <w:p w14:paraId="729D974A" w14:textId="77777777" w:rsidR="00C94483" w:rsidRPr="00C3671E" w:rsidRDefault="00C94483" w:rsidP="00C94483">
            <w:pPr>
              <w:tabs>
                <w:tab w:val="decimal" w:pos="466"/>
              </w:tabs>
              <w:rPr>
                <w:sz w:val="20"/>
                <w:szCs w:val="20"/>
                <w:lang w:val="en-GB"/>
              </w:rPr>
            </w:pPr>
            <w:r w:rsidRPr="00C3671E">
              <w:rPr>
                <w:sz w:val="20"/>
                <w:szCs w:val="20"/>
                <w:lang w:val="en-GB"/>
              </w:rPr>
              <w:t>1.148***</w:t>
            </w:r>
          </w:p>
        </w:tc>
        <w:tc>
          <w:tcPr>
            <w:tcW w:w="1355" w:type="dxa"/>
            <w:vAlign w:val="center"/>
          </w:tcPr>
          <w:p w14:paraId="22C1DF81" w14:textId="77777777" w:rsidR="00C94483" w:rsidRPr="00C3671E" w:rsidRDefault="00C94483" w:rsidP="00C94483">
            <w:pPr>
              <w:tabs>
                <w:tab w:val="decimal" w:pos="466"/>
              </w:tabs>
              <w:rPr>
                <w:sz w:val="20"/>
                <w:szCs w:val="20"/>
                <w:lang w:val="en-GB"/>
              </w:rPr>
            </w:pPr>
            <w:r w:rsidRPr="00C3671E">
              <w:rPr>
                <w:sz w:val="20"/>
                <w:szCs w:val="20"/>
                <w:lang w:val="en-GB"/>
              </w:rPr>
              <w:t>0.139</w:t>
            </w:r>
          </w:p>
        </w:tc>
        <w:tc>
          <w:tcPr>
            <w:tcW w:w="1355" w:type="dxa"/>
            <w:shd w:val="clear" w:color="auto" w:fill="auto"/>
            <w:vAlign w:val="center"/>
          </w:tcPr>
          <w:p w14:paraId="02A827D1" w14:textId="77777777" w:rsidR="00C94483" w:rsidRPr="00C3671E" w:rsidRDefault="00C94483" w:rsidP="00C94483">
            <w:pPr>
              <w:tabs>
                <w:tab w:val="decimal" w:pos="466"/>
              </w:tabs>
              <w:rPr>
                <w:sz w:val="20"/>
                <w:szCs w:val="20"/>
                <w:lang w:val="en-GB"/>
              </w:rPr>
            </w:pPr>
            <w:r w:rsidRPr="00C3671E">
              <w:rPr>
                <w:sz w:val="20"/>
                <w:szCs w:val="20"/>
                <w:lang w:val="en-GB"/>
              </w:rPr>
              <w:t>0.573+</w:t>
            </w:r>
          </w:p>
        </w:tc>
        <w:tc>
          <w:tcPr>
            <w:tcW w:w="1355" w:type="dxa"/>
            <w:vAlign w:val="center"/>
          </w:tcPr>
          <w:p w14:paraId="080C2923" w14:textId="77777777" w:rsidR="00C94483" w:rsidRPr="00C3671E" w:rsidRDefault="00C94483" w:rsidP="00C94483">
            <w:pPr>
              <w:tabs>
                <w:tab w:val="decimal" w:pos="466"/>
              </w:tabs>
              <w:rPr>
                <w:sz w:val="20"/>
                <w:szCs w:val="20"/>
                <w:lang w:val="en-GB"/>
              </w:rPr>
            </w:pPr>
            <w:r w:rsidRPr="00C3671E">
              <w:rPr>
                <w:sz w:val="20"/>
                <w:szCs w:val="20"/>
                <w:lang w:val="en-GB"/>
              </w:rPr>
              <w:t>0.339</w:t>
            </w:r>
          </w:p>
        </w:tc>
      </w:tr>
      <w:tr w:rsidR="00C94483" w:rsidRPr="00C3671E" w14:paraId="16DA690F" w14:textId="77777777" w:rsidTr="00C94483">
        <w:trPr>
          <w:trHeight w:val="340"/>
        </w:trPr>
        <w:tc>
          <w:tcPr>
            <w:tcW w:w="3544" w:type="dxa"/>
            <w:shd w:val="clear" w:color="auto" w:fill="auto"/>
            <w:vAlign w:val="center"/>
          </w:tcPr>
          <w:p w14:paraId="7E4D9057" w14:textId="77777777" w:rsidR="00C94483" w:rsidRPr="00C3671E" w:rsidRDefault="00C94483" w:rsidP="00C94483">
            <w:pPr>
              <w:rPr>
                <w:sz w:val="20"/>
                <w:szCs w:val="20"/>
                <w:lang w:val="en-GB"/>
              </w:rPr>
            </w:pPr>
            <w:r w:rsidRPr="00C3671E">
              <w:rPr>
                <w:bCs/>
                <w:sz w:val="20"/>
                <w:szCs w:val="20"/>
                <w:lang w:val="en-GB"/>
              </w:rPr>
              <w:t xml:space="preserve">     fairly easily</w:t>
            </w:r>
          </w:p>
        </w:tc>
        <w:tc>
          <w:tcPr>
            <w:tcW w:w="1355" w:type="dxa"/>
            <w:shd w:val="clear" w:color="auto" w:fill="auto"/>
            <w:vAlign w:val="center"/>
          </w:tcPr>
          <w:p w14:paraId="00A75E3C" w14:textId="77777777" w:rsidR="00C94483" w:rsidRPr="00C3671E" w:rsidRDefault="00C94483" w:rsidP="00C94483">
            <w:pPr>
              <w:tabs>
                <w:tab w:val="decimal" w:pos="466"/>
              </w:tabs>
              <w:rPr>
                <w:sz w:val="20"/>
                <w:szCs w:val="20"/>
                <w:lang w:val="en-GB"/>
              </w:rPr>
            </w:pPr>
            <w:r w:rsidRPr="00C3671E">
              <w:rPr>
                <w:sz w:val="20"/>
                <w:szCs w:val="20"/>
                <w:lang w:val="en-GB"/>
              </w:rPr>
              <w:t>2.371***</w:t>
            </w:r>
          </w:p>
        </w:tc>
        <w:tc>
          <w:tcPr>
            <w:tcW w:w="1355" w:type="dxa"/>
            <w:vAlign w:val="center"/>
          </w:tcPr>
          <w:p w14:paraId="2FD6C464" w14:textId="77777777" w:rsidR="00C94483" w:rsidRPr="00C3671E" w:rsidRDefault="00C94483" w:rsidP="00C94483">
            <w:pPr>
              <w:tabs>
                <w:tab w:val="decimal" w:pos="466"/>
              </w:tabs>
              <w:rPr>
                <w:sz w:val="20"/>
                <w:szCs w:val="20"/>
                <w:lang w:val="en-GB"/>
              </w:rPr>
            </w:pPr>
            <w:r w:rsidRPr="00C3671E">
              <w:rPr>
                <w:sz w:val="20"/>
                <w:szCs w:val="20"/>
                <w:lang w:val="en-GB"/>
              </w:rPr>
              <w:t>0.155</w:t>
            </w:r>
          </w:p>
        </w:tc>
        <w:tc>
          <w:tcPr>
            <w:tcW w:w="1355" w:type="dxa"/>
            <w:shd w:val="clear" w:color="auto" w:fill="auto"/>
            <w:vAlign w:val="center"/>
          </w:tcPr>
          <w:p w14:paraId="5D390AB1" w14:textId="77777777" w:rsidR="00C94483" w:rsidRPr="00C3671E" w:rsidRDefault="00C94483" w:rsidP="00C94483">
            <w:pPr>
              <w:tabs>
                <w:tab w:val="decimal" w:pos="466"/>
              </w:tabs>
              <w:rPr>
                <w:sz w:val="20"/>
                <w:szCs w:val="20"/>
                <w:lang w:val="en-GB"/>
              </w:rPr>
            </w:pPr>
            <w:r w:rsidRPr="00C3671E">
              <w:rPr>
                <w:sz w:val="20"/>
                <w:szCs w:val="20"/>
                <w:lang w:val="en-GB"/>
              </w:rPr>
              <w:t>1.745***</w:t>
            </w:r>
          </w:p>
        </w:tc>
        <w:tc>
          <w:tcPr>
            <w:tcW w:w="1355" w:type="dxa"/>
            <w:vAlign w:val="center"/>
          </w:tcPr>
          <w:p w14:paraId="705C0FE3" w14:textId="77777777" w:rsidR="00C94483" w:rsidRPr="00C3671E" w:rsidRDefault="00C94483" w:rsidP="00C94483">
            <w:pPr>
              <w:tabs>
                <w:tab w:val="decimal" w:pos="466"/>
              </w:tabs>
              <w:rPr>
                <w:sz w:val="20"/>
                <w:szCs w:val="20"/>
                <w:lang w:val="en-GB"/>
              </w:rPr>
            </w:pPr>
            <w:r w:rsidRPr="00C3671E">
              <w:rPr>
                <w:sz w:val="20"/>
                <w:szCs w:val="20"/>
                <w:lang w:val="en-GB"/>
              </w:rPr>
              <w:t>0.358</w:t>
            </w:r>
          </w:p>
        </w:tc>
      </w:tr>
      <w:tr w:rsidR="00C94483" w:rsidRPr="00C3671E" w14:paraId="176C49E7" w14:textId="77777777" w:rsidTr="00C94483">
        <w:trPr>
          <w:trHeight w:val="340"/>
        </w:trPr>
        <w:tc>
          <w:tcPr>
            <w:tcW w:w="3544" w:type="dxa"/>
            <w:shd w:val="clear" w:color="auto" w:fill="auto"/>
            <w:vAlign w:val="center"/>
          </w:tcPr>
          <w:p w14:paraId="53FD2603" w14:textId="77777777" w:rsidR="00C94483" w:rsidRPr="00C3671E" w:rsidRDefault="00C94483" w:rsidP="00C94483">
            <w:pPr>
              <w:rPr>
                <w:sz w:val="20"/>
                <w:szCs w:val="20"/>
                <w:lang w:val="en-GB"/>
              </w:rPr>
            </w:pPr>
            <w:r w:rsidRPr="00C3671E">
              <w:rPr>
                <w:bCs/>
                <w:sz w:val="20"/>
                <w:szCs w:val="20"/>
                <w:lang w:val="en-GB"/>
              </w:rPr>
              <w:t xml:space="preserve">     easily</w:t>
            </w:r>
          </w:p>
        </w:tc>
        <w:tc>
          <w:tcPr>
            <w:tcW w:w="1355" w:type="dxa"/>
            <w:shd w:val="clear" w:color="auto" w:fill="auto"/>
            <w:vAlign w:val="center"/>
          </w:tcPr>
          <w:p w14:paraId="31A81875" w14:textId="77777777" w:rsidR="00C94483" w:rsidRPr="00C3671E" w:rsidRDefault="00C94483" w:rsidP="00C94483">
            <w:pPr>
              <w:tabs>
                <w:tab w:val="decimal" w:pos="466"/>
              </w:tabs>
              <w:rPr>
                <w:sz w:val="20"/>
                <w:szCs w:val="20"/>
                <w:lang w:val="en-GB"/>
              </w:rPr>
            </w:pPr>
            <w:r w:rsidRPr="00C3671E">
              <w:rPr>
                <w:sz w:val="20"/>
                <w:szCs w:val="20"/>
                <w:lang w:val="en-GB"/>
              </w:rPr>
              <w:t>2.980***</w:t>
            </w:r>
          </w:p>
        </w:tc>
        <w:tc>
          <w:tcPr>
            <w:tcW w:w="1355" w:type="dxa"/>
            <w:vAlign w:val="center"/>
          </w:tcPr>
          <w:p w14:paraId="18BF1267" w14:textId="77777777" w:rsidR="00C94483" w:rsidRPr="00C3671E" w:rsidRDefault="00C94483" w:rsidP="00C94483">
            <w:pPr>
              <w:tabs>
                <w:tab w:val="decimal" w:pos="466"/>
              </w:tabs>
              <w:rPr>
                <w:sz w:val="20"/>
                <w:szCs w:val="20"/>
                <w:lang w:val="en-GB"/>
              </w:rPr>
            </w:pPr>
            <w:r w:rsidRPr="00C3671E">
              <w:rPr>
                <w:sz w:val="20"/>
                <w:szCs w:val="20"/>
                <w:lang w:val="en-GB"/>
              </w:rPr>
              <w:t>0.167</w:t>
            </w:r>
          </w:p>
        </w:tc>
        <w:tc>
          <w:tcPr>
            <w:tcW w:w="1355" w:type="dxa"/>
            <w:shd w:val="clear" w:color="auto" w:fill="auto"/>
            <w:vAlign w:val="center"/>
          </w:tcPr>
          <w:p w14:paraId="7531C159" w14:textId="77777777" w:rsidR="00C94483" w:rsidRPr="00C3671E" w:rsidRDefault="00C94483" w:rsidP="00C94483">
            <w:pPr>
              <w:tabs>
                <w:tab w:val="decimal" w:pos="466"/>
              </w:tabs>
              <w:rPr>
                <w:sz w:val="20"/>
                <w:szCs w:val="20"/>
                <w:lang w:val="en-GB"/>
              </w:rPr>
            </w:pPr>
            <w:r w:rsidRPr="00C3671E">
              <w:rPr>
                <w:sz w:val="20"/>
                <w:szCs w:val="20"/>
                <w:lang w:val="en-GB"/>
              </w:rPr>
              <w:t>2.183***</w:t>
            </w:r>
          </w:p>
        </w:tc>
        <w:tc>
          <w:tcPr>
            <w:tcW w:w="1355" w:type="dxa"/>
            <w:vAlign w:val="center"/>
          </w:tcPr>
          <w:p w14:paraId="10D35B8F" w14:textId="77777777" w:rsidR="00C94483" w:rsidRPr="00C3671E" w:rsidRDefault="00C94483" w:rsidP="00C94483">
            <w:pPr>
              <w:tabs>
                <w:tab w:val="decimal" w:pos="466"/>
              </w:tabs>
              <w:rPr>
                <w:sz w:val="20"/>
                <w:szCs w:val="20"/>
                <w:lang w:val="en-GB"/>
              </w:rPr>
            </w:pPr>
            <w:r w:rsidRPr="00C3671E">
              <w:rPr>
                <w:sz w:val="20"/>
                <w:szCs w:val="20"/>
                <w:lang w:val="en-GB"/>
              </w:rPr>
              <w:t>0.365</w:t>
            </w:r>
          </w:p>
        </w:tc>
      </w:tr>
      <w:tr w:rsidR="00C94483" w:rsidRPr="00C3671E" w14:paraId="58EC8768" w14:textId="77777777" w:rsidTr="00C94483">
        <w:trPr>
          <w:trHeight w:val="340"/>
        </w:trPr>
        <w:tc>
          <w:tcPr>
            <w:tcW w:w="3544" w:type="dxa"/>
            <w:shd w:val="clear" w:color="auto" w:fill="auto"/>
            <w:vAlign w:val="center"/>
          </w:tcPr>
          <w:p w14:paraId="305BEB4D" w14:textId="77777777" w:rsidR="00C94483" w:rsidRPr="00C3671E" w:rsidRDefault="00C94483" w:rsidP="00C94483">
            <w:pPr>
              <w:rPr>
                <w:sz w:val="20"/>
                <w:szCs w:val="20"/>
                <w:lang w:val="en-GB"/>
              </w:rPr>
            </w:pPr>
            <w:r w:rsidRPr="00C3671E">
              <w:rPr>
                <w:sz w:val="20"/>
                <w:szCs w:val="20"/>
                <w:lang w:val="en-GB"/>
              </w:rPr>
              <w:t>Subjective health status (poor as ref.)</w:t>
            </w:r>
          </w:p>
        </w:tc>
        <w:tc>
          <w:tcPr>
            <w:tcW w:w="1355" w:type="dxa"/>
            <w:shd w:val="clear" w:color="auto" w:fill="auto"/>
            <w:vAlign w:val="center"/>
          </w:tcPr>
          <w:p w14:paraId="515EAE48" w14:textId="77777777" w:rsidR="00C94483" w:rsidRPr="00C3671E" w:rsidRDefault="00C94483" w:rsidP="00C94483">
            <w:pPr>
              <w:tabs>
                <w:tab w:val="decimal" w:pos="466"/>
              </w:tabs>
              <w:rPr>
                <w:sz w:val="20"/>
                <w:szCs w:val="20"/>
                <w:lang w:val="en-GB"/>
              </w:rPr>
            </w:pPr>
          </w:p>
        </w:tc>
        <w:tc>
          <w:tcPr>
            <w:tcW w:w="1355" w:type="dxa"/>
            <w:vAlign w:val="center"/>
          </w:tcPr>
          <w:p w14:paraId="3850DAAC" w14:textId="77777777" w:rsidR="00C94483" w:rsidRPr="00C3671E" w:rsidRDefault="00C94483" w:rsidP="00C94483">
            <w:pPr>
              <w:tabs>
                <w:tab w:val="decimal" w:pos="466"/>
              </w:tabs>
              <w:rPr>
                <w:sz w:val="20"/>
                <w:szCs w:val="20"/>
                <w:lang w:val="en-GB"/>
              </w:rPr>
            </w:pPr>
          </w:p>
        </w:tc>
        <w:tc>
          <w:tcPr>
            <w:tcW w:w="1355" w:type="dxa"/>
            <w:shd w:val="clear" w:color="auto" w:fill="auto"/>
            <w:vAlign w:val="center"/>
          </w:tcPr>
          <w:p w14:paraId="10E1BC26" w14:textId="77777777" w:rsidR="00C94483" w:rsidRPr="00C3671E" w:rsidRDefault="00C94483" w:rsidP="00C94483">
            <w:pPr>
              <w:tabs>
                <w:tab w:val="decimal" w:pos="466"/>
              </w:tabs>
              <w:rPr>
                <w:sz w:val="20"/>
                <w:szCs w:val="20"/>
                <w:lang w:val="en-GB"/>
              </w:rPr>
            </w:pPr>
          </w:p>
        </w:tc>
        <w:tc>
          <w:tcPr>
            <w:tcW w:w="1355" w:type="dxa"/>
            <w:vAlign w:val="center"/>
          </w:tcPr>
          <w:p w14:paraId="3EFBB21B" w14:textId="77777777" w:rsidR="00C94483" w:rsidRPr="00C3671E" w:rsidRDefault="00C94483" w:rsidP="00C94483">
            <w:pPr>
              <w:tabs>
                <w:tab w:val="decimal" w:pos="466"/>
              </w:tabs>
              <w:rPr>
                <w:sz w:val="20"/>
                <w:szCs w:val="20"/>
                <w:lang w:val="en-GB"/>
              </w:rPr>
            </w:pPr>
          </w:p>
        </w:tc>
      </w:tr>
      <w:tr w:rsidR="00C94483" w:rsidRPr="00C3671E" w14:paraId="15F75E78" w14:textId="77777777" w:rsidTr="00C94483">
        <w:trPr>
          <w:trHeight w:val="340"/>
        </w:trPr>
        <w:tc>
          <w:tcPr>
            <w:tcW w:w="3544" w:type="dxa"/>
            <w:shd w:val="clear" w:color="auto" w:fill="auto"/>
            <w:vAlign w:val="center"/>
          </w:tcPr>
          <w:p w14:paraId="05137335" w14:textId="77777777" w:rsidR="00C94483" w:rsidRPr="00C3671E" w:rsidRDefault="00C94483" w:rsidP="00C94483">
            <w:pPr>
              <w:rPr>
                <w:sz w:val="20"/>
                <w:szCs w:val="20"/>
                <w:lang w:val="en-GB"/>
              </w:rPr>
            </w:pPr>
            <w:r w:rsidRPr="00C3671E">
              <w:rPr>
                <w:bCs/>
                <w:sz w:val="20"/>
                <w:szCs w:val="20"/>
                <w:lang w:val="en-GB"/>
              </w:rPr>
              <w:t xml:space="preserve">     fair</w:t>
            </w:r>
          </w:p>
        </w:tc>
        <w:tc>
          <w:tcPr>
            <w:tcW w:w="1355" w:type="dxa"/>
            <w:shd w:val="clear" w:color="auto" w:fill="auto"/>
            <w:vAlign w:val="center"/>
          </w:tcPr>
          <w:p w14:paraId="5637643C" w14:textId="77777777" w:rsidR="00C94483" w:rsidRPr="00C3671E" w:rsidRDefault="00C94483" w:rsidP="00C94483">
            <w:pPr>
              <w:tabs>
                <w:tab w:val="decimal" w:pos="466"/>
              </w:tabs>
              <w:rPr>
                <w:sz w:val="20"/>
                <w:szCs w:val="20"/>
                <w:lang w:val="en-GB"/>
              </w:rPr>
            </w:pPr>
            <w:r w:rsidRPr="00C3671E">
              <w:rPr>
                <w:sz w:val="20"/>
                <w:szCs w:val="20"/>
                <w:lang w:val="en-GB"/>
              </w:rPr>
              <w:t>1.760***</w:t>
            </w:r>
          </w:p>
        </w:tc>
        <w:tc>
          <w:tcPr>
            <w:tcW w:w="1355" w:type="dxa"/>
            <w:vAlign w:val="center"/>
          </w:tcPr>
          <w:p w14:paraId="260D438A" w14:textId="77777777" w:rsidR="00C94483" w:rsidRPr="00C3671E" w:rsidRDefault="00C94483" w:rsidP="00C94483">
            <w:pPr>
              <w:tabs>
                <w:tab w:val="decimal" w:pos="466"/>
              </w:tabs>
              <w:rPr>
                <w:sz w:val="20"/>
                <w:szCs w:val="20"/>
                <w:lang w:val="en-GB"/>
              </w:rPr>
            </w:pPr>
            <w:r w:rsidRPr="00C3671E">
              <w:rPr>
                <w:sz w:val="20"/>
                <w:szCs w:val="20"/>
                <w:lang w:val="en-GB"/>
              </w:rPr>
              <w:t>0.157</w:t>
            </w:r>
          </w:p>
        </w:tc>
        <w:tc>
          <w:tcPr>
            <w:tcW w:w="1355" w:type="dxa"/>
            <w:shd w:val="clear" w:color="auto" w:fill="auto"/>
            <w:vAlign w:val="center"/>
          </w:tcPr>
          <w:p w14:paraId="65E4D4A1" w14:textId="77777777" w:rsidR="00C94483" w:rsidRPr="00C3671E" w:rsidRDefault="00C94483" w:rsidP="00C94483">
            <w:pPr>
              <w:tabs>
                <w:tab w:val="decimal" w:pos="466"/>
              </w:tabs>
              <w:rPr>
                <w:sz w:val="20"/>
                <w:szCs w:val="20"/>
                <w:lang w:val="en-GB"/>
              </w:rPr>
            </w:pPr>
            <w:r w:rsidRPr="00C3671E">
              <w:rPr>
                <w:sz w:val="20"/>
                <w:szCs w:val="20"/>
                <w:lang w:val="en-GB"/>
              </w:rPr>
              <w:t>1.416***</w:t>
            </w:r>
          </w:p>
        </w:tc>
        <w:tc>
          <w:tcPr>
            <w:tcW w:w="1355" w:type="dxa"/>
            <w:vAlign w:val="center"/>
          </w:tcPr>
          <w:p w14:paraId="16BE19FB" w14:textId="77777777" w:rsidR="00C94483" w:rsidRPr="00C3671E" w:rsidRDefault="00C94483" w:rsidP="00C94483">
            <w:pPr>
              <w:tabs>
                <w:tab w:val="decimal" w:pos="466"/>
              </w:tabs>
              <w:rPr>
                <w:sz w:val="20"/>
                <w:szCs w:val="20"/>
                <w:lang w:val="en-GB"/>
              </w:rPr>
            </w:pPr>
            <w:r w:rsidRPr="00C3671E">
              <w:rPr>
                <w:sz w:val="20"/>
                <w:szCs w:val="20"/>
                <w:lang w:val="en-GB"/>
              </w:rPr>
              <w:t>0.371</w:t>
            </w:r>
          </w:p>
        </w:tc>
      </w:tr>
      <w:tr w:rsidR="00C94483" w:rsidRPr="00C3671E" w14:paraId="289A3713" w14:textId="77777777" w:rsidTr="00C94483">
        <w:trPr>
          <w:trHeight w:val="340"/>
        </w:trPr>
        <w:tc>
          <w:tcPr>
            <w:tcW w:w="3544" w:type="dxa"/>
            <w:shd w:val="clear" w:color="auto" w:fill="auto"/>
            <w:vAlign w:val="center"/>
          </w:tcPr>
          <w:p w14:paraId="4DEFE27B" w14:textId="77777777" w:rsidR="00C94483" w:rsidRPr="00C3671E" w:rsidRDefault="00C94483" w:rsidP="00C94483">
            <w:pPr>
              <w:rPr>
                <w:sz w:val="20"/>
                <w:szCs w:val="20"/>
                <w:lang w:val="en-GB"/>
              </w:rPr>
            </w:pPr>
            <w:r w:rsidRPr="00C3671E">
              <w:rPr>
                <w:bCs/>
                <w:sz w:val="20"/>
                <w:szCs w:val="20"/>
                <w:lang w:val="en-GB"/>
              </w:rPr>
              <w:t xml:space="preserve">     good</w:t>
            </w:r>
          </w:p>
        </w:tc>
        <w:tc>
          <w:tcPr>
            <w:tcW w:w="1355" w:type="dxa"/>
            <w:shd w:val="clear" w:color="auto" w:fill="auto"/>
            <w:vAlign w:val="center"/>
          </w:tcPr>
          <w:p w14:paraId="06D06E11" w14:textId="77777777" w:rsidR="00C94483" w:rsidRPr="00C3671E" w:rsidRDefault="00C94483" w:rsidP="00C94483">
            <w:pPr>
              <w:tabs>
                <w:tab w:val="decimal" w:pos="466"/>
              </w:tabs>
              <w:rPr>
                <w:sz w:val="20"/>
                <w:szCs w:val="20"/>
                <w:lang w:val="en-GB"/>
              </w:rPr>
            </w:pPr>
            <w:r w:rsidRPr="00C3671E">
              <w:rPr>
                <w:sz w:val="20"/>
                <w:szCs w:val="20"/>
                <w:lang w:val="en-GB"/>
              </w:rPr>
              <w:t>2.760***</w:t>
            </w:r>
          </w:p>
        </w:tc>
        <w:tc>
          <w:tcPr>
            <w:tcW w:w="1355" w:type="dxa"/>
            <w:vAlign w:val="center"/>
          </w:tcPr>
          <w:p w14:paraId="051B2C70" w14:textId="77777777" w:rsidR="00C94483" w:rsidRPr="00C3671E" w:rsidRDefault="00C94483" w:rsidP="00C94483">
            <w:pPr>
              <w:tabs>
                <w:tab w:val="decimal" w:pos="466"/>
              </w:tabs>
              <w:rPr>
                <w:sz w:val="20"/>
                <w:szCs w:val="20"/>
                <w:lang w:val="en-GB"/>
              </w:rPr>
            </w:pPr>
            <w:r w:rsidRPr="00C3671E">
              <w:rPr>
                <w:sz w:val="20"/>
                <w:szCs w:val="20"/>
                <w:lang w:val="en-GB"/>
              </w:rPr>
              <w:t>0.174</w:t>
            </w:r>
          </w:p>
        </w:tc>
        <w:tc>
          <w:tcPr>
            <w:tcW w:w="1355" w:type="dxa"/>
            <w:shd w:val="clear" w:color="auto" w:fill="auto"/>
            <w:vAlign w:val="center"/>
          </w:tcPr>
          <w:p w14:paraId="7E84893E" w14:textId="77777777" w:rsidR="00C94483" w:rsidRPr="00C3671E" w:rsidRDefault="00C94483" w:rsidP="00C94483">
            <w:pPr>
              <w:tabs>
                <w:tab w:val="decimal" w:pos="466"/>
              </w:tabs>
              <w:rPr>
                <w:sz w:val="20"/>
                <w:szCs w:val="20"/>
                <w:lang w:val="en-GB"/>
              </w:rPr>
            </w:pPr>
            <w:r w:rsidRPr="00C3671E">
              <w:rPr>
                <w:sz w:val="20"/>
                <w:szCs w:val="20"/>
                <w:lang w:val="en-GB"/>
              </w:rPr>
              <w:t>2.588***</w:t>
            </w:r>
          </w:p>
        </w:tc>
        <w:tc>
          <w:tcPr>
            <w:tcW w:w="1355" w:type="dxa"/>
            <w:vAlign w:val="center"/>
          </w:tcPr>
          <w:p w14:paraId="3D921772" w14:textId="77777777" w:rsidR="00C94483" w:rsidRPr="00C3671E" w:rsidRDefault="00C94483" w:rsidP="00C94483">
            <w:pPr>
              <w:tabs>
                <w:tab w:val="decimal" w:pos="466"/>
              </w:tabs>
              <w:rPr>
                <w:sz w:val="20"/>
                <w:szCs w:val="20"/>
                <w:lang w:val="en-GB"/>
              </w:rPr>
            </w:pPr>
            <w:r w:rsidRPr="00C3671E">
              <w:rPr>
                <w:sz w:val="20"/>
                <w:szCs w:val="20"/>
                <w:lang w:val="en-GB"/>
              </w:rPr>
              <w:t>0.396</w:t>
            </w:r>
          </w:p>
        </w:tc>
      </w:tr>
      <w:tr w:rsidR="00C94483" w:rsidRPr="00C3671E" w14:paraId="4A3DF10D" w14:textId="77777777" w:rsidTr="00C94483">
        <w:trPr>
          <w:trHeight w:val="340"/>
        </w:trPr>
        <w:tc>
          <w:tcPr>
            <w:tcW w:w="3544" w:type="dxa"/>
            <w:shd w:val="clear" w:color="auto" w:fill="auto"/>
            <w:vAlign w:val="center"/>
          </w:tcPr>
          <w:p w14:paraId="3F3F9265" w14:textId="77777777" w:rsidR="00C94483" w:rsidRPr="00C3671E" w:rsidRDefault="00C94483" w:rsidP="00C94483">
            <w:pPr>
              <w:rPr>
                <w:sz w:val="20"/>
                <w:szCs w:val="20"/>
                <w:lang w:val="en-GB"/>
              </w:rPr>
            </w:pPr>
            <w:r w:rsidRPr="00C3671E">
              <w:rPr>
                <w:bCs/>
                <w:sz w:val="20"/>
                <w:szCs w:val="20"/>
                <w:lang w:val="en-GB"/>
              </w:rPr>
              <w:t xml:space="preserve">     very good</w:t>
            </w:r>
          </w:p>
        </w:tc>
        <w:tc>
          <w:tcPr>
            <w:tcW w:w="1355" w:type="dxa"/>
            <w:shd w:val="clear" w:color="auto" w:fill="auto"/>
            <w:vAlign w:val="center"/>
          </w:tcPr>
          <w:p w14:paraId="04DFF2E7" w14:textId="77777777" w:rsidR="00C94483" w:rsidRPr="00C3671E" w:rsidRDefault="00C94483" w:rsidP="00C94483">
            <w:pPr>
              <w:tabs>
                <w:tab w:val="decimal" w:pos="466"/>
              </w:tabs>
              <w:rPr>
                <w:sz w:val="20"/>
                <w:szCs w:val="20"/>
                <w:lang w:val="en-GB"/>
              </w:rPr>
            </w:pPr>
            <w:r w:rsidRPr="00C3671E">
              <w:rPr>
                <w:sz w:val="20"/>
                <w:szCs w:val="20"/>
                <w:lang w:val="en-GB"/>
              </w:rPr>
              <w:t>3.305***</w:t>
            </w:r>
          </w:p>
        </w:tc>
        <w:tc>
          <w:tcPr>
            <w:tcW w:w="1355" w:type="dxa"/>
            <w:vAlign w:val="center"/>
          </w:tcPr>
          <w:p w14:paraId="1E7642F7" w14:textId="77777777" w:rsidR="00C94483" w:rsidRPr="00C3671E" w:rsidRDefault="00C94483" w:rsidP="00C94483">
            <w:pPr>
              <w:tabs>
                <w:tab w:val="decimal" w:pos="466"/>
              </w:tabs>
              <w:rPr>
                <w:sz w:val="20"/>
                <w:szCs w:val="20"/>
                <w:lang w:val="en-GB"/>
              </w:rPr>
            </w:pPr>
            <w:r w:rsidRPr="00C3671E">
              <w:rPr>
                <w:sz w:val="20"/>
                <w:szCs w:val="20"/>
                <w:lang w:val="en-GB"/>
              </w:rPr>
              <w:t>0.197</w:t>
            </w:r>
          </w:p>
        </w:tc>
        <w:tc>
          <w:tcPr>
            <w:tcW w:w="1355" w:type="dxa"/>
            <w:shd w:val="clear" w:color="auto" w:fill="auto"/>
            <w:vAlign w:val="center"/>
          </w:tcPr>
          <w:p w14:paraId="39F3B64D" w14:textId="77777777" w:rsidR="00C94483" w:rsidRPr="00C3671E" w:rsidRDefault="00C94483" w:rsidP="00C94483">
            <w:pPr>
              <w:tabs>
                <w:tab w:val="decimal" w:pos="466"/>
              </w:tabs>
              <w:rPr>
                <w:sz w:val="20"/>
                <w:szCs w:val="20"/>
                <w:lang w:val="en-GB"/>
              </w:rPr>
            </w:pPr>
            <w:r w:rsidRPr="00C3671E">
              <w:rPr>
                <w:sz w:val="20"/>
                <w:szCs w:val="20"/>
                <w:lang w:val="en-GB"/>
              </w:rPr>
              <w:t>3.231***</w:t>
            </w:r>
          </w:p>
        </w:tc>
        <w:tc>
          <w:tcPr>
            <w:tcW w:w="1355" w:type="dxa"/>
            <w:vAlign w:val="center"/>
          </w:tcPr>
          <w:p w14:paraId="55A58721" w14:textId="77777777" w:rsidR="00C94483" w:rsidRPr="00C3671E" w:rsidRDefault="00C94483" w:rsidP="00C94483">
            <w:pPr>
              <w:tabs>
                <w:tab w:val="decimal" w:pos="466"/>
              </w:tabs>
              <w:rPr>
                <w:sz w:val="20"/>
                <w:szCs w:val="20"/>
                <w:lang w:val="en-GB"/>
              </w:rPr>
            </w:pPr>
            <w:r w:rsidRPr="00C3671E">
              <w:rPr>
                <w:sz w:val="20"/>
                <w:szCs w:val="20"/>
                <w:lang w:val="en-GB"/>
              </w:rPr>
              <w:t>0.416</w:t>
            </w:r>
          </w:p>
        </w:tc>
      </w:tr>
      <w:tr w:rsidR="00C94483" w:rsidRPr="00C3671E" w14:paraId="5978CCCA" w14:textId="77777777" w:rsidTr="00C94483">
        <w:trPr>
          <w:trHeight w:val="340"/>
        </w:trPr>
        <w:tc>
          <w:tcPr>
            <w:tcW w:w="3544" w:type="dxa"/>
            <w:tcBorders>
              <w:bottom w:val="single" w:sz="12" w:space="0" w:color="auto"/>
            </w:tcBorders>
            <w:shd w:val="clear" w:color="auto" w:fill="auto"/>
            <w:vAlign w:val="center"/>
          </w:tcPr>
          <w:p w14:paraId="4555676C" w14:textId="77777777" w:rsidR="00C94483" w:rsidRPr="00C3671E" w:rsidRDefault="00C94483" w:rsidP="00C94483">
            <w:pPr>
              <w:rPr>
                <w:sz w:val="20"/>
                <w:szCs w:val="20"/>
                <w:lang w:val="en-GB"/>
              </w:rPr>
            </w:pPr>
            <w:r w:rsidRPr="00C3671E">
              <w:rPr>
                <w:bCs/>
                <w:sz w:val="20"/>
                <w:szCs w:val="20"/>
                <w:lang w:val="en-GB"/>
              </w:rPr>
              <w:t xml:space="preserve">     excellent</w:t>
            </w:r>
          </w:p>
        </w:tc>
        <w:tc>
          <w:tcPr>
            <w:tcW w:w="1355" w:type="dxa"/>
            <w:tcBorders>
              <w:bottom w:val="single" w:sz="12" w:space="0" w:color="auto"/>
            </w:tcBorders>
            <w:shd w:val="clear" w:color="auto" w:fill="auto"/>
            <w:vAlign w:val="center"/>
          </w:tcPr>
          <w:p w14:paraId="786D830E" w14:textId="77777777" w:rsidR="00C94483" w:rsidRPr="00C3671E" w:rsidRDefault="00C94483" w:rsidP="00C94483">
            <w:pPr>
              <w:tabs>
                <w:tab w:val="decimal" w:pos="466"/>
              </w:tabs>
              <w:rPr>
                <w:sz w:val="20"/>
                <w:szCs w:val="20"/>
                <w:lang w:val="en-GB"/>
              </w:rPr>
            </w:pPr>
            <w:r w:rsidRPr="00C3671E">
              <w:rPr>
                <w:sz w:val="20"/>
                <w:szCs w:val="20"/>
                <w:lang w:val="en-GB"/>
              </w:rPr>
              <w:t>3.780***</w:t>
            </w:r>
          </w:p>
        </w:tc>
        <w:tc>
          <w:tcPr>
            <w:tcW w:w="1355" w:type="dxa"/>
            <w:tcBorders>
              <w:bottom w:val="single" w:sz="12" w:space="0" w:color="auto"/>
            </w:tcBorders>
            <w:vAlign w:val="center"/>
          </w:tcPr>
          <w:p w14:paraId="1C49B4B6" w14:textId="77777777" w:rsidR="00C94483" w:rsidRPr="00C3671E" w:rsidRDefault="00C94483" w:rsidP="00C94483">
            <w:pPr>
              <w:tabs>
                <w:tab w:val="decimal" w:pos="466"/>
              </w:tabs>
              <w:rPr>
                <w:sz w:val="20"/>
                <w:szCs w:val="20"/>
                <w:lang w:val="en-GB"/>
              </w:rPr>
            </w:pPr>
            <w:r w:rsidRPr="00C3671E">
              <w:rPr>
                <w:sz w:val="20"/>
                <w:szCs w:val="20"/>
                <w:lang w:val="en-GB"/>
              </w:rPr>
              <w:t>0.226</w:t>
            </w:r>
          </w:p>
        </w:tc>
        <w:tc>
          <w:tcPr>
            <w:tcW w:w="1355" w:type="dxa"/>
            <w:tcBorders>
              <w:bottom w:val="single" w:sz="12" w:space="0" w:color="auto"/>
            </w:tcBorders>
            <w:shd w:val="clear" w:color="auto" w:fill="auto"/>
            <w:vAlign w:val="center"/>
          </w:tcPr>
          <w:p w14:paraId="52A67113" w14:textId="77777777" w:rsidR="00C94483" w:rsidRPr="00C3671E" w:rsidRDefault="00C94483" w:rsidP="00C94483">
            <w:pPr>
              <w:tabs>
                <w:tab w:val="decimal" w:pos="466"/>
              </w:tabs>
              <w:rPr>
                <w:sz w:val="20"/>
                <w:szCs w:val="20"/>
                <w:lang w:val="en-GB"/>
              </w:rPr>
            </w:pPr>
            <w:r w:rsidRPr="00C3671E">
              <w:rPr>
                <w:sz w:val="20"/>
                <w:szCs w:val="20"/>
                <w:lang w:val="en-GB"/>
              </w:rPr>
              <w:t>3.365***</w:t>
            </w:r>
          </w:p>
        </w:tc>
        <w:tc>
          <w:tcPr>
            <w:tcW w:w="1355" w:type="dxa"/>
            <w:tcBorders>
              <w:bottom w:val="single" w:sz="12" w:space="0" w:color="auto"/>
            </w:tcBorders>
            <w:vAlign w:val="center"/>
          </w:tcPr>
          <w:p w14:paraId="564CC044" w14:textId="77777777" w:rsidR="00C94483" w:rsidRPr="00C3671E" w:rsidRDefault="00C94483" w:rsidP="00C94483">
            <w:pPr>
              <w:tabs>
                <w:tab w:val="decimal" w:pos="466"/>
              </w:tabs>
              <w:rPr>
                <w:sz w:val="20"/>
                <w:szCs w:val="20"/>
                <w:lang w:val="en-GB"/>
              </w:rPr>
            </w:pPr>
            <w:r w:rsidRPr="00C3671E">
              <w:rPr>
                <w:sz w:val="20"/>
                <w:szCs w:val="20"/>
                <w:lang w:val="en-GB"/>
              </w:rPr>
              <w:t>0.439</w:t>
            </w:r>
          </w:p>
        </w:tc>
      </w:tr>
      <w:tr w:rsidR="00C94483" w:rsidRPr="00C3671E" w14:paraId="2B28D440" w14:textId="77777777" w:rsidTr="00C94483">
        <w:trPr>
          <w:trHeight w:val="340"/>
        </w:trPr>
        <w:tc>
          <w:tcPr>
            <w:tcW w:w="3544" w:type="dxa"/>
            <w:tcBorders>
              <w:top w:val="single" w:sz="12" w:space="0" w:color="auto"/>
              <w:bottom w:val="single" w:sz="12" w:space="0" w:color="auto"/>
            </w:tcBorders>
            <w:shd w:val="clear" w:color="auto" w:fill="auto"/>
            <w:vAlign w:val="center"/>
          </w:tcPr>
          <w:p w14:paraId="0A55444B" w14:textId="77777777" w:rsidR="00C94483" w:rsidRPr="00C3671E" w:rsidRDefault="00C94483" w:rsidP="00C94483">
            <w:pPr>
              <w:rPr>
                <w:sz w:val="20"/>
                <w:szCs w:val="20"/>
                <w:lang w:val="en-GB"/>
              </w:rPr>
            </w:pPr>
            <w:r w:rsidRPr="00C3671E">
              <w:rPr>
                <w:sz w:val="20"/>
                <w:szCs w:val="20"/>
                <w:lang w:val="en-GB"/>
              </w:rPr>
              <w:t>N</w:t>
            </w:r>
          </w:p>
        </w:tc>
        <w:tc>
          <w:tcPr>
            <w:tcW w:w="2710" w:type="dxa"/>
            <w:gridSpan w:val="2"/>
            <w:tcBorders>
              <w:top w:val="single" w:sz="12" w:space="0" w:color="auto"/>
              <w:bottom w:val="single" w:sz="12" w:space="0" w:color="auto"/>
            </w:tcBorders>
            <w:shd w:val="clear" w:color="auto" w:fill="auto"/>
            <w:vAlign w:val="center"/>
          </w:tcPr>
          <w:p w14:paraId="04299BBC" w14:textId="77777777" w:rsidR="00C94483" w:rsidRPr="00C3671E" w:rsidRDefault="00C94483" w:rsidP="00C94483">
            <w:pPr>
              <w:jc w:val="center"/>
              <w:rPr>
                <w:sz w:val="20"/>
                <w:szCs w:val="20"/>
                <w:lang w:val="en-GB"/>
              </w:rPr>
            </w:pPr>
            <w:r w:rsidRPr="00C3671E">
              <w:rPr>
                <w:sz w:val="20"/>
                <w:szCs w:val="20"/>
                <w:lang w:val="en-GB"/>
              </w:rPr>
              <w:t>11,486</w:t>
            </w:r>
          </w:p>
        </w:tc>
        <w:tc>
          <w:tcPr>
            <w:tcW w:w="2710" w:type="dxa"/>
            <w:gridSpan w:val="2"/>
            <w:tcBorders>
              <w:top w:val="single" w:sz="12" w:space="0" w:color="auto"/>
              <w:bottom w:val="single" w:sz="12" w:space="0" w:color="auto"/>
            </w:tcBorders>
            <w:shd w:val="clear" w:color="auto" w:fill="auto"/>
            <w:vAlign w:val="center"/>
          </w:tcPr>
          <w:p w14:paraId="4B482E66" w14:textId="77777777" w:rsidR="00C94483" w:rsidRPr="00C3671E" w:rsidRDefault="00C94483" w:rsidP="00C94483">
            <w:pPr>
              <w:jc w:val="center"/>
              <w:rPr>
                <w:sz w:val="20"/>
                <w:szCs w:val="20"/>
                <w:lang w:val="en-GB"/>
              </w:rPr>
            </w:pPr>
            <w:r w:rsidRPr="00C3671E">
              <w:rPr>
                <w:sz w:val="20"/>
                <w:szCs w:val="20"/>
                <w:lang w:val="en-GB"/>
              </w:rPr>
              <w:t>3503</w:t>
            </w:r>
          </w:p>
        </w:tc>
      </w:tr>
    </w:tbl>
    <w:p w14:paraId="586362E1" w14:textId="77777777" w:rsidR="00C94483" w:rsidRPr="00C3671E" w:rsidRDefault="00C94483" w:rsidP="00C94483">
      <w:pPr>
        <w:ind w:left="426"/>
        <w:rPr>
          <w:i/>
          <w:sz w:val="20"/>
          <w:szCs w:val="20"/>
          <w:lang w:val="en-GB"/>
        </w:rPr>
      </w:pPr>
      <w:r w:rsidRPr="00C3671E">
        <w:rPr>
          <w:i/>
          <w:sz w:val="20"/>
          <w:szCs w:val="20"/>
          <w:lang w:val="en-GB"/>
        </w:rPr>
        <w:t>Source: SHARE, waves 4, 5, and 6, own calculations.</w:t>
      </w:r>
    </w:p>
    <w:p w14:paraId="53F3FAF2" w14:textId="4BAFF380" w:rsidR="00C94483" w:rsidRPr="00C3671E" w:rsidRDefault="00C94483" w:rsidP="00C94483">
      <w:pPr>
        <w:ind w:left="426"/>
        <w:rPr>
          <w:i/>
          <w:sz w:val="20"/>
          <w:szCs w:val="20"/>
          <w:lang w:val="en-GB"/>
        </w:rPr>
      </w:pPr>
      <w:r w:rsidRPr="00C3671E">
        <w:rPr>
          <w:i/>
          <w:sz w:val="20"/>
          <w:szCs w:val="20"/>
          <w:lang w:val="en-GB"/>
        </w:rPr>
        <w:t>+ p &lt; 0.1, * p &lt; 0.05, ** p &lt; 0.01, *** p &lt; 0.001.</w:t>
      </w:r>
    </w:p>
    <w:p w14:paraId="4EC3E7FC" w14:textId="77777777" w:rsidR="00C94483" w:rsidRPr="00C3671E" w:rsidRDefault="00C94483" w:rsidP="00C94483">
      <w:pPr>
        <w:suppressAutoHyphens/>
        <w:spacing w:line="480" w:lineRule="auto"/>
        <w:jc w:val="both"/>
        <w:rPr>
          <w:lang w:val="en-GB"/>
        </w:rPr>
      </w:pPr>
    </w:p>
    <w:p w14:paraId="796917DD" w14:textId="77777777" w:rsidR="00C94483" w:rsidRPr="00C3671E" w:rsidRDefault="00C94483" w:rsidP="00466C1F">
      <w:pPr>
        <w:suppressAutoHyphens/>
        <w:spacing w:line="480" w:lineRule="auto"/>
        <w:jc w:val="both"/>
        <w:rPr>
          <w:lang w:val="en-GB"/>
        </w:rPr>
      </w:pPr>
      <w:r w:rsidRPr="00C3671E">
        <w:rPr>
          <w:lang w:val="en-GB"/>
        </w:rPr>
        <w:t xml:space="preserve">The effect of volunteering is more profound for more educated </w:t>
      </w:r>
      <w:r w:rsidRPr="00466C1F">
        <w:rPr>
          <w:rFonts w:eastAsia="Calibri"/>
          <w:lang w:val="en-GB" w:eastAsia="en-US"/>
        </w:rPr>
        <w:t>respondents</w:t>
      </w:r>
      <w:r w:rsidRPr="00C3671E">
        <w:rPr>
          <w:lang w:val="en-GB"/>
        </w:rPr>
        <w:t xml:space="preserve">, while physical activity and participation in a sport or social club have the effect only in people with lower level of education. Then, the effects of economic situation and health are stronger for less educated </w:t>
      </w:r>
      <w:r w:rsidRPr="00C3671E">
        <w:rPr>
          <w:lang w:val="en-GB"/>
        </w:rPr>
        <w:lastRenderedPageBreak/>
        <w:t xml:space="preserve">as well. The higher effect of volunteering and the lower effect of conventional political participation among </w:t>
      </w:r>
      <w:r w:rsidRPr="00C3671E">
        <w:rPr>
          <w:lang w:val="en-GB" w:eastAsia="zh-CN"/>
        </w:rPr>
        <w:t>respondents</w:t>
      </w:r>
      <w:r w:rsidRPr="00C3671E">
        <w:rPr>
          <w:lang w:val="en-GB"/>
        </w:rPr>
        <w:t xml:space="preserve"> with higher education is fitting the expectations. The more beneficial physical activities are also plausible, if their purpose is more in physical work and sports competition than self-expression and meeting people. Nevertheless, it is important to note that effects of age, health, and economic situation on QoL are much stronger than rather cosmetic effects of roles supported by active ageing policies.</w:t>
      </w:r>
    </w:p>
    <w:p w14:paraId="4FC56E9F" w14:textId="77777777" w:rsidR="00C94483" w:rsidRPr="00C3671E" w:rsidRDefault="00C94483" w:rsidP="007E6D8E">
      <w:pPr>
        <w:pStyle w:val="Nadpis3"/>
        <w:spacing w:line="480" w:lineRule="auto"/>
        <w:rPr>
          <w:rFonts w:ascii="Times New Roman" w:hAnsi="Times New Roman" w:cs="Times New Roman"/>
          <w:b w:val="0"/>
          <w:i/>
          <w:lang w:val="en-GB" w:eastAsia="zh-CN"/>
        </w:rPr>
      </w:pPr>
      <w:bookmarkStart w:id="103" w:name="_Toc512687792"/>
      <w:r w:rsidRPr="00C3671E">
        <w:rPr>
          <w:rFonts w:ascii="Times New Roman" w:hAnsi="Times New Roman" w:cs="Times New Roman"/>
          <w:b w:val="0"/>
          <w:i/>
          <w:lang w:val="en-GB" w:eastAsia="zh-CN"/>
        </w:rPr>
        <w:t>Differences in FEM across Europe</w:t>
      </w:r>
      <w:bookmarkEnd w:id="103"/>
    </w:p>
    <w:p w14:paraId="3E93AC35" w14:textId="6C5625DC" w:rsidR="00C94483" w:rsidRPr="00C3671E" w:rsidRDefault="00C94483" w:rsidP="00C94483">
      <w:pPr>
        <w:suppressAutoHyphens/>
        <w:spacing w:line="480" w:lineRule="auto"/>
        <w:jc w:val="both"/>
        <w:rPr>
          <w:lang w:val="en-GB"/>
        </w:rPr>
      </w:pPr>
      <w:r w:rsidRPr="00C3671E">
        <w:rPr>
          <w:lang w:val="en-GB"/>
        </w:rPr>
        <w:t xml:space="preserve">Table </w:t>
      </w:r>
      <w:r w:rsidR="00F96318" w:rsidRPr="00C3671E">
        <w:rPr>
          <w:lang w:val="en-GB"/>
        </w:rPr>
        <w:t>11</w:t>
      </w:r>
      <w:r w:rsidRPr="00C3671E">
        <w:rPr>
          <w:lang w:val="en-GB"/>
        </w:rPr>
        <w:t xml:space="preserve"> shows results of FEM separately for Northern/Western and Southern/Eastern European countries. Participation in sport or social club has a positive effect only in the less prosperous countries and volunteering, physical activity, and caregiving within the household have a stronger effect in that part of Europe. The effect of caregiving within the household, which is the only negative one, may be stronger in Southern/Eastern Europe due to lower availability of formal care. The effects of </w:t>
      </w:r>
      <w:r w:rsidRPr="00C3671E">
        <w:rPr>
          <w:lang w:val="en-GB" w:eastAsia="zh-CN"/>
        </w:rPr>
        <w:t>physical</w:t>
      </w:r>
      <w:r w:rsidRPr="00C3671E">
        <w:rPr>
          <w:lang w:val="en-GB"/>
        </w:rPr>
        <w:t xml:space="preserve"> activity and sport club are presumably more beneficial in more materialist part of Europe, but the effect of volunteering contradicts the expectations even though it fulfilled them in the first comparison. Generally, the impact of roles for QoL differs across Europe, but these differences and the whole effects are rather small and almost negligible compared to the effects of age, health, and economic conditions.</w:t>
      </w:r>
    </w:p>
    <w:p w14:paraId="30010B1F" w14:textId="39C0401B" w:rsidR="00C94483" w:rsidRPr="00C3671E" w:rsidRDefault="00F96318" w:rsidP="00F96318">
      <w:pPr>
        <w:spacing w:before="100" w:beforeAutospacing="1"/>
        <w:jc w:val="both"/>
        <w:rPr>
          <w:b/>
          <w:lang w:val="en-GB"/>
        </w:rPr>
      </w:pPr>
      <w:bookmarkStart w:id="104" w:name="_Toc512687486"/>
      <w:r w:rsidRPr="00C3671E">
        <w:rPr>
          <w:b/>
          <w:lang w:val="en-GB"/>
        </w:rPr>
        <w:t xml:space="preserve">Table </w:t>
      </w:r>
      <w:r w:rsidRPr="00C3671E">
        <w:rPr>
          <w:b/>
          <w:lang w:val="en-GB"/>
        </w:rPr>
        <w:fldChar w:fldCharType="begin"/>
      </w:r>
      <w:r w:rsidRPr="00C3671E">
        <w:rPr>
          <w:b/>
          <w:lang w:val="en-GB"/>
        </w:rPr>
        <w:instrText xml:space="preserve"> SEQ Table \* ARABIC </w:instrText>
      </w:r>
      <w:r w:rsidRPr="00C3671E">
        <w:rPr>
          <w:b/>
          <w:lang w:val="en-GB"/>
        </w:rPr>
        <w:fldChar w:fldCharType="separate"/>
      </w:r>
      <w:r w:rsidRPr="00C3671E">
        <w:rPr>
          <w:b/>
          <w:lang w:val="en-GB"/>
        </w:rPr>
        <w:t>11</w:t>
      </w:r>
      <w:r w:rsidRPr="00C3671E">
        <w:rPr>
          <w:b/>
          <w:lang w:val="en-GB"/>
        </w:rPr>
        <w:fldChar w:fldCharType="end"/>
      </w:r>
      <w:r w:rsidR="00C94483" w:rsidRPr="00C3671E">
        <w:rPr>
          <w:b/>
          <w:lang w:val="en-GB"/>
        </w:rPr>
        <w:t>: Fixed effects regression models predicting QoL sorted by European region</w:t>
      </w:r>
      <w:bookmarkEnd w:id="104"/>
    </w:p>
    <w:tbl>
      <w:tblPr>
        <w:tblW w:w="8964" w:type="dxa"/>
        <w:tblInd w:w="108" w:type="dxa"/>
        <w:tblLayout w:type="fixed"/>
        <w:tblLook w:val="0020" w:firstRow="1" w:lastRow="0" w:firstColumn="0" w:lastColumn="0" w:noHBand="0" w:noVBand="0"/>
      </w:tblPr>
      <w:tblGrid>
        <w:gridCol w:w="3544"/>
        <w:gridCol w:w="1355"/>
        <w:gridCol w:w="1355"/>
        <w:gridCol w:w="1355"/>
        <w:gridCol w:w="1355"/>
      </w:tblGrid>
      <w:tr w:rsidR="00C94483" w:rsidRPr="00C3671E" w14:paraId="2DCFDEDB" w14:textId="77777777" w:rsidTr="00C94483">
        <w:trPr>
          <w:trHeight w:val="340"/>
        </w:trPr>
        <w:tc>
          <w:tcPr>
            <w:tcW w:w="3544" w:type="dxa"/>
            <w:tcBorders>
              <w:top w:val="single" w:sz="12" w:space="0" w:color="auto"/>
              <w:bottom w:val="single" w:sz="12" w:space="0" w:color="auto"/>
            </w:tcBorders>
            <w:shd w:val="clear" w:color="auto" w:fill="auto"/>
            <w:vAlign w:val="center"/>
          </w:tcPr>
          <w:p w14:paraId="331460A8" w14:textId="77777777" w:rsidR="00C94483" w:rsidRPr="00C3671E" w:rsidRDefault="00C94483" w:rsidP="00C94483">
            <w:pPr>
              <w:rPr>
                <w:sz w:val="20"/>
                <w:szCs w:val="20"/>
                <w:lang w:val="en-GB"/>
              </w:rPr>
            </w:pPr>
          </w:p>
        </w:tc>
        <w:tc>
          <w:tcPr>
            <w:tcW w:w="2710" w:type="dxa"/>
            <w:gridSpan w:val="2"/>
            <w:tcBorders>
              <w:top w:val="single" w:sz="12" w:space="0" w:color="auto"/>
              <w:bottom w:val="single" w:sz="12" w:space="0" w:color="auto"/>
            </w:tcBorders>
            <w:shd w:val="clear" w:color="auto" w:fill="auto"/>
            <w:vAlign w:val="center"/>
          </w:tcPr>
          <w:p w14:paraId="2FCCE6F2" w14:textId="77777777" w:rsidR="00C94483" w:rsidRPr="00C3671E" w:rsidRDefault="00C94483" w:rsidP="00C94483">
            <w:pPr>
              <w:jc w:val="center"/>
              <w:rPr>
                <w:sz w:val="20"/>
                <w:szCs w:val="20"/>
                <w:lang w:val="en-GB"/>
              </w:rPr>
            </w:pPr>
            <w:r w:rsidRPr="00C3671E">
              <w:rPr>
                <w:sz w:val="20"/>
                <w:szCs w:val="20"/>
                <w:lang w:val="en-GB"/>
              </w:rPr>
              <w:t>North/West</w:t>
            </w:r>
          </w:p>
        </w:tc>
        <w:tc>
          <w:tcPr>
            <w:tcW w:w="2710" w:type="dxa"/>
            <w:gridSpan w:val="2"/>
            <w:tcBorders>
              <w:top w:val="single" w:sz="12" w:space="0" w:color="auto"/>
              <w:bottom w:val="single" w:sz="12" w:space="0" w:color="auto"/>
            </w:tcBorders>
            <w:shd w:val="clear" w:color="auto" w:fill="auto"/>
            <w:vAlign w:val="center"/>
          </w:tcPr>
          <w:p w14:paraId="62C4AA8D" w14:textId="77777777" w:rsidR="00C94483" w:rsidRPr="00C3671E" w:rsidRDefault="00C94483" w:rsidP="00C94483">
            <w:pPr>
              <w:jc w:val="center"/>
              <w:rPr>
                <w:sz w:val="20"/>
                <w:szCs w:val="20"/>
                <w:lang w:val="en-GB"/>
              </w:rPr>
            </w:pPr>
            <w:r w:rsidRPr="00C3671E">
              <w:rPr>
                <w:sz w:val="20"/>
                <w:szCs w:val="20"/>
                <w:lang w:val="en-GB"/>
              </w:rPr>
              <w:t>South/East</w:t>
            </w:r>
          </w:p>
        </w:tc>
      </w:tr>
      <w:tr w:rsidR="00C94483" w:rsidRPr="00C3671E" w14:paraId="3D98048B" w14:textId="77777777" w:rsidTr="00C94483">
        <w:trPr>
          <w:trHeight w:val="340"/>
        </w:trPr>
        <w:tc>
          <w:tcPr>
            <w:tcW w:w="3544" w:type="dxa"/>
            <w:tcBorders>
              <w:bottom w:val="single" w:sz="12" w:space="0" w:color="auto"/>
            </w:tcBorders>
            <w:shd w:val="clear" w:color="auto" w:fill="auto"/>
            <w:vAlign w:val="center"/>
          </w:tcPr>
          <w:p w14:paraId="1AA54629" w14:textId="77777777" w:rsidR="00C94483" w:rsidRPr="00C3671E" w:rsidRDefault="00C94483" w:rsidP="00C94483">
            <w:pPr>
              <w:rPr>
                <w:sz w:val="20"/>
                <w:szCs w:val="20"/>
                <w:lang w:val="en-GB"/>
              </w:rPr>
            </w:pPr>
          </w:p>
        </w:tc>
        <w:tc>
          <w:tcPr>
            <w:tcW w:w="1355" w:type="dxa"/>
            <w:tcBorders>
              <w:bottom w:val="single" w:sz="12" w:space="0" w:color="auto"/>
            </w:tcBorders>
            <w:shd w:val="clear" w:color="auto" w:fill="auto"/>
            <w:vAlign w:val="center"/>
          </w:tcPr>
          <w:p w14:paraId="51815B20" w14:textId="77777777" w:rsidR="00C94483" w:rsidRPr="00C3671E" w:rsidRDefault="00C94483" w:rsidP="00C94483">
            <w:pPr>
              <w:jc w:val="center"/>
              <w:rPr>
                <w:sz w:val="20"/>
                <w:szCs w:val="20"/>
                <w:lang w:val="en-GB"/>
              </w:rPr>
            </w:pPr>
            <w:r w:rsidRPr="00C3671E">
              <w:rPr>
                <w:sz w:val="20"/>
                <w:szCs w:val="20"/>
                <w:lang w:val="en-GB"/>
              </w:rPr>
              <w:t>Coefficient</w:t>
            </w:r>
          </w:p>
        </w:tc>
        <w:tc>
          <w:tcPr>
            <w:tcW w:w="1355" w:type="dxa"/>
            <w:tcBorders>
              <w:bottom w:val="single" w:sz="12" w:space="0" w:color="auto"/>
            </w:tcBorders>
            <w:vAlign w:val="center"/>
          </w:tcPr>
          <w:p w14:paraId="6A91B85C" w14:textId="77777777" w:rsidR="00C94483" w:rsidRPr="00C3671E" w:rsidRDefault="00C94483" w:rsidP="00C94483">
            <w:pPr>
              <w:jc w:val="center"/>
              <w:rPr>
                <w:sz w:val="20"/>
                <w:szCs w:val="20"/>
                <w:lang w:val="en-GB"/>
              </w:rPr>
            </w:pPr>
            <w:r w:rsidRPr="00C3671E">
              <w:rPr>
                <w:sz w:val="20"/>
                <w:szCs w:val="20"/>
                <w:lang w:val="en-GB"/>
              </w:rPr>
              <w:t>SE</w:t>
            </w:r>
          </w:p>
        </w:tc>
        <w:tc>
          <w:tcPr>
            <w:tcW w:w="1355" w:type="dxa"/>
            <w:tcBorders>
              <w:bottom w:val="single" w:sz="12" w:space="0" w:color="auto"/>
            </w:tcBorders>
            <w:shd w:val="clear" w:color="auto" w:fill="auto"/>
            <w:vAlign w:val="center"/>
          </w:tcPr>
          <w:p w14:paraId="735A842D" w14:textId="77777777" w:rsidR="00C94483" w:rsidRPr="00C3671E" w:rsidRDefault="00C94483" w:rsidP="00C94483">
            <w:pPr>
              <w:jc w:val="center"/>
              <w:rPr>
                <w:sz w:val="20"/>
                <w:szCs w:val="20"/>
                <w:lang w:val="en-GB"/>
              </w:rPr>
            </w:pPr>
            <w:r w:rsidRPr="00C3671E">
              <w:rPr>
                <w:sz w:val="20"/>
                <w:szCs w:val="20"/>
                <w:lang w:val="en-GB"/>
              </w:rPr>
              <w:t>Coefficient</w:t>
            </w:r>
          </w:p>
        </w:tc>
        <w:tc>
          <w:tcPr>
            <w:tcW w:w="1355" w:type="dxa"/>
            <w:tcBorders>
              <w:bottom w:val="single" w:sz="12" w:space="0" w:color="auto"/>
            </w:tcBorders>
            <w:vAlign w:val="center"/>
          </w:tcPr>
          <w:p w14:paraId="728D9B9F" w14:textId="77777777" w:rsidR="00C94483" w:rsidRPr="00C3671E" w:rsidRDefault="00C94483" w:rsidP="00C94483">
            <w:pPr>
              <w:jc w:val="center"/>
              <w:rPr>
                <w:sz w:val="20"/>
                <w:szCs w:val="20"/>
                <w:lang w:val="en-GB"/>
              </w:rPr>
            </w:pPr>
            <w:r w:rsidRPr="00C3671E">
              <w:rPr>
                <w:sz w:val="20"/>
                <w:szCs w:val="20"/>
                <w:lang w:val="en-GB"/>
              </w:rPr>
              <w:t>SE</w:t>
            </w:r>
          </w:p>
        </w:tc>
      </w:tr>
      <w:tr w:rsidR="00C94483" w:rsidRPr="00C3671E" w14:paraId="5FED664E" w14:textId="77777777" w:rsidTr="00C94483">
        <w:trPr>
          <w:trHeight w:val="340"/>
        </w:trPr>
        <w:tc>
          <w:tcPr>
            <w:tcW w:w="3544" w:type="dxa"/>
            <w:tcBorders>
              <w:top w:val="single" w:sz="12" w:space="0" w:color="auto"/>
            </w:tcBorders>
            <w:shd w:val="clear" w:color="auto" w:fill="auto"/>
            <w:vAlign w:val="center"/>
          </w:tcPr>
          <w:p w14:paraId="0BF323FD" w14:textId="77777777" w:rsidR="00C94483" w:rsidRPr="00C3671E" w:rsidRDefault="00C94483" w:rsidP="00C94483">
            <w:pPr>
              <w:rPr>
                <w:sz w:val="20"/>
                <w:szCs w:val="20"/>
                <w:lang w:val="en-GB"/>
              </w:rPr>
            </w:pPr>
            <w:r w:rsidRPr="00C3671E">
              <w:rPr>
                <w:sz w:val="20"/>
                <w:szCs w:val="20"/>
                <w:lang w:val="en-GB"/>
              </w:rPr>
              <w:t>Constant</w:t>
            </w:r>
          </w:p>
        </w:tc>
        <w:tc>
          <w:tcPr>
            <w:tcW w:w="1355" w:type="dxa"/>
            <w:tcBorders>
              <w:top w:val="single" w:sz="12" w:space="0" w:color="auto"/>
            </w:tcBorders>
            <w:shd w:val="clear" w:color="auto" w:fill="auto"/>
            <w:vAlign w:val="center"/>
          </w:tcPr>
          <w:p w14:paraId="09B84C13" w14:textId="77777777" w:rsidR="00C94483" w:rsidRPr="00C3671E" w:rsidRDefault="00C94483" w:rsidP="00C94483">
            <w:pPr>
              <w:tabs>
                <w:tab w:val="decimal" w:pos="466"/>
              </w:tabs>
              <w:rPr>
                <w:sz w:val="20"/>
                <w:szCs w:val="20"/>
                <w:lang w:val="en-GB"/>
              </w:rPr>
            </w:pPr>
            <w:r w:rsidRPr="00C3671E">
              <w:rPr>
                <w:sz w:val="20"/>
                <w:szCs w:val="20"/>
                <w:lang w:val="en-GB"/>
              </w:rPr>
              <w:t>12.503**</w:t>
            </w:r>
          </w:p>
        </w:tc>
        <w:tc>
          <w:tcPr>
            <w:tcW w:w="1355" w:type="dxa"/>
            <w:tcBorders>
              <w:top w:val="single" w:sz="12" w:space="0" w:color="auto"/>
            </w:tcBorders>
            <w:vAlign w:val="center"/>
          </w:tcPr>
          <w:p w14:paraId="7E4B19FD" w14:textId="77777777" w:rsidR="00C94483" w:rsidRPr="00C3671E" w:rsidRDefault="00C94483" w:rsidP="00C94483">
            <w:pPr>
              <w:tabs>
                <w:tab w:val="decimal" w:pos="466"/>
              </w:tabs>
              <w:rPr>
                <w:sz w:val="20"/>
                <w:szCs w:val="20"/>
                <w:lang w:val="en-GB"/>
              </w:rPr>
            </w:pPr>
            <w:r w:rsidRPr="00C3671E">
              <w:rPr>
                <w:sz w:val="20"/>
                <w:szCs w:val="20"/>
                <w:lang w:val="en-GB"/>
              </w:rPr>
              <w:t>4.107</w:t>
            </w:r>
          </w:p>
        </w:tc>
        <w:tc>
          <w:tcPr>
            <w:tcW w:w="1355" w:type="dxa"/>
            <w:tcBorders>
              <w:top w:val="single" w:sz="12" w:space="0" w:color="auto"/>
            </w:tcBorders>
            <w:shd w:val="clear" w:color="auto" w:fill="auto"/>
            <w:vAlign w:val="center"/>
          </w:tcPr>
          <w:p w14:paraId="2230FBBE" w14:textId="77777777" w:rsidR="00C94483" w:rsidRPr="00C3671E" w:rsidRDefault="00C94483" w:rsidP="00C94483">
            <w:pPr>
              <w:tabs>
                <w:tab w:val="decimal" w:pos="466"/>
              </w:tabs>
              <w:rPr>
                <w:sz w:val="20"/>
                <w:szCs w:val="20"/>
                <w:lang w:val="en-GB"/>
              </w:rPr>
            </w:pPr>
            <w:r w:rsidRPr="00C3671E">
              <w:rPr>
                <w:sz w:val="20"/>
                <w:szCs w:val="20"/>
                <w:lang w:val="en-GB"/>
              </w:rPr>
              <w:t>-0.809</w:t>
            </w:r>
          </w:p>
        </w:tc>
        <w:tc>
          <w:tcPr>
            <w:tcW w:w="1355" w:type="dxa"/>
            <w:tcBorders>
              <w:top w:val="single" w:sz="12" w:space="0" w:color="auto"/>
            </w:tcBorders>
            <w:vAlign w:val="center"/>
          </w:tcPr>
          <w:p w14:paraId="4C36732D" w14:textId="77777777" w:rsidR="00C94483" w:rsidRPr="00C3671E" w:rsidRDefault="00C94483" w:rsidP="00C94483">
            <w:pPr>
              <w:tabs>
                <w:tab w:val="decimal" w:pos="466"/>
              </w:tabs>
              <w:rPr>
                <w:sz w:val="20"/>
                <w:szCs w:val="20"/>
                <w:lang w:val="en-GB"/>
              </w:rPr>
            </w:pPr>
            <w:r w:rsidRPr="00C3671E">
              <w:rPr>
                <w:sz w:val="20"/>
                <w:szCs w:val="20"/>
                <w:lang w:val="en-GB"/>
              </w:rPr>
              <w:t>5.575</w:t>
            </w:r>
          </w:p>
        </w:tc>
      </w:tr>
      <w:tr w:rsidR="00C94483" w:rsidRPr="00C3671E" w14:paraId="47FBA29B" w14:textId="77777777" w:rsidTr="00C94483">
        <w:trPr>
          <w:trHeight w:val="340"/>
        </w:trPr>
        <w:tc>
          <w:tcPr>
            <w:tcW w:w="3544" w:type="dxa"/>
            <w:shd w:val="clear" w:color="auto" w:fill="auto"/>
            <w:vAlign w:val="center"/>
          </w:tcPr>
          <w:p w14:paraId="317A99D3" w14:textId="77777777" w:rsidR="00C94483" w:rsidRPr="00C3671E" w:rsidRDefault="00C94483" w:rsidP="00C94483">
            <w:pPr>
              <w:rPr>
                <w:sz w:val="20"/>
                <w:szCs w:val="20"/>
                <w:lang w:val="en-GB"/>
              </w:rPr>
            </w:pPr>
            <w:r w:rsidRPr="00C3671E">
              <w:rPr>
                <w:bCs/>
                <w:sz w:val="20"/>
                <w:szCs w:val="20"/>
                <w:lang w:val="en-GB"/>
              </w:rPr>
              <w:t>Labour force participation</w:t>
            </w:r>
          </w:p>
        </w:tc>
        <w:tc>
          <w:tcPr>
            <w:tcW w:w="1355" w:type="dxa"/>
            <w:shd w:val="clear" w:color="auto" w:fill="auto"/>
            <w:vAlign w:val="center"/>
          </w:tcPr>
          <w:p w14:paraId="476C052D" w14:textId="77777777" w:rsidR="00C94483" w:rsidRPr="00C3671E" w:rsidRDefault="00C94483" w:rsidP="00C94483">
            <w:pPr>
              <w:tabs>
                <w:tab w:val="decimal" w:pos="466"/>
              </w:tabs>
              <w:rPr>
                <w:sz w:val="20"/>
                <w:szCs w:val="20"/>
                <w:lang w:val="en-GB"/>
              </w:rPr>
            </w:pPr>
            <w:r w:rsidRPr="00C3671E">
              <w:rPr>
                <w:sz w:val="20"/>
                <w:szCs w:val="20"/>
                <w:lang w:val="en-GB"/>
              </w:rPr>
              <w:t>-0.180</w:t>
            </w:r>
          </w:p>
        </w:tc>
        <w:tc>
          <w:tcPr>
            <w:tcW w:w="1355" w:type="dxa"/>
            <w:vAlign w:val="center"/>
          </w:tcPr>
          <w:p w14:paraId="160F5ACE" w14:textId="77777777" w:rsidR="00C94483" w:rsidRPr="00C3671E" w:rsidRDefault="00C94483" w:rsidP="00C94483">
            <w:pPr>
              <w:tabs>
                <w:tab w:val="decimal" w:pos="466"/>
              </w:tabs>
              <w:rPr>
                <w:sz w:val="20"/>
                <w:szCs w:val="20"/>
                <w:lang w:val="en-GB"/>
              </w:rPr>
            </w:pPr>
            <w:r w:rsidRPr="00C3671E">
              <w:rPr>
                <w:sz w:val="20"/>
                <w:szCs w:val="20"/>
                <w:lang w:val="en-GB"/>
              </w:rPr>
              <w:t>0.145</w:t>
            </w:r>
          </w:p>
        </w:tc>
        <w:tc>
          <w:tcPr>
            <w:tcW w:w="1355" w:type="dxa"/>
            <w:shd w:val="clear" w:color="auto" w:fill="auto"/>
            <w:vAlign w:val="center"/>
          </w:tcPr>
          <w:p w14:paraId="661B40F0" w14:textId="77777777" w:rsidR="00C94483" w:rsidRPr="00C3671E" w:rsidRDefault="00C94483" w:rsidP="00C94483">
            <w:pPr>
              <w:tabs>
                <w:tab w:val="decimal" w:pos="466"/>
              </w:tabs>
              <w:rPr>
                <w:sz w:val="20"/>
                <w:szCs w:val="20"/>
                <w:lang w:val="en-GB"/>
              </w:rPr>
            </w:pPr>
            <w:r w:rsidRPr="00C3671E">
              <w:rPr>
                <w:sz w:val="20"/>
                <w:szCs w:val="20"/>
                <w:lang w:val="en-GB"/>
              </w:rPr>
              <w:t>0.211</w:t>
            </w:r>
          </w:p>
        </w:tc>
        <w:tc>
          <w:tcPr>
            <w:tcW w:w="1355" w:type="dxa"/>
            <w:vAlign w:val="center"/>
          </w:tcPr>
          <w:p w14:paraId="3E97288E" w14:textId="77777777" w:rsidR="00C94483" w:rsidRPr="00C3671E" w:rsidRDefault="00C94483" w:rsidP="00C94483">
            <w:pPr>
              <w:tabs>
                <w:tab w:val="decimal" w:pos="466"/>
              </w:tabs>
              <w:rPr>
                <w:sz w:val="20"/>
                <w:szCs w:val="20"/>
                <w:lang w:val="en-GB"/>
              </w:rPr>
            </w:pPr>
            <w:r w:rsidRPr="00C3671E">
              <w:rPr>
                <w:sz w:val="20"/>
                <w:szCs w:val="20"/>
                <w:lang w:val="en-GB"/>
              </w:rPr>
              <w:t>0.215</w:t>
            </w:r>
          </w:p>
        </w:tc>
      </w:tr>
      <w:tr w:rsidR="00C94483" w:rsidRPr="00C3671E" w14:paraId="3C991F99" w14:textId="77777777" w:rsidTr="00C94483">
        <w:trPr>
          <w:trHeight w:val="340"/>
        </w:trPr>
        <w:tc>
          <w:tcPr>
            <w:tcW w:w="3544" w:type="dxa"/>
            <w:shd w:val="clear" w:color="auto" w:fill="auto"/>
            <w:vAlign w:val="center"/>
          </w:tcPr>
          <w:p w14:paraId="1B99F80A" w14:textId="77777777" w:rsidR="00C94483" w:rsidRPr="00C3671E" w:rsidRDefault="00C94483" w:rsidP="00C94483">
            <w:pPr>
              <w:rPr>
                <w:sz w:val="20"/>
                <w:szCs w:val="20"/>
                <w:lang w:val="en-GB"/>
              </w:rPr>
            </w:pPr>
            <w:r w:rsidRPr="00C3671E">
              <w:rPr>
                <w:bCs/>
                <w:sz w:val="20"/>
                <w:szCs w:val="20"/>
                <w:lang w:val="en-GB"/>
              </w:rPr>
              <w:t>Caregiving outside household</w:t>
            </w:r>
          </w:p>
        </w:tc>
        <w:tc>
          <w:tcPr>
            <w:tcW w:w="1355" w:type="dxa"/>
            <w:shd w:val="clear" w:color="auto" w:fill="auto"/>
            <w:vAlign w:val="center"/>
          </w:tcPr>
          <w:p w14:paraId="7CCD6867" w14:textId="77777777" w:rsidR="00C94483" w:rsidRPr="00C3671E" w:rsidRDefault="00C94483" w:rsidP="00C94483">
            <w:pPr>
              <w:tabs>
                <w:tab w:val="decimal" w:pos="466"/>
              </w:tabs>
              <w:rPr>
                <w:sz w:val="20"/>
                <w:szCs w:val="20"/>
                <w:lang w:val="en-GB"/>
              </w:rPr>
            </w:pPr>
            <w:r w:rsidRPr="00C3671E">
              <w:rPr>
                <w:sz w:val="20"/>
                <w:szCs w:val="20"/>
                <w:lang w:val="en-GB"/>
              </w:rPr>
              <w:t>-0.057</w:t>
            </w:r>
          </w:p>
        </w:tc>
        <w:tc>
          <w:tcPr>
            <w:tcW w:w="1355" w:type="dxa"/>
            <w:vAlign w:val="center"/>
          </w:tcPr>
          <w:p w14:paraId="6F2B3046" w14:textId="77777777" w:rsidR="00C94483" w:rsidRPr="00C3671E" w:rsidRDefault="00C94483" w:rsidP="00C94483">
            <w:pPr>
              <w:tabs>
                <w:tab w:val="decimal" w:pos="466"/>
              </w:tabs>
              <w:rPr>
                <w:sz w:val="20"/>
                <w:szCs w:val="20"/>
                <w:lang w:val="en-GB"/>
              </w:rPr>
            </w:pPr>
            <w:r w:rsidRPr="00C3671E">
              <w:rPr>
                <w:sz w:val="20"/>
                <w:szCs w:val="20"/>
                <w:lang w:val="en-GB"/>
              </w:rPr>
              <w:t>0.080</w:t>
            </w:r>
          </w:p>
        </w:tc>
        <w:tc>
          <w:tcPr>
            <w:tcW w:w="1355" w:type="dxa"/>
            <w:shd w:val="clear" w:color="auto" w:fill="auto"/>
            <w:vAlign w:val="center"/>
          </w:tcPr>
          <w:p w14:paraId="66E7ED2E" w14:textId="77777777" w:rsidR="00C94483" w:rsidRPr="00C3671E" w:rsidRDefault="00C94483" w:rsidP="00C94483">
            <w:pPr>
              <w:tabs>
                <w:tab w:val="decimal" w:pos="466"/>
              </w:tabs>
              <w:rPr>
                <w:sz w:val="20"/>
                <w:szCs w:val="20"/>
                <w:lang w:val="en-GB"/>
              </w:rPr>
            </w:pPr>
            <w:r w:rsidRPr="00C3671E">
              <w:rPr>
                <w:sz w:val="20"/>
                <w:szCs w:val="20"/>
                <w:lang w:val="en-GB"/>
              </w:rPr>
              <w:t>-0.031</w:t>
            </w:r>
          </w:p>
        </w:tc>
        <w:tc>
          <w:tcPr>
            <w:tcW w:w="1355" w:type="dxa"/>
            <w:vAlign w:val="center"/>
          </w:tcPr>
          <w:p w14:paraId="6A82F25F" w14:textId="77777777" w:rsidR="00C94483" w:rsidRPr="00C3671E" w:rsidRDefault="00C94483" w:rsidP="00C94483">
            <w:pPr>
              <w:tabs>
                <w:tab w:val="decimal" w:pos="466"/>
              </w:tabs>
              <w:rPr>
                <w:sz w:val="20"/>
                <w:szCs w:val="20"/>
                <w:lang w:val="en-GB"/>
              </w:rPr>
            </w:pPr>
            <w:r w:rsidRPr="00C3671E">
              <w:rPr>
                <w:sz w:val="20"/>
                <w:szCs w:val="20"/>
                <w:lang w:val="en-GB"/>
              </w:rPr>
              <w:t>0.113</w:t>
            </w:r>
          </w:p>
        </w:tc>
      </w:tr>
      <w:tr w:rsidR="00C94483" w:rsidRPr="00C3671E" w14:paraId="4A9C3171" w14:textId="77777777" w:rsidTr="00C94483">
        <w:trPr>
          <w:trHeight w:val="340"/>
        </w:trPr>
        <w:tc>
          <w:tcPr>
            <w:tcW w:w="3544" w:type="dxa"/>
            <w:shd w:val="clear" w:color="auto" w:fill="auto"/>
            <w:vAlign w:val="center"/>
          </w:tcPr>
          <w:p w14:paraId="595DF870" w14:textId="77777777" w:rsidR="00C94483" w:rsidRPr="00C3671E" w:rsidRDefault="00C94483" w:rsidP="00C94483">
            <w:pPr>
              <w:rPr>
                <w:sz w:val="20"/>
                <w:szCs w:val="20"/>
                <w:lang w:val="en-GB"/>
              </w:rPr>
            </w:pPr>
            <w:r w:rsidRPr="00C3671E">
              <w:rPr>
                <w:bCs/>
                <w:sz w:val="20"/>
                <w:szCs w:val="20"/>
                <w:lang w:val="en-GB"/>
              </w:rPr>
              <w:t>Caregiving within household</w:t>
            </w:r>
          </w:p>
        </w:tc>
        <w:tc>
          <w:tcPr>
            <w:tcW w:w="1355" w:type="dxa"/>
            <w:shd w:val="clear" w:color="auto" w:fill="auto"/>
            <w:vAlign w:val="center"/>
          </w:tcPr>
          <w:p w14:paraId="0510C1F3" w14:textId="77777777" w:rsidR="00C94483" w:rsidRPr="00C3671E" w:rsidRDefault="00C94483" w:rsidP="00C94483">
            <w:pPr>
              <w:tabs>
                <w:tab w:val="decimal" w:pos="466"/>
              </w:tabs>
              <w:rPr>
                <w:sz w:val="20"/>
                <w:szCs w:val="20"/>
                <w:lang w:val="en-GB"/>
              </w:rPr>
            </w:pPr>
            <w:r w:rsidRPr="00C3671E">
              <w:rPr>
                <w:sz w:val="20"/>
                <w:szCs w:val="20"/>
                <w:lang w:val="en-GB"/>
              </w:rPr>
              <w:t>-0.596**</w:t>
            </w:r>
          </w:p>
        </w:tc>
        <w:tc>
          <w:tcPr>
            <w:tcW w:w="1355" w:type="dxa"/>
            <w:vAlign w:val="center"/>
          </w:tcPr>
          <w:p w14:paraId="6EED31E9" w14:textId="77777777" w:rsidR="00C94483" w:rsidRPr="00C3671E" w:rsidRDefault="00C94483" w:rsidP="00C94483">
            <w:pPr>
              <w:tabs>
                <w:tab w:val="decimal" w:pos="466"/>
              </w:tabs>
              <w:rPr>
                <w:sz w:val="20"/>
                <w:szCs w:val="20"/>
                <w:lang w:val="en-GB"/>
              </w:rPr>
            </w:pPr>
            <w:r w:rsidRPr="00C3671E">
              <w:rPr>
                <w:sz w:val="20"/>
                <w:szCs w:val="20"/>
                <w:lang w:val="en-GB"/>
              </w:rPr>
              <w:t>0.183</w:t>
            </w:r>
          </w:p>
        </w:tc>
        <w:tc>
          <w:tcPr>
            <w:tcW w:w="1355" w:type="dxa"/>
            <w:shd w:val="clear" w:color="auto" w:fill="auto"/>
            <w:vAlign w:val="center"/>
          </w:tcPr>
          <w:p w14:paraId="1CA09F0C" w14:textId="77777777" w:rsidR="00C94483" w:rsidRPr="00C3671E" w:rsidRDefault="00C94483" w:rsidP="00C94483">
            <w:pPr>
              <w:tabs>
                <w:tab w:val="decimal" w:pos="466"/>
              </w:tabs>
              <w:rPr>
                <w:sz w:val="20"/>
                <w:szCs w:val="20"/>
                <w:lang w:val="en-GB"/>
              </w:rPr>
            </w:pPr>
            <w:r w:rsidRPr="00C3671E">
              <w:rPr>
                <w:sz w:val="20"/>
                <w:szCs w:val="20"/>
                <w:lang w:val="en-GB"/>
              </w:rPr>
              <w:t>-1.188***</w:t>
            </w:r>
          </w:p>
        </w:tc>
        <w:tc>
          <w:tcPr>
            <w:tcW w:w="1355" w:type="dxa"/>
            <w:vAlign w:val="center"/>
          </w:tcPr>
          <w:p w14:paraId="59025C4F" w14:textId="77777777" w:rsidR="00C94483" w:rsidRPr="00C3671E" w:rsidRDefault="00C94483" w:rsidP="00C94483">
            <w:pPr>
              <w:tabs>
                <w:tab w:val="decimal" w:pos="466"/>
              </w:tabs>
              <w:rPr>
                <w:sz w:val="20"/>
                <w:szCs w:val="20"/>
                <w:lang w:val="en-GB"/>
              </w:rPr>
            </w:pPr>
            <w:r w:rsidRPr="00C3671E">
              <w:rPr>
                <w:sz w:val="20"/>
                <w:szCs w:val="20"/>
                <w:lang w:val="en-GB"/>
              </w:rPr>
              <w:t>0.212</w:t>
            </w:r>
          </w:p>
        </w:tc>
      </w:tr>
      <w:tr w:rsidR="00C94483" w:rsidRPr="00C3671E" w14:paraId="3B915CD1" w14:textId="77777777" w:rsidTr="00C94483">
        <w:trPr>
          <w:trHeight w:val="340"/>
        </w:trPr>
        <w:tc>
          <w:tcPr>
            <w:tcW w:w="3544" w:type="dxa"/>
            <w:shd w:val="clear" w:color="auto" w:fill="auto"/>
            <w:vAlign w:val="center"/>
          </w:tcPr>
          <w:p w14:paraId="6521A7B9" w14:textId="77777777" w:rsidR="00C94483" w:rsidRPr="00C3671E" w:rsidRDefault="00C94483" w:rsidP="00C94483">
            <w:pPr>
              <w:rPr>
                <w:sz w:val="20"/>
                <w:szCs w:val="20"/>
                <w:lang w:val="en-GB"/>
              </w:rPr>
            </w:pPr>
            <w:r w:rsidRPr="00C3671E">
              <w:rPr>
                <w:bCs/>
                <w:sz w:val="20"/>
                <w:szCs w:val="20"/>
                <w:lang w:val="en-GB"/>
              </w:rPr>
              <w:t>Volunteering</w:t>
            </w:r>
          </w:p>
        </w:tc>
        <w:tc>
          <w:tcPr>
            <w:tcW w:w="1355" w:type="dxa"/>
            <w:shd w:val="clear" w:color="auto" w:fill="auto"/>
            <w:vAlign w:val="center"/>
          </w:tcPr>
          <w:p w14:paraId="572C3EB8" w14:textId="77777777" w:rsidR="00C94483" w:rsidRPr="00C3671E" w:rsidRDefault="00C94483" w:rsidP="00C94483">
            <w:pPr>
              <w:tabs>
                <w:tab w:val="decimal" w:pos="466"/>
              </w:tabs>
              <w:rPr>
                <w:sz w:val="20"/>
                <w:szCs w:val="20"/>
                <w:lang w:val="en-GB"/>
              </w:rPr>
            </w:pPr>
            <w:r w:rsidRPr="00C3671E">
              <w:rPr>
                <w:sz w:val="20"/>
                <w:szCs w:val="20"/>
                <w:lang w:val="en-GB"/>
              </w:rPr>
              <w:t>0.255*</w:t>
            </w:r>
          </w:p>
        </w:tc>
        <w:tc>
          <w:tcPr>
            <w:tcW w:w="1355" w:type="dxa"/>
            <w:vAlign w:val="center"/>
          </w:tcPr>
          <w:p w14:paraId="576F02DE" w14:textId="77777777" w:rsidR="00C94483" w:rsidRPr="00C3671E" w:rsidRDefault="00C94483" w:rsidP="00C94483">
            <w:pPr>
              <w:tabs>
                <w:tab w:val="decimal" w:pos="466"/>
              </w:tabs>
              <w:rPr>
                <w:sz w:val="20"/>
                <w:szCs w:val="20"/>
                <w:lang w:val="en-GB"/>
              </w:rPr>
            </w:pPr>
            <w:r w:rsidRPr="00C3671E">
              <w:rPr>
                <w:sz w:val="20"/>
                <w:szCs w:val="20"/>
                <w:lang w:val="en-GB"/>
              </w:rPr>
              <w:t>0.106</w:t>
            </w:r>
          </w:p>
        </w:tc>
        <w:tc>
          <w:tcPr>
            <w:tcW w:w="1355" w:type="dxa"/>
            <w:shd w:val="clear" w:color="auto" w:fill="auto"/>
            <w:vAlign w:val="center"/>
          </w:tcPr>
          <w:p w14:paraId="58CDD94F" w14:textId="77777777" w:rsidR="00C94483" w:rsidRPr="00C3671E" w:rsidRDefault="00C94483" w:rsidP="00C94483">
            <w:pPr>
              <w:tabs>
                <w:tab w:val="decimal" w:pos="466"/>
              </w:tabs>
              <w:rPr>
                <w:sz w:val="20"/>
                <w:szCs w:val="20"/>
                <w:lang w:val="en-GB"/>
              </w:rPr>
            </w:pPr>
            <w:r w:rsidRPr="00C3671E">
              <w:rPr>
                <w:sz w:val="20"/>
                <w:szCs w:val="20"/>
                <w:lang w:val="en-GB"/>
              </w:rPr>
              <w:t>0.355+</w:t>
            </w:r>
          </w:p>
        </w:tc>
        <w:tc>
          <w:tcPr>
            <w:tcW w:w="1355" w:type="dxa"/>
            <w:vAlign w:val="center"/>
          </w:tcPr>
          <w:p w14:paraId="6C16A3A8" w14:textId="77777777" w:rsidR="00C94483" w:rsidRPr="00C3671E" w:rsidRDefault="00C94483" w:rsidP="00C94483">
            <w:pPr>
              <w:tabs>
                <w:tab w:val="decimal" w:pos="466"/>
              </w:tabs>
              <w:rPr>
                <w:sz w:val="20"/>
                <w:szCs w:val="20"/>
                <w:lang w:val="en-GB"/>
              </w:rPr>
            </w:pPr>
            <w:r w:rsidRPr="00C3671E">
              <w:rPr>
                <w:sz w:val="20"/>
                <w:szCs w:val="20"/>
                <w:lang w:val="en-GB"/>
              </w:rPr>
              <w:t>0.182</w:t>
            </w:r>
          </w:p>
        </w:tc>
      </w:tr>
      <w:tr w:rsidR="00C94483" w:rsidRPr="00C3671E" w14:paraId="689C42E3" w14:textId="77777777" w:rsidTr="00C94483">
        <w:trPr>
          <w:trHeight w:val="340"/>
        </w:trPr>
        <w:tc>
          <w:tcPr>
            <w:tcW w:w="3544" w:type="dxa"/>
            <w:shd w:val="clear" w:color="auto" w:fill="auto"/>
            <w:vAlign w:val="center"/>
          </w:tcPr>
          <w:p w14:paraId="52A29045" w14:textId="77777777" w:rsidR="00C94483" w:rsidRPr="00C3671E" w:rsidRDefault="00C94483" w:rsidP="00C94483">
            <w:pPr>
              <w:rPr>
                <w:sz w:val="20"/>
                <w:szCs w:val="20"/>
                <w:lang w:val="en-GB"/>
              </w:rPr>
            </w:pPr>
            <w:r w:rsidRPr="00C3671E">
              <w:rPr>
                <w:bCs/>
                <w:sz w:val="20"/>
                <w:szCs w:val="20"/>
                <w:lang w:val="en-GB"/>
              </w:rPr>
              <w:t>Educational course</w:t>
            </w:r>
          </w:p>
        </w:tc>
        <w:tc>
          <w:tcPr>
            <w:tcW w:w="1355" w:type="dxa"/>
            <w:shd w:val="clear" w:color="auto" w:fill="auto"/>
            <w:vAlign w:val="center"/>
          </w:tcPr>
          <w:p w14:paraId="418598CF" w14:textId="77777777" w:rsidR="00C94483" w:rsidRPr="00C3671E" w:rsidRDefault="00C94483" w:rsidP="00C94483">
            <w:pPr>
              <w:tabs>
                <w:tab w:val="decimal" w:pos="466"/>
              </w:tabs>
              <w:rPr>
                <w:sz w:val="20"/>
                <w:szCs w:val="20"/>
                <w:lang w:val="en-GB"/>
              </w:rPr>
            </w:pPr>
            <w:r w:rsidRPr="00C3671E">
              <w:rPr>
                <w:sz w:val="20"/>
                <w:szCs w:val="20"/>
                <w:lang w:val="en-GB"/>
              </w:rPr>
              <w:t>-0.049</w:t>
            </w:r>
          </w:p>
        </w:tc>
        <w:tc>
          <w:tcPr>
            <w:tcW w:w="1355" w:type="dxa"/>
            <w:vAlign w:val="center"/>
          </w:tcPr>
          <w:p w14:paraId="3D440CB3" w14:textId="77777777" w:rsidR="00C94483" w:rsidRPr="00C3671E" w:rsidRDefault="00C94483" w:rsidP="00C94483">
            <w:pPr>
              <w:tabs>
                <w:tab w:val="decimal" w:pos="466"/>
              </w:tabs>
              <w:rPr>
                <w:sz w:val="20"/>
                <w:szCs w:val="20"/>
                <w:lang w:val="en-GB"/>
              </w:rPr>
            </w:pPr>
            <w:r w:rsidRPr="00C3671E">
              <w:rPr>
                <w:sz w:val="20"/>
                <w:szCs w:val="20"/>
                <w:lang w:val="en-GB"/>
              </w:rPr>
              <w:t>0.118</w:t>
            </w:r>
          </w:p>
        </w:tc>
        <w:tc>
          <w:tcPr>
            <w:tcW w:w="1355" w:type="dxa"/>
            <w:shd w:val="clear" w:color="auto" w:fill="auto"/>
            <w:vAlign w:val="center"/>
          </w:tcPr>
          <w:p w14:paraId="76A7FE26" w14:textId="77777777" w:rsidR="00C94483" w:rsidRPr="00C3671E" w:rsidRDefault="00C94483" w:rsidP="00C94483">
            <w:pPr>
              <w:tabs>
                <w:tab w:val="decimal" w:pos="466"/>
              </w:tabs>
              <w:rPr>
                <w:sz w:val="20"/>
                <w:szCs w:val="20"/>
                <w:lang w:val="en-GB"/>
              </w:rPr>
            </w:pPr>
            <w:r w:rsidRPr="00C3671E">
              <w:rPr>
                <w:sz w:val="20"/>
                <w:szCs w:val="20"/>
                <w:lang w:val="en-GB"/>
              </w:rPr>
              <w:t>0.054</w:t>
            </w:r>
          </w:p>
        </w:tc>
        <w:tc>
          <w:tcPr>
            <w:tcW w:w="1355" w:type="dxa"/>
            <w:vAlign w:val="center"/>
          </w:tcPr>
          <w:p w14:paraId="25CDF0D1" w14:textId="77777777" w:rsidR="00C94483" w:rsidRPr="00C3671E" w:rsidRDefault="00C94483" w:rsidP="00C94483">
            <w:pPr>
              <w:tabs>
                <w:tab w:val="decimal" w:pos="466"/>
              </w:tabs>
              <w:rPr>
                <w:sz w:val="20"/>
                <w:szCs w:val="20"/>
                <w:lang w:val="en-GB"/>
              </w:rPr>
            </w:pPr>
            <w:r w:rsidRPr="00C3671E">
              <w:rPr>
                <w:sz w:val="20"/>
                <w:szCs w:val="20"/>
                <w:lang w:val="en-GB"/>
              </w:rPr>
              <w:t>0.232</w:t>
            </w:r>
          </w:p>
        </w:tc>
      </w:tr>
      <w:tr w:rsidR="00C94483" w:rsidRPr="00C3671E" w14:paraId="2B920B1C" w14:textId="77777777" w:rsidTr="00C94483">
        <w:trPr>
          <w:trHeight w:val="340"/>
        </w:trPr>
        <w:tc>
          <w:tcPr>
            <w:tcW w:w="3544" w:type="dxa"/>
            <w:shd w:val="clear" w:color="auto" w:fill="auto"/>
            <w:vAlign w:val="center"/>
          </w:tcPr>
          <w:p w14:paraId="4DBEEAD0" w14:textId="77777777" w:rsidR="00C94483" w:rsidRPr="00C3671E" w:rsidRDefault="00C94483" w:rsidP="00C94483">
            <w:pPr>
              <w:rPr>
                <w:sz w:val="20"/>
                <w:szCs w:val="20"/>
                <w:lang w:val="en-GB"/>
              </w:rPr>
            </w:pPr>
            <w:r w:rsidRPr="00C3671E">
              <w:rPr>
                <w:bCs/>
                <w:sz w:val="20"/>
                <w:szCs w:val="20"/>
                <w:lang w:val="en-GB"/>
              </w:rPr>
              <w:t>Sport or social club</w:t>
            </w:r>
          </w:p>
        </w:tc>
        <w:tc>
          <w:tcPr>
            <w:tcW w:w="1355" w:type="dxa"/>
            <w:shd w:val="clear" w:color="auto" w:fill="auto"/>
            <w:vAlign w:val="center"/>
          </w:tcPr>
          <w:p w14:paraId="3042FA11" w14:textId="77777777" w:rsidR="00C94483" w:rsidRPr="00C3671E" w:rsidRDefault="00C94483" w:rsidP="00C94483">
            <w:pPr>
              <w:tabs>
                <w:tab w:val="decimal" w:pos="466"/>
              </w:tabs>
              <w:rPr>
                <w:sz w:val="20"/>
                <w:szCs w:val="20"/>
                <w:lang w:val="en-GB"/>
              </w:rPr>
            </w:pPr>
            <w:r w:rsidRPr="00C3671E">
              <w:rPr>
                <w:sz w:val="20"/>
                <w:szCs w:val="20"/>
                <w:lang w:val="en-GB"/>
              </w:rPr>
              <w:t>0.093</w:t>
            </w:r>
          </w:p>
        </w:tc>
        <w:tc>
          <w:tcPr>
            <w:tcW w:w="1355" w:type="dxa"/>
            <w:vAlign w:val="center"/>
          </w:tcPr>
          <w:p w14:paraId="1480231D" w14:textId="77777777" w:rsidR="00C94483" w:rsidRPr="00C3671E" w:rsidRDefault="00C94483" w:rsidP="00C94483">
            <w:pPr>
              <w:tabs>
                <w:tab w:val="decimal" w:pos="466"/>
              </w:tabs>
              <w:rPr>
                <w:sz w:val="20"/>
                <w:szCs w:val="20"/>
                <w:lang w:val="en-GB"/>
              </w:rPr>
            </w:pPr>
            <w:r w:rsidRPr="00C3671E">
              <w:rPr>
                <w:sz w:val="20"/>
                <w:szCs w:val="20"/>
                <w:lang w:val="en-GB"/>
              </w:rPr>
              <w:t>0.085</w:t>
            </w:r>
          </w:p>
        </w:tc>
        <w:tc>
          <w:tcPr>
            <w:tcW w:w="1355" w:type="dxa"/>
            <w:shd w:val="clear" w:color="auto" w:fill="auto"/>
            <w:vAlign w:val="center"/>
          </w:tcPr>
          <w:p w14:paraId="12CFC736" w14:textId="77777777" w:rsidR="00C94483" w:rsidRPr="00C3671E" w:rsidRDefault="00C94483" w:rsidP="00C94483">
            <w:pPr>
              <w:tabs>
                <w:tab w:val="decimal" w:pos="466"/>
              </w:tabs>
              <w:rPr>
                <w:sz w:val="20"/>
                <w:szCs w:val="20"/>
                <w:lang w:val="en-GB"/>
              </w:rPr>
            </w:pPr>
            <w:r w:rsidRPr="00C3671E">
              <w:rPr>
                <w:sz w:val="20"/>
                <w:szCs w:val="20"/>
                <w:lang w:val="en-GB"/>
              </w:rPr>
              <w:t>0.450**</w:t>
            </w:r>
          </w:p>
        </w:tc>
        <w:tc>
          <w:tcPr>
            <w:tcW w:w="1355" w:type="dxa"/>
            <w:vAlign w:val="center"/>
          </w:tcPr>
          <w:p w14:paraId="481A1485" w14:textId="77777777" w:rsidR="00C94483" w:rsidRPr="00C3671E" w:rsidRDefault="00C94483" w:rsidP="00C94483">
            <w:pPr>
              <w:tabs>
                <w:tab w:val="decimal" w:pos="466"/>
              </w:tabs>
              <w:rPr>
                <w:sz w:val="20"/>
                <w:szCs w:val="20"/>
                <w:lang w:val="en-GB"/>
              </w:rPr>
            </w:pPr>
            <w:r w:rsidRPr="00C3671E">
              <w:rPr>
                <w:sz w:val="20"/>
                <w:szCs w:val="20"/>
                <w:lang w:val="en-GB"/>
              </w:rPr>
              <w:t>0.139</w:t>
            </w:r>
          </w:p>
        </w:tc>
      </w:tr>
      <w:tr w:rsidR="00C94483" w:rsidRPr="00C3671E" w14:paraId="0C9C4461" w14:textId="77777777" w:rsidTr="00C94483">
        <w:trPr>
          <w:trHeight w:val="340"/>
        </w:trPr>
        <w:tc>
          <w:tcPr>
            <w:tcW w:w="3544" w:type="dxa"/>
            <w:shd w:val="clear" w:color="auto" w:fill="auto"/>
            <w:vAlign w:val="center"/>
          </w:tcPr>
          <w:p w14:paraId="1CC0EE04" w14:textId="77777777" w:rsidR="00C94483" w:rsidRPr="00C3671E" w:rsidRDefault="00C94483" w:rsidP="00C94483">
            <w:pPr>
              <w:rPr>
                <w:sz w:val="20"/>
                <w:szCs w:val="20"/>
                <w:lang w:val="en-GB"/>
              </w:rPr>
            </w:pPr>
            <w:r w:rsidRPr="00C3671E">
              <w:rPr>
                <w:bCs/>
                <w:sz w:val="20"/>
                <w:szCs w:val="20"/>
                <w:lang w:val="en-GB"/>
              </w:rPr>
              <w:t>Political organization</w:t>
            </w:r>
          </w:p>
        </w:tc>
        <w:tc>
          <w:tcPr>
            <w:tcW w:w="1355" w:type="dxa"/>
            <w:shd w:val="clear" w:color="auto" w:fill="auto"/>
            <w:vAlign w:val="center"/>
          </w:tcPr>
          <w:p w14:paraId="3077D5D0" w14:textId="77777777" w:rsidR="00C94483" w:rsidRPr="00C3671E" w:rsidRDefault="00C94483" w:rsidP="00C94483">
            <w:pPr>
              <w:tabs>
                <w:tab w:val="decimal" w:pos="466"/>
              </w:tabs>
              <w:rPr>
                <w:sz w:val="20"/>
                <w:szCs w:val="20"/>
                <w:lang w:val="en-GB"/>
              </w:rPr>
            </w:pPr>
            <w:r w:rsidRPr="00C3671E">
              <w:rPr>
                <w:sz w:val="20"/>
                <w:szCs w:val="20"/>
                <w:lang w:val="en-GB"/>
              </w:rPr>
              <w:t>0.022</w:t>
            </w:r>
          </w:p>
        </w:tc>
        <w:tc>
          <w:tcPr>
            <w:tcW w:w="1355" w:type="dxa"/>
            <w:vAlign w:val="center"/>
          </w:tcPr>
          <w:p w14:paraId="0052558C" w14:textId="77777777" w:rsidR="00C94483" w:rsidRPr="00C3671E" w:rsidRDefault="00C94483" w:rsidP="00C94483">
            <w:pPr>
              <w:tabs>
                <w:tab w:val="decimal" w:pos="466"/>
              </w:tabs>
              <w:rPr>
                <w:sz w:val="20"/>
                <w:szCs w:val="20"/>
                <w:lang w:val="en-GB"/>
              </w:rPr>
            </w:pPr>
            <w:r w:rsidRPr="00C3671E">
              <w:rPr>
                <w:sz w:val="20"/>
                <w:szCs w:val="20"/>
                <w:lang w:val="en-GB"/>
              </w:rPr>
              <w:t>0.150</w:t>
            </w:r>
          </w:p>
        </w:tc>
        <w:tc>
          <w:tcPr>
            <w:tcW w:w="1355" w:type="dxa"/>
            <w:shd w:val="clear" w:color="auto" w:fill="auto"/>
            <w:vAlign w:val="center"/>
          </w:tcPr>
          <w:p w14:paraId="71A88C2F" w14:textId="77777777" w:rsidR="00C94483" w:rsidRPr="00C3671E" w:rsidRDefault="00C94483" w:rsidP="00C94483">
            <w:pPr>
              <w:tabs>
                <w:tab w:val="decimal" w:pos="466"/>
              </w:tabs>
              <w:rPr>
                <w:sz w:val="20"/>
                <w:szCs w:val="20"/>
                <w:lang w:val="en-GB"/>
              </w:rPr>
            </w:pPr>
            <w:r w:rsidRPr="00C3671E">
              <w:rPr>
                <w:sz w:val="20"/>
                <w:szCs w:val="20"/>
                <w:lang w:val="en-GB"/>
              </w:rPr>
              <w:t>-0.109</w:t>
            </w:r>
          </w:p>
        </w:tc>
        <w:tc>
          <w:tcPr>
            <w:tcW w:w="1355" w:type="dxa"/>
            <w:vAlign w:val="center"/>
          </w:tcPr>
          <w:p w14:paraId="6A16ED58" w14:textId="77777777" w:rsidR="00C94483" w:rsidRPr="00C3671E" w:rsidRDefault="00C94483" w:rsidP="00C94483">
            <w:pPr>
              <w:tabs>
                <w:tab w:val="decimal" w:pos="466"/>
              </w:tabs>
              <w:rPr>
                <w:sz w:val="20"/>
                <w:szCs w:val="20"/>
                <w:lang w:val="en-GB"/>
              </w:rPr>
            </w:pPr>
            <w:r w:rsidRPr="00C3671E">
              <w:rPr>
                <w:sz w:val="20"/>
                <w:szCs w:val="20"/>
                <w:lang w:val="en-GB"/>
              </w:rPr>
              <w:t>0.293</w:t>
            </w:r>
          </w:p>
        </w:tc>
      </w:tr>
      <w:tr w:rsidR="00C94483" w:rsidRPr="00C3671E" w14:paraId="32EDAFDF" w14:textId="77777777" w:rsidTr="00C94483">
        <w:trPr>
          <w:trHeight w:val="340"/>
        </w:trPr>
        <w:tc>
          <w:tcPr>
            <w:tcW w:w="3544" w:type="dxa"/>
            <w:shd w:val="clear" w:color="auto" w:fill="auto"/>
            <w:vAlign w:val="center"/>
          </w:tcPr>
          <w:p w14:paraId="61F7F6EE" w14:textId="77777777" w:rsidR="00C94483" w:rsidRPr="00C3671E" w:rsidRDefault="00C94483" w:rsidP="00C94483">
            <w:pPr>
              <w:rPr>
                <w:sz w:val="20"/>
                <w:szCs w:val="20"/>
                <w:lang w:val="en-GB"/>
              </w:rPr>
            </w:pPr>
            <w:r w:rsidRPr="00C3671E">
              <w:rPr>
                <w:bCs/>
                <w:sz w:val="20"/>
                <w:szCs w:val="20"/>
                <w:lang w:val="en-GB"/>
              </w:rPr>
              <w:lastRenderedPageBreak/>
              <w:t>Physical activity</w:t>
            </w:r>
          </w:p>
        </w:tc>
        <w:tc>
          <w:tcPr>
            <w:tcW w:w="1355" w:type="dxa"/>
            <w:shd w:val="clear" w:color="auto" w:fill="auto"/>
            <w:vAlign w:val="center"/>
          </w:tcPr>
          <w:p w14:paraId="00C9036C" w14:textId="77777777" w:rsidR="00C94483" w:rsidRPr="00C3671E" w:rsidRDefault="00C94483" w:rsidP="00C94483">
            <w:pPr>
              <w:tabs>
                <w:tab w:val="decimal" w:pos="466"/>
              </w:tabs>
              <w:rPr>
                <w:sz w:val="20"/>
                <w:szCs w:val="20"/>
                <w:lang w:val="en-GB"/>
              </w:rPr>
            </w:pPr>
            <w:r w:rsidRPr="00C3671E">
              <w:rPr>
                <w:sz w:val="20"/>
                <w:szCs w:val="20"/>
                <w:lang w:val="en-GB"/>
              </w:rPr>
              <w:t>0.152+</w:t>
            </w:r>
          </w:p>
        </w:tc>
        <w:tc>
          <w:tcPr>
            <w:tcW w:w="1355" w:type="dxa"/>
            <w:vAlign w:val="center"/>
          </w:tcPr>
          <w:p w14:paraId="3A94FC7C" w14:textId="77777777" w:rsidR="00C94483" w:rsidRPr="00C3671E" w:rsidRDefault="00C94483" w:rsidP="00C94483">
            <w:pPr>
              <w:tabs>
                <w:tab w:val="decimal" w:pos="466"/>
              </w:tabs>
              <w:rPr>
                <w:sz w:val="20"/>
                <w:szCs w:val="20"/>
                <w:lang w:val="en-GB"/>
              </w:rPr>
            </w:pPr>
            <w:r w:rsidRPr="00C3671E">
              <w:rPr>
                <w:sz w:val="20"/>
                <w:szCs w:val="20"/>
                <w:lang w:val="en-GB"/>
              </w:rPr>
              <w:t>0.084</w:t>
            </w:r>
          </w:p>
        </w:tc>
        <w:tc>
          <w:tcPr>
            <w:tcW w:w="1355" w:type="dxa"/>
            <w:shd w:val="clear" w:color="auto" w:fill="auto"/>
            <w:vAlign w:val="center"/>
          </w:tcPr>
          <w:p w14:paraId="00A6E802" w14:textId="77777777" w:rsidR="00C94483" w:rsidRPr="00C3671E" w:rsidRDefault="00C94483" w:rsidP="00C94483">
            <w:pPr>
              <w:tabs>
                <w:tab w:val="decimal" w:pos="466"/>
              </w:tabs>
              <w:rPr>
                <w:sz w:val="20"/>
                <w:szCs w:val="20"/>
                <w:lang w:val="en-GB"/>
              </w:rPr>
            </w:pPr>
            <w:r w:rsidRPr="00C3671E">
              <w:rPr>
                <w:sz w:val="20"/>
                <w:szCs w:val="20"/>
                <w:lang w:val="en-GB"/>
              </w:rPr>
              <w:t>0.237*</w:t>
            </w:r>
          </w:p>
        </w:tc>
        <w:tc>
          <w:tcPr>
            <w:tcW w:w="1355" w:type="dxa"/>
            <w:vAlign w:val="center"/>
          </w:tcPr>
          <w:p w14:paraId="1E1F5431" w14:textId="77777777" w:rsidR="00C94483" w:rsidRPr="00C3671E" w:rsidRDefault="00C94483" w:rsidP="00C94483">
            <w:pPr>
              <w:tabs>
                <w:tab w:val="decimal" w:pos="466"/>
              </w:tabs>
              <w:rPr>
                <w:sz w:val="20"/>
                <w:szCs w:val="20"/>
                <w:lang w:val="en-GB"/>
              </w:rPr>
            </w:pPr>
            <w:r w:rsidRPr="00C3671E">
              <w:rPr>
                <w:sz w:val="20"/>
                <w:szCs w:val="20"/>
                <w:lang w:val="en-GB"/>
              </w:rPr>
              <w:t>0.109</w:t>
            </w:r>
          </w:p>
        </w:tc>
      </w:tr>
      <w:tr w:rsidR="00C94483" w:rsidRPr="00C3671E" w14:paraId="79402F8D" w14:textId="77777777" w:rsidTr="00C94483">
        <w:trPr>
          <w:trHeight w:val="340"/>
        </w:trPr>
        <w:tc>
          <w:tcPr>
            <w:tcW w:w="3544" w:type="dxa"/>
            <w:shd w:val="clear" w:color="auto" w:fill="auto"/>
            <w:vAlign w:val="center"/>
          </w:tcPr>
          <w:p w14:paraId="6380DBB5" w14:textId="77777777" w:rsidR="00C94483" w:rsidRPr="00C3671E" w:rsidRDefault="00C94483" w:rsidP="00C94483">
            <w:pPr>
              <w:rPr>
                <w:sz w:val="20"/>
                <w:szCs w:val="20"/>
                <w:lang w:val="en-GB"/>
              </w:rPr>
            </w:pPr>
            <w:r w:rsidRPr="00C3671E">
              <w:rPr>
                <w:bCs/>
                <w:sz w:val="20"/>
                <w:szCs w:val="20"/>
                <w:lang w:val="en-GB"/>
              </w:rPr>
              <w:t>Age</w:t>
            </w:r>
          </w:p>
        </w:tc>
        <w:tc>
          <w:tcPr>
            <w:tcW w:w="1355" w:type="dxa"/>
            <w:shd w:val="clear" w:color="auto" w:fill="auto"/>
            <w:vAlign w:val="center"/>
          </w:tcPr>
          <w:p w14:paraId="6179A135" w14:textId="77777777" w:rsidR="00C94483" w:rsidRPr="00C3671E" w:rsidRDefault="00C94483" w:rsidP="00C94483">
            <w:pPr>
              <w:tabs>
                <w:tab w:val="decimal" w:pos="466"/>
              </w:tabs>
              <w:rPr>
                <w:sz w:val="20"/>
                <w:szCs w:val="20"/>
                <w:lang w:val="en-GB"/>
              </w:rPr>
            </w:pPr>
            <w:r w:rsidRPr="00C3671E">
              <w:rPr>
                <w:sz w:val="20"/>
                <w:szCs w:val="20"/>
                <w:lang w:val="en-GB"/>
              </w:rPr>
              <w:t>0.654***</w:t>
            </w:r>
          </w:p>
        </w:tc>
        <w:tc>
          <w:tcPr>
            <w:tcW w:w="1355" w:type="dxa"/>
            <w:vAlign w:val="center"/>
          </w:tcPr>
          <w:p w14:paraId="122A465F" w14:textId="77777777" w:rsidR="00C94483" w:rsidRPr="00C3671E" w:rsidRDefault="00C94483" w:rsidP="00C94483">
            <w:pPr>
              <w:tabs>
                <w:tab w:val="decimal" w:pos="466"/>
              </w:tabs>
              <w:rPr>
                <w:sz w:val="20"/>
                <w:szCs w:val="20"/>
                <w:lang w:val="en-GB"/>
              </w:rPr>
            </w:pPr>
            <w:r w:rsidRPr="00C3671E">
              <w:rPr>
                <w:sz w:val="20"/>
                <w:szCs w:val="20"/>
                <w:lang w:val="en-GB"/>
              </w:rPr>
              <w:t>0.122</w:t>
            </w:r>
          </w:p>
        </w:tc>
        <w:tc>
          <w:tcPr>
            <w:tcW w:w="1355" w:type="dxa"/>
            <w:shd w:val="clear" w:color="auto" w:fill="auto"/>
            <w:vAlign w:val="center"/>
          </w:tcPr>
          <w:p w14:paraId="7ADA755D" w14:textId="77777777" w:rsidR="00C94483" w:rsidRPr="00C3671E" w:rsidRDefault="00C94483" w:rsidP="00C94483">
            <w:pPr>
              <w:tabs>
                <w:tab w:val="decimal" w:pos="466"/>
              </w:tabs>
              <w:rPr>
                <w:sz w:val="20"/>
                <w:szCs w:val="20"/>
                <w:lang w:val="en-GB"/>
              </w:rPr>
            </w:pPr>
            <w:r w:rsidRPr="00C3671E">
              <w:rPr>
                <w:sz w:val="20"/>
                <w:szCs w:val="20"/>
                <w:lang w:val="en-GB"/>
              </w:rPr>
              <w:t>1.016***</w:t>
            </w:r>
          </w:p>
        </w:tc>
        <w:tc>
          <w:tcPr>
            <w:tcW w:w="1355" w:type="dxa"/>
            <w:vAlign w:val="center"/>
          </w:tcPr>
          <w:p w14:paraId="29D55C3C" w14:textId="77777777" w:rsidR="00C94483" w:rsidRPr="00C3671E" w:rsidRDefault="00C94483" w:rsidP="00C94483">
            <w:pPr>
              <w:tabs>
                <w:tab w:val="decimal" w:pos="466"/>
              </w:tabs>
              <w:rPr>
                <w:sz w:val="20"/>
                <w:szCs w:val="20"/>
                <w:lang w:val="en-GB"/>
              </w:rPr>
            </w:pPr>
            <w:r w:rsidRPr="00C3671E">
              <w:rPr>
                <w:sz w:val="20"/>
                <w:szCs w:val="20"/>
                <w:lang w:val="en-GB"/>
              </w:rPr>
              <w:t>0.170</w:t>
            </w:r>
          </w:p>
        </w:tc>
      </w:tr>
      <w:tr w:rsidR="00C94483" w:rsidRPr="00C3671E" w14:paraId="75459881" w14:textId="77777777" w:rsidTr="00C94483">
        <w:trPr>
          <w:trHeight w:val="340"/>
        </w:trPr>
        <w:tc>
          <w:tcPr>
            <w:tcW w:w="3544" w:type="dxa"/>
            <w:shd w:val="clear" w:color="auto" w:fill="auto"/>
            <w:vAlign w:val="center"/>
          </w:tcPr>
          <w:p w14:paraId="2E6D388C" w14:textId="77777777" w:rsidR="00C94483" w:rsidRPr="00C3671E" w:rsidRDefault="00C94483" w:rsidP="00C94483">
            <w:pPr>
              <w:rPr>
                <w:bCs/>
                <w:sz w:val="20"/>
                <w:szCs w:val="20"/>
                <w:lang w:val="en-GB"/>
              </w:rPr>
            </w:pPr>
            <w:r w:rsidRPr="00C3671E">
              <w:rPr>
                <w:bCs/>
                <w:sz w:val="20"/>
                <w:szCs w:val="20"/>
                <w:lang w:val="en-GB"/>
              </w:rPr>
              <w:t>Age squared</w:t>
            </w:r>
          </w:p>
        </w:tc>
        <w:tc>
          <w:tcPr>
            <w:tcW w:w="1355" w:type="dxa"/>
            <w:shd w:val="clear" w:color="auto" w:fill="auto"/>
            <w:vAlign w:val="center"/>
          </w:tcPr>
          <w:p w14:paraId="2F1F244F" w14:textId="77777777" w:rsidR="00C94483" w:rsidRPr="00C3671E" w:rsidRDefault="00C94483" w:rsidP="00C94483">
            <w:pPr>
              <w:tabs>
                <w:tab w:val="decimal" w:pos="466"/>
              </w:tabs>
              <w:rPr>
                <w:sz w:val="20"/>
                <w:szCs w:val="20"/>
                <w:lang w:val="en-GB"/>
              </w:rPr>
            </w:pPr>
            <w:r w:rsidRPr="00C3671E">
              <w:rPr>
                <w:sz w:val="20"/>
                <w:szCs w:val="20"/>
                <w:lang w:val="en-GB"/>
              </w:rPr>
              <w:t>-0.005***</w:t>
            </w:r>
          </w:p>
        </w:tc>
        <w:tc>
          <w:tcPr>
            <w:tcW w:w="1355" w:type="dxa"/>
            <w:vAlign w:val="center"/>
          </w:tcPr>
          <w:p w14:paraId="58C0AF2F" w14:textId="77777777" w:rsidR="00C94483" w:rsidRPr="00C3671E" w:rsidRDefault="00C94483" w:rsidP="00C94483">
            <w:pPr>
              <w:tabs>
                <w:tab w:val="decimal" w:pos="466"/>
              </w:tabs>
              <w:rPr>
                <w:sz w:val="20"/>
                <w:szCs w:val="20"/>
                <w:lang w:val="en-GB"/>
              </w:rPr>
            </w:pPr>
            <w:r w:rsidRPr="00C3671E">
              <w:rPr>
                <w:sz w:val="20"/>
                <w:szCs w:val="20"/>
                <w:lang w:val="en-GB"/>
              </w:rPr>
              <w:t>0.001</w:t>
            </w:r>
          </w:p>
        </w:tc>
        <w:tc>
          <w:tcPr>
            <w:tcW w:w="1355" w:type="dxa"/>
            <w:shd w:val="clear" w:color="auto" w:fill="auto"/>
            <w:vAlign w:val="center"/>
          </w:tcPr>
          <w:p w14:paraId="730D78A9" w14:textId="77777777" w:rsidR="00C94483" w:rsidRPr="00C3671E" w:rsidRDefault="00C94483" w:rsidP="00C94483">
            <w:pPr>
              <w:tabs>
                <w:tab w:val="decimal" w:pos="466"/>
              </w:tabs>
              <w:rPr>
                <w:sz w:val="20"/>
                <w:szCs w:val="20"/>
                <w:lang w:val="en-GB"/>
              </w:rPr>
            </w:pPr>
            <w:r w:rsidRPr="00C3671E">
              <w:rPr>
                <w:sz w:val="20"/>
                <w:szCs w:val="20"/>
                <w:lang w:val="en-GB"/>
              </w:rPr>
              <w:t>-0.008***</w:t>
            </w:r>
          </w:p>
        </w:tc>
        <w:tc>
          <w:tcPr>
            <w:tcW w:w="1355" w:type="dxa"/>
            <w:vAlign w:val="center"/>
          </w:tcPr>
          <w:p w14:paraId="66DADC62" w14:textId="77777777" w:rsidR="00C94483" w:rsidRPr="00C3671E" w:rsidRDefault="00C94483" w:rsidP="00C94483">
            <w:pPr>
              <w:tabs>
                <w:tab w:val="decimal" w:pos="466"/>
              </w:tabs>
              <w:rPr>
                <w:sz w:val="20"/>
                <w:szCs w:val="20"/>
                <w:lang w:val="en-GB"/>
              </w:rPr>
            </w:pPr>
            <w:r w:rsidRPr="00C3671E">
              <w:rPr>
                <w:sz w:val="20"/>
                <w:szCs w:val="20"/>
                <w:lang w:val="en-GB"/>
              </w:rPr>
              <w:t>0.001</w:t>
            </w:r>
          </w:p>
        </w:tc>
      </w:tr>
      <w:tr w:rsidR="00C94483" w:rsidRPr="00C3671E" w14:paraId="2DED474E" w14:textId="77777777" w:rsidTr="00C94483">
        <w:trPr>
          <w:trHeight w:val="340"/>
        </w:trPr>
        <w:tc>
          <w:tcPr>
            <w:tcW w:w="3544" w:type="dxa"/>
            <w:shd w:val="clear" w:color="auto" w:fill="auto"/>
            <w:vAlign w:val="center"/>
          </w:tcPr>
          <w:p w14:paraId="09F88534" w14:textId="77777777" w:rsidR="00C94483" w:rsidRPr="00C3671E" w:rsidRDefault="00C94483" w:rsidP="00C94483">
            <w:pPr>
              <w:rPr>
                <w:sz w:val="20"/>
                <w:szCs w:val="20"/>
                <w:lang w:val="en-GB"/>
              </w:rPr>
            </w:pPr>
            <w:r w:rsidRPr="00C3671E">
              <w:rPr>
                <w:bCs/>
                <w:sz w:val="20"/>
                <w:szCs w:val="20"/>
                <w:lang w:val="en-GB"/>
              </w:rPr>
              <w:t>Partner in the household</w:t>
            </w:r>
          </w:p>
        </w:tc>
        <w:tc>
          <w:tcPr>
            <w:tcW w:w="1355" w:type="dxa"/>
            <w:shd w:val="clear" w:color="auto" w:fill="auto"/>
            <w:vAlign w:val="center"/>
          </w:tcPr>
          <w:p w14:paraId="1E1AC494" w14:textId="77777777" w:rsidR="00C94483" w:rsidRPr="00C3671E" w:rsidRDefault="00C94483" w:rsidP="00C94483">
            <w:pPr>
              <w:tabs>
                <w:tab w:val="decimal" w:pos="466"/>
              </w:tabs>
              <w:rPr>
                <w:sz w:val="20"/>
                <w:szCs w:val="20"/>
                <w:lang w:val="en-GB"/>
              </w:rPr>
            </w:pPr>
            <w:r w:rsidRPr="00C3671E">
              <w:rPr>
                <w:sz w:val="20"/>
                <w:szCs w:val="20"/>
                <w:lang w:val="en-GB"/>
              </w:rPr>
              <w:t>-0.305</w:t>
            </w:r>
          </w:p>
        </w:tc>
        <w:tc>
          <w:tcPr>
            <w:tcW w:w="1355" w:type="dxa"/>
            <w:vAlign w:val="center"/>
          </w:tcPr>
          <w:p w14:paraId="03F42D72" w14:textId="77777777" w:rsidR="00C94483" w:rsidRPr="00C3671E" w:rsidRDefault="00C94483" w:rsidP="00C94483">
            <w:pPr>
              <w:tabs>
                <w:tab w:val="decimal" w:pos="466"/>
              </w:tabs>
              <w:rPr>
                <w:sz w:val="20"/>
                <w:szCs w:val="20"/>
                <w:lang w:val="en-GB"/>
              </w:rPr>
            </w:pPr>
            <w:r w:rsidRPr="00C3671E">
              <w:rPr>
                <w:sz w:val="20"/>
                <w:szCs w:val="20"/>
                <w:lang w:val="en-GB"/>
              </w:rPr>
              <w:t>0.220</w:t>
            </w:r>
          </w:p>
        </w:tc>
        <w:tc>
          <w:tcPr>
            <w:tcW w:w="1355" w:type="dxa"/>
            <w:shd w:val="clear" w:color="auto" w:fill="auto"/>
            <w:vAlign w:val="center"/>
          </w:tcPr>
          <w:p w14:paraId="4980336C" w14:textId="77777777" w:rsidR="00C94483" w:rsidRPr="00C3671E" w:rsidRDefault="00C94483" w:rsidP="00C94483">
            <w:pPr>
              <w:tabs>
                <w:tab w:val="decimal" w:pos="466"/>
              </w:tabs>
              <w:rPr>
                <w:sz w:val="20"/>
                <w:szCs w:val="20"/>
                <w:lang w:val="en-GB"/>
              </w:rPr>
            </w:pPr>
            <w:r w:rsidRPr="00C3671E">
              <w:rPr>
                <w:sz w:val="20"/>
                <w:szCs w:val="20"/>
                <w:lang w:val="en-GB"/>
              </w:rPr>
              <w:t>0.107</w:t>
            </w:r>
          </w:p>
        </w:tc>
        <w:tc>
          <w:tcPr>
            <w:tcW w:w="1355" w:type="dxa"/>
            <w:vAlign w:val="center"/>
          </w:tcPr>
          <w:p w14:paraId="56419B3D" w14:textId="77777777" w:rsidR="00C94483" w:rsidRPr="00C3671E" w:rsidRDefault="00C94483" w:rsidP="00C94483">
            <w:pPr>
              <w:tabs>
                <w:tab w:val="decimal" w:pos="466"/>
              </w:tabs>
              <w:rPr>
                <w:sz w:val="20"/>
                <w:szCs w:val="20"/>
                <w:lang w:val="en-GB"/>
              </w:rPr>
            </w:pPr>
            <w:r w:rsidRPr="00C3671E">
              <w:rPr>
                <w:sz w:val="20"/>
                <w:szCs w:val="20"/>
                <w:lang w:val="en-GB"/>
              </w:rPr>
              <w:t>0.291</w:t>
            </w:r>
          </w:p>
        </w:tc>
      </w:tr>
      <w:tr w:rsidR="00C94483" w:rsidRPr="00C3671E" w14:paraId="2BD77DF1" w14:textId="77777777" w:rsidTr="00C94483">
        <w:trPr>
          <w:trHeight w:val="340"/>
        </w:trPr>
        <w:tc>
          <w:tcPr>
            <w:tcW w:w="3544" w:type="dxa"/>
            <w:shd w:val="clear" w:color="auto" w:fill="auto"/>
            <w:vAlign w:val="center"/>
          </w:tcPr>
          <w:p w14:paraId="02D55481" w14:textId="77777777" w:rsidR="00C94483" w:rsidRPr="00C3671E" w:rsidRDefault="00C94483" w:rsidP="00C94483">
            <w:pPr>
              <w:rPr>
                <w:sz w:val="20"/>
                <w:szCs w:val="20"/>
                <w:lang w:val="en-GB"/>
              </w:rPr>
            </w:pPr>
            <w:r w:rsidRPr="00C3671E">
              <w:rPr>
                <w:bCs/>
                <w:sz w:val="20"/>
                <w:szCs w:val="20"/>
                <w:lang w:val="en-GB"/>
              </w:rPr>
              <w:t>Able to make ends meet (with great difficulty as ref.)</w:t>
            </w:r>
          </w:p>
        </w:tc>
        <w:tc>
          <w:tcPr>
            <w:tcW w:w="1355" w:type="dxa"/>
            <w:shd w:val="clear" w:color="auto" w:fill="auto"/>
            <w:vAlign w:val="center"/>
          </w:tcPr>
          <w:p w14:paraId="4D17922F" w14:textId="77777777" w:rsidR="00C94483" w:rsidRPr="00C3671E" w:rsidRDefault="00C94483" w:rsidP="00C94483">
            <w:pPr>
              <w:tabs>
                <w:tab w:val="decimal" w:pos="466"/>
              </w:tabs>
              <w:rPr>
                <w:sz w:val="20"/>
                <w:szCs w:val="20"/>
                <w:lang w:val="en-GB"/>
              </w:rPr>
            </w:pPr>
          </w:p>
        </w:tc>
        <w:tc>
          <w:tcPr>
            <w:tcW w:w="1355" w:type="dxa"/>
            <w:vAlign w:val="center"/>
          </w:tcPr>
          <w:p w14:paraId="1C4FED32" w14:textId="77777777" w:rsidR="00C94483" w:rsidRPr="00C3671E" w:rsidRDefault="00C94483" w:rsidP="00C94483">
            <w:pPr>
              <w:tabs>
                <w:tab w:val="decimal" w:pos="466"/>
              </w:tabs>
              <w:rPr>
                <w:sz w:val="20"/>
                <w:szCs w:val="20"/>
                <w:lang w:val="en-GB"/>
              </w:rPr>
            </w:pPr>
          </w:p>
        </w:tc>
        <w:tc>
          <w:tcPr>
            <w:tcW w:w="1355" w:type="dxa"/>
            <w:shd w:val="clear" w:color="auto" w:fill="auto"/>
            <w:vAlign w:val="center"/>
          </w:tcPr>
          <w:p w14:paraId="414B52A8" w14:textId="77777777" w:rsidR="00C94483" w:rsidRPr="00C3671E" w:rsidRDefault="00C94483" w:rsidP="00C94483">
            <w:pPr>
              <w:tabs>
                <w:tab w:val="decimal" w:pos="466"/>
              </w:tabs>
              <w:rPr>
                <w:sz w:val="20"/>
                <w:szCs w:val="20"/>
                <w:lang w:val="en-GB"/>
              </w:rPr>
            </w:pPr>
          </w:p>
        </w:tc>
        <w:tc>
          <w:tcPr>
            <w:tcW w:w="1355" w:type="dxa"/>
            <w:vAlign w:val="center"/>
          </w:tcPr>
          <w:p w14:paraId="01AED96B" w14:textId="77777777" w:rsidR="00C94483" w:rsidRPr="00C3671E" w:rsidRDefault="00C94483" w:rsidP="00C94483">
            <w:pPr>
              <w:tabs>
                <w:tab w:val="decimal" w:pos="466"/>
              </w:tabs>
              <w:rPr>
                <w:sz w:val="20"/>
                <w:szCs w:val="20"/>
                <w:lang w:val="en-GB"/>
              </w:rPr>
            </w:pPr>
          </w:p>
        </w:tc>
      </w:tr>
      <w:tr w:rsidR="00C94483" w:rsidRPr="00C3671E" w14:paraId="76196836" w14:textId="77777777" w:rsidTr="00C94483">
        <w:trPr>
          <w:trHeight w:val="340"/>
        </w:trPr>
        <w:tc>
          <w:tcPr>
            <w:tcW w:w="3544" w:type="dxa"/>
            <w:shd w:val="clear" w:color="auto" w:fill="auto"/>
            <w:vAlign w:val="center"/>
          </w:tcPr>
          <w:p w14:paraId="05075681" w14:textId="77777777" w:rsidR="00C94483" w:rsidRPr="00C3671E" w:rsidRDefault="00C94483" w:rsidP="00C94483">
            <w:pPr>
              <w:rPr>
                <w:sz w:val="20"/>
                <w:szCs w:val="20"/>
                <w:lang w:val="en-GB"/>
              </w:rPr>
            </w:pPr>
            <w:r w:rsidRPr="00C3671E">
              <w:rPr>
                <w:bCs/>
                <w:sz w:val="20"/>
                <w:szCs w:val="20"/>
                <w:lang w:val="en-GB"/>
              </w:rPr>
              <w:t xml:space="preserve">     with some difficulty</w:t>
            </w:r>
          </w:p>
        </w:tc>
        <w:tc>
          <w:tcPr>
            <w:tcW w:w="1355" w:type="dxa"/>
            <w:shd w:val="clear" w:color="auto" w:fill="auto"/>
            <w:vAlign w:val="center"/>
          </w:tcPr>
          <w:p w14:paraId="058E5614" w14:textId="77777777" w:rsidR="00C94483" w:rsidRPr="00C3671E" w:rsidRDefault="00C94483" w:rsidP="00C94483">
            <w:pPr>
              <w:tabs>
                <w:tab w:val="decimal" w:pos="466"/>
              </w:tabs>
              <w:rPr>
                <w:sz w:val="20"/>
                <w:szCs w:val="20"/>
                <w:lang w:val="en-GB"/>
              </w:rPr>
            </w:pPr>
            <w:r w:rsidRPr="00C3671E">
              <w:rPr>
                <w:sz w:val="20"/>
                <w:szCs w:val="20"/>
                <w:lang w:val="en-GB"/>
              </w:rPr>
              <w:t>1.021***</w:t>
            </w:r>
          </w:p>
        </w:tc>
        <w:tc>
          <w:tcPr>
            <w:tcW w:w="1355" w:type="dxa"/>
            <w:vAlign w:val="center"/>
          </w:tcPr>
          <w:p w14:paraId="4088EE1F" w14:textId="77777777" w:rsidR="00C94483" w:rsidRPr="00C3671E" w:rsidRDefault="00C94483" w:rsidP="00C94483">
            <w:pPr>
              <w:tabs>
                <w:tab w:val="decimal" w:pos="466"/>
              </w:tabs>
              <w:rPr>
                <w:sz w:val="20"/>
                <w:szCs w:val="20"/>
                <w:lang w:val="en-GB"/>
              </w:rPr>
            </w:pPr>
            <w:r w:rsidRPr="00C3671E">
              <w:rPr>
                <w:sz w:val="20"/>
                <w:szCs w:val="20"/>
                <w:lang w:val="en-GB"/>
              </w:rPr>
              <w:t>0.222</w:t>
            </w:r>
          </w:p>
        </w:tc>
        <w:tc>
          <w:tcPr>
            <w:tcW w:w="1355" w:type="dxa"/>
            <w:shd w:val="clear" w:color="auto" w:fill="auto"/>
            <w:vAlign w:val="center"/>
          </w:tcPr>
          <w:p w14:paraId="6023DF38" w14:textId="77777777" w:rsidR="00C94483" w:rsidRPr="00C3671E" w:rsidRDefault="00C94483" w:rsidP="00C94483">
            <w:pPr>
              <w:tabs>
                <w:tab w:val="decimal" w:pos="466"/>
              </w:tabs>
              <w:rPr>
                <w:sz w:val="20"/>
                <w:szCs w:val="20"/>
                <w:lang w:val="en-GB"/>
              </w:rPr>
            </w:pPr>
            <w:r w:rsidRPr="00C3671E">
              <w:rPr>
                <w:sz w:val="20"/>
                <w:szCs w:val="20"/>
                <w:lang w:val="en-GB"/>
              </w:rPr>
              <w:t>1.098***</w:t>
            </w:r>
          </w:p>
        </w:tc>
        <w:tc>
          <w:tcPr>
            <w:tcW w:w="1355" w:type="dxa"/>
            <w:vAlign w:val="center"/>
          </w:tcPr>
          <w:p w14:paraId="5B375DE1" w14:textId="77777777" w:rsidR="00C94483" w:rsidRPr="00C3671E" w:rsidRDefault="00C94483" w:rsidP="00C94483">
            <w:pPr>
              <w:tabs>
                <w:tab w:val="decimal" w:pos="466"/>
              </w:tabs>
              <w:rPr>
                <w:sz w:val="20"/>
                <w:szCs w:val="20"/>
                <w:lang w:val="en-GB"/>
              </w:rPr>
            </w:pPr>
            <w:r w:rsidRPr="00C3671E">
              <w:rPr>
                <w:sz w:val="20"/>
                <w:szCs w:val="20"/>
                <w:lang w:val="en-GB"/>
              </w:rPr>
              <w:t>0.158</w:t>
            </w:r>
          </w:p>
        </w:tc>
      </w:tr>
      <w:tr w:rsidR="00C94483" w:rsidRPr="00C3671E" w14:paraId="4D89BCCF" w14:textId="77777777" w:rsidTr="00C94483">
        <w:trPr>
          <w:trHeight w:val="340"/>
        </w:trPr>
        <w:tc>
          <w:tcPr>
            <w:tcW w:w="3544" w:type="dxa"/>
            <w:shd w:val="clear" w:color="auto" w:fill="auto"/>
            <w:vAlign w:val="center"/>
          </w:tcPr>
          <w:p w14:paraId="47BFD9E6" w14:textId="77777777" w:rsidR="00C94483" w:rsidRPr="00C3671E" w:rsidRDefault="00C94483" w:rsidP="00C94483">
            <w:pPr>
              <w:rPr>
                <w:sz w:val="20"/>
                <w:szCs w:val="20"/>
                <w:lang w:val="en-GB"/>
              </w:rPr>
            </w:pPr>
            <w:r w:rsidRPr="00C3671E">
              <w:rPr>
                <w:bCs/>
                <w:sz w:val="20"/>
                <w:szCs w:val="20"/>
                <w:lang w:val="en-GB"/>
              </w:rPr>
              <w:t xml:space="preserve">     fairly easily</w:t>
            </w:r>
          </w:p>
        </w:tc>
        <w:tc>
          <w:tcPr>
            <w:tcW w:w="1355" w:type="dxa"/>
            <w:shd w:val="clear" w:color="auto" w:fill="auto"/>
            <w:vAlign w:val="center"/>
          </w:tcPr>
          <w:p w14:paraId="2617372E" w14:textId="77777777" w:rsidR="00C94483" w:rsidRPr="00C3671E" w:rsidRDefault="00C94483" w:rsidP="00C94483">
            <w:pPr>
              <w:tabs>
                <w:tab w:val="decimal" w:pos="466"/>
              </w:tabs>
              <w:rPr>
                <w:sz w:val="20"/>
                <w:szCs w:val="20"/>
                <w:lang w:val="en-GB"/>
              </w:rPr>
            </w:pPr>
            <w:r w:rsidRPr="00C3671E">
              <w:rPr>
                <w:sz w:val="20"/>
                <w:szCs w:val="20"/>
                <w:lang w:val="en-GB"/>
              </w:rPr>
              <w:t>2.182***</w:t>
            </w:r>
          </w:p>
        </w:tc>
        <w:tc>
          <w:tcPr>
            <w:tcW w:w="1355" w:type="dxa"/>
            <w:vAlign w:val="center"/>
          </w:tcPr>
          <w:p w14:paraId="63ACA564" w14:textId="77777777" w:rsidR="00C94483" w:rsidRPr="00C3671E" w:rsidRDefault="00C94483" w:rsidP="00C94483">
            <w:pPr>
              <w:tabs>
                <w:tab w:val="decimal" w:pos="466"/>
              </w:tabs>
              <w:rPr>
                <w:sz w:val="20"/>
                <w:szCs w:val="20"/>
                <w:lang w:val="en-GB"/>
              </w:rPr>
            </w:pPr>
            <w:r w:rsidRPr="00C3671E">
              <w:rPr>
                <w:sz w:val="20"/>
                <w:szCs w:val="20"/>
                <w:lang w:val="en-GB"/>
              </w:rPr>
              <w:t>0.232</w:t>
            </w:r>
          </w:p>
        </w:tc>
        <w:tc>
          <w:tcPr>
            <w:tcW w:w="1355" w:type="dxa"/>
            <w:shd w:val="clear" w:color="auto" w:fill="auto"/>
            <w:vAlign w:val="center"/>
          </w:tcPr>
          <w:p w14:paraId="7151EAAE" w14:textId="77777777" w:rsidR="00C94483" w:rsidRPr="00C3671E" w:rsidRDefault="00C94483" w:rsidP="00C94483">
            <w:pPr>
              <w:tabs>
                <w:tab w:val="decimal" w:pos="466"/>
              </w:tabs>
              <w:rPr>
                <w:sz w:val="20"/>
                <w:szCs w:val="20"/>
                <w:lang w:val="en-GB"/>
              </w:rPr>
            </w:pPr>
            <w:r w:rsidRPr="00C3671E">
              <w:rPr>
                <w:sz w:val="20"/>
                <w:szCs w:val="20"/>
                <w:lang w:val="en-GB"/>
              </w:rPr>
              <w:t>2.348***</w:t>
            </w:r>
          </w:p>
        </w:tc>
        <w:tc>
          <w:tcPr>
            <w:tcW w:w="1355" w:type="dxa"/>
            <w:vAlign w:val="center"/>
          </w:tcPr>
          <w:p w14:paraId="6EA510FD" w14:textId="77777777" w:rsidR="00C94483" w:rsidRPr="00C3671E" w:rsidRDefault="00C94483" w:rsidP="00C94483">
            <w:pPr>
              <w:tabs>
                <w:tab w:val="decimal" w:pos="466"/>
              </w:tabs>
              <w:rPr>
                <w:sz w:val="20"/>
                <w:szCs w:val="20"/>
                <w:lang w:val="en-GB"/>
              </w:rPr>
            </w:pPr>
            <w:r w:rsidRPr="00C3671E">
              <w:rPr>
                <w:sz w:val="20"/>
                <w:szCs w:val="20"/>
                <w:lang w:val="en-GB"/>
              </w:rPr>
              <w:t>0.182</w:t>
            </w:r>
          </w:p>
        </w:tc>
      </w:tr>
      <w:tr w:rsidR="00C94483" w:rsidRPr="00C3671E" w14:paraId="09E00D8C" w14:textId="77777777" w:rsidTr="00C94483">
        <w:trPr>
          <w:trHeight w:val="340"/>
        </w:trPr>
        <w:tc>
          <w:tcPr>
            <w:tcW w:w="3544" w:type="dxa"/>
            <w:shd w:val="clear" w:color="auto" w:fill="auto"/>
            <w:vAlign w:val="center"/>
          </w:tcPr>
          <w:p w14:paraId="381D37A1" w14:textId="77777777" w:rsidR="00C94483" w:rsidRPr="00C3671E" w:rsidRDefault="00C94483" w:rsidP="00C94483">
            <w:pPr>
              <w:rPr>
                <w:sz w:val="20"/>
                <w:szCs w:val="20"/>
                <w:lang w:val="en-GB"/>
              </w:rPr>
            </w:pPr>
            <w:r w:rsidRPr="00C3671E">
              <w:rPr>
                <w:bCs/>
                <w:sz w:val="20"/>
                <w:szCs w:val="20"/>
                <w:lang w:val="en-GB"/>
              </w:rPr>
              <w:t xml:space="preserve">     easily</w:t>
            </w:r>
          </w:p>
        </w:tc>
        <w:tc>
          <w:tcPr>
            <w:tcW w:w="1355" w:type="dxa"/>
            <w:shd w:val="clear" w:color="auto" w:fill="auto"/>
            <w:vAlign w:val="center"/>
          </w:tcPr>
          <w:p w14:paraId="53EBDA94" w14:textId="77777777" w:rsidR="00C94483" w:rsidRPr="00C3671E" w:rsidRDefault="00C94483" w:rsidP="00C94483">
            <w:pPr>
              <w:tabs>
                <w:tab w:val="decimal" w:pos="466"/>
              </w:tabs>
              <w:rPr>
                <w:sz w:val="20"/>
                <w:szCs w:val="20"/>
                <w:lang w:val="en-GB"/>
              </w:rPr>
            </w:pPr>
            <w:r w:rsidRPr="00C3671E">
              <w:rPr>
                <w:sz w:val="20"/>
                <w:szCs w:val="20"/>
                <w:lang w:val="en-GB"/>
              </w:rPr>
              <w:t>2.757***</w:t>
            </w:r>
          </w:p>
        </w:tc>
        <w:tc>
          <w:tcPr>
            <w:tcW w:w="1355" w:type="dxa"/>
            <w:vAlign w:val="center"/>
          </w:tcPr>
          <w:p w14:paraId="1A2D375C" w14:textId="77777777" w:rsidR="00C94483" w:rsidRPr="00C3671E" w:rsidRDefault="00C94483" w:rsidP="00C94483">
            <w:pPr>
              <w:tabs>
                <w:tab w:val="decimal" w:pos="466"/>
              </w:tabs>
              <w:rPr>
                <w:sz w:val="20"/>
                <w:szCs w:val="20"/>
                <w:lang w:val="en-GB"/>
              </w:rPr>
            </w:pPr>
            <w:r w:rsidRPr="00C3671E">
              <w:rPr>
                <w:sz w:val="20"/>
                <w:szCs w:val="20"/>
                <w:lang w:val="en-GB"/>
              </w:rPr>
              <w:t>0.238</w:t>
            </w:r>
          </w:p>
        </w:tc>
        <w:tc>
          <w:tcPr>
            <w:tcW w:w="1355" w:type="dxa"/>
            <w:shd w:val="clear" w:color="auto" w:fill="auto"/>
            <w:vAlign w:val="center"/>
          </w:tcPr>
          <w:p w14:paraId="53B184DC" w14:textId="77777777" w:rsidR="00C94483" w:rsidRPr="00C3671E" w:rsidRDefault="00C94483" w:rsidP="00C94483">
            <w:pPr>
              <w:tabs>
                <w:tab w:val="decimal" w:pos="466"/>
              </w:tabs>
              <w:rPr>
                <w:sz w:val="20"/>
                <w:szCs w:val="20"/>
                <w:lang w:val="en-GB"/>
              </w:rPr>
            </w:pPr>
            <w:r w:rsidRPr="00C3671E">
              <w:rPr>
                <w:sz w:val="20"/>
                <w:szCs w:val="20"/>
                <w:lang w:val="en-GB"/>
              </w:rPr>
              <w:t>2.885***</w:t>
            </w:r>
          </w:p>
        </w:tc>
        <w:tc>
          <w:tcPr>
            <w:tcW w:w="1355" w:type="dxa"/>
            <w:vAlign w:val="center"/>
          </w:tcPr>
          <w:p w14:paraId="5C42CDDA" w14:textId="77777777" w:rsidR="00C94483" w:rsidRPr="00C3671E" w:rsidRDefault="00C94483" w:rsidP="00C94483">
            <w:pPr>
              <w:tabs>
                <w:tab w:val="decimal" w:pos="466"/>
              </w:tabs>
              <w:rPr>
                <w:sz w:val="20"/>
                <w:szCs w:val="20"/>
                <w:lang w:val="en-GB"/>
              </w:rPr>
            </w:pPr>
            <w:r w:rsidRPr="00C3671E">
              <w:rPr>
                <w:sz w:val="20"/>
                <w:szCs w:val="20"/>
                <w:lang w:val="en-GB"/>
              </w:rPr>
              <w:t>0.207</w:t>
            </w:r>
          </w:p>
        </w:tc>
      </w:tr>
      <w:tr w:rsidR="00C94483" w:rsidRPr="00C3671E" w14:paraId="4D9446D7" w14:textId="77777777" w:rsidTr="00C94483">
        <w:trPr>
          <w:trHeight w:val="340"/>
        </w:trPr>
        <w:tc>
          <w:tcPr>
            <w:tcW w:w="3544" w:type="dxa"/>
            <w:shd w:val="clear" w:color="auto" w:fill="auto"/>
            <w:vAlign w:val="center"/>
          </w:tcPr>
          <w:p w14:paraId="7374762B" w14:textId="77777777" w:rsidR="00C94483" w:rsidRPr="00C3671E" w:rsidRDefault="00C94483" w:rsidP="00C94483">
            <w:pPr>
              <w:rPr>
                <w:sz w:val="20"/>
                <w:szCs w:val="20"/>
                <w:lang w:val="en-GB"/>
              </w:rPr>
            </w:pPr>
            <w:r w:rsidRPr="00C3671E">
              <w:rPr>
                <w:sz w:val="20"/>
                <w:szCs w:val="20"/>
                <w:lang w:val="en-GB"/>
              </w:rPr>
              <w:t>Subjective health status (poor as ref.)</w:t>
            </w:r>
          </w:p>
        </w:tc>
        <w:tc>
          <w:tcPr>
            <w:tcW w:w="1355" w:type="dxa"/>
            <w:shd w:val="clear" w:color="auto" w:fill="auto"/>
            <w:vAlign w:val="center"/>
          </w:tcPr>
          <w:p w14:paraId="55E6464E" w14:textId="77777777" w:rsidR="00C94483" w:rsidRPr="00C3671E" w:rsidRDefault="00C94483" w:rsidP="00C94483">
            <w:pPr>
              <w:tabs>
                <w:tab w:val="decimal" w:pos="466"/>
              </w:tabs>
              <w:rPr>
                <w:sz w:val="20"/>
                <w:szCs w:val="20"/>
                <w:lang w:val="en-GB"/>
              </w:rPr>
            </w:pPr>
          </w:p>
        </w:tc>
        <w:tc>
          <w:tcPr>
            <w:tcW w:w="1355" w:type="dxa"/>
            <w:vAlign w:val="center"/>
          </w:tcPr>
          <w:p w14:paraId="7E2413BF" w14:textId="77777777" w:rsidR="00C94483" w:rsidRPr="00C3671E" w:rsidRDefault="00C94483" w:rsidP="00C94483">
            <w:pPr>
              <w:tabs>
                <w:tab w:val="decimal" w:pos="466"/>
              </w:tabs>
              <w:rPr>
                <w:sz w:val="20"/>
                <w:szCs w:val="20"/>
                <w:lang w:val="en-GB"/>
              </w:rPr>
            </w:pPr>
          </w:p>
        </w:tc>
        <w:tc>
          <w:tcPr>
            <w:tcW w:w="1355" w:type="dxa"/>
            <w:shd w:val="clear" w:color="auto" w:fill="auto"/>
            <w:vAlign w:val="center"/>
          </w:tcPr>
          <w:p w14:paraId="4916786D" w14:textId="77777777" w:rsidR="00C94483" w:rsidRPr="00C3671E" w:rsidRDefault="00C94483" w:rsidP="00C94483">
            <w:pPr>
              <w:tabs>
                <w:tab w:val="decimal" w:pos="466"/>
              </w:tabs>
              <w:rPr>
                <w:sz w:val="20"/>
                <w:szCs w:val="20"/>
                <w:lang w:val="en-GB"/>
              </w:rPr>
            </w:pPr>
          </w:p>
        </w:tc>
        <w:tc>
          <w:tcPr>
            <w:tcW w:w="1355" w:type="dxa"/>
            <w:vAlign w:val="center"/>
          </w:tcPr>
          <w:p w14:paraId="7E16D91E" w14:textId="77777777" w:rsidR="00C94483" w:rsidRPr="00C3671E" w:rsidRDefault="00C94483" w:rsidP="00C94483">
            <w:pPr>
              <w:tabs>
                <w:tab w:val="decimal" w:pos="466"/>
              </w:tabs>
              <w:rPr>
                <w:sz w:val="20"/>
                <w:szCs w:val="20"/>
                <w:lang w:val="en-GB"/>
              </w:rPr>
            </w:pPr>
          </w:p>
        </w:tc>
      </w:tr>
      <w:tr w:rsidR="00C94483" w:rsidRPr="00C3671E" w14:paraId="249A0943" w14:textId="77777777" w:rsidTr="00C94483">
        <w:trPr>
          <w:trHeight w:val="340"/>
        </w:trPr>
        <w:tc>
          <w:tcPr>
            <w:tcW w:w="3544" w:type="dxa"/>
            <w:shd w:val="clear" w:color="auto" w:fill="auto"/>
            <w:vAlign w:val="center"/>
          </w:tcPr>
          <w:p w14:paraId="4C6E7228" w14:textId="77777777" w:rsidR="00C94483" w:rsidRPr="00C3671E" w:rsidRDefault="00C94483" w:rsidP="00C94483">
            <w:pPr>
              <w:rPr>
                <w:sz w:val="20"/>
                <w:szCs w:val="20"/>
                <w:lang w:val="en-GB"/>
              </w:rPr>
            </w:pPr>
            <w:r w:rsidRPr="00C3671E">
              <w:rPr>
                <w:bCs/>
                <w:sz w:val="20"/>
                <w:szCs w:val="20"/>
                <w:lang w:val="en-GB"/>
              </w:rPr>
              <w:t xml:space="preserve">     fair</w:t>
            </w:r>
          </w:p>
        </w:tc>
        <w:tc>
          <w:tcPr>
            <w:tcW w:w="1355" w:type="dxa"/>
            <w:shd w:val="clear" w:color="auto" w:fill="auto"/>
            <w:vAlign w:val="center"/>
          </w:tcPr>
          <w:p w14:paraId="441E5062" w14:textId="77777777" w:rsidR="00C94483" w:rsidRPr="00C3671E" w:rsidRDefault="00C94483" w:rsidP="00C94483">
            <w:pPr>
              <w:tabs>
                <w:tab w:val="decimal" w:pos="466"/>
              </w:tabs>
              <w:rPr>
                <w:sz w:val="20"/>
                <w:szCs w:val="20"/>
                <w:lang w:val="en-GB"/>
              </w:rPr>
            </w:pPr>
            <w:r w:rsidRPr="00C3671E">
              <w:rPr>
                <w:sz w:val="20"/>
                <w:szCs w:val="20"/>
                <w:lang w:val="en-GB"/>
              </w:rPr>
              <w:t>1.715***</w:t>
            </w:r>
          </w:p>
        </w:tc>
        <w:tc>
          <w:tcPr>
            <w:tcW w:w="1355" w:type="dxa"/>
            <w:vAlign w:val="center"/>
          </w:tcPr>
          <w:p w14:paraId="59FE9000" w14:textId="77777777" w:rsidR="00C94483" w:rsidRPr="00C3671E" w:rsidRDefault="00C94483" w:rsidP="00C94483">
            <w:pPr>
              <w:tabs>
                <w:tab w:val="decimal" w:pos="466"/>
              </w:tabs>
              <w:rPr>
                <w:sz w:val="20"/>
                <w:szCs w:val="20"/>
                <w:lang w:val="en-GB"/>
              </w:rPr>
            </w:pPr>
            <w:r w:rsidRPr="00C3671E">
              <w:rPr>
                <w:sz w:val="20"/>
                <w:szCs w:val="20"/>
                <w:lang w:val="en-GB"/>
              </w:rPr>
              <w:t>0.222</w:t>
            </w:r>
          </w:p>
        </w:tc>
        <w:tc>
          <w:tcPr>
            <w:tcW w:w="1355" w:type="dxa"/>
            <w:shd w:val="clear" w:color="auto" w:fill="auto"/>
            <w:vAlign w:val="center"/>
          </w:tcPr>
          <w:p w14:paraId="15E72605" w14:textId="77777777" w:rsidR="00C94483" w:rsidRPr="00C3671E" w:rsidRDefault="00C94483" w:rsidP="00C94483">
            <w:pPr>
              <w:tabs>
                <w:tab w:val="decimal" w:pos="466"/>
              </w:tabs>
              <w:rPr>
                <w:sz w:val="20"/>
                <w:szCs w:val="20"/>
                <w:lang w:val="en-GB"/>
              </w:rPr>
            </w:pPr>
            <w:r w:rsidRPr="00C3671E">
              <w:rPr>
                <w:sz w:val="20"/>
                <w:szCs w:val="20"/>
                <w:lang w:val="en-GB"/>
              </w:rPr>
              <w:t>1.704***</w:t>
            </w:r>
          </w:p>
        </w:tc>
        <w:tc>
          <w:tcPr>
            <w:tcW w:w="1355" w:type="dxa"/>
            <w:vAlign w:val="center"/>
          </w:tcPr>
          <w:p w14:paraId="5FAA555F" w14:textId="77777777" w:rsidR="00C94483" w:rsidRPr="00C3671E" w:rsidRDefault="00C94483" w:rsidP="00C94483">
            <w:pPr>
              <w:tabs>
                <w:tab w:val="decimal" w:pos="466"/>
              </w:tabs>
              <w:rPr>
                <w:sz w:val="20"/>
                <w:szCs w:val="20"/>
                <w:lang w:val="en-GB"/>
              </w:rPr>
            </w:pPr>
            <w:r w:rsidRPr="00C3671E">
              <w:rPr>
                <w:sz w:val="20"/>
                <w:szCs w:val="20"/>
                <w:lang w:val="en-GB"/>
              </w:rPr>
              <w:t>0.189</w:t>
            </w:r>
          </w:p>
        </w:tc>
      </w:tr>
      <w:tr w:rsidR="00C94483" w:rsidRPr="00C3671E" w14:paraId="7C1E2923" w14:textId="77777777" w:rsidTr="00C94483">
        <w:trPr>
          <w:trHeight w:val="340"/>
        </w:trPr>
        <w:tc>
          <w:tcPr>
            <w:tcW w:w="3544" w:type="dxa"/>
            <w:shd w:val="clear" w:color="auto" w:fill="auto"/>
            <w:vAlign w:val="center"/>
          </w:tcPr>
          <w:p w14:paraId="44620A75" w14:textId="77777777" w:rsidR="00C94483" w:rsidRPr="00C3671E" w:rsidRDefault="00C94483" w:rsidP="00C94483">
            <w:pPr>
              <w:rPr>
                <w:sz w:val="20"/>
                <w:szCs w:val="20"/>
                <w:lang w:val="en-GB"/>
              </w:rPr>
            </w:pPr>
            <w:r w:rsidRPr="00C3671E">
              <w:rPr>
                <w:bCs/>
                <w:sz w:val="20"/>
                <w:szCs w:val="20"/>
                <w:lang w:val="en-GB"/>
              </w:rPr>
              <w:t xml:space="preserve">     good</w:t>
            </w:r>
          </w:p>
        </w:tc>
        <w:tc>
          <w:tcPr>
            <w:tcW w:w="1355" w:type="dxa"/>
            <w:shd w:val="clear" w:color="auto" w:fill="auto"/>
            <w:vAlign w:val="center"/>
          </w:tcPr>
          <w:p w14:paraId="00381069" w14:textId="77777777" w:rsidR="00C94483" w:rsidRPr="00C3671E" w:rsidRDefault="00C94483" w:rsidP="00C94483">
            <w:pPr>
              <w:tabs>
                <w:tab w:val="decimal" w:pos="466"/>
              </w:tabs>
              <w:rPr>
                <w:sz w:val="20"/>
                <w:szCs w:val="20"/>
                <w:lang w:val="en-GB"/>
              </w:rPr>
            </w:pPr>
            <w:r w:rsidRPr="00C3671E">
              <w:rPr>
                <w:sz w:val="20"/>
                <w:szCs w:val="20"/>
                <w:lang w:val="en-GB"/>
              </w:rPr>
              <w:t>2.777***</w:t>
            </w:r>
          </w:p>
        </w:tc>
        <w:tc>
          <w:tcPr>
            <w:tcW w:w="1355" w:type="dxa"/>
            <w:vAlign w:val="center"/>
          </w:tcPr>
          <w:p w14:paraId="01DA40D3" w14:textId="77777777" w:rsidR="00C94483" w:rsidRPr="00C3671E" w:rsidRDefault="00C94483" w:rsidP="00C94483">
            <w:pPr>
              <w:tabs>
                <w:tab w:val="decimal" w:pos="466"/>
              </w:tabs>
              <w:rPr>
                <w:sz w:val="20"/>
                <w:szCs w:val="20"/>
                <w:lang w:val="en-GB"/>
              </w:rPr>
            </w:pPr>
            <w:r w:rsidRPr="00C3671E">
              <w:rPr>
                <w:sz w:val="20"/>
                <w:szCs w:val="20"/>
                <w:lang w:val="en-GB"/>
              </w:rPr>
              <w:t>0.238</w:t>
            </w:r>
          </w:p>
        </w:tc>
        <w:tc>
          <w:tcPr>
            <w:tcW w:w="1355" w:type="dxa"/>
            <w:shd w:val="clear" w:color="auto" w:fill="auto"/>
            <w:vAlign w:val="center"/>
          </w:tcPr>
          <w:p w14:paraId="2CF5865E" w14:textId="77777777" w:rsidR="00C94483" w:rsidRPr="00C3671E" w:rsidRDefault="00C94483" w:rsidP="00C94483">
            <w:pPr>
              <w:tabs>
                <w:tab w:val="decimal" w:pos="466"/>
              </w:tabs>
              <w:rPr>
                <w:sz w:val="20"/>
                <w:szCs w:val="20"/>
                <w:lang w:val="en-GB"/>
              </w:rPr>
            </w:pPr>
            <w:r w:rsidRPr="00C3671E">
              <w:rPr>
                <w:sz w:val="20"/>
                <w:szCs w:val="20"/>
                <w:lang w:val="en-GB"/>
              </w:rPr>
              <w:t>2.703***</w:t>
            </w:r>
          </w:p>
        </w:tc>
        <w:tc>
          <w:tcPr>
            <w:tcW w:w="1355" w:type="dxa"/>
            <w:vAlign w:val="center"/>
          </w:tcPr>
          <w:p w14:paraId="62309056" w14:textId="77777777" w:rsidR="00C94483" w:rsidRPr="00C3671E" w:rsidRDefault="00C94483" w:rsidP="00C94483">
            <w:pPr>
              <w:tabs>
                <w:tab w:val="decimal" w:pos="466"/>
              </w:tabs>
              <w:rPr>
                <w:sz w:val="20"/>
                <w:szCs w:val="20"/>
                <w:lang w:val="en-GB"/>
              </w:rPr>
            </w:pPr>
            <w:r w:rsidRPr="00C3671E">
              <w:rPr>
                <w:sz w:val="20"/>
                <w:szCs w:val="20"/>
                <w:lang w:val="en-GB"/>
              </w:rPr>
              <w:t>0.214</w:t>
            </w:r>
          </w:p>
        </w:tc>
      </w:tr>
      <w:tr w:rsidR="00C94483" w:rsidRPr="00C3671E" w14:paraId="10C2DA5C" w14:textId="77777777" w:rsidTr="00C94483">
        <w:trPr>
          <w:trHeight w:val="340"/>
        </w:trPr>
        <w:tc>
          <w:tcPr>
            <w:tcW w:w="3544" w:type="dxa"/>
            <w:shd w:val="clear" w:color="auto" w:fill="auto"/>
            <w:vAlign w:val="center"/>
          </w:tcPr>
          <w:p w14:paraId="2C1D2FD5" w14:textId="77777777" w:rsidR="00C94483" w:rsidRPr="00C3671E" w:rsidRDefault="00C94483" w:rsidP="00C94483">
            <w:pPr>
              <w:rPr>
                <w:sz w:val="20"/>
                <w:szCs w:val="20"/>
                <w:lang w:val="en-GB"/>
              </w:rPr>
            </w:pPr>
            <w:r w:rsidRPr="00C3671E">
              <w:rPr>
                <w:bCs/>
                <w:sz w:val="20"/>
                <w:szCs w:val="20"/>
                <w:lang w:val="en-GB"/>
              </w:rPr>
              <w:t xml:space="preserve">     very good</w:t>
            </w:r>
          </w:p>
        </w:tc>
        <w:tc>
          <w:tcPr>
            <w:tcW w:w="1355" w:type="dxa"/>
            <w:shd w:val="clear" w:color="auto" w:fill="auto"/>
            <w:vAlign w:val="center"/>
          </w:tcPr>
          <w:p w14:paraId="76C0CBA1" w14:textId="77777777" w:rsidR="00C94483" w:rsidRPr="00C3671E" w:rsidRDefault="00C94483" w:rsidP="00C94483">
            <w:pPr>
              <w:tabs>
                <w:tab w:val="decimal" w:pos="466"/>
              </w:tabs>
              <w:rPr>
                <w:sz w:val="20"/>
                <w:szCs w:val="20"/>
                <w:lang w:val="en-GB"/>
              </w:rPr>
            </w:pPr>
            <w:r w:rsidRPr="00C3671E">
              <w:rPr>
                <w:sz w:val="20"/>
                <w:szCs w:val="20"/>
                <w:lang w:val="en-GB"/>
              </w:rPr>
              <w:t>3.268***</w:t>
            </w:r>
          </w:p>
        </w:tc>
        <w:tc>
          <w:tcPr>
            <w:tcW w:w="1355" w:type="dxa"/>
            <w:vAlign w:val="center"/>
          </w:tcPr>
          <w:p w14:paraId="5D50C3BE" w14:textId="77777777" w:rsidR="00C94483" w:rsidRPr="00C3671E" w:rsidRDefault="00C94483" w:rsidP="00C94483">
            <w:pPr>
              <w:tabs>
                <w:tab w:val="decimal" w:pos="466"/>
              </w:tabs>
              <w:rPr>
                <w:sz w:val="20"/>
                <w:szCs w:val="20"/>
                <w:lang w:val="en-GB"/>
              </w:rPr>
            </w:pPr>
            <w:r w:rsidRPr="00C3671E">
              <w:rPr>
                <w:sz w:val="20"/>
                <w:szCs w:val="20"/>
                <w:lang w:val="en-GB"/>
              </w:rPr>
              <w:t>0.249</w:t>
            </w:r>
          </w:p>
        </w:tc>
        <w:tc>
          <w:tcPr>
            <w:tcW w:w="1355" w:type="dxa"/>
            <w:shd w:val="clear" w:color="auto" w:fill="auto"/>
            <w:vAlign w:val="center"/>
          </w:tcPr>
          <w:p w14:paraId="7E722B5C" w14:textId="77777777" w:rsidR="00C94483" w:rsidRPr="00C3671E" w:rsidRDefault="00C94483" w:rsidP="00C94483">
            <w:pPr>
              <w:tabs>
                <w:tab w:val="decimal" w:pos="466"/>
              </w:tabs>
              <w:rPr>
                <w:sz w:val="20"/>
                <w:szCs w:val="20"/>
                <w:lang w:val="en-GB"/>
              </w:rPr>
            </w:pPr>
            <w:r w:rsidRPr="00C3671E">
              <w:rPr>
                <w:sz w:val="20"/>
                <w:szCs w:val="20"/>
                <w:lang w:val="en-GB"/>
              </w:rPr>
              <w:t>3.417***</w:t>
            </w:r>
          </w:p>
        </w:tc>
        <w:tc>
          <w:tcPr>
            <w:tcW w:w="1355" w:type="dxa"/>
            <w:vAlign w:val="center"/>
          </w:tcPr>
          <w:p w14:paraId="7CF6525E" w14:textId="77777777" w:rsidR="00C94483" w:rsidRPr="00C3671E" w:rsidRDefault="00C94483" w:rsidP="00C94483">
            <w:pPr>
              <w:tabs>
                <w:tab w:val="decimal" w:pos="466"/>
              </w:tabs>
              <w:rPr>
                <w:sz w:val="20"/>
                <w:szCs w:val="20"/>
                <w:lang w:val="en-GB"/>
              </w:rPr>
            </w:pPr>
            <w:r w:rsidRPr="00C3671E">
              <w:rPr>
                <w:sz w:val="20"/>
                <w:szCs w:val="20"/>
                <w:lang w:val="en-GB"/>
              </w:rPr>
              <w:t>0.266</w:t>
            </w:r>
          </w:p>
        </w:tc>
      </w:tr>
      <w:tr w:rsidR="00C94483" w:rsidRPr="00C3671E" w14:paraId="3DD04796" w14:textId="77777777" w:rsidTr="00C94483">
        <w:trPr>
          <w:trHeight w:val="340"/>
        </w:trPr>
        <w:tc>
          <w:tcPr>
            <w:tcW w:w="3544" w:type="dxa"/>
            <w:tcBorders>
              <w:bottom w:val="single" w:sz="12" w:space="0" w:color="auto"/>
            </w:tcBorders>
            <w:shd w:val="clear" w:color="auto" w:fill="auto"/>
            <w:vAlign w:val="center"/>
          </w:tcPr>
          <w:p w14:paraId="1E3FB8CA" w14:textId="77777777" w:rsidR="00C94483" w:rsidRPr="00C3671E" w:rsidRDefault="00C94483" w:rsidP="00C94483">
            <w:pPr>
              <w:rPr>
                <w:sz w:val="20"/>
                <w:szCs w:val="20"/>
                <w:lang w:val="en-GB"/>
              </w:rPr>
            </w:pPr>
            <w:r w:rsidRPr="00C3671E">
              <w:rPr>
                <w:bCs/>
                <w:sz w:val="20"/>
                <w:szCs w:val="20"/>
                <w:lang w:val="en-GB"/>
              </w:rPr>
              <w:t xml:space="preserve">     excellent</w:t>
            </w:r>
          </w:p>
        </w:tc>
        <w:tc>
          <w:tcPr>
            <w:tcW w:w="1355" w:type="dxa"/>
            <w:tcBorders>
              <w:bottom w:val="single" w:sz="12" w:space="0" w:color="auto"/>
            </w:tcBorders>
            <w:shd w:val="clear" w:color="auto" w:fill="auto"/>
            <w:vAlign w:val="center"/>
          </w:tcPr>
          <w:p w14:paraId="0DA0EE29" w14:textId="77777777" w:rsidR="00C94483" w:rsidRPr="00C3671E" w:rsidRDefault="00C94483" w:rsidP="00C94483">
            <w:pPr>
              <w:tabs>
                <w:tab w:val="decimal" w:pos="466"/>
              </w:tabs>
              <w:rPr>
                <w:sz w:val="20"/>
                <w:szCs w:val="20"/>
                <w:lang w:val="en-GB"/>
              </w:rPr>
            </w:pPr>
            <w:r w:rsidRPr="00C3671E">
              <w:rPr>
                <w:sz w:val="20"/>
                <w:szCs w:val="20"/>
                <w:lang w:val="en-GB"/>
              </w:rPr>
              <w:t>3.745***</w:t>
            </w:r>
          </w:p>
        </w:tc>
        <w:tc>
          <w:tcPr>
            <w:tcW w:w="1355" w:type="dxa"/>
            <w:tcBorders>
              <w:bottom w:val="single" w:sz="12" w:space="0" w:color="auto"/>
            </w:tcBorders>
            <w:vAlign w:val="center"/>
          </w:tcPr>
          <w:p w14:paraId="71DD4706" w14:textId="77777777" w:rsidR="00C94483" w:rsidRPr="00C3671E" w:rsidRDefault="00C94483" w:rsidP="00C94483">
            <w:pPr>
              <w:tabs>
                <w:tab w:val="decimal" w:pos="466"/>
              </w:tabs>
              <w:rPr>
                <w:sz w:val="20"/>
                <w:szCs w:val="20"/>
                <w:lang w:val="en-GB"/>
              </w:rPr>
            </w:pPr>
            <w:r w:rsidRPr="00C3671E">
              <w:rPr>
                <w:sz w:val="20"/>
                <w:szCs w:val="20"/>
                <w:lang w:val="en-GB"/>
              </w:rPr>
              <w:t>0.265</w:t>
            </w:r>
          </w:p>
        </w:tc>
        <w:tc>
          <w:tcPr>
            <w:tcW w:w="1355" w:type="dxa"/>
            <w:tcBorders>
              <w:bottom w:val="single" w:sz="12" w:space="0" w:color="auto"/>
            </w:tcBorders>
            <w:shd w:val="clear" w:color="auto" w:fill="auto"/>
            <w:vAlign w:val="center"/>
          </w:tcPr>
          <w:p w14:paraId="50FAB0DB" w14:textId="77777777" w:rsidR="00C94483" w:rsidRPr="00C3671E" w:rsidRDefault="00C94483" w:rsidP="00C94483">
            <w:pPr>
              <w:tabs>
                <w:tab w:val="decimal" w:pos="466"/>
              </w:tabs>
              <w:rPr>
                <w:sz w:val="20"/>
                <w:szCs w:val="20"/>
                <w:lang w:val="en-GB"/>
              </w:rPr>
            </w:pPr>
            <w:r w:rsidRPr="00C3671E">
              <w:rPr>
                <w:sz w:val="20"/>
                <w:szCs w:val="20"/>
                <w:lang w:val="en-GB"/>
              </w:rPr>
              <w:t>4.205***</w:t>
            </w:r>
          </w:p>
        </w:tc>
        <w:tc>
          <w:tcPr>
            <w:tcW w:w="1355" w:type="dxa"/>
            <w:tcBorders>
              <w:bottom w:val="single" w:sz="12" w:space="0" w:color="auto"/>
            </w:tcBorders>
            <w:vAlign w:val="center"/>
          </w:tcPr>
          <w:p w14:paraId="3C5FAF2E" w14:textId="77777777" w:rsidR="00C94483" w:rsidRPr="00C3671E" w:rsidRDefault="00C94483" w:rsidP="00C94483">
            <w:pPr>
              <w:tabs>
                <w:tab w:val="decimal" w:pos="466"/>
              </w:tabs>
              <w:rPr>
                <w:sz w:val="20"/>
                <w:szCs w:val="20"/>
                <w:lang w:val="en-GB"/>
              </w:rPr>
            </w:pPr>
            <w:r w:rsidRPr="00C3671E">
              <w:rPr>
                <w:sz w:val="20"/>
                <w:szCs w:val="20"/>
                <w:lang w:val="en-GB"/>
              </w:rPr>
              <w:t>0.342</w:t>
            </w:r>
          </w:p>
        </w:tc>
      </w:tr>
      <w:tr w:rsidR="00C94483" w:rsidRPr="00C3671E" w14:paraId="26C6B9D0" w14:textId="77777777" w:rsidTr="00C94483">
        <w:trPr>
          <w:trHeight w:val="340"/>
        </w:trPr>
        <w:tc>
          <w:tcPr>
            <w:tcW w:w="3544" w:type="dxa"/>
            <w:tcBorders>
              <w:top w:val="single" w:sz="12" w:space="0" w:color="auto"/>
              <w:bottom w:val="single" w:sz="12" w:space="0" w:color="auto"/>
            </w:tcBorders>
            <w:shd w:val="clear" w:color="auto" w:fill="auto"/>
            <w:vAlign w:val="center"/>
          </w:tcPr>
          <w:p w14:paraId="7A571117" w14:textId="77777777" w:rsidR="00C94483" w:rsidRPr="00C3671E" w:rsidRDefault="00C94483" w:rsidP="00C94483">
            <w:pPr>
              <w:rPr>
                <w:sz w:val="20"/>
                <w:szCs w:val="20"/>
                <w:lang w:val="en-GB"/>
              </w:rPr>
            </w:pPr>
            <w:r w:rsidRPr="00C3671E">
              <w:rPr>
                <w:sz w:val="20"/>
                <w:szCs w:val="20"/>
                <w:lang w:val="en-GB"/>
              </w:rPr>
              <w:t>N</w:t>
            </w:r>
          </w:p>
        </w:tc>
        <w:tc>
          <w:tcPr>
            <w:tcW w:w="2710" w:type="dxa"/>
            <w:gridSpan w:val="2"/>
            <w:tcBorders>
              <w:top w:val="single" w:sz="12" w:space="0" w:color="auto"/>
              <w:bottom w:val="single" w:sz="12" w:space="0" w:color="auto"/>
            </w:tcBorders>
            <w:shd w:val="clear" w:color="auto" w:fill="auto"/>
            <w:vAlign w:val="center"/>
          </w:tcPr>
          <w:p w14:paraId="7937AA1F" w14:textId="77777777" w:rsidR="00C94483" w:rsidRPr="00C3671E" w:rsidRDefault="00C94483" w:rsidP="00C94483">
            <w:pPr>
              <w:jc w:val="center"/>
              <w:rPr>
                <w:sz w:val="20"/>
                <w:szCs w:val="20"/>
                <w:lang w:val="en-GB"/>
              </w:rPr>
            </w:pPr>
            <w:r w:rsidRPr="00C3671E">
              <w:rPr>
                <w:sz w:val="20"/>
                <w:szCs w:val="20"/>
                <w:lang w:val="en-GB"/>
              </w:rPr>
              <w:t>8271</w:t>
            </w:r>
          </w:p>
        </w:tc>
        <w:tc>
          <w:tcPr>
            <w:tcW w:w="2710" w:type="dxa"/>
            <w:gridSpan w:val="2"/>
            <w:tcBorders>
              <w:top w:val="single" w:sz="12" w:space="0" w:color="auto"/>
              <w:bottom w:val="single" w:sz="12" w:space="0" w:color="auto"/>
            </w:tcBorders>
            <w:shd w:val="clear" w:color="auto" w:fill="auto"/>
            <w:vAlign w:val="center"/>
          </w:tcPr>
          <w:p w14:paraId="67865062" w14:textId="77777777" w:rsidR="00C94483" w:rsidRPr="00C3671E" w:rsidRDefault="00C94483" w:rsidP="00C94483">
            <w:pPr>
              <w:jc w:val="center"/>
              <w:rPr>
                <w:sz w:val="20"/>
                <w:szCs w:val="20"/>
                <w:lang w:val="en-GB"/>
              </w:rPr>
            </w:pPr>
            <w:r w:rsidRPr="00C3671E">
              <w:rPr>
                <w:sz w:val="20"/>
                <w:szCs w:val="20"/>
                <w:lang w:val="en-GB"/>
              </w:rPr>
              <w:t>6718</w:t>
            </w:r>
          </w:p>
        </w:tc>
      </w:tr>
    </w:tbl>
    <w:p w14:paraId="30D31DDB" w14:textId="77777777" w:rsidR="00C94483" w:rsidRPr="00C3671E" w:rsidRDefault="00C94483" w:rsidP="00C94483">
      <w:pPr>
        <w:ind w:left="426"/>
        <w:rPr>
          <w:i/>
          <w:sz w:val="20"/>
          <w:szCs w:val="20"/>
          <w:lang w:val="en-GB"/>
        </w:rPr>
      </w:pPr>
      <w:r w:rsidRPr="00C3671E">
        <w:rPr>
          <w:i/>
          <w:sz w:val="20"/>
          <w:szCs w:val="20"/>
          <w:lang w:val="en-GB"/>
        </w:rPr>
        <w:t>Source: SHARE, waves 4, 5, and 6, own calculations.</w:t>
      </w:r>
    </w:p>
    <w:p w14:paraId="01FF08CB" w14:textId="14D8DA68" w:rsidR="00C94483" w:rsidRPr="00C3671E" w:rsidRDefault="00C94483" w:rsidP="00C94483">
      <w:pPr>
        <w:ind w:left="426"/>
        <w:rPr>
          <w:i/>
          <w:sz w:val="20"/>
          <w:szCs w:val="20"/>
          <w:lang w:val="en-GB"/>
        </w:rPr>
      </w:pPr>
      <w:r w:rsidRPr="00C3671E">
        <w:rPr>
          <w:i/>
          <w:sz w:val="20"/>
          <w:szCs w:val="20"/>
          <w:lang w:val="en-GB"/>
        </w:rPr>
        <w:t>+ p &lt; 0.1, * p &lt; 0.05, ** p &lt; 0.01, *** p &lt; 0.001.</w:t>
      </w:r>
    </w:p>
    <w:p w14:paraId="4445E633" w14:textId="77777777" w:rsidR="00C94483" w:rsidRPr="00C3671E" w:rsidRDefault="00C94483" w:rsidP="00C94483">
      <w:pPr>
        <w:rPr>
          <w:lang w:val="en-GB"/>
        </w:rPr>
      </w:pPr>
    </w:p>
    <w:p w14:paraId="61F8FE9D" w14:textId="5E3F7A5B" w:rsidR="00C94483" w:rsidRPr="00C3671E" w:rsidRDefault="00C94483" w:rsidP="007E6D8E">
      <w:pPr>
        <w:pStyle w:val="Nadpis2"/>
        <w:spacing w:line="480" w:lineRule="auto"/>
        <w:rPr>
          <w:sz w:val="26"/>
          <w:szCs w:val="26"/>
          <w:lang w:val="en-GB"/>
        </w:rPr>
      </w:pPr>
      <w:bookmarkStart w:id="105" w:name="_Toc512687793"/>
      <w:r w:rsidRPr="00C3671E">
        <w:rPr>
          <w:sz w:val="26"/>
          <w:szCs w:val="26"/>
          <w:lang w:val="en-GB"/>
        </w:rPr>
        <w:t>Conclusion and discussion</w:t>
      </w:r>
      <w:bookmarkEnd w:id="105"/>
    </w:p>
    <w:p w14:paraId="284CA96C" w14:textId="77777777" w:rsidR="00C94483" w:rsidRPr="00C3671E" w:rsidRDefault="00C94483" w:rsidP="00C94483">
      <w:pPr>
        <w:suppressAutoHyphens/>
        <w:spacing w:line="480" w:lineRule="auto"/>
        <w:jc w:val="both"/>
        <w:rPr>
          <w:lang w:val="en-GB"/>
        </w:rPr>
      </w:pPr>
      <w:r w:rsidRPr="00C3671E">
        <w:rPr>
          <w:lang w:val="en-GB"/>
        </w:rPr>
        <w:t xml:space="preserve">This paper examines </w:t>
      </w:r>
      <w:r w:rsidRPr="00C3671E">
        <w:rPr>
          <w:lang w:val="en-GB" w:eastAsia="zh-CN"/>
        </w:rPr>
        <w:t>the</w:t>
      </w:r>
      <w:r w:rsidRPr="00C3671E">
        <w:rPr>
          <w:lang w:val="en-GB"/>
        </w:rPr>
        <w:t xml:space="preserve"> effect of roles supported by active ageing on QoL policy and their differences based on value orientation. The effect of specific activities has been repeatedly studied, but this research extends the current understanding by employing several novelties. These are a) all concerned activities are included into one estimation to control for their interdependences, b) a within-person estimator is used to evaluate actual changes in time with control for time-invariant factors, and c) potential differences in the </w:t>
      </w:r>
      <w:r w:rsidRPr="00466C1F">
        <w:rPr>
          <w:rFonts w:eastAsia="Calibri"/>
          <w:lang w:val="en-GB" w:eastAsia="en-US"/>
        </w:rPr>
        <w:t>effect</w:t>
      </w:r>
      <w:r w:rsidRPr="00C3671E">
        <w:rPr>
          <w:lang w:val="en-GB"/>
        </w:rPr>
        <w:t xml:space="preserve"> of roles are explored in a framework of the postmaterialist values theory. Panel component of the SHARE data enabled to test these proposition on the sample from 12 European countries with the following conclusions.</w:t>
      </w:r>
    </w:p>
    <w:p w14:paraId="200C6CA7" w14:textId="77777777" w:rsidR="00C94483" w:rsidRPr="00C3671E" w:rsidRDefault="00C94483" w:rsidP="00466C1F">
      <w:pPr>
        <w:pStyle w:val="Newparagraph"/>
        <w:jc w:val="both"/>
        <w:rPr>
          <w:lang w:eastAsia="zh-CN"/>
        </w:rPr>
      </w:pPr>
      <w:r w:rsidRPr="00C3671E">
        <w:rPr>
          <w:lang w:eastAsia="zh-CN"/>
        </w:rPr>
        <w:t xml:space="preserve">First, </w:t>
      </w:r>
      <w:r w:rsidRPr="00C3671E">
        <w:rPr>
          <w:i/>
          <w:lang w:eastAsia="zh-CN"/>
        </w:rPr>
        <w:t>the effects of activities supported by active ageing perspective in fixed effects regression are much weaker or even non-existent</w:t>
      </w:r>
      <w:r w:rsidRPr="00C3671E">
        <w:rPr>
          <w:lang w:eastAsia="zh-CN"/>
        </w:rPr>
        <w:t xml:space="preserve">, if they are compared to prevalently beneficial effects estimated by random effects regression. This means that the effects from REM (and also from many cross-sectional studies) can be explained by other, mostly unobserved variables. </w:t>
      </w:r>
      <w:r w:rsidRPr="00C3671E">
        <w:rPr>
          <w:lang w:eastAsia="zh-CN"/>
        </w:rPr>
        <w:lastRenderedPageBreak/>
        <w:t>Therefore, the effect of many activities – caregiving outside the household, participation labour force, training, and political organizations – is not beneficial in a panel perspective and the effect of caregiving within the household is even strongly negative.</w:t>
      </w:r>
    </w:p>
    <w:p w14:paraId="17B10309" w14:textId="4ADE98AB" w:rsidR="00C94483" w:rsidRPr="00C3671E" w:rsidRDefault="00C94483" w:rsidP="00466C1F">
      <w:pPr>
        <w:pStyle w:val="Newparagraph"/>
        <w:jc w:val="both"/>
        <w:rPr>
          <w:lang w:eastAsia="zh-CN"/>
        </w:rPr>
      </w:pPr>
      <w:r w:rsidRPr="00C3671E">
        <w:rPr>
          <w:lang w:eastAsia="zh-CN"/>
        </w:rPr>
        <w:t xml:space="preserve">Second, the participation in volunteering, sport or social club, and physical activity is beneficial, but their effects are weak and unstable. The presented </w:t>
      </w:r>
      <w:r w:rsidRPr="00C3671E">
        <w:t>results</w:t>
      </w:r>
      <w:r w:rsidRPr="00C3671E">
        <w:rPr>
          <w:lang w:eastAsia="zh-CN"/>
        </w:rPr>
        <w:t xml:space="preserve"> challenge the basic assumption of active ageing about benefits of all supported activities or all activities generally </w:t>
      </w:r>
      <w:r w:rsidRPr="00C3671E">
        <w:rPr>
          <w:lang w:eastAsia="zh-CN"/>
        </w:rPr>
        <w:fldChar w:fldCharType="begin" w:fldLock="1"/>
      </w:r>
      <w:r w:rsidR="001257AA" w:rsidRPr="00C3671E">
        <w:rPr>
          <w:lang w:eastAsia="zh-CN"/>
        </w:rPr>
        <w:instrText>ADDIN CSL_CITATION { "citationItems" : [ { "id" : "ITEM-1", "itemData" : { "DOI" : "10.1093/geront/gnu028", "ISBN" : "0016-9013", "ISSN" : "1758-5341", "PMID" : "24846882", "abstract" : "Over the past two decades, \"active aging\" has emerged in Europe as the foremost policy response to the challenges of population aging. This article examines the concept of active aging and how it differs from that of \"successful aging.\" In particular, it shows how active aging presents a more holistic, life course-oriented approach than successful aging. We provide a critical perspective on active aging too by, first, tracing its emergence in Europe and then showing how, in practice, it has been dominated by a narrow economic or productivist perspective that prioritizes the extension of working life. It has also been gender blind. Nonetheless, it is argued that an active aging approach has the potential to enable countries to respond successfully to the challenges of population aging because of its comprehensive focus and emphasis on societal as well as individual responsibility. Finally, we set out the basic principles that need to be followed if the full potential of active aging is to be achieved.", "author" : [ { "dropping-particle" : "", "family" : "Foster", "given" : "Liam", "non-dropping-particle" : "", "parse-names" : false, "suffix" : "" }, { "dropping-particle" : "", "family" : "Walker", "given" : "Alan", "non-dropping-particle" : "", "parse-names" : false, "suffix" : "" } ], "container-title" : "The Gerontologist", "id" : "ITEM-1", "issue" : "1", "issued" : { "date-parts" : [ [ "2015" ] ] }, "note" : "Foster, Walker 2014: Active and Successful Aging: A Euroepean Policy perspective\n\u201cactive aging\u201d has emerged in Europe as the foremost policy response to the challenges of population aging\nactive aging presents a more holistic, life course\u2013oriented approach than successful aging\ncritique of active aging perspective - emergence in Europe\n- dominated by a narrow economic perspective\n- gender blind\nall together, this approach has the potential to respond successfully to the challenges of population aging because of its comprehensive focus and emphasis on societal as well as individual responsibility\nAA should enable to create own forms of activity, instead of focusing on a predetermined, limited number of domains, usually developed from an \u2018expert\u2019 perspective\u201d (Boudiny &amp;amp; Mortelmans, 2011, p. 12)\nThere is also a danger that the \u201chealth and well-being\u201d narrative retreats to become the preserve of a \u201cfourth age\u201d charac- terized by biological decline and consumption of welfare resources\nstructural and economic barriers to active aging must be addressed for a comprehensive approach\n\u2192\nInternational and European policy on work and retirement: Reinventing critical perspectives\nA critical perspective: Towards a broader understanding of \u2018active ageing\u2019\nNarratives of (in)active age- ing in poor deprived areas of Liverpool", "page" : "83-90", "title" : "Active and Successful Aging: A European Policy Perspective", "type" : "article-journal", "volume" : "55" }, "uris" : [ "http://www.mendeley.com/documents/?uuid=6ef8c660-30ca-4a4a-80c6-6c24c5f5b99d" ] }, { "id" : "ITEM-2", "itemData" : { "ISBN" : "9789287152404", "abstract" : "Foreword\\n\\nThe Council of Europe has a long tradition of producing population studies, and the work of the European Population Committee contributes to the understanding of the relationship between social policy and demographic issues in Europe. The findings of this work are published in the series Population studies, where topics covered include migration flows, national minorities, demographic\\nchanges and the labour market, the ageing of European populations and the demographic consequences of economic transition. These publications provide essential background information for implementing the Council of Europe\u2019s strategy for social cohesion: an integrated policy approach aimed at combating poverty and social exclusion through promoting access to social rights in areas\\nsuch as employment and training, health, social protection, housing, education and social services.\\n\\nThis volume takes as its starting point the changing age structure in European countries. This is characterised by the increase in the number of elderly persons and the decrease in the young and working populations. It reviews the demographic differences between European countries. The authors note that improved living conditions and effective health and social policies mean that the majority of younger elderly Europeans reach the third age in relatively good health and under conditions of some income security. They point out\\nthat whilst the effective age at retirement has been declining, it is only a minority of elderly people who use their free time in an active manner.\\n\\nThe authors examine the different public policy approaches and individual strategies developed in response to these societal changes and they make wide-ranging policy proposals for the development of active ageing strategies which address issues of employment, health, leisure and social cohesion.", "author" : [ { "dropping-particle" : "", "family" : "Avramov", "given" : "Dragana", "non-dropping-particle" : "", "parse-names" : false, "suffix" : "" }, { "dropping-particle" : "", "family" : "Maskova", "given" : "Miroslava", "non-dropping-particle" : "", "parse-names" : false, "suffix" : "" } ], "container-title" : "Population studies", "id" : "ITEM-2", "issue" : "41", "issued" : { "date-parts" : [ [ "2003" ] ] }, "number-of-pages" : "1-152", "publisher" : "Council of Europe Publishing", "publisher-place" : "Strasbourg", "title" : "Active ageing in Europe", "type" : "book", "volume" : "1" }, "uris" : [ "http://www.mendeley.com/documents/?uuid=7db55846-516c-430d-834c-164bd53456b9" ] }, { "id" : "ITEM-3", "itemData" : { "DOI" : "10.1007/s12062-017-9174-6", "ISSN" : "1874-7884", "abstract" : "Why Active Ageing Matters\\r\\nBy the end of the first half of the twentieth century most European states had introduced public pension schemes of one sort or another. In doing so they were affirming the role of the state in providing individuals with a form of support that all but a few would struggle to provide for themselves. The objectives of these schemes were generally quite limited: to reduce the risk of poverty in old age by facilitating savings during working life. The rationale was simple: to provide access to financial support - a regular and reliable income \u2013 for a time of life when the ability to work was increasingly impaired by loss of health or functional ability. In the second half of the century, after the second world war, increasing affluence combined with a more demanding view of the responsibilities of government to improve the generosity of pensions and to expand welfare systems in ways that conferred other benefits on their older populations besides a basic pension income, including the provision of social care (e.g. care homes for older people who had no family and were unable to look after themselves in their own homes). Policy was still broadly conceived as a collective response to age-related losses that undermined independence.", "author" : [ { "dropping-particle" : "", "family" : "Zaidi", "given" : "Asghar", "non-dropping-particle" : "", "parse-names" : false, "suffix" : "" }, { "dropping-particle" : "", "family" : "Howse", "given" : "Kenneth", "non-dropping-particle" : "", "parse-names" : false, "suffix" : "" } ], "container-title" : "Journal of Population Ageing", "id" : "ITEM-3", "issue" : "1", "issued" : { "date-parts" : [ [ "2017" ] ] }, "page" : "1-10", "publisher" : "Journal of Population Ageing", "title" : "The Policy Discourse of Active Ageing: Some Reflections", "type" : "article-journal", "volume" : "10" }, "uris" : [ "http://www.mendeley.com/documents/?uuid=badd02a6-0ba4-4766-b6a7-a04a46414a57" ] } ], "mendeley" : { "formattedCitation" : "(Avramov and Maskova 2003; Foster and Walker 2015; Zaidi and Howse 2017)", "plainTextFormattedCitation" : "(Avramov and Maskova 2003; Foster and Walker 2015; Zaidi and Howse 2017)", "previouslyFormattedCitation" : "(Avramov and Maskova 2003; Foster and Walker 2015; Zaidi and Howse 2017)" }, "properties" : { "noteIndex" : 0 }, "schema" : "https://github.com/citation-style-language/schema/raw/master/csl-citation.json" }</w:instrText>
      </w:r>
      <w:r w:rsidRPr="00C3671E">
        <w:rPr>
          <w:lang w:eastAsia="zh-CN"/>
        </w:rPr>
        <w:fldChar w:fldCharType="separate"/>
      </w:r>
      <w:r w:rsidR="00A91559" w:rsidRPr="00C3671E">
        <w:rPr>
          <w:noProof/>
          <w:lang w:eastAsia="zh-CN"/>
        </w:rPr>
        <w:t>(Avramov and Maskova 2003; Foster and Walker 2015; Zaidi and Howse 2017)</w:t>
      </w:r>
      <w:r w:rsidRPr="00C3671E">
        <w:rPr>
          <w:lang w:eastAsia="zh-CN"/>
        </w:rPr>
        <w:fldChar w:fldCharType="end"/>
      </w:r>
      <w:r w:rsidRPr="00C3671E">
        <w:rPr>
          <w:lang w:eastAsia="zh-CN"/>
        </w:rPr>
        <w:t xml:space="preserve">. In contrast, QoL is strongly predicted by age, health, and economic status. Hence, </w:t>
      </w:r>
      <w:r w:rsidRPr="00C3671E">
        <w:rPr>
          <w:i/>
          <w:lang w:eastAsia="zh-CN"/>
        </w:rPr>
        <w:t>income security and availability of health care form QoL in later life much more than additional roles</w:t>
      </w:r>
      <w:r w:rsidRPr="00C3671E">
        <w:rPr>
          <w:lang w:eastAsia="zh-CN"/>
        </w:rPr>
        <w:t xml:space="preserve">. Although health and income may be strengthened by some types of activities </w:t>
      </w:r>
      <w:r w:rsidRPr="00C3671E">
        <w:rPr>
          <w:lang w:eastAsia="zh-CN"/>
        </w:rPr>
        <w:fldChar w:fldCharType="begin" w:fldLock="1"/>
      </w:r>
      <w:r w:rsidR="001257AA" w:rsidRPr="00C3671E">
        <w:rPr>
          <w:lang w:eastAsia="zh-CN"/>
        </w:rPr>
        <w:instrText>ADDIN CSL_CITATION { "citationItems" : [ { "id" : "ITEM-1", "itemData" : { "DOI" : "10.1177/0022146511411922", "ISBN" : "2150-6000 (Electronic)\\r0022-1465 (Linking)", "ISSN" : "00221465", "PMID" : "22144732", "abstract" : "Although studies have established important links between social relations and health, much of this research does not take into account the dynamic nature of both social relations and health over time. The present study combines person-centered and variable-centered approaches and uses social integration theory within the life course framework to examine patterns of change in social engagement and how those patterns relate to trajectories of physical and cognitive limitations among older adults, using data from the Americans' Changing Lives survey, a nationally representative panel study (N = 1,667). Individuals who had trajectories of high and increasing social engagement experienced lower levels of physical and cognitive limitations over time. The findings suggest the importance of maintaining high levels of social engagement for the physical and cognitive health of older adults.", "author" : [ { "dropping-particle" : "", "family" : "Thomas", "given" : "Patricia A.", "non-dropping-particle" : "", "parse-names" : false, "suffix" : "" } ], "container-title" : "Journal of Health and Social Behavior", "id" : "ITEM-1", "issue" : "4", "issued" : { "date-parts" : [ [ "2011" ] ] }, "page" : "430-443", "title" : "Trajectories of social engagement and limitations in late life", "type" : "article-journal", "volume" : "52" }, "uris" : [ "http://www.mendeley.com/documents/?uuid=72ddbd57-8459-45b9-9188-bac6b646aa8a" ] }, { "id" : "ITEM-2", "itemData" : { "DOI" : "10.1007/s00391-014-0669-y", "ISSN" : "0948-6704", "PMID" : "25117859", "abstract" : "BACKGROUND: Population ageing, demographic change and the financial crisis has put the financial sustainability of the German pension system at risk. In reaction to these challenges, Germany recently abandoned generous early retirement policies and moved towards policies encouraging higher employment among the elderly.\\n\\nOBJECTIVES: In this article we evaluate how these labour market and pension policies affected the retirement decisions of older workers in Germany over the last three decades. Complementing previous research on early retirement, we focus in particular on those working past the mandatory retirement age of 65 years and examine whether the composition of this group of postretirement-age workers has changed over time.\\n\\nDATA AND METHODS: We analyse pooled cross-sectional data from three rounds of the German Ageing Survey which allow us to cover the last three decades from 1980 to 2008. Estimating multinomial logit models we distinguish explanatory factors on the individual, organizational and institutional level that frame the decision to leave the labour market before the age of 65, to stop working at 65 or to work past 65.\\n\\nRESULTS: Over the last three decades, the share of German workers leaving the labour market after the mandatory retirement age of 65 has increased markedly. This trend towards working longer has changed particularly among the low educated workforce which in previous decades traditionally has exhibited a tendency to retire early. In contrast to high-skilled workers, the decision to work longer among low-educated workers is mainly driven by financial need (and is usually not in line with their desire or their ability to work for longer).\\n\\nCONCLUSION: Our findings suggest an increase in social inequality in retirement decisions as a result of the policy shift towards activation. We conclude by arguing for a more fine-grained understanding of the reasons why people work longer. Such research would provide valuable insights into how to design future labour market and pension reforms preventing a rise in social inequalities.", "author" : [ { "dropping-particle" : "", "family" : "Hof\u00e4cker", "given" : "Dirk", "non-dropping-particle" : "", "parse-names" : false, "suffix" : "" }, { "dropping-particle" : "", "family" : "Naumann", "given" : "Elias", "non-dropping-particle" : "", "parse-names" : false, "suffix" : "" } ], "container-title" : "Zeitschrift f\u00fcr Gerontologie und Geriatrie", "id" : "ITEM-2", "issue" : "5", "issued" : { "date-parts" : [ [ "2015" ] ] }, "page" : "473-479", "title" : "The emerging trend of work beyond retirement age in Germany", "type" : "article-journal", "volume" : "48" }, "uris" : [ "http://www.mendeley.com/documents/?uuid=0547dc71-32a3-4661-aab8-693057b101cb" ] } ], "mendeley" : { "formattedCitation" : "(Hof\u00e4cker and Naumann 2015; Thomas 2011)", "plainTextFormattedCitation" : "(Hof\u00e4cker and Naumann 2015; Thomas 2011)", "previouslyFormattedCitation" : "(Hof\u00e4cker and Naumann 2015; Thomas 2011)" }, "properties" : { "noteIndex" : 0 }, "schema" : "https://github.com/citation-style-language/schema/raw/master/csl-citation.json" }</w:instrText>
      </w:r>
      <w:r w:rsidRPr="00C3671E">
        <w:rPr>
          <w:lang w:eastAsia="zh-CN"/>
        </w:rPr>
        <w:fldChar w:fldCharType="separate"/>
      </w:r>
      <w:r w:rsidR="00A91559" w:rsidRPr="00C3671E">
        <w:rPr>
          <w:noProof/>
          <w:lang w:eastAsia="zh-CN"/>
        </w:rPr>
        <w:t>(Hofäcker and Naumann 2015; Thomas 2011)</w:t>
      </w:r>
      <w:r w:rsidRPr="00C3671E">
        <w:rPr>
          <w:lang w:eastAsia="zh-CN"/>
        </w:rPr>
        <w:fldChar w:fldCharType="end"/>
      </w:r>
      <w:r w:rsidRPr="00C3671E">
        <w:rPr>
          <w:lang w:eastAsia="zh-CN"/>
        </w:rPr>
        <w:t xml:space="preserve">, availability of resources and services seems impossible to substitute </w:t>
      </w:r>
      <w:r w:rsidRPr="00C3671E">
        <w:rPr>
          <w:lang w:eastAsia="zh-CN"/>
        </w:rPr>
        <w:fldChar w:fldCharType="begin" w:fldLock="1"/>
      </w:r>
      <w:r w:rsidR="001257AA" w:rsidRPr="00C3671E">
        <w:rPr>
          <w:lang w:eastAsia="zh-CN"/>
        </w:rPr>
        <w:instrText>ADDIN CSL_CITATION { "citationItems" : [ { "id" : "ITEM-1", "itemData" : { "DOI" : "10.1017/S0714980811000675", "ISBN" : "0714980811", "ISSN" : "0714-9808", "PMID" : "22373781", "abstract" : "Although some studies have confirmed positive associations between social engagement and well-being in later life, this study aimed to understand why some seniors cannot be engaged. The authors analyzed the lived experiences of 89 seniors in three rural communities in Canada, from semi-structured interviews and using the constant comparison method. Five factors make choices for social engagement in later life unequal among older adults who differ by gender, class, age, and health status. Profound engagement in care work, compulsory altruism, personal resources, objectively perceived and subjectively available engagement opportunities, and ageist barriers around paid work constrain choices for seniors who lack privilege in the context of a market economy, particularly for low-income older women. To avoid stigmatizing vulnerable older persons, societal barriers to meaningful activities must be addressed - for example, through provision of income security or by reversing inter- and intragenerational ageism in access to the labor market.", "author" : [ { "dropping-particle" : "", "family" : "Rozanova", "given" : "Julia", "non-dropping-particle" : "", "parse-names" : false, "suffix" : "" }, { "dropping-particle" : "", "family" : "Keating", "given" : "Norah", "non-dropping-particle" : "", "parse-names" : false, "suffix" : "" }, { "dropping-particle" : "", "family" : "Eales", "given" : "Jacquie", "non-dropping-particle" : "", "parse-names" : false, "suffix" : "" } ], "container-title" : "Canadian Journal on Aging / La Revue canadienne du vieillissement", "id" : "ITEM-1", "issue" : "01", "issued" : { "date-parts" : [ [ "2012" ] ] }, "note" : "Rozanova et al. 2012: Unequal Social Engagement for Older Adults: Constraints on Choice\nconcerns of social costs of ageing \u2192 ageing well perspective\ncritics emphasize the normative expectations this assumption carries \u2013 that those who are not well in later life may have themselves to blame because they haven\u2019t been sufficiently engaged (Katz, 2000 ; Laliberte-Rudman, 2006 )\nwell-being in later life is associated not with social engagement per se but with engagement in activities that an individual chooses freely and fi nds meaningful (Chapman, 2005 ; Katz, 2000 )\nJulia Rozanova et al.\naffected both by older individuals\u2019 personal character- istics and by community contexts. Researchers have noted that one important aspect in which rural com- munities may differ from urban areas is their lack of anonymity coupled with a tight-knit character (Keating, Swindle, &amp;amp; Fletcher, 2011 ). This aspect may facilitate the maintenance of social connectedness but at the same time block social engagement for some older individuals. For example, those who moved into the community as newcomers are typically viewed with some suspicion until they prove themselves in some way (Garland &amp;amp; Chakraborti, 2006 ). Other factors having an impact on social-engagement opportunities for rural older adults are the remoteness of some rural Canadian communities, a dwindling economy, and disparities of service infrastructure (Keating &amp;amp; Phillips, 2008 ).\nReview of the Literature Social Engagement of Older Adults\nSurvival through social engagement through activities that have a social component and are per- formed in relation to other people (Maier &amp;amp; Klumb, 2005 )\nsocial engagement may be affected by both structural inequalities and contextual factors\nthe lived experiences of 89 seniors in three rural communities in Canada from semi-structured interviews\nProfound engagement in care work, compulsory altruism, personal resources, objectively perceived and subjectively available engagement opportunities, and ageist barriers around paid work constrain choices especially for low-income older women\nsocietal barriers to meaningful activities must be addressed \u2013 through provision of income security or by reversing inter- and intragenerational ageism", "page" : "25-36", "title" : "Unequal Social Engagement for Older Adults: Constraints on Choice", "type" : "article-journal", "volume" : "31" }, "uris" : [ "http://www.mendeley.com/documents/?uuid=354042a3-40e3-4309-bec8-99c0941f3571" ] }, { "id" : "ITEM-2", "itemData" : { "author" : [ { "dropping-particle" : "", "family" : "Timonen", "given" : "Virpi", "non-dropping-particle" : "", "parse-names" : false, "suffix" : "" } ], "id" : "ITEM-2", "issued" : { "date-parts" : [ [ "2016" ] ] }, "publisher" : "Policy Press Shorts Research", "publisher-place" : "Bristol", "title" : "Beyond successful and active ageing: A theory of model ageing", "type" : "book" }, "uris" : [ "http://www.mendeley.com/documents/?uuid=4c41af4a-05f8-46fd-bb8a-a893aaadda0a" ] } ], "mendeley" : { "formattedCitation" : "(Rozanova et al. 2012; Timonen 2016)", "plainTextFormattedCitation" : "(Rozanova et al. 2012; Timonen 2016)", "previouslyFormattedCitation" : "(Rozanova et al. 2012; Timonen 2016)" }, "properties" : { "noteIndex" : 0 }, "schema" : "https://github.com/citation-style-language/schema/raw/master/csl-citation.json" }</w:instrText>
      </w:r>
      <w:r w:rsidRPr="00C3671E">
        <w:rPr>
          <w:lang w:eastAsia="zh-CN"/>
        </w:rPr>
        <w:fldChar w:fldCharType="separate"/>
      </w:r>
      <w:r w:rsidR="00A91559" w:rsidRPr="00C3671E">
        <w:rPr>
          <w:noProof/>
          <w:lang w:eastAsia="zh-CN"/>
        </w:rPr>
        <w:t>(Rozanova et al. 2012; Timonen 2016)</w:t>
      </w:r>
      <w:r w:rsidRPr="00C3671E">
        <w:rPr>
          <w:lang w:eastAsia="zh-CN"/>
        </w:rPr>
        <w:fldChar w:fldCharType="end"/>
      </w:r>
      <w:r w:rsidRPr="00C3671E">
        <w:rPr>
          <w:lang w:eastAsia="zh-CN"/>
        </w:rPr>
        <w:t>.</w:t>
      </w:r>
    </w:p>
    <w:p w14:paraId="7CCE24DE" w14:textId="0A69F122" w:rsidR="00C94483" w:rsidRPr="00C3671E" w:rsidRDefault="00C94483" w:rsidP="00466C1F">
      <w:pPr>
        <w:pStyle w:val="Newparagraph"/>
        <w:jc w:val="both"/>
        <w:rPr>
          <w:lang w:eastAsia="zh-CN"/>
        </w:rPr>
      </w:pPr>
      <w:r w:rsidRPr="00C3671E">
        <w:rPr>
          <w:lang w:eastAsia="zh-CN"/>
        </w:rPr>
        <w:t xml:space="preserve">Third, </w:t>
      </w:r>
      <w:r w:rsidRPr="00C3671E">
        <w:rPr>
          <w:i/>
          <w:lang w:eastAsia="zh-CN"/>
        </w:rPr>
        <w:t>the effect of roles is different for older adults with tertiary education and presumably more postmaterialist values</w:t>
      </w:r>
      <w:r w:rsidRPr="00C3671E">
        <w:rPr>
          <w:lang w:eastAsia="zh-CN"/>
        </w:rPr>
        <w:t xml:space="preserve">. This group evinces more beneficial effect of volunteering and less beneficial effect of participation in the political organization. Similarly, the effects of volunteering, caregiving within the household, and participation in sport or social club and physical activity are stronger in Southern and Eastern part of Europe. All these differences across regions and level of education except inconsistent effect of volunteering can be plausibly explained by different value orientations causing higher utility of some activities </w:t>
      </w:r>
      <w:r w:rsidRPr="00C3671E">
        <w:rPr>
          <w:lang w:eastAsia="zh-CN"/>
        </w:rPr>
        <w:fldChar w:fldCharType="begin" w:fldLock="1"/>
      </w:r>
      <w:r w:rsidR="001257AA" w:rsidRPr="00C3671E">
        <w:rPr>
          <w:lang w:eastAsia="zh-CN"/>
        </w:rPr>
        <w:instrText>ADDIN CSL_CITATION { "citationItems" : [ { "id" : "ITEM-1", "itemData" : { "author" : [ { "dropping-particle" : "", "family" : "Inglehart", "given" : "Ronald", "non-dropping-particle" : "", "parse-names" : false, "suffix" : "" } ], "id" : "ITEM-1", "issued" : { "date-parts" : [ [ "1990" ] ] }, "publisher" : "Princeton University Press", "publisher-place" : "Princeton", "title" : "Culture Shift in Advanced Industrial Society", "type" : "book" }, "uris" : [ "http://www.mendeley.com/documents/?uuid=25dc8f63-d26d-432e-8cdc-a1a2c72d612c" ] }, { "id" : "ITEM-2", "itemData" : { "DOI" : "10.1111/j.1467-9221.2005.00425.x", "ISBN" : "0162-895X", "ISSN" : "0162895X", "PMID" : "16417727", "abstract" : "Participation in voluntary associations is explained by different theories in sociology, psy- chology, and political science. Sociologists have emphasized the effects of resources such as human and social capital. Psychologists have demonstrated the role of empathy and extraversion as aspects of personality. Political scientists have considered political values and attitudes. This paper investigates the predictive value of personality characteristics, political values, and social conditions for civic engagement. Data from the Family Survey of the Dutch Population 2000 (n = 1,587) show that active citizens have more human and social capital available to them, they are more interested in politics, have more post mate- rialistic value orientations, prefer leftist or Christian political parties, are less conscien- tious persons, and show more empathic concern with other people. Relations of personality characteristics with civic engagement were partly intermediated by church attendance and the level of education and varied in complex ways with hourly wages. My results show how social, political, and psychological characteristics are jointly related to civic engagement.", "author" : [ { "dropping-particle" : "", "family" : "Bekkers", "given" : "Ren\u00e9", "non-dropping-particle" : "", "parse-names" : false, "suffix" : "" } ], "container-title" : "Political Psychology", "id" : "ITEM-2", "issue" : "3", "issued" : { "date-parts" : [ [ "2005" ] ] }, "page" : "439-454", "title" : "Participation in voluntary associations: Relations with resources, personality, and political values", "type" : "article-journal", "volume" : "26" }, "uris" : [ "http://www.mendeley.com/documents/?uuid=2c18a2c6-508d-4c03-8438-2c1c89b0a10c" ] }, { "id" : "ITEM-3", "itemData" : { "DOI" : "10.1080/01490400802165032", "ISSN" : "01490400", "abstract" : "This article reports exploratory research about tendencies toward postmaterialism in university students. This paper used the theoretical framework proposed by Inglehart regarding three categories of leisure: postmaterialist, materialist and common. Students from a Spanish university (N = 1036) completed questionnaires that evaluated their materialist-postmaterialist values, how often they practiced the activities included in each category of leisure and the motivational factors involved in them. The results revealed that university students showed a tendency toward postmaterialism. Further, relationships were found between materialist-postmaterialist values and categories of leisure. This study results suggested that the tendency toward postmaterialist values may be a factor in structuring the leisure patterns of young Spanish university students.", "author" : [ { "dropping-particle" : "", "family" : "Aguila", "given" : "Cornelio", "non-dropping-particle" : "", "parse-names" : false, "suffix" : "" }, { "dropping-particle" : "", "family" : "Sicilia-Camacho", "given" : "Alvaro", "non-dropping-particle" : "", "parse-names" : false, "suffix" : "" }, { "dropping-particle" : "", "family" : "Rojas Tejada", "given" : "Antonio", "non-dropping-particle" : "", "parse-names" : false, "suffix" : "" }, { "dropping-particle" : "", "family" : "Delgado-Noguera", "given" : "Miguel", "non-dropping-particle" : "", "parse-names" : false, "suffix" : "" }, { "dropping-particle" : "", "family" : "Gard", "given" : "Michael", "non-dropping-particle" : "", "parse-names" : false, "suffix" : "" } ], "container-title" : "Leisure Sciences", "id" : "ITEM-3", "issue" : "4", "issued" : { "date-parts" : [ [ "2008" ] ] }, "page" : "275-292", "title" : "Postmodern values and leisure in young Spanish university students: An exploratory study", "type" : "article-journal", "volume" : "30" }, "uris" : [ "http://www.mendeley.com/documents/?uuid=8e6b157c-fce5-4b2f-b7f8-71c3b5533f3a" ] } ], "mendeley" : { "formattedCitation" : "(Aguila et al. 2008; Bekkers 2005; Inglehart 1990)", "plainTextFormattedCitation" : "(Aguila et al. 2008; Bekkers 2005; Inglehart 1990)", "previouslyFormattedCitation" : "(Aguila et al. 2008; Bekkers 2005; Inglehart 1990)" }, "properties" : { "noteIndex" : 0 }, "schema" : "https://github.com/citation-style-language/schema/raw/master/csl-citation.json" }</w:instrText>
      </w:r>
      <w:r w:rsidRPr="00C3671E">
        <w:rPr>
          <w:lang w:eastAsia="zh-CN"/>
        </w:rPr>
        <w:fldChar w:fldCharType="separate"/>
      </w:r>
      <w:r w:rsidR="00A91559" w:rsidRPr="00C3671E">
        <w:rPr>
          <w:noProof/>
          <w:lang w:eastAsia="zh-CN"/>
        </w:rPr>
        <w:t>(Aguila et al. 2008; Bekkers 2005; Inglehart 1990)</w:t>
      </w:r>
      <w:r w:rsidRPr="00C3671E">
        <w:rPr>
          <w:lang w:eastAsia="zh-CN"/>
        </w:rPr>
        <w:fldChar w:fldCharType="end"/>
      </w:r>
      <w:r w:rsidRPr="00C3671E">
        <w:rPr>
          <w:lang w:eastAsia="zh-CN"/>
        </w:rPr>
        <w:t xml:space="preserve">. Hence, this paper could argue that the set of supported activities is defined by experts with a different worldview </w:t>
      </w:r>
      <w:r w:rsidRPr="00C3671E">
        <w:rPr>
          <w:lang w:eastAsia="zh-CN"/>
        </w:rPr>
        <w:fldChar w:fldCharType="begin" w:fldLock="1"/>
      </w:r>
      <w:r w:rsidR="001257AA" w:rsidRPr="00C3671E">
        <w:rPr>
          <w:lang w:eastAsia="zh-CN"/>
        </w:rPr>
        <w:instrText>ADDIN CSL_CITATION { "citationItems" : [ { "id" : "ITEM-1", "itemData" : { "author" : [ { "dropping-particle" : "", "family" : "Bar-Tal", "given" : "Daniel", "non-dropping-particle" : "", "parse-names" : false, "suffix" : "" } ], "id" : "ITEM-1", "issued" : { "date-parts" : [ [ "2000" ] ] }, "publisher" : "SAGE Publications", "publisher-place" : "Thousand Oaks", "title" : "Shared Beliefs in a Society: Social Psychological Analysis", "type" : "book" }, "uris" : [ "http://www.mendeley.com/documents/?uuid=6c12565a-8376-4369-a90d-d4dd5f9a7f86" ] }, { "id" : "ITEM-2", "itemData" : { "author" : [ { "dropping-particle" : "", "family" : "Mannheim", "given" : "Karl", "non-dropping-particle" : "", "parse-names" : false, "suffix" : "" } ], "id" : "ITEM-2", "issued" : { "date-parts" : [ [ "1936" ] ] }, "publisher" : "Harvest book", "publisher-place" : "New York", "title" : "Ideology and utopia: an introduction to the sociology of knowledge", "type" : "book" }, "uris" : [ "http://www.mendeley.com/documents/?uuid=fe494f75-acc4-461b-a581-ea375a9ddd21" ] }, { "id" : "ITEM-3", "itemData" : { "author" : [ { "dropping-particle" : "", "family" : "Inglehart", "given" : "Ronald", "non-dropping-particle" : "", "parse-names" : false, "suffix" : "" } ], "id" : "ITEM-3", "issued" : { "date-parts" : [ [ "1990" ] ] }, "publisher" : "Princeton University Press", "publisher-place" : "Princeton", "title" : "Culture Shift in Advanced Industrial Society", "type" : "book" }, "uris" : [ "http://www.mendeley.com/documents/?uuid=25dc8f63-d26d-432e-8cdc-a1a2c72d612c" ] } ], "mendeley" : { "formattedCitation" : "(Bar-Tal 2000; Inglehart 1990; Mannheim 1936)", "plainTextFormattedCitation" : "(Bar-Tal 2000; Inglehart 1990; Mannheim 1936)", "previouslyFormattedCitation" : "(Bar-Tal 2000; Inglehart 1990; Mannheim 1936)" }, "properties" : { "noteIndex" : 0 }, "schema" : "https://github.com/citation-style-language/schema/raw/master/csl-citation.json" }</w:instrText>
      </w:r>
      <w:r w:rsidRPr="00C3671E">
        <w:rPr>
          <w:lang w:eastAsia="zh-CN"/>
        </w:rPr>
        <w:fldChar w:fldCharType="separate"/>
      </w:r>
      <w:r w:rsidR="00A91559" w:rsidRPr="00C3671E">
        <w:rPr>
          <w:noProof/>
          <w:lang w:eastAsia="zh-CN"/>
        </w:rPr>
        <w:t>(Bar-Tal 2000; Inglehart 1990; Mannheim 1936)</w:t>
      </w:r>
      <w:r w:rsidRPr="00C3671E">
        <w:rPr>
          <w:lang w:eastAsia="zh-CN"/>
        </w:rPr>
        <w:fldChar w:fldCharType="end"/>
      </w:r>
      <w:r w:rsidRPr="00C3671E">
        <w:rPr>
          <w:lang w:eastAsia="zh-CN"/>
        </w:rPr>
        <w:t xml:space="preserve">, and thus only some activities are meaningful and beneficial for older adults with a certain background. However, much more harmful effect of caregiving within household in South/East region can be better explained by lower availability of formal care (even though </w:t>
      </w:r>
      <w:r w:rsidRPr="00C3671E">
        <w:rPr>
          <w:lang w:eastAsia="zh-CN"/>
        </w:rPr>
        <w:fldChar w:fldCharType="begin" w:fldLock="1"/>
      </w:r>
      <w:r w:rsidR="00AA6335" w:rsidRPr="00C3671E">
        <w:rPr>
          <w:lang w:eastAsia="zh-CN"/>
        </w:rPr>
        <w:instrText>ADDIN CSL_CITATION { "citationItems" : [ { "id" : "ITEM-1", "itemData" : { "author" : [ { "dropping-particle" : "", "family" : "Sobotka", "given" : "Tom\u00e1\u0161", "non-dropping-particle" : "", "parse-names" : false, "suffix" : "" } ], "chapter-number" : "2", "container-title" : "Demographic Challenges for the 21st Century: A State of the Art in Demography", "editor" : [ { "dropping-particle" : "", "family" : "Surkyn", "given" : "Johan", "non-dropping-particle" : "", "parse-names" : false, "suffix" : "" }, { "dropping-particle" : "", "family" : "Deboosere", "given" : "Patrick", "non-dropping-particle" : "", "parse-names" : false, "suffix" : "" }, { "dropping-particle" : "", "family" : "Bavel", "given" : "Jan", "non-dropping-particle" : "Van", "parse-names" : false, "suffix" : "" } ], "id" : "ITEM-1", "issued" : { "date-parts" : [ [ "2008" ] ] }, "page" : "27-90", "publisher" : "VUBPRESS", "publisher-place" : "Brussels", "title" : "Does Persistent Low Fertility Threaten the Future of European Populations?", "type" : "chapter" }, "uris" : [ "http://www.mendeley.com/documents/?uuid=7c401ab6-8cb9-4643-99c1-3a0eea4e238b" ] } ], "mendeley" : { "formattedCitation" : "(Sobotka 2008a)", "manualFormatting" : "Sobotka (2008", "plainTextFormattedCitation" : "(Sobotka 2008a)", "previouslyFormattedCitation" : "(Sobotka 2008a)" }, "properties" : { "noteIndex" : 0 }, "schema" : "https://github.com/citation-style-language/schema/raw/master/csl-citation.json" }</w:instrText>
      </w:r>
      <w:r w:rsidRPr="00C3671E">
        <w:rPr>
          <w:lang w:eastAsia="zh-CN"/>
        </w:rPr>
        <w:fldChar w:fldCharType="separate"/>
      </w:r>
      <w:r w:rsidRPr="00C3671E">
        <w:rPr>
          <w:noProof/>
          <w:lang w:eastAsia="zh-CN"/>
        </w:rPr>
        <w:t>Sobotka (2008</w:t>
      </w:r>
      <w:r w:rsidRPr="00C3671E">
        <w:rPr>
          <w:lang w:eastAsia="zh-CN"/>
        </w:rPr>
        <w:fldChar w:fldCharType="end"/>
      </w:r>
      <w:r w:rsidRPr="00C3671E">
        <w:rPr>
          <w:lang w:eastAsia="zh-CN"/>
        </w:rPr>
        <w:t xml:space="preserve">) would argue that services are also affected by prevailing values) </w:t>
      </w:r>
      <w:r w:rsidRPr="00C3671E">
        <w:rPr>
          <w:lang w:eastAsia="zh-CN"/>
        </w:rPr>
        <w:lastRenderedPageBreak/>
        <w:t>and some other results can be interpreted in more ways as well, as the effects are rather weak and not very consistent. Therefore, the main conclusion is that effects of activities are weak and valid only for older adults of certain characteristics. Any strong conclusions about the explanatory power would be preliminary until they are tested through more direct indicators.</w:t>
      </w:r>
    </w:p>
    <w:p w14:paraId="0B69461F" w14:textId="77777777" w:rsidR="00C94483" w:rsidRPr="00C3671E" w:rsidRDefault="00C94483" w:rsidP="00466C1F">
      <w:pPr>
        <w:pStyle w:val="Newparagraph"/>
        <w:jc w:val="both"/>
        <w:rPr>
          <w:lang w:eastAsia="zh-CN"/>
        </w:rPr>
      </w:pPr>
      <w:r w:rsidRPr="00C3671E">
        <w:rPr>
          <w:lang w:eastAsia="zh-CN"/>
        </w:rPr>
        <w:t xml:space="preserve">Most limitations of this study stem from the nature of data, </w:t>
      </w:r>
      <w:r w:rsidRPr="00C3671E">
        <w:t>which</w:t>
      </w:r>
      <w:r w:rsidRPr="00C3671E">
        <w:rPr>
          <w:lang w:eastAsia="zh-CN"/>
        </w:rPr>
        <w:t xml:space="preserve"> was not collected for purposes of the study. First, (post-)materialist value orientation was not measured, but only indicated by its covariates. This fact means that the theory of value change can be used only as a loose interpretative framework, although it could bring stronger explanation with the actual measurement of value orientation. Second, most of the activities supported by active ageing approach were measured by one closed item. In this form, it is hard to determine the prevailing meaning of the items for respondents in the situation, where each item could possibly fulfil both materialist and postmaterialist needs (for instance educational course may serve as a way how to reach higher income and job can be a source of self-expression). This dual nature of each activity in terms of values could explain the unclear pattern in the data. Third, a mild within-person variability of some explanatory variables may contribute to some unstable fixed effects. Finally, the paper uses data only from 12 European countries, though 20 of them participated in at least one utilized waves.</w:t>
      </w:r>
    </w:p>
    <w:p w14:paraId="60B3D546" w14:textId="77777777" w:rsidR="00C94483" w:rsidRPr="00C3671E" w:rsidRDefault="00C94483" w:rsidP="00466C1F">
      <w:pPr>
        <w:pStyle w:val="Newparagraph"/>
        <w:jc w:val="both"/>
        <w:rPr>
          <w:lang w:eastAsia="zh-CN"/>
        </w:rPr>
      </w:pPr>
      <w:r w:rsidRPr="00C3671E">
        <w:rPr>
          <w:lang w:eastAsia="zh-CN"/>
        </w:rPr>
        <w:t xml:space="preserve">Despite the limitations, this study presents methodological novelties and empirical findings, which can inspire future research. The main arguments </w:t>
      </w:r>
      <w:r w:rsidRPr="00C3671E">
        <w:t>should</w:t>
      </w:r>
      <w:r w:rsidRPr="00C3671E">
        <w:rPr>
          <w:lang w:eastAsia="zh-CN"/>
        </w:rPr>
        <w:t xml:space="preserve"> be further tested on both quantitative and qualitative data collected specifically for these purposes. The thesis that some roles are beneficial just for some groups and populations of older adults should be elaborated more in order to alter active ageing policies into more context-sensitive and less normative approach.</w:t>
      </w:r>
    </w:p>
    <w:p w14:paraId="7DD8B71B" w14:textId="7DF57B65" w:rsidR="00942EFE" w:rsidRPr="00C3671E" w:rsidRDefault="00942EFE">
      <w:pPr>
        <w:spacing w:after="160" w:line="259" w:lineRule="auto"/>
        <w:rPr>
          <w:lang w:val="en-GB"/>
        </w:rPr>
      </w:pPr>
      <w:r w:rsidRPr="00C3671E">
        <w:rPr>
          <w:lang w:val="en-GB"/>
        </w:rPr>
        <w:br w:type="page"/>
      </w:r>
    </w:p>
    <w:p w14:paraId="791977DC" w14:textId="77777777" w:rsidR="00676326" w:rsidRPr="00C3671E" w:rsidRDefault="00676326" w:rsidP="00676326">
      <w:pPr>
        <w:pStyle w:val="Nadpis1"/>
        <w:spacing w:line="480" w:lineRule="auto"/>
        <w:rPr>
          <w:lang w:val="en-GB"/>
        </w:rPr>
      </w:pPr>
      <w:bookmarkStart w:id="106" w:name="_Toc512687794"/>
      <w:r w:rsidRPr="00C3671E">
        <w:rPr>
          <w:sz w:val="36"/>
          <w:szCs w:val="36"/>
          <w:lang w:val="en-GB" w:eastAsia="zh-CN"/>
        </w:rPr>
        <w:lastRenderedPageBreak/>
        <w:t>Chapter 7: Conclusions and discussion</w:t>
      </w:r>
      <w:bookmarkEnd w:id="106"/>
    </w:p>
    <w:p w14:paraId="61182E7A" w14:textId="64B4A483" w:rsidR="00676326" w:rsidRPr="00C3671E" w:rsidRDefault="00676326" w:rsidP="00676326">
      <w:pPr>
        <w:suppressAutoHyphens/>
        <w:spacing w:line="480" w:lineRule="auto"/>
        <w:jc w:val="both"/>
        <w:rPr>
          <w:lang w:val="en-GB"/>
        </w:rPr>
      </w:pPr>
      <w:r w:rsidRPr="00C3671E">
        <w:rPr>
          <w:lang w:val="en-GB"/>
        </w:rPr>
        <w:t xml:space="preserve">This dissertation elaborates </w:t>
      </w:r>
      <w:r w:rsidRPr="00C3671E">
        <w:rPr>
          <w:noProof/>
          <w:lang w:val="en-GB" w:eastAsia="zh-CN"/>
        </w:rPr>
        <w:t>Role</w:t>
      </w:r>
      <w:r w:rsidRPr="00C3671E">
        <w:rPr>
          <w:i/>
          <w:lang w:val="en-GB"/>
        </w:rPr>
        <w:t xml:space="preserve"> dynamics of older adults and their consequences</w:t>
      </w:r>
      <w:r w:rsidRPr="00C3671E">
        <w:rPr>
          <w:lang w:val="en-GB"/>
        </w:rPr>
        <w:t xml:space="preserve"> in the European context. More specifically, the effect of roles supported by the active ageing approach and their changes on subjective quality of life is tested. The study does not aim to propose a definitive statement that the roles are either beneficial or detrimental in later life. In contrary, this work applies contextual approach </w:t>
      </w:r>
      <w:r w:rsidRPr="00C3671E">
        <w:rPr>
          <w:lang w:val="en-GB"/>
        </w:rPr>
        <w:fldChar w:fldCharType="begin" w:fldLock="1"/>
      </w:r>
      <w:r w:rsidR="001257AA" w:rsidRPr="00C3671E">
        <w:rPr>
          <w:lang w:val="en-GB"/>
        </w:rPr>
        <w:instrText>ADDIN CSL_CITATION { "citationItems" : [ { "id" : "ITEM-1", "itemData" : { "DOI" : "10.1177/0003122412444721", "author" : [ { "dropping-particle" : "", "family" : "Marks", "given" : "Stephen R", "non-dropping-particle" : "", "parse-names" : false, "suffix" : "" } ], "container-title" : "American Sociological Review", "id" : "ITEM-1", "issue" : "6", "issued" : { "date-parts" : [ [ "1977" ] ] }, "note" : "Marks 1977: Multiple Roles and Role Strain: Some Notes on Human Energy, Time and Commitment\nFreud: human enegry is scarce, one can either built civilization or make love\nnatural &amp;quot;scarcity&amp;quot; approach to human energy, stressing the overdemanding nature of multiple roles\nscarcity approach: general theory, social criticism\nscarcity approach+multiple roles - Goode, Slater, Coser\nX In contrast, a seldom used &amp;quot;expansion&amp;quot; approach provides an energy-creation theory of multiple roles rather than a &amp;quot;spending&amp;quot; or &amp;quot;drain&amp;quot; theory\nthe expansion approach to human energy - Durkheim\nhuman physiology implies that human activity produces as well as consumes energy\nA theory of scarcity excuses explains how strain or overload is generally rooted in one such system", "page" : "921-936", "title" : "Multiple Roles and Role Strain: Some Notes on Human Energy, Time and Commitment", "type" : "article-journal", "volume" : "42" }, "uris" : [ "http://www.mendeley.com/documents/?uuid=d18e877c-f5c0-4df1-9f1d-009444ce26e3" ] }, { "id" : "ITEM-2", "itemData" : { "author" : [ { "dropping-particle" : "", "family" : "Bronfenbrenner", "given" : "Urie", "non-dropping-particle" : "", "parse-names" : false, "suffix" : "" } ], "container-title" : "Developmental Psychology", "id" : "ITEM-2", "issue" : "6", "issued" : { "date-parts" : [ [ "1986" ] ] }, "page" : "723-742", "title" : "Ecology of the family as a context for human development: research perspectives", "type" : "article-journal", "volume" : "22" }, "uris" : [ "http://www.mendeley.com/documents/?uuid=914637a8-15ad-4ca9-89fd-0e132df3bbfe" ] } ], "mendeley" : { "formattedCitation" : "(Bronfenbrenner 1986; Marks 1977)", "plainTextFormattedCitation" : "(Bronfenbrenner 1986; Marks 1977)", "previouslyFormattedCitation" : "(Bronfenbrenner 1986; Marks 1977)" }, "properties" : { "noteIndex" : 0 }, "schema" : "https://github.com/citation-style-language/schema/raw/master/csl-citation.json" }</w:instrText>
      </w:r>
      <w:r w:rsidRPr="00C3671E">
        <w:rPr>
          <w:lang w:val="en-GB"/>
        </w:rPr>
        <w:fldChar w:fldCharType="separate"/>
      </w:r>
      <w:r w:rsidR="00A91559" w:rsidRPr="00C3671E">
        <w:rPr>
          <w:noProof/>
          <w:lang w:val="en-GB"/>
        </w:rPr>
        <w:t>(Bronfenbrenner 1986; Marks 1977)</w:t>
      </w:r>
      <w:r w:rsidRPr="00C3671E">
        <w:rPr>
          <w:lang w:val="en-GB"/>
        </w:rPr>
        <w:fldChar w:fldCharType="end"/>
      </w:r>
      <w:r w:rsidRPr="00C3671E">
        <w:rPr>
          <w:lang w:val="en-GB"/>
        </w:rPr>
        <w:t xml:space="preserve"> to this issue and examine which individual and contextual factors shape the ultimate effect of each important activity in later life. This goal is pursued by a) an extensive overview of existing theories and research, b) the application of suitable sociological theories on this topic, and c) original empirical findings produced by secondary data analysis. The analysis addresses the effect of each major role by the different quantitative procedure performed on data from the project Survey of Health, Ageing and Retirement in Europe (SHARE). Presented conclusions are thus based mostly on these analyses, though they reflect their relation to previous knowledge.</w:t>
      </w:r>
    </w:p>
    <w:p w14:paraId="77BBEC63" w14:textId="4A1321D3" w:rsidR="00676326" w:rsidRPr="00C3671E" w:rsidRDefault="00676326" w:rsidP="00676326">
      <w:pPr>
        <w:pStyle w:val="Newparagraph"/>
        <w:jc w:val="both"/>
        <w:rPr>
          <w:lang w:eastAsia="zh-CN"/>
        </w:rPr>
      </w:pPr>
      <w:r w:rsidRPr="00C3671E">
        <w:rPr>
          <w:lang w:eastAsia="zh-CN"/>
        </w:rPr>
        <w:t xml:space="preserve">Active ageing as a dominant reaction on population ageing in Europe </w:t>
      </w:r>
      <w:r w:rsidRPr="00C3671E">
        <w:rPr>
          <w:lang w:eastAsia="zh-CN"/>
        </w:rPr>
        <w:fldChar w:fldCharType="begin" w:fldLock="1"/>
      </w:r>
      <w:r w:rsidR="001257AA" w:rsidRPr="00C3671E">
        <w:rPr>
          <w:lang w:eastAsia="zh-CN"/>
        </w:rPr>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"id" : "ITEM-2", "itemData" : { "DOI" : "10.1111/j.1468-2397.2012.00871.x", "ISBN" : "1468-2397", "ISSN" : "13696866", "abstract" : "The ageing of European countries has widespread implications for current and future social and economic policies across the region.The major policy response to demographic ageing that has emerged over the past 10 years is called \u2018active ageing\u2019, yet there is little clarity in practice about what it means for individuals and society beyond a crude economic reduction in terms of working longer.The main purposes of this article are to explain why this strategy has emerged and its impor- tance. Despite a great deal of positive political rhetoric, the response at all levels of policy making has been rather limited. An active social and public policy is required to mainstream active ageing as the leading paradigm for ageing policy across the European Union (EU). The designation of 2012 as the EuropeanYear of Active Ageing offers a potential focus for renewed policy action in the EU and is discussed in the context of our conclusions", "author" : [ { "dropping-particle" : "", "family" : "Walker", "given" : "Alan", "non-dropping-particle" : "", "parse-names" : false, "suffix" : "" }, { "dropping-particle" : "", "family" : "Maltby", "given" : "Tony", "non-dropping-particle" : "", "parse-names" : false, "suffix" : "" } ], "container-title" : "International Journal of Social Welfare", "id" : "ITEM-2", "issue" : "SUPPL.1", "issued" : { "date-parts" : [ [ "2012" ] ] }, "page" : "117-130", "title" : "Active ageing: A strategic policy solution to demographic ageing in the European Union", "type" : "article-journal", "volume" : "21" }, "uris" : [ "http://www.mendeley.com/documents/?uuid=2008f46f-ead4-4add-94cf-578cdbb7c3dc" ] } ], "mendeley" : { "formattedCitation" : "(Timonen 2016; Walker and Maltby 2012)", "plainTextFormattedCitation" : "(Timonen 2016; Walker and Maltby 2012)", "previouslyFormattedCitation" : "(Timonen 2016; Walker and Maltby 2012)" }, "properties" : { "noteIndex" : 0 }, "schema" : "https://github.com/citation-style-language/schema/raw/master/csl-citation.json" }</w:instrText>
      </w:r>
      <w:r w:rsidRPr="00C3671E">
        <w:rPr>
          <w:lang w:eastAsia="zh-CN"/>
        </w:rPr>
        <w:fldChar w:fldCharType="separate"/>
      </w:r>
      <w:r w:rsidR="00A91559" w:rsidRPr="00C3671E">
        <w:rPr>
          <w:noProof/>
          <w:lang w:eastAsia="zh-CN"/>
        </w:rPr>
        <w:t>(Timonen 2016; Walker and Maltby 2012)</w:t>
      </w:r>
      <w:r w:rsidRPr="00C3671E">
        <w:rPr>
          <w:lang w:eastAsia="zh-CN"/>
        </w:rPr>
        <w:fldChar w:fldCharType="end"/>
      </w:r>
      <w:r w:rsidRPr="00C3671E">
        <w:rPr>
          <w:lang w:eastAsia="zh-CN"/>
        </w:rPr>
        <w:t xml:space="preserve"> supports several groups of activities in later life. All the promoted activities, which are supposedly beneficial for health and subjective quality of life of older adults, include prolonged employment, informal caregiving, social participation, and physical activities among others </w:t>
      </w:r>
      <w:r w:rsidRPr="00C3671E">
        <w:rPr>
          <w:lang w:eastAsia="zh-CN"/>
        </w:rPr>
        <w:fldChar w:fldCharType="begin" w:fldLock="1"/>
      </w:r>
      <w:r w:rsidR="001257AA" w:rsidRPr="00C3671E">
        <w:rPr>
          <w:lang w:eastAsia="zh-CN"/>
        </w:rPr>
        <w:instrText>ADDIN CSL_CITATION { "citationItems" : [ { "id" : "ITEM-1", "itemData" : { "ISBN" : "9789287152404", "abstract" : "Foreword\\n\\nThe Council of Europe has a long tradition of producing population studies, and the work of the European Population Committee contributes to the understanding of the relationship between social policy and demographic issues in Europe. The findings of this work are published in the series Population studies, where topics covered include migration flows, national minorities, demographic\\nchanges and the labour market, the ageing of European populations and the demographic consequences of economic transition. These publications provide essential background information for implementing the Council of Europe\u2019s strategy for social cohesion: an integrated policy approach aimed at combating poverty and social exclusion through promoting access to social rights in areas\\nsuch as employment and training, health, social protection, housing, education and social services.\\n\\nThis volume takes as its starting point the changing age structure in European countries. This is characterised by the increase in the number of elderly persons and the decrease in the young and working populations. It reviews the demographic differences between European countries. The authors note that improved living conditions and effective health and social policies mean that the majority of younger elderly Europeans reach the third age in relatively good health and under conditions of some income security. They point out\\nthat whilst the effective age at retirement has been declining, it is only a minority of elderly people who use their free time in an active manner.\\n\\nThe authors examine the different public policy approaches and individual strategies developed in response to these societal changes and they make wide-ranging policy proposals for the development of active ageing strategies which address issues of employment, health, leisure and social cohesion.", "author" : [ { "dropping-particle" : "", "family" : "Avramov", "given" : "Dragana", "non-dropping-particle" : "", "parse-names" : false, "suffix" : "" }, { "dropping-particle" : "", "family" : "Maskova", "given" : "Miroslava", "non-dropping-particle" : "", "parse-names" : false, "suffix" : "" } ], "container-title" : "Population studies", "id" : "ITEM-1", "issue" : "41", "issued" : { "date-parts" : [ [ "2003" ] ] }, "number-of-pages" : "1-152", "publisher" : "Council of Europe Publishing", "publisher-place" : "Strasbourg", "title" : "Active ageing in Europe", "type" : "book", "volume" : "1" }, "uris" : [ "http://www.mendeley.com/documents/?uuid=7db55846-516c-430d-834c-164bd53456b9" ] }, { "id" : "ITEM-2", "itemData" : { "DOI" : "10.4017/gt.2011.10.01.014.00", "ISBN" : "9789279215070", "ISSN" : "1569-111X", "abstract" : "In response to the demographic challenge which all EU Member States are facing, the European Union has designated 2012 as the European Year for Active Ageing and Solidarity between Generations. Active ageing is defined by the World Health Organisation as the process of optimising opportunities for health, participation and security in order to enhance quality of life as people age. Eurostat is marking the European Year 2012 by presenting in this book statistics on topics related to Active Ageing and Solidarity between Generations, such as demography, healthcare, pensions, volunteering and adult learning. Tis publication has been produced in collaboration with the Directorate-General for Employment, Social Affairs and Inclusion and Eurofound, the European Foundation for the Improvement of Living and Working Conditions.", "author" : [ { "dropping-particle" : "", "family" : "Eurostat", "given" : "", "non-dropping-particle" : "", "parse-names" : false, "suffix" : "" } ], "id" : "ITEM-2", "issued" : { "date-parts" : [ [ "2012" ] ] }, "number-of-pages" : "147", "title" : "Active ageing and solidarity between generations", "type" : "book" }, "uris" : [ "http://www.mendeley.com/documents/?uuid=1dd08e23-fc88-436d-8418-971846dbc156" ] }, { "id" : "ITEM-3", "itemData" : { "author" : [ { "dropping-particle" : "", "family" : "EU Council", "given" : "", "non-dropping-particle" : "", "parse-names" : false, "suffix" : "" } ], "id" : "ITEM-3", "issued" : { "date-parts" : [ [ "2012" ] ] }, "publisher" : "EU Council", "publisher-place" : "Brussels", "title" : "Council Declaration on the European Year for Active Ageing and Solidarity between Generations (2012): The Way Forward", "type" : "book" }, "uris" : [ "http://www.mendeley.com/documents/?uuid=bc232528-fad4-4b15-bede-b113103dbe49" ] }, { "id" : "ITEM-4", "itemData" : { "DOI" : "10.1007/s12062-017-9174-6", "ISSN" : "1874-7884", "abstract" : "Why Active Ageing Matters\\r\\nBy the end of the first half of the twentieth century most European states had introduced public pension schemes of one sort or another. In doing so they were affirming the role of the state in providing individuals with a form of support that all but a few would struggle to provide for themselves. The objectives of these schemes were generally quite limited: to reduce the risk of poverty in old age by facilitating savings during working life. The rationale was simple: to provide access to financial support - a regular and reliable income \u2013 for a time of life when the ability to work was increasingly impaired by loss of health or functional ability. In the second half of the century, after the second world war, increasing affluence combined with a more demanding view of the responsibilities of government to improve the generosity of pensions and to expand welfare systems in ways that conferred other benefits on their older populations besides a basic pension income, including the provision of social care (e.g. care homes for older people who had no family and were unable to look after themselves in their own homes). Policy was still broadly conceived as a collective response to age-related losses that undermined independence.", "author" : [ { "dropping-particle" : "", "family" : "Zaidi", "given" : "Asghar", "non-dropping-particle" : "", "parse-names" : false, "suffix" : "" }, { "dropping-particle" : "", "family" : "Howse", "given" : "Kenneth", "non-dropping-particle" : "", "parse-names" : false, "suffix" : "" } ], "container-title" : "Journal of Population Ageing", "id" : "ITEM-4", "issue" : "1", "issued" : { "date-parts" : [ [ "2017" ] ] }, "page" : "1-10", "publisher" : "Journal of Population Ageing", "title" : "The Policy Discourse of Active Ageing: Some Reflections", "type" : "article-journal", "volume" : "10" }, "uris" : [ "http://www.mendeley.com/documents/?uuid=badd02a6-0ba4-4766-b6a7-a04a46414a57" ] }, { "id" : "ITEM-5", "itemData" : { "DOI" : "10.1007/s10433-017-0413-8", "ISBN" : "1043301704", "ISSN" : "16139380", "abstract" : "Several debates have emerged across the literature about the conceptualisation of active ageing. The aim of this study is to develop a model of the construct that is focused on the individual, including different elements of people\u2019s lives that have the potential to be modified by intervention programs. Moreover, the paper examines the contributions of active ageing to life satisfaction, as well as the possible predictive role of coping styles on active ageing. For this purpose, a representative sample of 404 Galician (Spain) community-dwelling older adults (aged \u226560 years) were interviewed using a structured survey. The results demonstrate that the proposed model composed of two broad categories is valid. The model comprises status variables (related to physical, psychological, and social health) as well as different types of activities, called processual variables. This model is tested using partial least squares (PLS) regression. The findings show that active ageing is a fourth-order, formative construct. In addition, PLS analyses indicate that active ageing has a moderate and positive path on life satisfaction and that coping styles may predict active ageing. The discussion highlights the potential of active ageing as a relevant concept for people\u2019s lives, drawing out policy implications and suggestions for further research.", "author" : [ { "dropping-particle" : "", "family" : "Marsillas", "given" : "Sara", "non-dropping-particle" : "", "parse-names" : false, "suffix" : "" }, { "dropping-particle" : "", "family" : "Donder", "given" : "Liesbeth", "non-dropping-particle" : "De", "parse-names" : false, "suffix" : "" }, { "dropping-particle" : "", "family" : "Kardol", "given" : "Tinie", "non-dropping-particle" : "", "parse-names" : false, "suffix" : "" }, { "dropping-particle" : "", "family" : "Regenmortel", "given" : "Sofie", "non-dropping-particle" : "van", "parse-names" : false, "suffix" : "" }, { "dropping-particle" : "", "family" : "Dury", "given" : "Sarah", "non-dropping-particle" : "", "parse-names" : false, "suffix" : "" }, { "dropping-particle" : "", "family" : "Brosens", "given" : "Dorien", "non-dropping-particle" : "", "parse-names" : false, "suffix" : "" }, { "dropping-particle" : "", "family" : "Smetcoren", "given" : "An Sofie", "non-dropping-particle" : "", "parse-names" : false, "suffix" : "" }, { "dropping-particle" : "", "family" : "Bra\u00f1a", "given" : "Teresa", "non-dropping-particle" : "", "parse-names" : false, "suffix" : "" }, { "dropping-particle" : "", "family" : "Varela", "given" : "Jes\u00fas", "non-dropping-particle" : "", "parse-names" : false, "suffix" : "" } ], "container-title" : "European Journal of Ageing", "id" : "ITEM-5", "issue" : "3", "issued" : { "date-parts" : [ [ "2017" ] ] }, "page" : "295-310", "title" : "Does active ageing contribute to life satisfaction for older people? Testing a new model of active ageing", "type" : "article-journal", "volume" : "14" }, "uris" : [ "http://www.mendeley.com/documents/?uuid=f4ca4b1e-010f-49fa-9c7f-5b6188337ddb" ] } ], "mendeley" : { "formattedCitation" : "(Avramov and Maskova 2003; EU Council 2012; Eurostat 2012; Marsillas et al. 2017; Zaidi and Howse 2017)", "plainTextFormattedCitation" : "(Avramov and Maskova 2003; EU Council 2012; Eurostat 2012; Marsillas et al. 2017; Zaidi and Howse 2017)", "previouslyFormattedCitation" : "(Avramov and Maskova 2003; EU Council 2012; Eurostat 2012; Marsillas et al. 2017; Zaidi and Howse 2017)" }, "properties" : { "noteIndex" : 0 }, "schema" : "https://github.com/citation-style-language/schema/raw/master/csl-citation.json" }</w:instrText>
      </w:r>
      <w:r w:rsidRPr="00C3671E">
        <w:rPr>
          <w:lang w:eastAsia="zh-CN"/>
        </w:rPr>
        <w:fldChar w:fldCharType="separate"/>
      </w:r>
      <w:r w:rsidR="00A91559" w:rsidRPr="00C3671E">
        <w:rPr>
          <w:noProof/>
          <w:lang w:eastAsia="zh-CN"/>
        </w:rPr>
        <w:t>(Avramov and Maskova 2003; EU Council 2012; Eurostat 2012; Marsillas et al. 2017; Zaidi and Howse 2017)</w:t>
      </w:r>
      <w:r w:rsidRPr="00C3671E">
        <w:rPr>
          <w:lang w:eastAsia="zh-CN"/>
        </w:rPr>
        <w:fldChar w:fldCharType="end"/>
      </w:r>
      <w:r w:rsidRPr="00C3671E">
        <w:rPr>
          <w:lang w:eastAsia="zh-CN"/>
        </w:rPr>
        <w:t>. Further, the beneficial effect of additional roles is expected to be valid irrespective of individual and contextual characteristics. This dissertation relativizes this expectation and shows through different analytical approaches to SHARE data how each type of activities generates different outcomes under different conditions.</w:t>
      </w:r>
    </w:p>
    <w:p w14:paraId="7F688BA5" w14:textId="71156D26" w:rsidR="00676326" w:rsidRPr="00C3671E" w:rsidRDefault="00676326" w:rsidP="00676326">
      <w:pPr>
        <w:pStyle w:val="Newparagraph"/>
        <w:jc w:val="both"/>
        <w:rPr>
          <w:lang w:eastAsia="zh-CN"/>
        </w:rPr>
      </w:pPr>
      <w:r w:rsidRPr="00C3671E">
        <w:rPr>
          <w:lang w:eastAsia="zh-CN"/>
        </w:rPr>
        <w:t xml:space="preserve">First, prolonged working life follows the goals of more sustainable labour markets and welfare systems at the societal level </w:t>
      </w:r>
      <w:r w:rsidRPr="00C3671E">
        <w:rPr>
          <w:lang w:eastAsia="zh-CN"/>
        </w:rPr>
        <w:fldChar w:fldCharType="begin" w:fldLock="1"/>
      </w:r>
      <w:r w:rsidR="001257AA" w:rsidRPr="00C3671E">
        <w:rPr>
          <w:lang w:eastAsia="zh-CN"/>
        </w:rPr>
        <w:instrText>ADDIN CSL_CITATION { "citationItems" : [ { "id" : "ITEM-1", "itemData" : { "DOI" : "10.1093/geront/gnu028", "ISBN" : "0016-9013", "ISSN" : "1758-5341", "PMID" : "24846882", "abstract" : "Over the past two decades, \"active aging\" has emerged in Europe as the foremost policy response to the challenges of population aging. This article examines the concept of active aging and how it differs from that of \"successful aging.\" In particular, it shows how active aging presents a more holistic, life course-oriented approach than successful aging. We provide a critical perspective on active aging too by, first, tracing its emergence in Europe and then showing how, in practice, it has been dominated by a narrow economic or productivist perspective that prioritizes the extension of working life. It has also been gender blind. Nonetheless, it is argued that an active aging approach has the potential to enable countries to respond successfully to the challenges of population aging because of its comprehensive focus and emphasis on societal as well as individual responsibility. Finally, we set out the basic principles that need to be followed if the full potential of active aging is to be achieved.", "author" : [ { "dropping-particle" : "", "family" : "Foster", "given" : "Liam", "non-dropping-particle" : "", "parse-names" : false, "suffix" : "" }, { "dropping-particle" : "", "family" : "Walker", "given" : "Alan", "non-dropping-particle" : "", "parse-names" : false, "suffix" : "" } ], "container-title" : "The Gerontologist", "id" : "ITEM-1", "issue" : "1", "issued" : { "date-parts" : [ [ "2015" ] ] }, "note" : "Foster, Walker 2014: Active and Successful Aging: A Euroepean Policy perspective\n\u201cactive aging\u201d has emerged in Europe as the foremost policy response to the challenges of population aging\nactive aging presents a more holistic, life course\u2013oriented approach than successful aging\ncritique of active aging perspective - emergence in Europe\n- dominated by a narrow economic perspective\n- gender blind\nall together, this approach has the potential to respond successfully to the challenges of population aging because of its comprehensive focus and emphasis on societal as well as individual responsibility\nAA should enable to create own forms of activity, instead of focusing on a predetermined, limited number of domains, usually developed from an \u2018expert\u2019 perspective\u201d (Boudiny &amp;amp; Mortelmans, 2011, p. 12)\nThere is also a danger that the \u201chealth and well-being\u201d narrative retreats to become the preserve of a \u201cfourth age\u201d charac- terized by biological decline and consumption of welfare resources\nstructural and economic barriers to active aging must be addressed for a comprehensive approach\n\u2192\nInternational and European policy on work and retirement: Reinventing critical perspectives\nA critical perspective: Towards a broader understanding of \u2018active ageing\u2019\nNarratives of (in)active age- ing in poor deprived areas of Liverpool", "page" : "83-90", "title" : "Active and Successful Aging: A European Policy Perspective", "type" : "article-journal", "volume" : "55" }, "uris" : [ "http://www.mendeley.com/documents/?uuid=6ef8c660-30ca-4a4a-80c6-6c24c5f5b99d" ] }, { "id" : "ITEM-2", "itemData" : { "author" : [ { "dropping-particle" : "", "family" : "Ebbinghaus", "given" : "Bernhard", "non-dropping-particle" : "", "parse-names" : false, "suffix" : "" } ], "chapter-number" : "9", "container-title" : "The politics of the New Welfare State", "editor" : [ { "dropping-particle" : "", "family" : "Bonoli", "given" : "Giuliano", "non-dropping-particle" : "", "parse-names" : false, "suffix" : "" } ], "id" : "ITEM-2", "issued" : { "date-parts" : [ [ "2012" ] ] }, "page" : "182-205", "publisher" : "Oxford University Press", "publisher-place" : "Oxford", "title" : "Europe\u2019s transformations towards a renewed pension system", "type" : "chapter" }, "uris" : [ "http://www.mendeley.com/documents/?uuid=5eb677ee-d907-44b8-a1ab-ea7c18ca7df3" ] }, { "id" : "ITEM-3", "itemData" : { "abstract" : "The report should be referred to as: UNECE/ European Commission (2015) \u201cActive Ageing Index 2014: Analytical Report\u201d, Report prepared by Asghar Zaidi of Centre for Research on Ageing, University of Southampton and David Stanton, under contract with United Nations Economic Commission for Europe (Geneva), co-funded by the European Commission\u2019s Directorate General for Employment, Social Affairs and Inclusion (Brussels).", "author" : [ { "dropping-particle" : "", "family" : "Zaidi", "given" : "Asghar", "non-dropping-particle" : "", "parse-names" : false, "suffix" : "" } ], "id" : "ITEM-3", "issue" : "April", "issued" : { "date-parts" : [ [ "2015" ] ] }, "number-of-pages" : "1-9", "publisher" : "UNECE", "publisher-place" : "Geneva", "title" : "Active Ageing Index 2014 Analytical Report", "type" : "book" }, "uris" : [ "http://www.mendeley.com/documents/?uuid=e5502369-34dc-4c1e-ad2d-b04716a04efe" ] } ], "mendeley" : { "formattedCitation" : "(Ebbinghaus 2012b; Foster and Walker 2015; Zaidi 2015)", "plainTextFormattedCitation" : "(Ebbinghaus 2012b; Foster and Walker 2015; Zaidi 2015)", "previouslyFormattedCitation" : "(Ebbinghaus 2012b; Foster and Walker 2015; Zaidi 2015)" }, "properties" : { "noteIndex" : 0 }, "schema" : "https://github.com/citation-style-language/schema/raw/master/csl-citation.json" }</w:instrText>
      </w:r>
      <w:r w:rsidRPr="00C3671E">
        <w:rPr>
          <w:lang w:eastAsia="zh-CN"/>
        </w:rPr>
        <w:fldChar w:fldCharType="separate"/>
      </w:r>
      <w:r w:rsidR="00A91559" w:rsidRPr="00C3671E">
        <w:rPr>
          <w:noProof/>
          <w:lang w:eastAsia="zh-CN"/>
        </w:rPr>
        <w:t>(Ebbinghaus 2012b; Foster and Walker 2015; Zaidi 2015)</w:t>
      </w:r>
      <w:r w:rsidRPr="00C3671E">
        <w:rPr>
          <w:lang w:eastAsia="zh-CN"/>
        </w:rPr>
        <w:fldChar w:fldCharType="end"/>
      </w:r>
      <w:r w:rsidRPr="00C3671E">
        <w:rPr>
          <w:lang w:eastAsia="zh-CN"/>
        </w:rPr>
        <w:t xml:space="preserve"> </w:t>
      </w:r>
      <w:r w:rsidRPr="00C3671E">
        <w:rPr>
          <w:lang w:eastAsia="zh-CN"/>
        </w:rPr>
        <w:lastRenderedPageBreak/>
        <w:t xml:space="preserve">and better life outcomes at the individual level </w:t>
      </w:r>
      <w:r w:rsidRPr="00C3671E">
        <w:rPr>
          <w:lang w:eastAsia="zh-CN"/>
        </w:rPr>
        <w:fldChar w:fldCharType="begin" w:fldLock="1"/>
      </w:r>
      <w:r w:rsidR="001257AA" w:rsidRPr="00C3671E">
        <w:rPr>
          <w:lang w:eastAsia="zh-CN"/>
        </w:rPr>
        <w:instrText>ADDIN CSL_CITATION { "citationItems" : [ { "id" : "ITEM-1", "itemData" : { "DOI" : "10.1007/s10433-017-0413-8", "ISBN" : "1043301704", "ISSN" : "16139380", "abstract" : "Several debates have emerged across the literature about the conceptualisation of active ageing. The aim of this study is to develop a model of the construct that is focused on the individual, including different elements of people\u2019s lives that have the potential to be modified by intervention programs. Moreover, the paper examines the contributions of active ageing to life satisfaction, as well as the possible predictive role of coping styles on active ageing. For this purpose, a representative sample of 404 Galician (Spain) community-dwelling older adults (aged \u226560 years) were interviewed using a structured survey. The results demonstrate that the proposed model composed of two broad categories is valid. The model comprises status variables (related to physical, psychological, and social health) as well as different types of activities, called processual variables. This model is tested using partial least squares (PLS) regression. The findings show that active ageing is a fourth-order, formative construct. In addition, PLS analyses indicate that active ageing has a moderate and positive path on life satisfaction and that coping styles may predict active ageing. The discussion highlights the potential of active ageing as a relevant concept for people\u2019s lives, drawing out policy implications and suggestions for further research.", "author" : [ { "dropping-particle" : "", "family" : "Marsillas", "given" : "Sara", "non-dropping-particle" : "", "parse-names" : false, "suffix" : "" }, { "dropping-particle" : "", "family" : "Donder", "given" : "Liesbeth", "non-dropping-particle" : "De", "parse-names" : false, "suffix" : "" }, { "dropping-particle" : "", "family" : "Kardol", "given" : "Tinie", "non-dropping-particle" : "", "parse-names" : false, "suffix" : "" }, { "dropping-particle" : "", "family" : "Regenmortel", "given" : "Sofie", "non-dropping-particle" : "van", "parse-names" : false, "suffix" : "" }, { "dropping-particle" : "", "family" : "Dury", "given" : "Sarah", "non-dropping-particle" : "", "parse-names" : false, "suffix" : "" }, { "dropping-particle" : "", "family" : "Brosens", "given" : "Dorien", "non-dropping-particle" : "", "parse-names" : false, "suffix" : "" }, { "dropping-particle" : "", "family" : "Smetcoren", "given" : "An Sofie", "non-dropping-particle" : "", "parse-names" : false, "suffix" : "" }, { "dropping-particle" : "", "family" : "Bra\u00f1a", "given" : "Teresa", "non-dropping-particle" : "", "parse-names" : false, "suffix" : "" }, { "dropping-particle" : "", "family" : "Varela", "given" : "Jes\u00fas", "non-dropping-particle" : "", "parse-names" : false, "suffix" : "" } ], "container-title" : "European Journal of Ageing", "id" : "ITEM-1", "issue" : "3", "issued" : { "date-parts" : [ [ "2017" ] ] }, "page" : "295-310", "title" : "Does active ageing contribute to life satisfaction for older people? Testing a new model of active ageing", "type" : "article-journal", "volume" : "14" }, "uris" : [ "http://www.mendeley.com/documents/?uuid=f4ca4b1e-010f-49fa-9c7f-5b6188337ddb" ] }, { "id" : "ITEM-2", "itemData" : { "DOI" : "10.1111/j.1468-2397.2012.00871.x", "ISBN" : "1468-2397", "ISSN" : "13696866", "abstract" : "The ageing of European countries has widespread implications for current and future social and economic policies across the region.The major policy response to demographic ageing that has emerged over the past 10 years is called \u2018active ageing\u2019, yet there is little clarity in practice about what it means for individuals and society beyond a crude economic reduction in terms of working longer.The main purposes of this article are to explain why this strategy has emerged and its impor- tance. Despite a great deal of positive political rhetoric, the response at all levels of policy making has been rather limited. An active social and public policy is required to mainstream active ageing as the leading paradigm for ageing policy across the European Union (EU). The designation of 2012 as the EuropeanYear of Active Ageing offers a potential focus for renewed policy action in the EU and is discussed in the context of our conclusions", "author" : [ { "dropping-particle" : "", "family" : "Walker", "given" : "Alan", "non-dropping-particle" : "", "parse-names" : false, "suffix" : "" }, { "dropping-particle" : "", "family" : "Maltby", "given" : "Tony", "non-dropping-particle" : "", "parse-names" : false, "suffix" : "" } ], "container-title" : "International Journal of Social Welfare", "id" : "ITEM-2", "issue" : "SUPPL.1", "issued" : { "date-parts" : [ [ "2012" ] ] }, "page" : "117-130", "title" : "Active ageing: A strategic policy solution to demographic ageing in the European Union", "type" : "article-journal", "volume" : "21" }, "uris" : [ "http://www.mendeley.com/documents/?uuid=2008f46f-ead4-4add-94cf-578cdbb7c3dc" ] }, { "id" : "ITEM-3", "itemData" : { "DOI" : "10.1093/geront/gnu028", "ISBN" : "0016-9013", "ISSN" : "1758-5341", "PMID" : "24846882", "abstract" : "Over the past two decades, \"active aging\" has emerged in Europe as the foremost policy response to the challenges of population aging. This article examines the concept of active aging and how it differs from that of \"successful aging.\" In particular, it shows how active aging presents a more holistic, life course-oriented approach than successful aging. We provide a critical perspective on active aging too by, first, tracing its emergence in Europe and then showing how, in practice, it has been dominated by a narrow economic or productivist perspective that prioritizes the extension of working life. It has also been gender blind. Nonetheless, it is argued that an active aging approach has the potential to enable countries to respond successfully to the challenges of population aging because of its comprehensive focus and emphasis on societal as well as individual responsibility. Finally, we set out the basic principles that need to be followed if the full potential of active aging is to be achieved.", "author" : [ { "dropping-particle" : "", "family" : "Foster", "given" : "Liam", "non-dropping-particle" : "", "parse-names" : false, "suffix" : "" }, { "dropping-particle" : "", "family" : "Walker", "given" : "Alan", "non-dropping-particle" : "", "parse-names" : false, "suffix" : "" } ], "container-title" : "The Gerontologist", "id" : "ITEM-3", "issue" : "1", "issued" : { "date-parts" : [ [ "2015" ] ] }, "note" : "Foster, Walker 2014: Active and Successful Aging: A Euroepean Policy perspective\n\u201cactive aging\u201d has emerged in Europe as the foremost policy response to the challenges of population aging\nactive aging presents a more holistic, life course\u2013oriented approach than successful aging\ncritique of active aging perspective - emergence in Europe\n- dominated by a narrow economic perspective\n- gender blind\nall together, this approach has the potential to respond successfully to the challenges of population aging because of its comprehensive focus and emphasis on societal as well as individual responsibility\nAA should enable to create own forms of activity, instead of focusing on a predetermined, limited number of domains, usually developed from an \u2018expert\u2019 perspective\u201d (Boudiny &amp;amp; Mortelmans, 2011, p. 12)\nThere is also a danger that the \u201chealth and well-being\u201d narrative retreats to become the preserve of a \u201cfourth age\u201d charac- terized by biological decline and consumption of welfare resources\nstructural and economic barriers to active aging must be addressed for a comprehensive approach\n\u2192\nInternational and European policy on work and retirement: Reinventing critical perspectives\nA critical perspective: Towards a broader understanding of \u2018active ageing\u2019\nNarratives of (in)active age- ing in poor deprived areas of Liverpool", "page" : "83-90", "title" : "Active and Successful Aging: A European Policy Perspective", "type" : "article-journal", "volume" : "55" }, "uris" : [ "http://www.mendeley.com/documents/?uuid=6ef8c660-30ca-4a4a-80c6-6c24c5f5b99d" ] }, { "id" : "ITEM-4", "itemData" : { "DOI" : "10.1017/S0144686X10001091", "ISBN" : "0144686X (ISSN)", "ISSN" : "0144-686X", "PMID" : "59665633", "abstract" : "An engaged lifestyle is seen as an important component of successful ageing. Many older adults with high participation in social and leisure activities report positive wellbeing, a fact that fuelled the original activity theory and that continues to influence researchers, theorists and practitioners. This study's purpose is to review the conceptualisation and measurement of activity among older adults and the associations reported in the gerontological literature between specific dimensions of activity and wellbeing. We searched published studies that focused on social and leisure activity and wellbeing, and found 42 studies in 44 articles published between 1995 and 2009. They reported from one to 13 activity domains, the majority reporting two or three, such as informal , formal and solitary , or productive versus leisure . Domains associated with subjective wellbeing, health or survival included social, leisure, productive, physical, intellectual, service and solitary activities. Informal social activity has accumulated the most evidence of an influence on wellbeing. Individual descriptors such as gender or physical functioning sometimes moderate these associations, while contextual variables such as choice, meaning or perceived quality play intervening roles. Differences in definitions and measurement make it difficult to draw inferences about this body of evidence on the associations between activity and wellbeing. Activity theory serves as shorthand for these associations, but gerontology must better integrate developmental and psychological constructs into a refined, comprehensive activity theory.", "author" : [ { "dropping-particle" : "", "family" : "Adams", "given" : "Kathryn Betts", "non-dropping-particle" : "", "parse-names" : false, "suffix" : "" }, { "dropping-particle" : "", "family" : "Leibbrandt", "given" : "Sylvia", "non-dropping-particle" : "", "parse-names" : false, "suffix" : "" }, { "dropping-particle" : "", "family" : "Moon", "given" : "Heehyul", "non-dropping-particle" : "", "parse-names" : false, "suffix" : "" } ], "container-title" : "Ageing and Society", "id" : "ITEM-4", "issue" : "04", "issued" : { "date-parts" : [ [ "2011" ] ] }, "page" : "683-712", "title" : "A critical review of the literature on social and leisure activity and wellbeing in later life", "type" : "article-journal", "volume" : "31" }, "uris" : [ "http://www.mendeley.com/documents/?uuid=28bf1c76-83b5-46ba-8c9c-efd885614e50" ] } ], "mendeley" : { "formattedCitation" : "(Adams et al. 2011; Foster and Walker 2015; Marsillas et al. 2017; Walker and Maltby 2012)", "plainTextFormattedCitation" : "(Adams et al. 2011; Foster and Walker 2015; Marsillas et al. 2017; Walker and Maltby 2012)", "previouslyFormattedCitation" : "(Adams et al. 2011; Foster and Walker 2015; Marsillas et al. 2017; Walker and Maltby 2012)" }, "properties" : { "noteIndex" : 0 }, "schema" : "https://github.com/citation-style-language/schema/raw/master/csl-citation.json" }</w:instrText>
      </w:r>
      <w:r w:rsidRPr="00C3671E">
        <w:rPr>
          <w:lang w:eastAsia="zh-CN"/>
        </w:rPr>
        <w:fldChar w:fldCharType="separate"/>
      </w:r>
      <w:r w:rsidR="00A91559" w:rsidRPr="00C3671E">
        <w:rPr>
          <w:noProof/>
          <w:lang w:eastAsia="zh-CN"/>
        </w:rPr>
        <w:t>(Adams et al. 2011; Foster and Walker 2015; Marsillas et al. 2017; Walker and Maltby 2012)</w:t>
      </w:r>
      <w:r w:rsidRPr="00C3671E">
        <w:rPr>
          <w:lang w:eastAsia="zh-CN"/>
        </w:rPr>
        <w:fldChar w:fldCharType="end"/>
      </w:r>
      <w:r w:rsidRPr="00C3671E">
        <w:rPr>
          <w:lang w:eastAsia="zh-CN"/>
        </w:rPr>
        <w:t xml:space="preserve">. The employment is the key role supported by active ageing approach </w:t>
      </w:r>
      <w:r w:rsidRPr="00C3671E">
        <w:rPr>
          <w:lang w:eastAsia="zh-CN"/>
        </w:rPr>
        <w:fldChar w:fldCharType="begin" w:fldLock="1"/>
      </w:r>
      <w:r w:rsidR="001257AA" w:rsidRPr="00C3671E">
        <w:rPr>
          <w:lang w:eastAsia="zh-CN"/>
        </w:rPr>
        <w:instrText>ADDIN CSL_CITATION { "citationItems" : [ { "id" : "ITEM-1", "itemData" : { "ISBN" : "9789287152404", "abstract" : "Foreword\\n\\nThe Council of Europe has a long tradition of producing population studies, and the work of the European Population Committee contributes to the understanding of the relationship between social policy and demographic issues in Europe. The findings of this work are published in the series Population studies, where topics covered include migration flows, national minorities, demographic\\nchanges and the labour market, the ageing of European populations and the demographic consequences of economic transition. These publications provide essential background information for implementing the Council of Europe\u2019s strategy for social cohesion: an integrated policy approach aimed at combating poverty and social exclusion through promoting access to social rights in areas\\nsuch as employment and training, health, social protection, housing, education and social services.\\n\\nThis volume takes as its starting point the changing age structure in European countries. This is characterised by the increase in the number of elderly persons and the decrease in the young and working populations. It reviews the demographic differences between European countries. The authors note that improved living conditions and effective health and social policies mean that the majority of younger elderly Europeans reach the third age in relatively good health and under conditions of some income security. They point out\\nthat whilst the effective age at retirement has been declining, it is only a minority of elderly people who use their free time in an active manner.\\n\\nThe authors examine the different public policy approaches and individual strategies developed in response to these societal changes and they make wide-ranging policy proposals for the development of active ageing strategies which address issues of employment, health, leisure and social cohesion.", "author" : [ { "dropping-particle" : "", "family" : "Avramov", "given" : "Dragana", "non-dropping-particle" : "", "parse-names" : false, "suffix" : "" }, { "dropping-particle" : "", "family" : "Maskova", "given" : "Miroslava", "non-dropping-particle" : "", "parse-names" : false, "suffix" : "" } ], "container-title" : "Population studies", "id" : "ITEM-1", "issue" : "41", "issued" : { "date-parts" : [ [ "2003" ] ] }, "number-of-pages" : "1-152", "publisher" : "Council of Europe Publishing", "publisher-place" : "Strasbourg", "title" : "Active ageing in Europe", "type" : "book", "volume" : "1" }, "uris" : [ "http://www.mendeley.com/documents/?uuid=7db55846-516c-430d-834c-164bd53456b9" ] }, { "id" : "ITEM-2", "itemData" : { "DOI" : "10.4017/gt.2011.10.01.014.00", "ISBN" : "9789279215070", "ISSN" : "1569-111X", "abstract" : "In response to the demographic challenge which all EU Member States are facing, the European Union has designated 2012 as the European Year for Active Ageing and Solidarity between Generations. Active ageing is defined by the World Health Organisation as the process of optimising opportunities for health, participation and security in order to enhance quality of life as people age. Eurostat is marking the European Year 2012 by presenting in this book statistics on topics related to Active Ageing and Solidarity between Generations, such as demography, healthcare, pensions, volunteering and adult learning. Tis publication has been produced in collaboration with the Directorate-General for Employment, Social Affairs and Inclusion and Eurofound, the European Foundation for the Improvement of Living and Working Conditions.", "author" : [ { "dropping-particle" : "", "family" : "Eurostat", "given" : "", "non-dropping-particle" : "", "parse-names" : false, "suffix" : "" } ], "id" : "ITEM-2", "issued" : { "date-parts" : [ [ "2012" ] ] }, "number-of-pages" : "147", "title" : "Active ageing and solidarity between generations", "type" : "book" }, "uris" : [ "http://www.mendeley.com/documents/?uuid=1dd08e23-fc88-436d-8418-971846dbc156" ] }, { "id" : "ITEM-3", "itemData" : { "author" : [ { "dropping-particle" : "", "family" : "EU Council", "given" : "", "non-dropping-particle" : "", "parse-names" : false, "suffix" : "" } ], "id" : "ITEM-3", "issued" : { "date-parts" : [ [ "2012" ] ] }, "publisher" : "EU Council", "publisher-place" : "Brussels", "title" : "Council Declaration on the European Year for Active Ageing and Solidarity between Generations (2012): The Way Forward", "type" : "book" }, "uris" : [ "http://www.mendeley.com/documents/?uuid=bc232528-fad4-4b15-bede-b113103dbe49" ] }, { "id" : "ITEM-4", "itemData" : { "DOI" : "10.1007/s12062-017-9174-6", "ISSN" : "1874-7884", "abstract" : "Why Active Ageing Matters\\r\\nBy the end of the first half of the twentieth century most European states had introduced public pension schemes of one sort or another. In doing so they were affirming the role of the state in providing individuals with a form of support that all but a few would struggle to provide for themselves. The objectives of these schemes were generally quite limited: to reduce the risk of poverty in old age by facilitating savings during working life. The rationale was simple: to provide access to financial support - a regular and reliable income \u2013 for a time of life when the ability to work was increasingly impaired by loss of health or functional ability. In the second half of the century, after the second world war, increasing affluence combined with a more demanding view of the responsibilities of government to improve the generosity of pensions and to expand welfare systems in ways that conferred other benefits on their older populations besides a basic pension income, including the provision of social care (e.g. care homes for older people who had no family and were unable to look after themselves in their own homes). Policy was still broadly conceived as a collective response to age-related losses that undermined independence.", "author" : [ { "dropping-particle" : "", "family" : "Zaidi", "given" : "Asghar", "non-dropping-particle" : "", "parse-names" : false, "suffix" : "" }, { "dropping-particle" : "", "family" : "Howse", "given" : "Kenneth", "non-dropping-particle" : "", "parse-names" : false, "suffix" : "" } ], "container-title" : "Journal of Population Ageing", "id" : "ITEM-4", "issue" : "1", "issued" : { "date-parts" : [ [ "2017" ] ] }, "page" : "1-10", "publisher" : "Journal of Population Ageing", "title" : "The Policy Discourse of Active Ageing: Some Reflections", "type" : "article-journal", "volume" : "10" }, "uris" : [ "http://www.mendeley.com/documents/?uuid=badd02a6-0ba4-4766-b6a7-a04a46414a57" ] }, { "id" : "ITEM-5", "itemData" : { "DOI" : "10.1007/s10433-017-0413-8", "ISBN" : "1043301704", "ISSN" : "16139380", "abstract" : "Several debates have emerged across the literature about the conceptualisation of active ageing. The aim of this study is to develop a model of the construct that is focused on the individual, including different elements of people\u2019s lives that have the potential to be modified by intervention programs. Moreover, the paper examines the contributions of active ageing to life satisfaction, as well as the possible predictive role of coping styles on active ageing. For this purpose, a representative sample of 404 Galician (Spain) community-dwelling older adults (aged \u226560 years) were interviewed using a structured survey. The results demonstrate that the proposed model composed of two broad categories is valid. The model comprises status variables (related to physical, psychological, and social health) as well as different types of activities, called processual variables. This model is tested using partial least squares (PLS) regression. The findings show that active ageing is a fourth-order, formative construct. In addition, PLS analyses indicate that active ageing has a moderate and positive path on life satisfaction and that coping styles may predict active ageing. The discussion highlights the potential of active ageing as a relevant concept for people\u2019s lives, drawing out policy implications and suggestions for further research.", "author" : [ { "dropping-particle" : "", "family" : "Marsillas", "given" : "Sara", "non-dropping-particle" : "", "parse-names" : false, "suffix" : "" }, { "dropping-particle" : "", "family" : "Donder", "given" : "Liesbeth", "non-dropping-particle" : "De", "parse-names" : false, "suffix" : "" }, { "dropping-particle" : "", "family" : "Kardol", "given" : "Tinie", "non-dropping-particle" : "", "parse-names" : false, "suffix" : "" }, { "dropping-particle" : "", "family" : "Regenmortel", "given" : "Sofie", "non-dropping-particle" : "van", "parse-names" : false, "suffix" : "" }, { "dropping-particle" : "", "family" : "Dury", "given" : "Sarah", "non-dropping-particle" : "", "parse-names" : false, "suffix" : "" }, { "dropping-particle" : "", "family" : "Brosens", "given" : "Dorien", "non-dropping-particle" : "", "parse-names" : false, "suffix" : "" }, { "dropping-particle" : "", "family" : "Smetcoren", "given" : "An Sofie", "non-dropping-particle" : "", "parse-names" : false, "suffix" : "" }, { "dropping-particle" : "", "family" : "Bra\u00f1a", "given" : "Teresa", "non-dropping-particle" : "", "parse-names" : false, "suffix" : "" }, { "dropping-particle" : "", "family" : "Varela", "given" : "Jes\u00fas", "non-dropping-particle" : "", "parse-names" : false, "suffix" : "" } ], "container-title" : "European Journal of Ageing", "id" : "ITEM-5", "issue" : "3", "issued" : { "date-parts" : [ [ "2017" ] ] }, "page" : "295-310", "title" : "Does active ageing contribute to life satisfaction for older people? Testing a new model of active ageing", "type" : "article-journal", "volume" : "14" }, "uris" : [ "http://www.mendeley.com/documents/?uuid=f4ca4b1e-010f-49fa-9c7f-5b6188337ddb" ] } ], "mendeley" : { "formattedCitation" : "(Avramov and Maskova 2003; EU Council 2012; Eurostat 2012; Marsillas et al. 2017; Zaidi and Howse 2017)", "plainTextFormattedCitation" : "(Avramov and Maskova 2003; EU Council 2012; Eurostat 2012; Marsillas et al. 2017; Zaidi and Howse 2017)", "previouslyFormattedCitation" : "(Avramov and Maskova 2003; EU Council 2012; Eurostat 2012; Marsillas et al. 2017; Zaidi and Howse 2017)" }, "properties" : { "noteIndex" : 0 }, "schema" : "https://github.com/citation-style-language/schema/raw/master/csl-citation.json" }</w:instrText>
      </w:r>
      <w:r w:rsidRPr="00C3671E">
        <w:rPr>
          <w:lang w:eastAsia="zh-CN"/>
        </w:rPr>
        <w:fldChar w:fldCharType="separate"/>
      </w:r>
      <w:r w:rsidR="00A91559" w:rsidRPr="00C3671E">
        <w:rPr>
          <w:noProof/>
          <w:lang w:eastAsia="zh-CN"/>
        </w:rPr>
        <w:t>(Avramov and Maskova 2003; EU Council 2012; Eurostat 2012; Marsillas et al. 2017; Zaidi and Howse 2017)</w:t>
      </w:r>
      <w:r w:rsidRPr="00C3671E">
        <w:rPr>
          <w:lang w:eastAsia="zh-CN"/>
        </w:rPr>
        <w:fldChar w:fldCharType="end"/>
      </w:r>
      <w:r w:rsidRPr="00C3671E">
        <w:rPr>
          <w:lang w:eastAsia="zh-CN"/>
        </w:rPr>
        <w:t xml:space="preserve">, and some critics even label it as the only role that is actually implemented </w:t>
      </w:r>
      <w:r w:rsidRPr="00C3671E">
        <w:rPr>
          <w:lang w:eastAsia="zh-CN"/>
        </w:rPr>
        <w:fldChar w:fldCharType="begin" w:fldLock="1"/>
      </w:r>
      <w:r w:rsidR="001257AA" w:rsidRPr="00C3671E">
        <w:rPr>
          <w:lang w:eastAsia="zh-CN"/>
        </w:rPr>
        <w:instrText>ADDIN CSL_CITATION { "citationItems" : [ { "id" : "ITEM-1", "itemData" : { "DOI" : "10.1017/S0144686X1200030X", "ISBN" : "0144-686X (Print)\\r0144-686X (Linking)", "ISSN" : "0144-686X", "PMID" : "23913994", "abstract" : "\u2018Active ageing\u2019 is a topic of increasing attention in scientific and policy discussions on ageing, yet there is no consensus on its actual meaning. The current paper proposes a detailed classification of various definitions that have been used since its introduction. These definitions are subjected to critical investigation, and subtle differences with regard to such terms as \u2018healthy ageing\u2019 and \u2018productive ageing\u2019 are clarified. Bearing the hazards of previous definitions in mind, a comprehensive strategy is initiated. Given that earlier definitions have tended to exclude frail older adults, this strategy pays particular attention to the translation of the active-ageing concept to situations of dependency by centring on three key principles: fostering adaptability, supporting the maintenance of emotionally close relationships and removing structural barriers related to age or dependency.", "author" : [ { "dropping-particle" : "", "family" : "Boudiny", "given" : "K I M", "non-dropping-particle" : "", "parse-names" : false, "suffix" : "" } ], "container-title" : "Ageing &amp; Society", "id" : "ITEM-1", "issue" : "6", "issued" : { "date-parts" : [ [ "2013" ] ] }, "page" : "1077-1098", "title" : "\u2018Active ageing\u2019: from empty rhetoric to effective policy tool", "type" : "article-journal", "volume" : "33" }, "uris" : [ "http://www.mendeley.com/documents/?uuid=51ddee1f-9273-4bcd-8c5d-5c01e98c615c" ] }, { "id" : "ITEM-2", "itemData" : { "DOI" : "10.1093/geront/gnu028", "ISBN" : "0016-9013", "ISSN" : "1758-5341", "PMID" : "24846882", "abstract" : "Over the past two decades, \"active aging\" has emerged in Europe as the foremost policy response to the challenges of population aging. This article examines the concept of active aging and how it differs from that of \"successful aging.\" In particular, it shows how active aging presents a more holistic, life course-oriented approach than successful aging. We provide a critical perspective on active aging too by, first, tracing its emergence in Europe and then showing how, in practice, it has been dominated by a narrow economic or productivist perspective that prioritizes the extension of working life. It has also been gender blind. Nonetheless, it is argued that an active aging approach has the potential to enable countries to respond successfully to the challenges of population aging because of its comprehensive focus and emphasis on societal as well as individual responsibility. Finally, we set out the basic principles that need to be followed if the full potential of active aging is to be achieved.", "author" : [ { "dropping-particle" : "", "family" : "Foster", "given" : "Liam", "non-dropping-particle" : "", "parse-names" : false, "suffix" : "" }, { "dropping-particle" : "", "family" : "Walker", "given" : "Alan", "non-dropping-particle" : "", "parse-names" : false, "suffix" : "" } ], "container-title" : "The Gerontologist", "id" : "ITEM-2", "issue" : "1", "issued" : { "date-parts" : [ [ "2015" ] ] }, "note" : "Foster, Walker 2014: Active and Successful Aging: A Euroepean Policy perspective\n\u201cactive aging\u201d has emerged in Europe as the foremost policy response to the challenges of population aging\nactive aging presents a more holistic, life course\u2013oriented approach than successful aging\ncritique of active aging perspective - emergence in Europe\n- dominated by a narrow economic perspective\n- gender blind\nall together, this approach has the potential to respond successfully to the challenges of population aging because of its comprehensive focus and emphasis on societal as well as individual responsibility\nAA should enable to create own forms of activity, instead of focusing on a predetermined, limited number of domains, usually developed from an \u2018expert\u2019 perspective\u201d (Boudiny &amp;amp; Mortelmans, 2011, p. 12)\nThere is also a danger that the \u201chealth and well-being\u201d narrative retreats to become the preserve of a \u201cfourth age\u201d charac- terized by biological decline and consumption of welfare resources\nstructural and economic barriers to active aging must be addressed for a comprehensive approach\n\u2192\nInternational and European policy on work and retirement: Reinventing critical perspectives\nA critical perspective: Towards a broader understanding of \u2018active ageing\u2019\nNarratives of (in)active age- ing in poor deprived areas of Liverpool", "page" : "83-90", "title" : "Active and Successful Aging: A European Policy Perspective", "type" : "article-journal", "volume" : "55" }, "uris" : [ "http://www.mendeley.com/documents/?uuid=6ef8c660-30ca-4a4a-80c6-6c24c5f5b99d" ] } ], "mendeley" : { "formattedCitation" : "(Boudiny 2013; Foster and Walker 2015)", "plainTextFormattedCitation" : "(Boudiny 2013; Foster and Walker 2015)", "previouslyFormattedCitation" : "(Boudiny 2013; Foster and Walker 2015)" }, "properties" : { "noteIndex" : 0 }, "schema" : "https://github.com/citation-style-language/schema/raw/master/csl-citation.json" }</w:instrText>
      </w:r>
      <w:r w:rsidRPr="00C3671E">
        <w:rPr>
          <w:lang w:eastAsia="zh-CN"/>
        </w:rPr>
        <w:fldChar w:fldCharType="separate"/>
      </w:r>
      <w:r w:rsidR="00A91559" w:rsidRPr="00C3671E">
        <w:rPr>
          <w:noProof/>
          <w:lang w:eastAsia="zh-CN"/>
        </w:rPr>
        <w:t>(Boudiny 2013; Foster and Walker 2015)</w:t>
      </w:r>
      <w:r w:rsidRPr="00C3671E">
        <w:rPr>
          <w:lang w:eastAsia="zh-CN"/>
        </w:rPr>
        <w:fldChar w:fldCharType="end"/>
      </w:r>
      <w:r w:rsidRPr="00C3671E">
        <w:rPr>
          <w:lang w:eastAsia="zh-CN"/>
        </w:rPr>
        <w:t>.</w:t>
      </w:r>
    </w:p>
    <w:p w14:paraId="68C2388B" w14:textId="6A0B9632" w:rsidR="00676326" w:rsidRPr="00C3671E" w:rsidRDefault="00676326" w:rsidP="00676326">
      <w:pPr>
        <w:pStyle w:val="Newparagraph"/>
        <w:jc w:val="both"/>
        <w:rPr>
          <w:lang w:eastAsia="zh-CN"/>
        </w:rPr>
      </w:pPr>
      <w:r w:rsidRPr="00C3671E">
        <w:rPr>
          <w:lang w:eastAsia="zh-CN"/>
        </w:rPr>
        <w:t xml:space="preserve">Chapter 3 addresses the prevailing effect of working in later life has not been identified conclusively. On the one hand, some studies confirmed the expectation and found the beneficial effect of prolonged employment </w:t>
      </w:r>
      <w:r w:rsidRPr="00C3671E">
        <w:rPr>
          <w:lang w:eastAsia="zh-CN"/>
        </w:rPr>
        <w:fldChar w:fldCharType="begin" w:fldLock="1"/>
      </w:r>
      <w:r w:rsidR="001257AA" w:rsidRPr="00C3671E">
        <w:rPr>
          <w:lang w:eastAsia="zh-CN"/>
        </w:rPr>
        <w:instrText>ADDIN CSL_CITATION { "citationItems" : [ { "id" : "ITEM-1", "itemData" : { "DOI" : "10.1016/j.socec.2010.12.011", "ISSN" : "10914358", "PMID" : "23676414", "abstract" : "BACKGROUND: Like most of other developed countries, Canada experienced baby boom in the 20 years after World War II. With the eldest baby turned 65 in 2011, it is expected that a considerable number of people will retire in coming years and consequently, retired people will soon constitute a significant part of Canadian population. In this context, an interesting question would be how retirement impacts mental health. This question is related to the well-being of the retired population as well as to over all health care expenditures. AIMS: The major objective of this study is to examine the impact of retirement on mental health as measured by the Short Form Depression Scale. This study further conducts separate analyses to examine whether the impact of retirement on mental health differs between males and females, and among different education and income groups. METHODS: This study uses large scale Canadian National Population Heath Survey (Longitudinal Component) data and adopts fixed effect method and fixed effect instrumental variable method to deal with possible endogeneity problem. RESULTS: After controlling for unobserved individual specific heterogeneity, the study found that retirement has an insignificant impact on depression. As a robustness check, the study utilizes logit, conditional fixed effect logit, and fixed effect instrumental variable regression on a dichotomous variable representing depression and found that retirement has an insignificant impact on depression. The study further examined this issue using different subgroups based on gender, education and marital status, and again found that impacts of retirement on depression are not statistically significant. IMPLICATIONS FOR POLICY: Though the coefficients are statistically insignificant, however, most of the results are economically meaningful since the magnitudes are relatively large, implying very large effects. The effects of retirement on mental health appear to be complex and multidimensional; however, based on the FE-IV models, most of the effects seem to suggest that there may be some increase in depression symptoms. The findings of this study will have important policy implications. If retirement worsens mental health, then policy encouraging retirement may actually increase health care expenditures. On the other hand, if retirement improves mental health, then such policy will likely to decrease health care expenditure. Studies based on data from Canada and other OECD cou\u2026", "author" : [ { "dropping-particle" : "", "family" : "Latif", "given" : "Ehsan", "non-dropping-particle" : "", "parse-names" : false, "suffix" : "" } ], "container-title" : "Journal of Mental Health Policy and Economics", "id" : "ITEM-1", "issue" : "1", "issued" : { "date-parts" : [ [ "2011" ] ] }, "note" : "Latif 2010: The impact of retirement on psychological well-being in Canada\nLike most other developed countries, Canada is experienc-\ning a decrease in the age at retirement and simultaneously an increase in life expectancy\nconflicting theoretical views on how retirement impacts psychological well-being: role theory and continuity theory\nThe role theory considers that work and employment, being a source of self respect and identity, play a central role in the life of a typical adult (Miller, 1965)\ncontinuity theory - individuals occupy multiple roles such as family roles and friendship roles and for most people the work role may not necessarily be their most central role\n- retirement may actually offer an opportunity to spend more time in the important roles of friend and family member\nseven longitudinal waves of the Canadian National Population Health Survey, spanning 1994 through 2006\nthe study also takes into account the possible bias due to reverse causality and time varying unobserved factors\nthe study finds that retirement has significant positive impact on subsequent psychological well-being\nsubstantiating of the continuity theory notion that retirement may actually improve psychological well-being", "page" : "35-46", "publisher" : "Elsevier Inc.", "title" : "The impact of retirement on mental health in Canada", "type" : "article-journal", "volume" : "16" }, "uris" : [ "http://www.mendeley.com/documents/?uuid=e3abe66c-305f-4858-927d-30c33a38a6fa" ] }, { "id" : "ITEM-2", "itemData" : { "DOI" : "10.1007/s10902-012-9399-2", "ISSN" : "13894978", "abstract" : "This study examines the relationship between retirement and subjective well-being (SWB), utilizing international data from sixteen countries in Western Europe and the US. Differences in social security regimes are exploited to estimate the retirement decision such that it is exogenous to individual-level characteristics. Although results from traditional ordinary least squares suggest an ambiguous relationship between retirement and SWB, this is due to comparatively lower SWB among those who choose retirement. The removal of selection bias reveals a large, positive effect that fades over a few years, suggesting a multi-stage adjustment to retirement. Individuals facing formal retirement at age 65 or later experience an increase in SWB that is roughly equivalent in total value to that of individuals facing earlier retirement, and both groups return to trend by age 70. This suggests that raising the formal retirement age, which is widely discussed today by policymakers, is relatively neutral with regard to SWB in the long-term.", "author" : [ { "dropping-particle" : "", "family" : "Horner", "given" : "Elizabeth Mokyr", "non-dropping-particle" : "", "parse-names" : false, "suffix" : "" } ], "container-title" : "Journal of Happiness Studies", "id" : "ITEM-2", "issue" : "1", "issued" : { "date-parts" : [ [ "2014" ] ] }, "page" : "125-144", "title" : "Subjective Well-Being and Retirement: Analysis and Policy Recommendations", "type" : "article-journal", "volume" : "15" }, "uris" : [ "http://www.mendeley.com/documents/?uuid=84c4b7f5-4f4e-4a9c-9f0b-e26858f7c56a" ] }, { "id" : "ITEM-3", "itemData" : { "DOI" : "10.3386/w21326", "abstract" : "We utilize panel data from the Health and Retirement Study to investigate the impact of retirement on physical and mental health, life satisfaction, and health care utilization. Because poor health can induce retirement, we instrument for retirement using eligibility for Social Security and employer sponsored pensions and coverage by the Social Security earnings test. We find strong evidence that retirement improves both health and life satisfaction. While the impact on life satisfaction occurs within the first 4 years of retirement, many of the improvements in health show up 4 or more years later, consistent with the view that health is a stock that evolves slowly. We find little evidence that retirement influences health care utilization.", "author" : [ { "dropping-particle" : "", "family" : "Gorry", "given" : "Aspen", "non-dropping-particle" : "", "parse-names" : false, "suffix" : "" }, { "dropping-particle" : "", "family" : "Gorry", "given" : "Devon", "non-dropping-particle" : "", "parse-names" : false, "suffix" : "" }, { "dropping-particle" : "", "family" : "Slavov", "given" : "Sita", "non-dropping-particle" : "", "parse-names" : false, "suffix" : "" } ], "container-title" : "NBER Working Paper", "id" : "ITEM-3", "issued" : { "date-parts" : [ [ "2015" ] ] }, "note" : "Gorry et al. 2015: DOES RETIREMENT IMPROVE HEALTH AND LIFE SATISFACTION?\nretirement may reduce investment in health\nunanticipated retirement that is associated with a negative income shock could reduce subjective well-being and the ability to invest in health\nRetirement can also lead to social isolation and a diminished sense of purpose (Bradford (1979)\nInvestment in health may increase as retired individuals have a lower marginal value of time\nRetirement also increases leisure, which may reduce physical and mental stress\nWe address this endogeneity with panel data from the Health and Retirement Study\nstrong evidence that retirement improves both health and life satisfaction\nimpact on life satisfaction occurs within the first 4 years of retirement\nmany of the improvements in health show up 4 or more years later - health is a stock that evolves slowly\nretirement has no statistically significant impact on health care utilization - the health improvements that occur after retirement are likely to come without added expenses", "number-of-pages" : "1-30", "publisher" : "National Bureau of Economic Research", "publisher-place" : "Cambridge", "title" : "Does Retirement Improve Health and Life Satisfaction?", "type" : "report" }, "uris" : [ "http://www.mendeley.com/documents/?uuid=ad57a417-7f10-486a-b0b6-f0e597c35d20" ] } ], "mendeley" : { "formattedCitation" : "(Gorry et al. 2015; Horner 2014; Latif 2011)", "plainTextFormattedCitation" : "(Gorry et al. 2015; Horner 2014; Latif 2011)", "previouslyFormattedCitation" : "(Gorry et al. 2015; Horner 2014; Latif 2011)" }, "properties" : { "noteIndex" : 0 }, "schema" : "https://github.com/citation-style-language/schema/raw/master/csl-citation.json" }</w:instrText>
      </w:r>
      <w:r w:rsidRPr="00C3671E">
        <w:rPr>
          <w:lang w:eastAsia="zh-CN"/>
        </w:rPr>
        <w:fldChar w:fldCharType="separate"/>
      </w:r>
      <w:r w:rsidR="00A91559" w:rsidRPr="00C3671E">
        <w:rPr>
          <w:noProof/>
          <w:lang w:eastAsia="zh-CN"/>
        </w:rPr>
        <w:t>(Gorry et al. 2015; Horner 2014; Latif 2011)</w:t>
      </w:r>
      <w:r w:rsidRPr="00C3671E">
        <w:rPr>
          <w:lang w:eastAsia="zh-CN"/>
        </w:rPr>
        <w:fldChar w:fldCharType="end"/>
      </w:r>
      <w:r w:rsidRPr="00C3671E">
        <w:rPr>
          <w:lang w:eastAsia="zh-CN"/>
        </w:rPr>
        <w:t xml:space="preserve"> explained by a provision of financial security, identity, social contacts, prestige, and physical activity through work </w:t>
      </w:r>
      <w:r w:rsidRPr="00C3671E">
        <w:rPr>
          <w:lang w:eastAsia="zh-CN"/>
        </w:rPr>
        <w:fldChar w:fldCharType="begin" w:fldLock="1"/>
      </w:r>
      <w:r w:rsidR="001257AA" w:rsidRPr="00C3671E">
        <w:rPr>
          <w:lang w:eastAsia="zh-CN"/>
        </w:rPr>
        <w:instrText>ADDIN CSL_CITATION { "citationItems" : [ { "id" : "ITEM-1", "itemData" : { "ISBN" : "0-335-21513-0", "author" : [ { "dropping-particle" : "", "family" : "Walker", "given" : "Alan", "non-dropping-particle" : "", "parse-names" : false, "suffix" : "" } ], "chapter-number" : "1", "container-title" : "Growing older in Europe", "editor" : [ { "dropping-particle" : "", "family" : "Walker", "given" : "Alan", "non-dropping-particle" : "", "parse-names" : false, "suffix" : "" } ], "id" : "ITEM-1", "issued" : { "date-parts" : [ [ "2004" ] ] }, "page" : "1-30", "publisher" : "Open University Press", "publisher-place" : "Maidenhead", "title" : "Quality of life in old age in Europe", "type" : "chapter" }, "uris" : [ "http://www.mendeley.com/documents/?uuid=50d6f5fc-128c-4195-b27d-ab7f3f67bfab" ] }, { "id" : "ITEM-2", "itemData" : { "author" : [ { "dropping-particle" : "", "family" : "Andersson", "given" : "Lars", "non-dropping-particle" : "", "parse-names" : false, "suffix" : "" } ], "chapter-number" : "5", "container-title" : "Growing older in Europe", "editor" : [ { "dropping-particle" : "", "family" : "Walker", "given" : "Alan", "non-dropping-particle" : "", "parse-names" : false, "suffix" : "" } ], "id" : "ITEM-2", "issued" : { "date-parts" : [ [ "2004" ] ] }, "page" : "105-128", "publisher" : "Open University Press", "publisher-place" : "Maidenhead", "title" : "Sweden - quality of life in old age I", "type" : "chapter" }, "uris" : [ "http://www.mendeley.com/documents/?uuid=6ba148d2-4767-4831-90aa-b02db5e6eb9d" ] }, { "id" : "ITEM-3", "itemData" : { "DOI" : "10.1136/jech-2013-202820", "ISBN" : "0143-005x", "ISSN" : "1470-2738", "PMID" : "22156662", "abstract" : "BACKGROUND: 'Active ageing' has been promoted as a strategy for extending quality of life and healthy life expectancy. However, there is limited evidence from nationally representative longitudinal studies on whether engagement among older adults is associated with better outcomes and few studies have considered possible bias arising from differential study attrition. METHODS: We investigate associations between the engagement of people aged 50-69 in three types of activity with self-rated health and depression 2 years later using nationally representative longitudinal data from four European countries (Denmark, France, Italy and England). Data were drawn from waves 1 and 2 of the Survey of Health, Ageing and Retirement in Europe and the English Longitudinal Study of Ageing. Multivariable analysis was used to analyse associations between baseline activity and outcomes at follow-up controlling for socioeconomic, demographic and health-related variables at baseline. Multiple imputation techniques and sensitivity analyses were undertaken to investigate possible bias arising from sample attrition. RESULTS: Respondents in paid work at baseline were less likely to be depressed or to report poor or fair health at follow-up than those who were 'inactive', although not in Italy. Engagement in formal and informal activities was not significantly associated with health at follow-up. Sensitivity analyses showed that assuming that those in bad health were over-represented among study attritors weakened the association between work at baseline and health at follow-up. CONCLUSIONS: Engagement in paid work may help maintain health in later life, although mechanisms and contextual influences need further investigation.", "author" : [ { "dropping-particle" : "", "family" : "Gessa", "given" : "Giorgio", "non-dropping-particle" : "Di", "parse-names" : false, "suffix" : "" }, { "dropping-particle" : "", "family" : "Grundy", "given" : "Emily", "non-dropping-particle" : "", "parse-names" : false, "suffix" : "" } ], "container-title" : "Journal of Epidemiology and Community Health", "id" : "ITEM-3", "issue" : "3", "issued" : { "date-parts" : [ [ "2013" ] ] }, "note" : "Gessa, Grundy 2013: The relationship between active ageing and health using longitudinal data from Denmark, France, Italy and England\n\u2018Active ageing\u2019 has been promoted as a strategy for extending quality of life and healthy life expectancy\nEngagement of older people occurs within a socio-political context and may be influenced by the provision of services and generosity of benefits, pension schemes and labour, retirement and early retirement policies, as well as norms and values.14 15 It is well recognised that these contextual factors vary within Europe, and typologies have been developed that group together countries with similar policies\nEngagement in formal and informal activities was not significantly associated with health at follow-up - higher attrition\nof ill respondents\npossitive impact of work in three countries except Italy\npaid work - prestige, power, status + physical activity + economic resources\nNo associations were found between engagement in the other types of activity considered and either depression or SRH\nEngagement in paid work may help maintain health in later life, although mechanisms and contextual influences need further investigation\n\u2192\nIndividual consequences of volunteer and paid work in old age: health and mortality\nIs work good for your health and well-being?\nPolicy and practices relating to the active engagement of older people in the community\nVariations in older people\u2019s social and productive ageing activities across different social welfare regimes", "page" : "261-267", "title" : "The relationship between active ageing and health using longitudinal data from Denmark, France, Italy and England", "type" : "article-journal", "volume" : "68" }, "uris" : [ "http://www.mendeley.com/documents/?uuid=099505a4-8bdf-490c-ae2d-b130a8bcf814" ] }, { "id" : "ITEM-4", "itemData" : { "DOI" : "10.1007/s10902-012-9399-2", "ISSN" : "13894978", "abstract" : "This study examines the relationship between retirement and subjective well-being (SWB), utilizing international data from sixteen countries in Western Europe and the US. Differences in social security regimes are exploited to estimate the retirement decision such that it is exogenous to individual-level characteristics. Although results from traditional ordinary least squares suggest an ambiguous relationship between retirement and SWB, this is due to comparatively lower SWB among those who choose retirement. The removal of selection bias reveals a large, positive effect that fades over a few years, suggesting a multi-stage adjustment to retirement. Individuals facing formal retirement at age 65 or later experience an increase in SWB that is roughly equivalent in total value to that of individuals facing earlier retirement, and both groups return to trend by age 70. This suggests that raising the formal retirement age, which is widely discussed today by policymakers, is relatively neutral with regard to SWB in the long-term.", "author" : [ { "dropping-particle" : "", "family" : "Horner", "given" : "Elizabeth Mokyr", "non-dropping-particle" : "", "parse-names" : false, "suffix" : "" } ], "container-title" : "Journal of Happiness Studies", "id" : "ITEM-4", "issue" : "1", "issued" : { "date-parts" : [ [ "2014" ] ] }, "page" : "125-144", "title" : "Subjective Well-Being and Retirement: Analysis and Policy Recommendations", "type" : "article-journal", "volume" : "15" }, "uris" : [ "http://www.mendeley.com/documents/?uuid=84c4b7f5-4f4e-4a9c-9f0b-e26858f7c56a" ] } ], "mendeley" : { "formattedCitation" : "(Andersson 2004; Di Gessa and Grundy 2013; Horner 2014; Walker 2004)", "plainTextFormattedCitation" : "(Andersson 2004; Di Gessa and Grundy 2013; Horner 2014; Walker 2004)", "previouslyFormattedCitation" : "(Andersson 2004; Di Gessa and Grundy 2013; Horner 2014; Walker 2004)" }, "properties" : { "noteIndex" : 0 }, "schema" : "https://github.com/citation-style-language/schema/raw/master/csl-citation.json" }</w:instrText>
      </w:r>
      <w:r w:rsidRPr="00C3671E">
        <w:rPr>
          <w:lang w:eastAsia="zh-CN"/>
        </w:rPr>
        <w:fldChar w:fldCharType="separate"/>
      </w:r>
      <w:r w:rsidR="00A91559" w:rsidRPr="00C3671E">
        <w:rPr>
          <w:noProof/>
          <w:lang w:eastAsia="zh-CN"/>
        </w:rPr>
        <w:t>(Andersson 2004; Di Gessa and Grundy 2013; Horner 2014; Walker 2004)</w:t>
      </w:r>
      <w:r w:rsidRPr="00C3671E">
        <w:rPr>
          <w:lang w:eastAsia="zh-CN"/>
        </w:rPr>
        <w:fldChar w:fldCharType="end"/>
      </w:r>
      <w:r w:rsidRPr="00C3671E">
        <w:rPr>
          <w:lang w:eastAsia="zh-CN"/>
        </w:rPr>
        <w:t xml:space="preserve">. On the other hand, the effect of prolonged retirement is often detrimental to QoL </w:t>
      </w:r>
      <w:r w:rsidRPr="00C3671E">
        <w:rPr>
          <w:lang w:eastAsia="zh-CN"/>
        </w:rPr>
        <w:fldChar w:fldCharType="begin" w:fldLock="1"/>
      </w:r>
      <w:r w:rsidR="001257AA" w:rsidRPr="00C3671E">
        <w:rPr>
          <w:lang w:eastAsia="zh-CN"/>
        </w:rPr>
        <w:instrText>ADDIN CSL_CITATION { "citationItems" : [ { "id" : "ITEM-1", "itemData" : { "DOI" : "10.1136/jech-2013-202820", "ISBN" : "0143-005x", "ISSN" : "1470-2738", "PMID" : "22156662", "abstract" : "BACKGROUND: 'Active ageing' has been promoted as a strategy for extending quality of life and healthy life expectancy. However, there is limited evidence from nationally representative longitudinal studies on whether engagement among older adults is associated with better outcomes and few studies have considered possible bias arising from differential study attrition. METHODS: We investigate associations between the engagement of people aged 50-69 in three types of activity with self-rated health and depression 2 years later using nationally representative longitudinal data from four European countries (Denmark, France, Italy and England). Data were drawn from waves 1 and 2 of the Survey of Health, Ageing and Retirement in Europe and the English Longitudinal Study of Ageing. Multivariable analysis was used to analyse associations between baseline activity and outcomes at follow-up controlling for socioeconomic, demographic and health-related variables at baseline. Multiple imputation techniques and sensitivity analyses were undertaken to investigate possible bias arising from sample attrition. RESULTS: Respondents in paid work at baseline were less likely to be depressed or to report poor or fair health at follow-up than those who were 'inactive', although not in Italy. Engagement in formal and informal activities was not significantly associated with health at follow-up. Sensitivity analyses showed that assuming that those in bad health were over-represented among study attritors weakened the association between work at baseline and health at follow-up. CONCLUSIONS: Engagement in paid work may help maintain health in later life, although mechanisms and contextual influences need further investigation.", "author" : [ { "dropping-particle" : "", "family" : "Gessa", "given" : "Giorgio", "non-dropping-particle" : "Di", "parse-names" : false, "suffix" : "" }, { "dropping-particle" : "", "family" : "Grundy", "given" : "Emily", "non-dropping-particle" : "", "parse-names" : false, "suffix" : "" } ], "container-title" : "Journal of Epidemiology and Community Health", "id" : "ITEM-1", "issue" : "3", "issued" : { "date-parts" : [ [ "2013" ] ] }, "note" : "Gessa, Grundy 2013: The relationship between active ageing and health using longitudinal data from Denmark, France, Italy and England\n\u2018Active ageing\u2019 has been promoted as a strategy for extending quality of life and healthy life expectancy\nEngagement of older people occurs within a socio-political context and may be influenced by the provision of services and generosity of benefits, pension schemes and labour, retirement and early retirement policies, as well as norms and values.14 15 It is well recognised that these contextual factors vary within Europe, and typologies have been developed that group together countries with similar policies\nEngagement in formal and informal activities was not significantly associated with health at follow-up - higher attrition\nof ill respondents\npossitive impact of work in three countries except Italy\npaid work - prestige, power, status + physical activity + economic resources\nNo associations were found between engagement in the other types of activity considered and either depression or SRH\nEngagement in paid work may help maintain health in later life, although mechanisms and contextual influences need further investigation\n\u2192\nIndividual consequences of volunteer and paid work in old age: health and mortality\nIs work good for your health and well-being?\nPolicy and practices relating to the active engagement of older people in the community\nVariations in older people\u2019s social and productive ageing activities across different social welfare regimes", "page" : "261-267", "title" : "The relationship between active ageing and health using longitudinal data from Denmark, France, Italy and England", "type" : "article-journal", "volume" : "68" }, "uris" : [ "http://www.mendeley.com/documents/?uuid=099505a4-8bdf-490c-ae2d-b130a8bcf814" ] }, { "id" : "ITEM-2", "itemData" : { "DOI" : "10.1007/s10433-010-0163-3", "ISBN" : "1613-9372", "ISSN" : "16139372", "abstract" : "Population ageing changes profoundly the current balance between generations. Governments are responding with policies to promote later retirement and family care, but these ideals may come in conflict in mid-life when family obligations can be hard to reconcile with employment. Yet we know little about the prevalence of being \"sandwiched\", and even less about the consequences. This article maps out the prevalence of different forms of family and work sandwiching for the Norwegian population, and explores adaptive strategies and psycho-social outcomes. The analyses are based on data from the NorLAG and LOGG studies (n = 15 109, age 18-84). Preliminary findings indicate that 75-80% of the population are located in-between younger and older family generations in mid-life, the great majority are at the same time in paid work, but comparatively few (8-9% aged 35-45) have both children and parents in need at the same time, and fewer still (3%) are then also caregivers to older parents. Although few in proportion of their age group, they add up to a considerable number of persons. Women are more likely to reduce work in response to family needs than men. Implications of family and work sandwiching for health and well-being are analysed. \u00a9 2010 Springer-Verlag.", "author" : [ { "dropping-particle" : "", "family" : "Daatland", "given" : "Svein Olav", "non-dropping-particle" : "", "parse-names" : false, "suffix" : "" }, { "dropping-particle" : "", "family" : "Veenstra", "given" : "Marijke", "non-dropping-particle" : "", "parse-names" : false, "suffix" : "" }, { "dropping-particle" : "", "family" : "Lima", "given" : "Ivar A.", "non-dropping-particle" : "", "parse-names" : false, "suffix" : "" } ], "container-title" : "European Journal of Ageing", "id" : "ITEM-2", "issue" : "4", "issued" : { "date-parts" : [ [ "2010" ] ] }, "page" : "271-281", "title" : "Norwegian sandwiches: On the prevalence and consequences of family and work role squeezes over the life course", "type" : "article-journal", "volume" : "7" }, "uris" : [ "http://www.mendeley.com/documents/?uuid=c1eb358a-9caf-403f-9959-f499ef63b4b6" ] } ], "mendeley" : { "formattedCitation" : "(Daatland et al. 2010; Di Gessa and Grundy 2013)", "plainTextFormattedCitation" : "(Daatland et al. 2010; Di Gessa and Grundy 2013)", "previouslyFormattedCitation" : "(Daatland et al. 2010; Di Gessa and Grundy 2013)" }, "properties" : { "noteIndex" : 0 }, "schema" : "https://github.com/citation-style-language/schema/raw/master/csl-citation.json" }</w:instrText>
      </w:r>
      <w:r w:rsidRPr="00C3671E">
        <w:rPr>
          <w:lang w:eastAsia="zh-CN"/>
        </w:rPr>
        <w:fldChar w:fldCharType="separate"/>
      </w:r>
      <w:r w:rsidR="00A91559" w:rsidRPr="00C3671E">
        <w:rPr>
          <w:noProof/>
          <w:lang w:eastAsia="zh-CN"/>
        </w:rPr>
        <w:t>(Daatland et al. 2010; Di Gessa and Grundy 2013)</w:t>
      </w:r>
      <w:r w:rsidRPr="00C3671E">
        <w:rPr>
          <w:lang w:eastAsia="zh-CN"/>
        </w:rPr>
        <w:fldChar w:fldCharType="end"/>
      </w:r>
      <w:r w:rsidRPr="00C3671E">
        <w:rPr>
          <w:lang w:eastAsia="zh-CN"/>
        </w:rPr>
        <w:t xml:space="preserve">. The inconsistency of previous studies suggests that the effect of working longer vs. retirement depends on certain conditions, such as characteristics of the individual </w:t>
      </w:r>
      <w:r w:rsidRPr="00C3671E">
        <w:rPr>
          <w:lang w:eastAsia="zh-CN"/>
        </w:rPr>
        <w:fldChar w:fldCharType="begin" w:fldLock="1"/>
      </w:r>
      <w:r w:rsidR="001257AA" w:rsidRPr="00C3671E">
        <w:rPr>
          <w:lang w:eastAsia="zh-CN"/>
        </w:rPr>
        <w:instrText>ADDIN CSL_CITATION { "citationItems" : [ { "id" : "ITEM-1", "itemData" : { "DOI" : "10.1016/j.socec.2011.05.010", "ISBN" : "1053-5357", "ISSN" : "10535357", "abstract" : "This paper examines a wide range of determinants of retiree well-being of retirees. Using data from the 2000 Health and Retirement Study, increases in economic factors such as income lead to higher well-being, although relative income has a larger effect than absolute income. The strongest predictors are the voluntariness of entering retirement, pension characteristics, and health. Retirees \" forced\" to retire or have defined contribution pensions or bad health have significantly lower well-being. The results suggest a more nuanced approach in addressing retiree well-being than just a focus on the economic well-being of retirees. ?? 2011 Elsevier Inc.", "author" : [ { "dropping-particle" : "", "family" : "Bender", "given" : "Keith A.", "non-dropping-particle" : "", "parse-names" : false, "suffix" : "" } ], "container-title" : "Journal of Socio-Economics", "id" : "ITEM-1", "issue" : "4", "issued" : { "date-parts" : [ [ "2012" ] ] }, "page" : "424-433", "publisher" : "Elsevier Inc.", "title" : "An analysis of well-being in retirement: The role of pensions, health, and 'voluntariness' of retirement", "type" : "article-journal", "volume" : "41" }, "uris" : [ "http://www.mendeley.com/documents/?uuid=b93971aa-9931-4825-9234-2662dd4edc6f" ] }, { "id" : "ITEM-2", "itemData" : { "DOI" : "10.1016/j.jvb.2008.12.010", "ISBN" : "0415384818", "ISSN" : "00018791", "abstract" : "This cross-sectional study examines three predictors of retirement adjustment: individual (demographic and health), psychosocial (work centrality), and organizational (conditions of workforce exit). It also examines the effect of work centrality on post-retirement activity levels. Survey data was collected from 394 retirees (aged 45-93 years). Results suggested that better psychological health, higher income, and being married predicted better retirement adjustment. Work centrality was neither related to retirement adjustment nor to post-retirement activity levels. Conditions of exit significantly predicted retirement adjustment, even after controlling for lower-level individual and psychosocial influences. Practical implications for the design of retirement planning programs and organizational exit strategies are discussed. ?? 2009 Elsevier Inc. All rights reserved.", "author" : [ { "dropping-particle" : "", "family" : "Wong", "given" : "Jessica Y.", "non-dropping-particle" : "", "parse-names" : false, "suffix" : "" }, { "dropping-particle" : "", "family" : "Earl", "given" : "Joanne K.", "non-dropping-particle" : "", "parse-names" : false, "suffix" : "" } ], "container-title" : "Journal of Vocational Behavior", "id" : "ITEM-2", "issue" : "1", "issued" : { "date-parts" : [ [ "2009" ] ] }, "note" : "Wong, Earl 2009: Towards an integrated model of individual, psychosocial, and organizational predictors of retirement adjustment\nAccording to role theory (e.g., George, 1993), individuals occupy a number of roles, each critical to the self concept and\npersonal identity\nThis cross-sectional study examines three predictors of retirement adjustment: individual (demographic and health), psychosocial (work centrality), and organizational (conditions of workforce exit)\nbetter psychological health, higher income, and being married predicted better retire- ment adjustment\nWork centrality was neither related to retirement adjustment nor to post-retirement activity levels", "page" : "1-13", "publisher" : "Elsevier Inc.", "title" : "Towards an integrated model of individual, psychosocial, and organizational predictors of retirement adjustment", "type" : "article-journal", "volume" : "75" }, "uris" : [ "http://www.mendeley.com/documents/?uuid=482f55ba-6cce-4d84-8512-ed86b3be5b64" ] }, { "id" : "ITEM-3", "itemData" : { "DOI" : "10.1177/0027950109345236", "ISBN" : "0027-9501, 0027-9501", "ISSN" : "0027-9501", "abstract" : "While much has been made of the value of employment relative to unemployment, much less is known about the value of work relative to retirement. Here we use two European panel datasets to show first that psychological well-being (measured on the EURO-D and GHQ scales) barely changes on average when individuals retire. However, there is a great deal of heterogeneity in the size of this change between job type and between individuals. Some gain on leaving work, while others experience substantial falls in well-being on retiring, suggesting that they may have preferred to carry on working. We suggest that the results of these analyses can help to inform policy aiming to encourage labour supply by older workers.", "author" : [ { "dropping-particle" : "", "family" : "Clark", "given" : "Andrew E", "non-dropping-particle" : "", "parse-names" : false, "suffix" : "" }, { "dropping-particle" : "", "family" : "Fawaz", "given" : "Yarine", "non-dropping-particle" : "", "parse-names" : false, "suffix" : "" } ], "container-title" : "National Institute Economic Review", "id" : "ITEM-3", "issue" : "1", "issued" : { "date-parts" : [ [ "2009" ] ] }, "page" : "88-103", "title" : "Valuing jobs via retirement: European Evidence", "type" : "article-journal", "volume" : "209" }, "uris" : [ "http://www.mendeley.com/documents/?uuid=f95f195c-cc3d-4968-8d7f-4b29c854cbf4" ] } ], "mendeley" : { "formattedCitation" : "(Bender 2012; Clark and Fawaz 2009; Wong and Earl 2009)", "plainTextFormattedCitation" : "(Bender 2012; Clark and Fawaz 2009; Wong and Earl 2009)", "previouslyFormattedCitation" : "(Bender 2012; Clark and Fawaz 2009; Wong and Earl 2009)" }, "properties" : { "noteIndex" : 0 }, "schema" : "https://github.com/citation-style-language/schema/raw/master/csl-citation.json" }</w:instrText>
      </w:r>
      <w:r w:rsidRPr="00C3671E">
        <w:rPr>
          <w:lang w:eastAsia="zh-CN"/>
        </w:rPr>
        <w:fldChar w:fldCharType="separate"/>
      </w:r>
      <w:r w:rsidR="00A91559" w:rsidRPr="00C3671E">
        <w:rPr>
          <w:noProof/>
          <w:lang w:eastAsia="zh-CN"/>
        </w:rPr>
        <w:t>(Bender 2012; Clark and Fawaz 2009; Wong and Earl 2009)</w:t>
      </w:r>
      <w:r w:rsidRPr="00C3671E">
        <w:rPr>
          <w:lang w:eastAsia="zh-CN"/>
        </w:rPr>
        <w:fldChar w:fldCharType="end"/>
      </w:r>
      <w:r w:rsidRPr="00C3671E">
        <w:rPr>
          <w:lang w:eastAsia="zh-CN"/>
        </w:rPr>
        <w:t xml:space="preserve">, stage of retirement </w:t>
      </w:r>
      <w:r w:rsidRPr="00C3671E">
        <w:rPr>
          <w:lang w:eastAsia="zh-CN"/>
        </w:rPr>
        <w:fldChar w:fldCharType="begin" w:fldLock="1"/>
      </w:r>
      <w:r w:rsidR="001257AA" w:rsidRPr="00C3671E">
        <w:rPr>
          <w:lang w:eastAsia="zh-CN"/>
        </w:rPr>
        <w:instrText>ADDIN CSL_CITATION { "citationItems" : [ { "id" : "ITEM-1", "itemData" : { "DOI" : "Doi 10.1017/S0144686x08008179", "ISBN" : "0144-686X", "ISSN" : "0144-686X", "abstract" : "Given the increased heterogeneity of the transition from work to retirement, this study aimed to analyse the associations between different reasons for retirement and psychosocial wellbeing as a pensioner. The study used data from the Swedish Panel Survey of Ageing and the Elderly (PSAE), a nationally representative survey of the living conditions of older people in Sweden. The results show that almost one-half of all pensioners cited health problems as a contributory reason for ceasing work. Furthermore, those who retired for 'push' reasons, such as health problems or labour market factors, experienced lower psychosocial wellbeing than those who retired For other reasons. Moreover, the results show that those who were able to influence the time of their retirement enjoyed better psychosocial wellbeing than those who had little or no opportunity to do so. This was true when controlling for other factors relevant to the wellbeing of pensioners. The results lend support to the argument that, if a mail's retirement is instigated because his skills are no longer required, there will be a decidedly negative effect on his wellbeing and that this effect is stronger than the equivalent impact oil a woman's wellbeing. In relation to previous findings in this field, the results make it clear that retirement is far from a uniform process or state.", "author" : [ { "dropping-particle" : "", "family" : "Nordenmark", "given" : "Mikael", "non-dropping-particle" : "", "parse-names" : false, "suffix" : "" }, { "dropping-particle" : "", "family" : "Stattin", "given" : "Mikael", "non-dropping-particle" : "", "parse-names" : false, "suffix" : "" } ], "container-title" : "Ageing &amp; Society", "id" : "ITEM-1", "issue" : "May", "issued" : { "date-parts" : [ [ "2009" ] ] }, "page" : "413-430", "title" : "Psychosocial wellbeing and reasons for retirement in Sweden", "type" : "article-journal", "volume" : "29" }, "uris" : [ "http://www.mendeley.com/documents/?uuid=b75db940-cd46-4e37-8351-fad87bff7d29" ] }, { "id" : "ITEM-2", "itemData" : { "DOI" : "10.1093/geronb/59.5.P233", "ISBN" : "1079-5014 (Print)", "ISSN" : "1079-5014", "PMID" : "15358796", "abstract" : "With hypotheses derived from a life course perspective in conjunction with life event stress and role theories, we examine whether a spouse's employment and length of retirement affect a person's postretirement depressive symptoms and whether such effects differ by gender. Analyses use pooled data from Waves 1-4 of the Health and Retirement Survey, using a subsample of married individuals who either remained continuously employed over time or completely retired since the Wave 1 interviews (N = 2,695). Recently retired men seem to be negatively affected by their spouses' continuous employment when compared with men whose wives were continuously not employed. In contrast, spouses' joint retirement has a beneficial influence on both recently retired and longer-retired men. However, for recently retired men, the positive effect of wives' retirement seems to be contingent on spouses' enjoyment of joint activities. Among women, effects of spouses' employment occur only among very recently retired wives (0-6 months). These wives report more depressive symptoms if their spouses were already nonemployed prior to wives' retirement. These results demonstrate the complexity of retirement adaptation processes and suggest that marital context plays an important role in retirement well-being.", "author" : [ { "dropping-particle" : "", "family" : "Szinovacz", "given" : "Maximiliane E", "non-dropping-particle" : "", "parse-names" : false, "suffix" : "" }, { "dropping-particle" : "", "family" : "Davey", "given" : "Adam", "non-dropping-particle" : "", "parse-names" : false, "suffix" : "" } ], "container-title" : "The journals of gerontology: Psychological sciences", "id" : "ITEM-2", "issue" : "5", "issued" : { "date-parts" : [ [ "2004" ] ] }, "note" : "Szinovacz, Davey 2004: Honeymoons and Joint Lunches: Effects of Retirement and Spouse\u2019s \nEmployment on Depressive Symptoms\nEarlier studies on postretirement well-being focused either on retirees\u2019 activities and roles or on selected resources such as health, finances, or marital status\ncontexts of retirement according to the life.course theory: former work roles and work history, health, finances, and marital status\nretirement contexts and retirement meanings vary by gender\nretirement phases: honeymoon, disenchantment, reorientation, stability, and termination (Atchley 1976)\nWaves 1\u20134 of the Health and Retirement Survey - married individuals who either remained continuously employed over time or completely retired since the Wave 1\nThe analyses pool persons who retired between Waves 1 and 2, Waves 2 and 3, and Waves 3 and 4\nRecently retired men seem to be negatively affected by their spouses\u2019 continuous employment\nspouses\u2019 joint retirement has a beneficial influence on both recently retired and longer- retired men\nnot many effects of husband's employment for women\nthe honeymoon may last longer among men than among women\nhigher depression of retired men with employed women - conflicts over household works, lonelyness+boredom, loss of the role of breadwinner and status\nAlthough we control for \u2018\u2018forced\u2019\u2019 retirement and health in the analyses, these controls may not capture the full range of adverse retirement circumstances\ncomplexity of retirement adaptation processes, marital context plays an important role in retirement well-being", "page" : "233-245", "title" : "Honeymoons and joint lunches: effects of retirement and spouse's employment on depressive symptoms", "type" : "article-journal", "volume" : "59" }, "uris" : [ "http://www.mendeley.com/documents/?uuid=0cc6f073-0890-45e1-9dcd-c29a27cd0bbe" ] } ], "mendeley" : { "formattedCitation" : "(Nordenmark and Stattin 2009; Szinovacz and Davey 2004)", "plainTextFormattedCitation" : "(Nordenmark and Stattin 2009; Szinovacz and Davey 2004)", "previouslyFormattedCitation" : "(Nordenmark and Stattin 2009; Szinovacz and Davey 2004)" }, "properties" : { "noteIndex" : 0 }, "schema" : "https://github.com/citation-style-language/schema/raw/master/csl-citation.json" }</w:instrText>
      </w:r>
      <w:r w:rsidRPr="00C3671E">
        <w:rPr>
          <w:lang w:eastAsia="zh-CN"/>
        </w:rPr>
        <w:fldChar w:fldCharType="separate"/>
      </w:r>
      <w:r w:rsidR="00A91559" w:rsidRPr="00C3671E">
        <w:rPr>
          <w:noProof/>
          <w:lang w:eastAsia="zh-CN"/>
        </w:rPr>
        <w:t>(Nordenmark and Stattin 2009; Szinovacz and Davey 2004)</w:t>
      </w:r>
      <w:r w:rsidRPr="00C3671E">
        <w:rPr>
          <w:lang w:eastAsia="zh-CN"/>
        </w:rPr>
        <w:fldChar w:fldCharType="end"/>
      </w:r>
      <w:r w:rsidRPr="00C3671E">
        <w:rPr>
          <w:lang w:eastAsia="zh-CN"/>
        </w:rPr>
        <w:t xml:space="preserve">, context of retirement </w:t>
      </w:r>
      <w:r w:rsidRPr="00C3671E">
        <w:rPr>
          <w:lang w:eastAsia="zh-CN"/>
        </w:rPr>
        <w:fldChar w:fldCharType="begin" w:fldLock="1"/>
      </w:r>
      <w:r w:rsidR="001257AA" w:rsidRPr="00C3671E">
        <w:rPr>
          <w:lang w:eastAsia="zh-CN"/>
        </w:rPr>
        <w:instrText>ADDIN CSL_CITATION { "citationItems" : [ { "id" : "ITEM-1", "itemData" : { "author" : [ { "dropping-particle" : "", "family" : "Kim", "given" : "Jungmeen E", "non-dropping-particle" : "", "parse-names" : false, "suffix" : "" }, { "dropping-particle" : "", "family" : "Moen", "given" : "Phyllis", "non-dropping-particle" : "", "parse-names" : false, "suffix" : "" } ], "container-title" : "Journal of Gerontology: Psychological Series", "id" : "ITEM-1", "issue" : "3", "issued" : { "date-parts" : [ [ "2002" ] ] }, "note" : "Kim, Moen 2002: Retirement Transitions, Gender, and Psychological Well-Being: A Life-Course, Ecological Model\nlongitudinal: retirement\u2192well-being (morale scale, CES-D); married 50-72\nmultiple imputations of missing values\nmoving out from demanding job loosing occupational attachments, network, and anchor for identity\nrole theory + life-course perspetive \u2192 role enhancement X role strain\ncontinuity theory - maintaining patterns, stability\na life-course, ecological model - best for this issue\n- locating transitions in the social contexts of other roles, relations, and developmental processes\n- process, linked lives, context\nthe relationship between retirement and psychological well-being must be viewed in a temporal, life course context\nmaking the transition to retirement within the last 2 years is associated with higher levels of morale for men, whereas being \u201ccontinuously\u201d retired is related to greater depressive symptoms among men\n- enjoyable \u201choneymoon\u201d phase proposed by Atchley (1976b) - right after the event of retirement there often is a euphoric, busy, honeymoon phase\nthe importance of resources and contexts of transitions (gender, prior level of well-being, spouses\u2019 circumstance, and changes in personal control, marital quality, subjective health, and income adequacy\n\u2192\nWomen\u2019s retirement: Policy implications of recent research\nIs retirement good or bad for subjective well-being?\nCouples\u2019 work/retirement transitions, gender, and marital quality\nMen\u2019s retirement and marital quality\nVolunteering and mortality among older adults: Findings from a national sample\nThe retiree identity: Gender and race differences", "page" : "212-222", "title" : "Retirement Transitions, Gender, and Psychological Well-Being: A Life-Course , Ecological Model", "type" : "article-journal", "volume" : "57" }, "uris" : [ "http://www.mendeley.com/documents/?uuid=d324d834-c4ee-483d-b637-cc2ca78095c1" ] }, { "id" : "ITEM-2", "itemData" : { "DOI" : "10.2190/8Q46-GJX4-M2VM-W60V", "ISBN" : "0091-4150 (Print)", "ISSN" : "0091-4150", "PMID" : "16454480", "abstract" : "This study explores how grandchild care in conjunction with grandparents' retirement affects depressive symptoms, using data from the Health and Retirement Survey. The findings demonstrate that retirement moderates the influence of grandchild care obligations on well-being, measured by depressive symptoms. For retired men, freedom from grandchild care obligations is associated with heightened well-being. Among women, continued employment seems to protect against potential negative effects of extensive grandchild care obligations on well-being. The results for men seem most in line with the argument that family care obligations spoil retirement, whereas the results for women suggest a scenario that is most compatible with the role enhancement thesis.", "author" : [ { "dropping-particle" : "", "family" : "Szinovacz", "given" : "Maximiliane E", "non-dropping-particle" : "", "parse-names" : false, "suffix" : "" }, { "dropping-particle" : "", "family" : "Davey", "given" : "Adam", "non-dropping-particle" : "", "parse-names" : false, "suffix" : "" } ], "container-title" : "International journal of aging &amp; human development", "id" : "ITEM-2", "issue" : "1", "issued" : { "date-parts" : [ [ "2006" ] ] }, "page" : "1-20", "title" : "Effects of retirement and grandchild care on depressive symptoms.", "type" : "article-journal", "volume" : "62" }, "uris" : [ "http://www.mendeley.com/documents/?uuid=8f001e1e-4a57-4a2b-8d78-1d7814bf6fe2" ] } ], "mendeley" : { "formattedCitation" : "(Kim and Moen 2002; Szinovacz and Davey 2006)", "plainTextFormattedCitation" : "(Kim and Moen 2002; Szinovacz and Davey 2006)", "previouslyFormattedCitation" : "(Kim and Moen 2002; Szinovacz and Davey 2006)" }, "properties" : { "noteIndex" : 0 }, "schema" : "https://github.com/citation-style-language/schema/raw/master/csl-citation.json" }</w:instrText>
      </w:r>
      <w:r w:rsidRPr="00C3671E">
        <w:rPr>
          <w:lang w:eastAsia="zh-CN"/>
        </w:rPr>
        <w:fldChar w:fldCharType="separate"/>
      </w:r>
      <w:r w:rsidR="00A91559" w:rsidRPr="00C3671E">
        <w:rPr>
          <w:noProof/>
          <w:lang w:eastAsia="zh-CN"/>
        </w:rPr>
        <w:t>(Kim and Moen 2002; Szinovacz and Davey 2006)</w:t>
      </w:r>
      <w:r w:rsidRPr="00C3671E">
        <w:rPr>
          <w:lang w:eastAsia="zh-CN"/>
        </w:rPr>
        <w:fldChar w:fldCharType="end"/>
      </w:r>
      <w:r w:rsidRPr="00C3671E">
        <w:rPr>
          <w:lang w:eastAsia="zh-CN"/>
        </w:rPr>
        <w:t xml:space="preserve">, and characteristics of the retirement transition </w:t>
      </w:r>
      <w:r w:rsidRPr="00C3671E">
        <w:rPr>
          <w:lang w:eastAsia="zh-CN"/>
        </w:rPr>
        <w:fldChar w:fldCharType="begin" w:fldLock="1"/>
      </w:r>
      <w:r w:rsidR="001257AA" w:rsidRPr="00C3671E">
        <w:rPr>
          <w:lang w:eastAsia="zh-CN"/>
        </w:rPr>
        <w:instrText>ADDIN CSL_CITATION { "citationItems" : [ { "id" : "ITEM-1", "itemData" : { "DOI" : "10.1080/01490400902988275", "ISBN" : "0882-7974 (Print)\\r0882-7974 (Linking)", "ISSN" : "0149-0400", "PMID" : "17874946", "abstract" : "Contradictory positions have been advanced as to whether retirement has negative, positive, or no effects on subjective well-being. The authors investigated changes in life satisfaction in 1,456 German retirees. Using latent growth mixture modeling, the authors found 3 groups of people who experienced retirement differently. In Group 1, satisfaction declined at retirement but continued on a stable or increasing trajectory thereafter. Group 2 demonstrated a large increase in satisfaction at retirement but overall declining satisfaction. In Group 3, satisfaction showed a temporary very small increase at retirement. Groups differed by retirement age, gender, socioeconomic status, marital status, health, unemployment before retiring, and region. Thus, retirement is not a uniform transition, and resource-rich individuals are less likely to experience retirement-related change in satisfaction.", "author" : [ { "dropping-particle" : "", "family" : "Pinquart", "given" : "Martin", "non-dropping-particle" : "", "parse-names" : false, "suffix" : "" }, { "dropping-particle" : "", "family" : "Schindler", "given" : "Ines", "non-dropping-particle" : "", "parse-names" : false, "suffix" : "" } ], "container-title" : "Psychology and Aging", "id" : "ITEM-1", "issue" : "3", "issued" : { "date-parts" : [ [ "2007" ] ] }, "note" : "Pinquart, Schindler 2007: Changes of Life Satisfaction in the Transition to Retirement: A Latent-Class Approach\nthe authors found 3 groups of people who experienced retirement differently: 1. satisfaction declined and become stable or increasing, 2. large increase followed by overall decline (men), 3. a temporary small increase (dominant group with many married people)\nmultinomial logistic regression of differences between classes\ngroups differed in many personal chracteristics\nresource-rich individuals are less likely to experience retirement-related change in satisfaction\nSociological role theory points to employment as a fundamental\nrole\ncontinuity theory would suggest that retirement may be psychologically stressful because of the discontinuity in a central role or because individuals experience rolelessness\nAtchley (1974, 1976) has suggested a process model of retirement adjustment - Anticipatory attitudes etc.", "page" : "442-455", "title" : "Changes of life satisfaction in the transition to retirement: a latent-class approach", "type" : "article-journal", "volume" : "22" }, "uris" : [ "http://www.mendeley.com/documents/?uuid=d5c3e2c1-0130-4b23-b2b3-698c31b6e4e4" ] }, { "id" : "ITEM-2", "itemData" : { "DOI" : "Doi 10.1017/S0144686x08008179", "ISBN" : "0144-686X", "ISSN" : "0144-686X", "abstract" : "Given the increased heterogeneity of the transition from work to retirement, this study aimed to analyse the associations between different reasons for retirement and psychosocial wellbeing as a pensioner. The study used data from the Swedish Panel Survey of Ageing and the Elderly (PSAE), a nationally representative survey of the living conditions of older people in Sweden. The results show that almost one-half of all pensioners cited health problems as a contributory reason for ceasing work. Furthermore, those who retired for 'push' reasons, such as health problems or labour market factors, experienced lower psychosocial wellbeing than those who retired For other reasons. Moreover, the results show that those who were able to influence the time of their retirement enjoyed better psychosocial wellbeing than those who had little or no opportunity to do so. This was true when controlling for other factors relevant to the wellbeing of pensioners. The results lend support to the argument that, if a mail's retirement is instigated because his skills are no longer required, there will be a decidedly negative effect on his wellbeing and that this effect is stronger than the equivalent impact oil a woman's wellbeing. In relation to previous findings in this field, the results make it clear that retirement is far from a uniform process or state.", "author" : [ { "dropping-particle" : "", "family" : "Nordenmark", "given" : "Mikael", "non-dropping-particle" : "", "parse-names" : false, "suffix" : "" }, { "dropping-particle" : "", "family" : "Stattin", "given" : "Mikael", "non-dropping-particle" : "", "parse-names" : false, "suffix" : "" } ], "container-title" : "Ageing &amp; Society", "id" : "ITEM-2", "issue" : "May", "issued" : { "date-parts" : [ [ "2009" ] ] }, "page" : "413-430", "title" : "Psychosocial wellbeing and reasons for retirement in Sweden", "type" : "article-journal", "volume" : "29" }, "uris" : [ "http://www.mendeley.com/documents/?uuid=b75db940-cd46-4e37-8351-fad87bff7d29" ] }, { "id" : "ITEM-3", "itemData" : { "DOI" : "10.1016/j.socec.2011.05.010", "ISBN" : "1053-5357", "ISSN" : "10535357", "abstract" : "This paper examines a wide range of determinants of retiree well-being of retirees. Using data from the 2000 Health and Retirement Study, increases in economic factors such as income lead to higher well-being, although relative income has a larger effect than absolute income. The strongest predictors are the voluntariness of entering retirement, pension characteristics, and health. Retirees \" forced\" to retire or have defined contribution pensions or bad health have significantly lower well-being. The results suggest a more nuanced approach in addressing retiree well-being than just a focus on the economic well-being of retirees. ?? 2011 Elsevier Inc.", "author" : [ { "dropping-particle" : "", "family" : "Bender", "given" : "Keith A.", "non-dropping-particle" : "", "parse-names" : false, "suffix" : "" } ], "container-title" : "Journal of Socio-Economics", "id" : "ITEM-3", "issue" : "4", "issued" : { "date-parts" : [ [ "2012" ] ] }, "page" : "424-433", "publisher" : "Elsevier Inc.", "title" : "An analysis of well-being in retirement: The role of pensions, health, and 'voluntariness' of retirement", "type" : "article-journal", "volume" : "41" }, "uris" : [ "http://www.mendeley.com/documents/?uuid=b93971aa-9931-4825-9234-2662dd4edc6f" ] } ], "mendeley" : { "formattedCitation" : "(Bender 2012; Nordenmark and Stattin 2009; Pinquart and Schindler 2007)", "plainTextFormattedCitation" : "(Bender 2012; Nordenmark and Stattin 2009; Pinquart and Schindler 2007)", "previouslyFormattedCitation" : "(Bender 2012; Nordenmark and Stattin 2009; Pinquart and Schindler 2007)" }, "properties" : { "noteIndex" : 0 }, "schema" : "https://github.com/citation-style-language/schema/raw/master/csl-citation.json" }</w:instrText>
      </w:r>
      <w:r w:rsidRPr="00C3671E">
        <w:rPr>
          <w:lang w:eastAsia="zh-CN"/>
        </w:rPr>
        <w:fldChar w:fldCharType="separate"/>
      </w:r>
      <w:r w:rsidR="00A91559" w:rsidRPr="00C3671E">
        <w:rPr>
          <w:noProof/>
          <w:lang w:eastAsia="zh-CN"/>
        </w:rPr>
        <w:t>(Bender 2012; Nordenmark and Stattin 2009; Pinquart and Schindler 2007)</w:t>
      </w:r>
      <w:r w:rsidRPr="00C3671E">
        <w:rPr>
          <w:lang w:eastAsia="zh-CN"/>
        </w:rPr>
        <w:fldChar w:fldCharType="end"/>
      </w:r>
      <w:r w:rsidRPr="00C3671E">
        <w:rPr>
          <w:lang w:eastAsia="zh-CN"/>
        </w:rPr>
        <w:t>. The thesis addresses another intervening factor in the relationship between prolonged employment and quality of life, which is the role of macro-context.</w:t>
      </w:r>
    </w:p>
    <w:p w14:paraId="7E001338" w14:textId="4E2BB5AE" w:rsidR="00676326" w:rsidRPr="00C3671E" w:rsidRDefault="00676326" w:rsidP="00676326">
      <w:pPr>
        <w:pStyle w:val="Newparagraph"/>
        <w:jc w:val="both"/>
        <w:rPr>
          <w:lang w:eastAsia="zh-CN"/>
        </w:rPr>
      </w:pPr>
      <w:r w:rsidRPr="00C3671E">
        <w:rPr>
          <w:lang w:eastAsia="zh-CN"/>
        </w:rPr>
        <w:t xml:space="preserve">The conclusion of the propensity score matching analysis conducted separately for four European regions is that the effect of working in later life clearly differs across Europe. Southern and Post-communist Europe evince positive effect of working longer, while the opposite effect was found for Northern and Western Europe. The analysis for subdomains of subjective QoL separately reveals that employment increases control over life and pleasure in South/East and decreases autonomy in North/West of Europe. Though a direct evidence for this </w:t>
      </w:r>
      <w:r w:rsidRPr="00C3671E">
        <w:rPr>
          <w:lang w:eastAsia="zh-CN"/>
        </w:rPr>
        <w:lastRenderedPageBreak/>
        <w:t xml:space="preserve">claim is missing, these differences can be explained rather by economic than institutional or cultural macro-factors. Hence, paid job in later life may prevent from deterioration of living standard in less wealthy parts of Europe and lead to slightly higher quality of life compared to retirement, although QoL is higher for both groups in more wealthy regions. The economic resources are far from being the only significant social force </w:t>
      </w:r>
      <w:r w:rsidRPr="00C3671E">
        <w:rPr>
          <w:lang w:eastAsia="zh-CN"/>
        </w:rPr>
        <w:fldChar w:fldCharType="begin" w:fldLock="1"/>
      </w:r>
      <w:r w:rsidR="001257AA" w:rsidRPr="00C3671E">
        <w:rPr>
          <w:lang w:eastAsia="zh-CN"/>
        </w:rPr>
        <w:instrText>ADDIN CSL_CITATION { "citationItems" : [ { "id" : "ITEM-1", "itemData" : { "author" : [ { "dropping-particle" : "", "family" : "Bourdieu", "given" : "Pierre Felix", "non-dropping-particle" : "", "parse-names" : false, "suffix" : "" } ], "chapter-number" : "9", "container-title" : "Handbook of theory and research for the sociology of education", "editor" : [ { "dropping-particle" : "", "family" : "Richardson", "given" : "John G.", "non-dropping-particle" : "", "parse-names" : false, "suffix" : "" } ], "id" : "ITEM-1", "issued" : { "date-parts" : [ [ "1986" ] ] }, "page" : "241-260", "publisher" : "Greenwood Press", "publisher-place" : "New York", "title" : "The Forms of Capital", "type" : "chapter" }, "uris" : [ "http://www.mendeley.com/documents/?uuid=9878b63f-e436-4a0a-bde1-3676b41ea4d3" ] }, { "id" : "ITEM-2", "itemData" : { "author" : [ { "dropping-particle" : "", "family" : "Weber", "given" : "Max", "non-dropping-particle" : "", "parse-names" : false, "suffix" : "" } ], "id" : "ITEM-2", "issued" : { "date-parts" : [ [ "2001" ] ] }, "number-of-pages" : "271", "publisher" : "Routledge", "publisher-place" : "London", "title" : "The protestant ethic and the spirit of capitalism", "type" : "book" }, "uris" : [ "http://www.mendeley.com/documents/?uuid=2d673b26-35cd-4939-bc5d-d6459576253b" ] }, { "id" : "ITEM-3", "itemData" : { "author" : [ { "dropping-particle" : "", "family" : "Inglehart", "given" : "Ronald", "non-dropping-particle" : "", "parse-names" : false, "suffix" : "" } ], "id" : "ITEM-3", "issued" : { "date-parts" : [ [ "1997" ] ] }, "publisher" : "Princeton University Press", "publisher-place" : "Princeton", "title" : "Modernization and postmodernization: Cultural, economic, and political change in 43 societies", "type" : "book" }, "uris" : [ "http://www.mendeley.com/documents/?uuid=d9d09854-470b-4e95-9b3e-bf59c6eb759b" ] } ], "mendeley" : { "formattedCitation" : "(Bourdieu 1986; Inglehart 1997; Weber 2001)", "plainTextFormattedCitation" : "(Bourdieu 1986; Inglehart 1997; Weber 2001)", "previouslyFormattedCitation" : "(Bourdieu 1986; Inglehart 1997; Weber 2001)" }, "properties" : { "noteIndex" : 0 }, "schema" : "https://github.com/citation-style-language/schema/raw/master/csl-citation.json" }</w:instrText>
      </w:r>
      <w:r w:rsidRPr="00C3671E">
        <w:rPr>
          <w:lang w:eastAsia="zh-CN"/>
        </w:rPr>
        <w:fldChar w:fldCharType="separate"/>
      </w:r>
      <w:r w:rsidR="00A91559" w:rsidRPr="00C3671E">
        <w:rPr>
          <w:noProof/>
          <w:lang w:eastAsia="zh-CN"/>
        </w:rPr>
        <w:t>(Bourdieu 1986; Inglehart 1997; Weber 2001)</w:t>
      </w:r>
      <w:r w:rsidRPr="00C3671E">
        <w:rPr>
          <w:lang w:eastAsia="zh-CN"/>
        </w:rPr>
        <w:fldChar w:fldCharType="end"/>
      </w:r>
      <w:r w:rsidRPr="00C3671E">
        <w:rPr>
          <w:lang w:eastAsia="zh-CN"/>
        </w:rPr>
        <w:t>, but in this case, they are the most important one.</w:t>
      </w:r>
    </w:p>
    <w:p w14:paraId="63EE4CAB" w14:textId="77777777" w:rsidR="00676326" w:rsidRPr="00C3671E" w:rsidRDefault="00676326" w:rsidP="00676326">
      <w:pPr>
        <w:pStyle w:val="Newparagraph"/>
        <w:jc w:val="both"/>
        <w:rPr>
          <w:lang w:eastAsia="zh-CN"/>
        </w:rPr>
      </w:pPr>
      <w:r w:rsidRPr="00C3671E">
        <w:rPr>
          <w:lang w:eastAsia="zh-CN"/>
        </w:rPr>
        <w:t>A provision of informal care is a type of activity, which shares several characteristics with prolonged employment in the context of this work. First, it is a central pillar – probably one of two most important one – of active ageing paradigm. Second, its support among older adults shifts the responsibility of individual welfare state towards individuals. Third, its overall effect on QoL differs across European regions. Finally, both of these activities are available to, and thus also beneficial for, people of certain characteristics.</w:t>
      </w:r>
    </w:p>
    <w:p w14:paraId="480029BE" w14:textId="002040AB" w:rsidR="00676326" w:rsidRPr="00C3671E" w:rsidRDefault="00676326" w:rsidP="00676326">
      <w:pPr>
        <w:pStyle w:val="Newparagraph"/>
        <w:jc w:val="both"/>
        <w:rPr>
          <w:lang w:eastAsia="zh-CN"/>
        </w:rPr>
      </w:pPr>
      <w:r w:rsidRPr="00C3671E">
        <w:rPr>
          <w:lang w:eastAsia="zh-CN"/>
        </w:rPr>
        <w:t xml:space="preserve">The analysis in chapter 4 addresses drawbacks of previous research by including all types of informal care and its impact on theoretically valid domains of QoL important in later life. Moreover, it examines multiplicity, intensity, and voluntariness of care as three decisive characteristics of caregiving. The findings of multilevel logistic regression show that provision of care has a predominantly beneficial impact on loneliness, meaningfulness of life, and overload with the even stronger positive effect of a higher number of caregiving relationships. However, this beneficial effect did not appear for intensive care provided daily. Furthermore, the resulting effect of caregiving depends on the availability of formal care in the country, which indicates to what extent can be a provision of care labelled as voluntary. The effect of caregiving is more beneficial in countries with a higher availability of formal care, but only for the less intensive provision of care. Older adults providing care weekly in a context of stronger welfare state do not benefit from the activity, which is surprising, but it is a small group deviating from </w:t>
      </w:r>
      <w:r w:rsidRPr="00C3671E">
        <w:rPr>
          <w:lang w:eastAsia="zh-CN"/>
        </w:rPr>
        <w:lastRenderedPageBreak/>
        <w:t xml:space="preserve">the patterns. Therefore, this could be specific subpopulation left behind by the social system </w:t>
      </w:r>
      <w:r w:rsidRPr="00C3671E">
        <w:rPr>
          <w:lang w:eastAsia="zh-CN"/>
        </w:rPr>
        <w:fldChar w:fldCharType="begin" w:fldLock="1"/>
      </w:r>
      <w:r w:rsidR="001257AA" w:rsidRPr="00C3671E">
        <w:rPr>
          <w:lang w:eastAsia="zh-CN"/>
        </w:rPr>
        <w:instrText>ADDIN CSL_CITATION { "citationItems" : [ { "id" : "ITEM-1", "itemData" : { "author" : [ { "dropping-particle" : "", "family" : "Fokkema", "given" : "Tineke", "non-dropping-particle" : "", "parse-names" : false, "suffix" : "" }, { "dropping-particle" : "", "family" : "Bekke", "given" : "Susan", "non-dropping-particle" : "ter", "parse-names" : false, "suffix" : "" }, { "dropping-particle" : "", "family" : "Dykstra", "given" : "Pearl", "non-dropping-particle" : "", "parse-names" : false, "suffix" : "" } ], "id" : "ITEM-1", "issued" : { "date-parts" : [ [ "2008" ] ] }, "publisher" : "Amsterdam University Press", "publisher-place" : "Amsterdam", "title" : "Solidarity between Parents and their Adult Children in Europe", "type" : "book" }, "uris" : [ "http://www.mendeley.com/documents/?uuid=fa61d8ab-c3a4-46f5-9ac9-51d7d6d9f45f" ] }, { "id" : "ITEM-2", "itemData" : { "DOI" : "10.1177/0958928711401766", "ISBN" : "0958928711", "ISSN" : "0958-9287", "abstract" : "As a consequence of increased life expectancies and the overall improved health status of elderly people in industrialized countries, grandparents and grandchildren are now sharing a longer period of their lives together, from which they can both actively benefit. In addition, grandparents help their children by looking after their grandchildren and are consequently an important service provider in the domain of childcare, especially for mothers active in the labour market. The analyses, which are based on the Survey of Health, Aging and Retirement in Europe (Austria, Belgium, Denmark, France, Germany, Greece, Italy, the Netherlands, Spain, Sweden and Switzerland), show significant country differences in the occurrence and intensity of grandchild care in Europe: whereas grandparents in southern Europe engage less often but more intensively in childcare, grandchild care is provided more often but much less intensively in northern Europe. Multilevel logistic regression models show that country-specific differences are associated with welfare state arrangements and, specifically, with public investments in childcare infrastructures. Public investments \u2018crowd in\u2019 grand- parental willingness to engage in childcare but \u2018crowd out\u2019 the intensity of this intergenerational time transfer. Family and state thus complement one another, with grandparents taking over sporadic, less time-intensive care while public institutions provide regular, time-consuming childcare services.", "author" : [ { "dropping-particle" : "", "family" : "Igel", "given" : "Corinne", "non-dropping-particle" : "", "parse-names" : false, "suffix" : "" }, { "dropping-particle" : "", "family" : "Szydlik", "given" : "Marc", "non-dropping-particle" : "", "parse-names" : false, "suffix" : "" } ], "container-title" : "Journal of European Social Policy", "id" : "ITEM-2", "issue" : "3", "issued" : { "date-parts" : [ [ "2011" ] ] }, "page" : "210-224", "title" : "Grandchild care and welfare state arrangements in Europe", "type" : "article-journal", "volume" : "21" }, "uris" : [ "http://www.mendeley.com/documents/?uuid=369c8a7e-8edd-4b60-93f4-c27b504df0cc" ] }, { "id" : "ITEM-3", "itemData" : { "DOI" : "10.1007/s10433-013-0294-4", "ISBN" : "1613-9372", "ISSN" : "1613-9372", "abstract" : "This study employs the concept of structured ambivalence to analyse the effect of grandchild care on quality of life (QoL) in different cultural contexts. We define structured ambivalence as the contradiction between behaviour and cultural norms. The analysis is based on the Survey of Health, Ageing and Retirement in Europe with 14 countries in the sample. We focus on grandparents aged 50 and over with at least one grandchild 12 years old or younger (n = 12,740). In countries with high grandparent obligations, grandparents who did not look after their grandchildren reported a lower quality of life. Compliance with such grandparental obligations (e.g. providing grandchild care in a country with high grandparent obligations) was found to increase the QoL of grandparents. Family policy should consider family practices that better match the realities of current grandparents\u2019 lives in order to reduce structured ambivalence and increase the QoL of grandparents.", "author" : [ { "dropping-particle" : "", "family" : "Neuberger", "given" : "Franz S.", "non-dropping-particle" : "", "parse-names" : false, "suffix" : "" }, { "dropping-particle" : "", "family" : "Haberkern", "given" : "Klaus", "non-dropping-particle" : "", "parse-names" : false, "suffix" : "" } ], "container-title" : "European Journal of Ageing", "id" : "ITEM-3", "issue" : "2", "issued" : { "date-parts" : [ [ "2014" ] ] }, "page" : "171-181", "title" : "Structured ambivalence in grandchild care and the quality of life among European grandparents", "type" : "article-journal", "volume" : "11" }, "uris" : [ "http://www.mendeley.com/documents/?uuid=f5b5cac1-e999-4c39-a97d-1363ab276312" ] } ], "mendeley" : { "formattedCitation" : "(Fokkema et al. 2008; Igel and Szydlik 2011; Neuberger and Haberkern 2014)", "manualFormatting" : "(Fokkema et al. 2008; Igel and Szydlik 2011; Neuberger and Haberkern 2014)", "plainTextFormattedCitation" : "(Fokkema et al. 2008; Igel and Szydlik 2011; Neuberger and Haberkern 2014)", "previouslyFormattedCitation" : "(Fokkema et al. 2008; Igel and Szydlik 2011; Neuberger and Haberkern 2014)" }, "properties" : { "noteIndex" : 0 }, "schema" : "https://github.com/citation-style-language/schema/raw/master/csl-citation.json" }</w:instrText>
      </w:r>
      <w:r w:rsidRPr="00C3671E">
        <w:rPr>
          <w:lang w:eastAsia="zh-CN"/>
        </w:rPr>
        <w:fldChar w:fldCharType="separate"/>
      </w:r>
      <w:r w:rsidRPr="00C3671E">
        <w:rPr>
          <w:noProof/>
          <w:lang w:eastAsia="zh-CN"/>
        </w:rPr>
        <w:t>(Fokkema et al. 2008; Igel and Szydlik 2011; Neuberger and Haberkern 2014)</w:t>
      </w:r>
      <w:r w:rsidRPr="00C3671E">
        <w:rPr>
          <w:lang w:eastAsia="zh-CN"/>
        </w:rPr>
        <w:fldChar w:fldCharType="end"/>
      </w:r>
      <w:r w:rsidRPr="00C3671E">
        <w:rPr>
          <w:lang w:eastAsia="zh-CN"/>
        </w:rPr>
        <w:t>.</w:t>
      </w:r>
    </w:p>
    <w:p w14:paraId="494E2DE6" w14:textId="2FADE38E" w:rsidR="00676326" w:rsidRPr="00C3671E" w:rsidRDefault="00676326" w:rsidP="00676326">
      <w:pPr>
        <w:pStyle w:val="Newparagraph"/>
        <w:jc w:val="both"/>
        <w:rPr>
          <w:lang w:eastAsia="zh-CN"/>
        </w:rPr>
      </w:pPr>
      <w:r w:rsidRPr="00C3671E">
        <w:rPr>
          <w:lang w:eastAsia="zh-CN"/>
        </w:rPr>
        <w:t xml:space="preserve">The analysis of the effect of caregiving on domains of QoL illustrates, how the effect depends on several characteristics of provided care as well as on macro-conditions. In this way, the research expands on findings that QoL generally depends on caregiving only in some regions </w:t>
      </w:r>
      <w:r w:rsidRPr="00C3671E">
        <w:rPr>
          <w:lang w:eastAsia="zh-CN"/>
        </w:rPr>
        <w:fldChar w:fldCharType="begin" w:fldLock="1"/>
      </w:r>
      <w:r w:rsidR="001257AA" w:rsidRPr="00C3671E">
        <w:rPr>
          <w:lang w:eastAsia="zh-CN"/>
        </w:rPr>
        <w:instrText>ADDIN CSL_CITATION { "citationItems" : [ { "id" : "ITEM-1", "itemData" : { "DOI" : "10.1007/s10680-014-9336-7", "ISBN" : "1068001493367", "ISSN" : "15729885", "abstract" : "We analyse the impact of the provision of care on the health and quality of life (QoL) of adult female informal caregivers using a representative sample drawn from the survey of health, ageing and retirement in Europe (SHARE). We match each informal caregiver with a non-carer using propensity score matching and test whether matched individuals differ on self-assessed health and a functional indicator of QoL and whether this relationship differs across European regions. We find a North-South gradient both for self-assessed health and QoL, and our results show that the provision of caregiving to close relatives in Europe impacts on the caregivers' QoL and health in a way that depends on their geographical location, the degree of formal care and specific cultural and social factors of the area. We find that informal caregiving is a complex phenomenon which may bring both psychological rewards and distress to providers of care and this complexity, along with the geographical gradient highlight the importance of ensuring that policies match the needs of individual carers in their own geographical areas and cultural contexts. [ABSTRACT FROM AUTHOR] Copyright of European Journal of Population is the property of Springer Science &amp; Business Media B.V.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"Novi", "given" : "Cinzia", "non-dropping-particle" : "Di", "parse-names" : false, "suffix" : "" }, { "dropping-particle" : "", "family" : "Jacobs", "given" : "Rowena", "non-dropping-particle" : "", "parse-names" : false, "suffix" : "" }, { "dropping-particle" : "", "family" : "Migheli", "given" : "Matteo", "non-dropping-particle" : "", "parse-names" : false, "suffix" : "" } ], "container-title" : "European Journal of Population", "id" : "ITEM-1", "issue" : "3", "issued" : { "date-parts" : [ [ "2015" ] ] }, "page" : "309-333", "publisher" : "Springer Netherlands", "title" : "The Quality of Life of Female Informal Caregivers: From Scandinavia to the Mediterranean Sea", "type" : "article-journal", "volume" : "31" }, "uris" : [ "http://www.mendeley.com/documents/?uuid=1ccc65b6-fa56-4844-8194-2bfe00ef56d5" ] } ], "mendeley" : { "formattedCitation" : "(Di Novi et al. 2015)", "plainTextFormattedCitation" : "(Di Novi et al. 2015)", "previouslyFormattedCitation" : "(Di Novi et al. 2015)" }, "properties" : { "noteIndex" : 0 }, "schema" : "https://github.com/citation-style-language/schema/raw/master/csl-citation.json" }</w:instrText>
      </w:r>
      <w:r w:rsidRPr="00C3671E">
        <w:rPr>
          <w:lang w:eastAsia="zh-CN"/>
        </w:rPr>
        <w:fldChar w:fldCharType="separate"/>
      </w:r>
      <w:r w:rsidR="00AA6335" w:rsidRPr="00C3671E">
        <w:rPr>
          <w:noProof/>
          <w:lang w:eastAsia="zh-CN"/>
        </w:rPr>
        <w:t>(Di Novi et al. 2015)</w:t>
      </w:r>
      <w:r w:rsidRPr="00C3671E">
        <w:rPr>
          <w:lang w:eastAsia="zh-CN"/>
        </w:rPr>
        <w:fldChar w:fldCharType="end"/>
      </w:r>
      <w:r w:rsidRPr="00C3671E">
        <w:rPr>
          <w:lang w:eastAsia="zh-CN"/>
        </w:rPr>
        <w:t xml:space="preserve"> and in countries with stronger social norms regarding help to relatives </w:t>
      </w:r>
      <w:r w:rsidRPr="00C3671E">
        <w:rPr>
          <w:lang w:eastAsia="zh-CN"/>
        </w:rPr>
        <w:fldChar w:fldCharType="begin" w:fldLock="1"/>
      </w:r>
      <w:r w:rsidRPr="00C3671E">
        <w:rPr>
          <w:lang w:eastAsia="zh-CN"/>
        </w:rPr>
        <w:instrText>ADDIN CSL_CITATION { "citationItems" : [ { "id" : "ITEM-1", "itemData" : { "DOI" : "10.1007/s10433-013-0294-4", "ISBN" : "1613-9372", "ISSN" : "1613-9372", "abstract" : "This study employs the concept of structured ambivalence to analyse the effect of grandchild care on quality of life (QoL) in different cultural contexts. We define structured ambivalence as the contradiction between behaviour and cultural norms. The analysis is based on the Survey of Health, Ageing and Retirement in Europe with 14 countries in the sample. We focus on grandparents aged 50 and over with at least one grandchild 12 years old or younger (n = 12,740). In countries with high grandparent obligations, grandparents who did not look after their grandchildren reported a lower quality of life. Compliance with such grandparental obligations (e.g. providing grandchild care in a country with high grandparent obligations) was found to increase the QoL of grandparents. Family policy should consider family practices that better match the realities of current grandparents\u2019 lives in order to reduce structured ambivalence and increase the QoL of grandparents.", "author" : [ { "dropping-particle" : "", "family" : "Neuberger", "given" : "Franz S.", "non-dropping-particle" : "", "parse-names" : false, "suffix" : "" }, { "dropping-particle" : "", "family" : "Haberkern", "given" : "Klaus", "non-dropping-particle" : "", "parse-names" : false, "suffix" : "" } ], "container-title" : "European Journal of Ageing", "id" : "ITEM-1", "issue" : "2", "issued" : { "date-parts" : [ [ "2014" ] ] }, "page" : "171-181", "title" : "Structured ambivalence in grandchild care and the quality of life among European grandparents", "type" : "article-journal", "volume" : "11" }, "uris" : [ "http://www.mendeley.com/documents/?uuid=f5b5cac1-e999-4c39-a97d-1363ab276312" ] } ], "mendeley" : { "formattedCitation" : "(Neuberger and Haberkern 2014)", "plainTextFormattedCitation" : "(Neuberger and Haberkern 2014)", "previouslyFormattedCitation" : "(Neuberger and Haberkern 2014)" }, "properties" : { "noteIndex" : 0 }, "schema" : "https://github.com/citation-style-language/schema/raw/master/csl-citation.json" }</w:instrText>
      </w:r>
      <w:r w:rsidRPr="00C3671E">
        <w:rPr>
          <w:lang w:eastAsia="zh-CN"/>
        </w:rPr>
        <w:fldChar w:fldCharType="separate"/>
      </w:r>
      <w:r w:rsidRPr="00C3671E">
        <w:rPr>
          <w:noProof/>
          <w:lang w:eastAsia="zh-CN"/>
        </w:rPr>
        <w:t>(Neuberger and Haberkern 2014)</w:t>
      </w:r>
      <w:r w:rsidRPr="00C3671E">
        <w:rPr>
          <w:lang w:eastAsia="zh-CN"/>
        </w:rPr>
        <w:fldChar w:fldCharType="end"/>
      </w:r>
      <w:r w:rsidRPr="00C3671E">
        <w:rPr>
          <w:lang w:eastAsia="zh-CN"/>
        </w:rPr>
        <w:t xml:space="preserve">. It is important to add that already complex analysis in this work does not incorporate another important factor of the caregiving outcomes – relationship to the care recipient – which has already been described in the literature </w:t>
      </w:r>
      <w:r w:rsidRPr="00C3671E">
        <w:rPr>
          <w:lang w:eastAsia="zh-CN"/>
        </w:rPr>
        <w:fldChar w:fldCharType="begin" w:fldLock="1"/>
      </w:r>
      <w:r w:rsidR="001257AA" w:rsidRPr="00C3671E">
        <w:rPr>
          <w:lang w:eastAsia="zh-CN"/>
        </w:rPr>
        <w:instrText>ADDIN CSL_CITATION { "citationItems" : [ { "id" : "ITEM-1", "itemData" : { "DOI" : "10.1007/s10433-013-0276-6", "ISBN" : "1613-9380; 1613-9372", "ISSN" : "16139372", "abstract" : "Based on the caregiver stress model, we examined how care demands, caregiver motivation, coping style and external support are associated with positive evaluation and caregiver burden among spousal, adult child and other types of care relations. Data from a sample of Dutch informal caregivers of 1,685 older persons (55 and older) were analyzed employing multivariate linear regression analyses for each of the care relationship types. Spouses (N = 206) report high positive evaluation and high burden, adult children (N = 1,093) report low positive evaluation, and other caregivers (N = 386) report high positive evaluation and a low burden. Multivariate linear regression analyses showed that motives and external support were important for positive evaluation but the impact varied among types of caregivers, whereas care demands and not asking for help were associated with burden for all types. Only among \u2018other\u2019 caregiver relationships, positive evaluation was negatively associated with burden. It is concluded that results confirm the dual nature of caregiving among spouses and children. The care context and motivation of the different types of caregivers explain their differences in care evaluation. Various interventions for types of caregivers are discussed. (PsycINFO Database Record (c) 2014 APA, all rights reserved) (journal abstract)", "author" : [ { "dropping-particle" : "", "family" : "Broese van Groenou", "given" : "Marjolein I.", "non-dropping-particle" : "", "parse-names" : false, "suffix" : "" }, { "dropping-particle" : "", "family" : "Boer", "given" : "Alice", "non-dropping-particle" : "de", "parse-names" : false, "suffix" : "" }, { "dropping-particle" : "", "family" : "Iedema", "given" : "Jurjen", "non-dropping-particle" : "", "parse-names" : false, "suffix" : "" } ], "container-title" : "European Journal of Ageing", "id" : "ITEM-1", "issue" : "4", "issued" : { "date-parts" : [ [ "2013" ] ] }, "page" : "301-311", "title" : "Positive and negative evaluation of caregiving among three different types of informal care relationships", "type" : "article-journal", "volume" : "10" }, "uris" : [ "http://www.mendeley.com/documents/?uuid=e39ec068-a7a1-4bd1-bbf4-2717643670f7" ] }, { "id" : "ITEM-2", "itemData" : { "DOI" : "10.1017/S0144686X07006629", "ISBN" : "1469-1779", "ISSN" : "0144-686X", "abstract" : "Gerontologists have emphasised that older adults are not only recipients of support but also important support providers. Using data from the first wave of the Netherlands Kinship Panel Study of 727 middle-generation adults aged 45 to 79 years, we examined the associations between loneliness and giving support up, across and down family lineages. Overall, the findings were consistent more with an altruism perspective, that giving brings rewards, than with an exchange perspective, which emphasises the costs of giving support. The results showed an inverse relationship between the number of generations supported and loneliness, and that those engaged in balanced exchanges with family members in three generations (parents, siblings and children) were generally the least lonely. As regards the direction of support giving, the findings showed that the association between giving support and loneliness was insignificant if the support was for parents, negative for support to siblings, and positive for support to children. Imbalanced support exchanges were differentially associated with loneliness, and depended on the type of family relationship involved. Non-reciprocated support made parents more vulnerable to loneliness, whereas non-reciprocated giving in sibling ties was associated with low levels of loneliness. Imbalanced support giving in relationships with parents was not associated with loneliness.", "author" : [ { "dropping-particle" : "", "family" : "Jong Gierveld", "given" : "Jenny", "non-dropping-particle" : "De", "parse-names" : false, "suffix" : "" }, { "dropping-particle" : "", "family" : "Dykstra", "given" : "Pearl A.", "non-dropping-particle" : "", "parse-names" : false, "suffix" : "" } ], "container-title" : "Ageing and Society", "id" : "ITEM-2", "issue" : "02", "issued" : { "date-parts" : [ [ "2008" ] ] }, "page" : "271-287", "title" : "Virtue is its own reward? Support-giving in the family and loneliness in middle and old age", "type" : "article-journal", "volume" : "28" }, "uris" : [ "http://www.mendeley.com/documents/?uuid=51cd63fa-a8cd-488c-be10-d4ffd8214b5c" ] } ], "mendeley" : { "formattedCitation" : "(Broese van Groenou et al. 2013; De Jong Gierveld and Dykstra 2008)", "plainTextFormattedCitation" : "(Broese van Groenou et al. 2013; De Jong Gierveld and Dykstra 2008)", "previouslyFormattedCitation" : "(Broese van Groenou et al. 2013; De Jong Gierveld and Dykstra 2008)" }, "properties" : { "noteIndex" : 0 }, "schema" : "https://github.com/citation-style-language/schema/raw/master/csl-citation.json" }</w:instrText>
      </w:r>
      <w:r w:rsidRPr="00C3671E">
        <w:rPr>
          <w:lang w:eastAsia="zh-CN"/>
        </w:rPr>
        <w:fldChar w:fldCharType="separate"/>
      </w:r>
      <w:r w:rsidR="00A91559" w:rsidRPr="00C3671E">
        <w:rPr>
          <w:noProof/>
          <w:lang w:eastAsia="zh-CN"/>
        </w:rPr>
        <w:t>(Broese van Groenou et al. 2013; De Jong Gierveld and Dykstra 2008)</w:t>
      </w:r>
      <w:r w:rsidRPr="00C3671E">
        <w:rPr>
          <w:lang w:eastAsia="zh-CN"/>
        </w:rPr>
        <w:fldChar w:fldCharType="end"/>
      </w:r>
      <w:r w:rsidRPr="00C3671E">
        <w:rPr>
          <w:lang w:eastAsia="zh-CN"/>
        </w:rPr>
        <w:t>.</w:t>
      </w:r>
    </w:p>
    <w:p w14:paraId="57439C28" w14:textId="33E0FCFD" w:rsidR="00676326" w:rsidRPr="00C3671E" w:rsidRDefault="00676326" w:rsidP="00676326">
      <w:pPr>
        <w:pStyle w:val="Newparagraph"/>
        <w:jc w:val="both"/>
        <w:rPr>
          <w:lang w:eastAsia="zh-CN"/>
        </w:rPr>
      </w:pPr>
      <w:r w:rsidRPr="00C3671E">
        <w:rPr>
          <w:lang w:eastAsia="zh-CN"/>
        </w:rPr>
        <w:t xml:space="preserve">The third crucial type of activity promoted by active ageing approach is social participation </w:t>
      </w:r>
      <w:r w:rsidRPr="00C3671E">
        <w:rPr>
          <w:lang w:eastAsia="zh-CN"/>
        </w:rPr>
        <w:fldChar w:fldCharType="begin" w:fldLock="1"/>
      </w:r>
      <w:r w:rsidR="001257AA" w:rsidRPr="00C3671E">
        <w:rPr>
          <w:lang w:eastAsia="zh-CN"/>
        </w:rPr>
        <w:instrText>ADDIN CSL_CITATION { "citationItems" : [ { "id" : "ITEM-1", "itemData" : { "author" : [ { "dropping-particle" : "", "family" : "EU Council", "given" : "", "non-dropping-particle" : "", "parse-names" : false, "suffix" : "" } ], "id" : "ITEM-1", "issued" : { "date-parts" : [ [ "2012" ] ] }, "publisher" : "EU Council", "publisher-place" : "Brussels", "title" : "Council Declaration on the European Year for Active Ageing and Solidarity between Generations (2012): The Way Forward", "type" : "book" }, "uris" : [ "http://www.mendeley.com/documents/?uuid=bc232528-fad4-4b15-bede-b113103dbe49" ] }, { "id" : "ITEM-2", "itemData" : { "DOI" : "10.1007/s12062-017-9174-6", "ISSN" : "1874-7884", "abstract" : "Why Active Ageing Matters\\r\\nBy the end of the first half of the twentieth century most European states had introduced public pension schemes of one sort or another. In doing so they were affirming the role of the state in providing individuals with a form of support that all but a few would struggle to provide for themselves. The objectives of these schemes were generally quite limited: to reduce the risk of poverty in old age by facilitating savings during working life. The rationale was simple: to provide access to financial support - a regular and reliable income \u2013 for a time of life when the ability to work was increasingly impaired by loss of health or functional ability. In the second half of the century, after the second world war, increasing affluence combined with a more demanding view of the responsibilities of government to improve the generosity of pensions and to expand welfare systems in ways that conferred other benefits on their older populations besides a basic pension income, including the provision of social care (e.g. care homes for older people who had no family and were unable to look after themselves in their own homes). Policy was still broadly conceived as a collective response to age-related losses that undermined independence.", "author" : [ { "dropping-particle" : "", "family" : "Zaidi", "given" : "Asghar", "non-dropping-particle" : "", "parse-names" : false, "suffix" : "" }, { "dropping-particle" : "", "family" : "Howse", "given" : "Kenneth", "non-dropping-particle" : "", "parse-names" : false, "suffix" : "" } ], "container-title" : "Journal of Population Ageing", "id" : "ITEM-2", "issue" : "1", "issued" : { "date-parts" : [ [ "2017" ] ] }, "page" : "1-10", "publisher" : "Journal of Population Ageing", "title" : "The Policy Discourse of Active Ageing: Some Reflections", "type" : "article-journal", "volume" : "10" }, "uris" : [ "http://www.mendeley.com/documents/?uuid=badd02a6-0ba4-4766-b6a7-a04a46414a57" ] } ], "mendeley" : { "formattedCitation" : "(EU Council 2012; Zaidi and Howse 2017)", "plainTextFormattedCitation" : "(EU Council 2012; Zaidi and Howse 2017)", "previouslyFormattedCitation" : "(EU Council 2012; Zaidi and Howse 2017)" }, "properties" : { "noteIndex" : 0 }, "schema" : "https://github.com/citation-style-language/schema/raw/master/csl-citation.json" }</w:instrText>
      </w:r>
      <w:r w:rsidRPr="00C3671E">
        <w:rPr>
          <w:lang w:eastAsia="zh-CN"/>
        </w:rPr>
        <w:fldChar w:fldCharType="separate"/>
      </w:r>
      <w:r w:rsidR="00A91559" w:rsidRPr="00C3671E">
        <w:rPr>
          <w:noProof/>
          <w:lang w:eastAsia="zh-CN"/>
        </w:rPr>
        <w:t>(EU Council 2012; Zaidi and Howse 2017)</w:t>
      </w:r>
      <w:r w:rsidRPr="00C3671E">
        <w:rPr>
          <w:lang w:eastAsia="zh-CN"/>
        </w:rPr>
        <w:fldChar w:fldCharType="end"/>
      </w:r>
      <w:r w:rsidRPr="00C3671E">
        <w:rPr>
          <w:lang w:eastAsia="zh-CN"/>
        </w:rPr>
        <w:t xml:space="preserve">. This category can be assigned to any activity performed repeatedly together with other people and all waves of SHARE data include social participation in a form of volunteering, attending a course, visiting social or sports club, and participation in a political organization </w:t>
      </w:r>
      <w:r w:rsidRPr="00C3671E">
        <w:rPr>
          <w:lang w:eastAsia="zh-CN"/>
        </w:rPr>
        <w:fldChar w:fldCharType="begin" w:fldLock="1"/>
      </w:r>
      <w:r w:rsidR="004F5010" w:rsidRPr="00C3671E">
        <w:rPr>
          <w:lang w:eastAsia="zh-CN"/>
        </w:rPr>
        <w:instrText>ADDIN CSL_CITATION { "citationItems" : [ { "id" : "ITEM-1", "itemData" : { "DOI" : "10.1093/ije/dyt088", "ISBN" : "0300-5771", "ISSN" : "03005771", "PMID" : "23778574", "abstract" : "SHARE is a unique panel database of micro data on health, socio-economic status and social and family networks covering most of the European Union and Israel. To date, SHARE has collected three panel waves (2004, 2006, 2010) of current living circumstances and retrospective life histories (2008, SHARELIFE); 6 additional waves are planned until 2024. The more than 150 000 interviews give a broad picture of life after the age of 50 years, measuring physical and mental health, economic and non-economic activities, income and wealth, transfers of time and money within and outside the family as well as life satisfaction and well-being. The data are available to the scientific community free of charge at www.share-project.org after registration. SHARE is harmonized with the US Health and Retirement Study (HRS) and the English Longitudinal Study of Ageing (ELSA) and has become a role model for several ageing surveys worldwide. SHARE's scientific power is based on its panel design that grasps the dynamic character of the ageing process, its multidisciplinary approach that delivers the full picture of individual and societal ageing, and its cross-nationally ex-ante harmonized design that permits international comparisons of health, economic and social outcomes in Europe and the USA.", "author" : [ { "dropping-particle" : "", "family" : "B\u00f6rsch-Supan", "given" : "Axel", "non-dropping-particle" : "", "parse-names" : false, "suffix" : "" }, { "dropping-particle" : "", "family" : "Brandt", "given" : "Martina", "non-dropping-particle" : "", "parse-names" : false, "suffix" : "" }, { "dropping-particle" : "", "family" : "Hunkler", "given" : "Christian", "non-dropping-particle" : "", "parse-names" : false, "suffix" : "" }, { "dropping-particle" : "", "family" : "Kneip", "given" : "Thorsten", "non-dropping-particle" : "", "parse-names" : false, "suffix" : "" }, { "dropping-particle" : "", "family" : "Korbmacher", "given" : "Julie", "non-dropping-particle" : "", "parse-names" : false, "suffix" : "" }, { "dropping-particle" : "", "family" : "Malter", "given" : "Frederic", "non-dropping-particle" : "", "parse-names" : false, "suffix" : "" }, { "dropping-particle" : "", "family" : "Schaan", "given" : "Barbara", "non-dropping-particle" : "", "parse-names" : false, "suffix" : "" }, { "dropping-particle" : "", "family" : "Stuck", "given" : "Stephanie", "non-dropping-particle" : "", "parse-names" : false, "suffix" : "" }, { "dropping-particle" : "", "family" : "Zuber", "given" : "Sabrina", "non-dropping-particle" : "", "parse-names" : false, "suffix" : "" } ], "container-title" : "International Journal of Epidemiology", "id" : "ITEM-1", "issue" : "4", "issued" : { "date-parts" : [ [ "2013" ] ] }, "page" : "992-1001", "title" : "Data resource profile: The Survey of Health, Ageing and Retirement in Europe (SHARE)", "type" : "article-journal", "volume" : "42" }, "uris" : [ "http://www.mendeley.com/documents/?uuid=a62ea0f6-9469-4439-98a6-a5f414d5782a" ] }, { "id" : "ITEM-2", "itemData" : { "DOI" : "10.6103/SHARE.w6.600", "author" : [ { "dropping-particle" : "", "family" : "B\u00f6rsch-Supan", "given" : "Axel", "non-dropping-particle" : "", "parse-names" : false, "suffix" : "" } ], "id" : "ITEM-2", "issued" : { "date-parts" : [ [ "2017" ] ] }, "title" : "Survey of Health, Ageing and Retirement in Europe (SHARE) Wave 6. Release version: 6.0.0. SHARE-ERIC. Data set.", "type" : "article" }, "uris" : [ "http://www.mendeley.com/documents/?uuid=509eb8ec-6e26-4145-8fe8-95bd3ced9407" ] } ], "mendeley" : { "formattedCitation" : "(B\u00f6rsch-Supan et al. 2013; B\u00f6rsch-Supan 2017e)", "plainTextFormattedCitation" : "(B\u00f6rsch-Supan et al. 2013; B\u00f6rsch-Supan 2017e)", "previouslyFormattedCitation" : "(B\u00f6rsch-Supan 2017e; B\u00f6rsch-Supan et al. 2013)" }, "properties" : { "noteIndex" : 0 }, "schema" : "https://github.com/citation-style-language/schema/raw/master/csl-citation.json" }</w:instrText>
      </w:r>
      <w:r w:rsidRPr="00C3671E">
        <w:rPr>
          <w:lang w:eastAsia="zh-CN"/>
        </w:rPr>
        <w:fldChar w:fldCharType="separate"/>
      </w:r>
      <w:r w:rsidR="004F5010" w:rsidRPr="00C3671E">
        <w:rPr>
          <w:noProof/>
          <w:lang w:eastAsia="zh-CN"/>
        </w:rPr>
        <w:t>(Börsch-Supan et al. 2013; Börsch-Supan 2017e)</w:t>
      </w:r>
      <w:r w:rsidRPr="00C3671E">
        <w:rPr>
          <w:lang w:eastAsia="zh-CN"/>
        </w:rPr>
        <w:fldChar w:fldCharType="end"/>
      </w:r>
      <w:r w:rsidRPr="00C3671E">
        <w:rPr>
          <w:lang w:eastAsia="zh-CN"/>
        </w:rPr>
        <w:t xml:space="preserve">. The dissertation followed a different type of logic in examining this type of activity, as its effect is conclusively beneficial </w:t>
      </w:r>
      <w:r w:rsidRPr="00C3671E">
        <w:rPr>
          <w:lang w:eastAsia="zh-CN"/>
        </w:rPr>
        <w:fldChar w:fldCharType="begin" w:fldLock="1"/>
      </w:r>
      <w:r w:rsidR="001257AA" w:rsidRPr="00C3671E">
        <w:rPr>
          <w:lang w:eastAsia="zh-CN"/>
        </w:rPr>
        <w:instrText>ADDIN CSL_CITATION { "citationItems" : [ { "id" : "ITEM-1", "itemData" : { "DOI" : "10.1017/S0144686X10001091", "ISBN" : "0144686X (ISSN)", "ISSN" : "0144-686X", "PMID" : "59665633", "abstract" : "An engaged lifestyle is seen as an important component of successful ageing. Many older adults with high participation in social and leisure activities report positive wellbeing, a fact that fuelled the original activity theory and that continues to influence researchers, theorists and practitioners. This study's purpose is to review the conceptualisation and measurement of activity among older adults and the associations reported in the gerontological literature between specific dimensions of activity and wellbeing. We searched published studies that focused on social and leisure activity and wellbeing, and found 42 studies in 44 articles published between 1995 and 2009. They reported from one to 13 activity domains, the majority reporting two or three, such as informal , formal and solitary , or productive versus leisure . Domains associated with subjective wellbeing, health or survival included social, leisure, productive, physical, intellectual, service and solitary activities. Informal social activity has accumulated the most evidence of an influence on wellbeing. Individual descriptors such as gender or physical functioning sometimes moderate these associations, while contextual variables such as choice, meaning or perceived quality play intervening roles. Differences in definitions and measurement make it difficult to draw inferences about this body of evidence on the associations between activity and wellbeing. Activity theory serves as shorthand for these associations, but gerontology must better integrate developmental and psychological constructs into a refined, comprehensive activity theory.", "author" : [ { "dropping-particle" : "", "family" : "Adams", "given" : "Kathryn Betts", "non-dropping-particle" : "", "parse-names" : false, "suffix" : "" }, { "dropping-particle" : "", "family" : "Leibbrandt", "given" : "Sylvia", "non-dropping-particle" : "", "parse-names" : false, "suffix" : "" }, { "dropping-particle" : "", "family" : "Moon", "given" : "Heehyul", "non-dropping-particle" : "", "parse-names" : false, "suffix" : "" } ], "container-title" : "Ageing and Society", "id" : "ITEM-1", "issue" : "04", "issued" : { "date-parts" : [ [ "2011" ] ] }, "page" : "683-712", "title" : "A critical review of the literature on social and leisure activity and wellbeing in later life", "type" : "article-journal", "volume" : "31" }, "uris" : [ "http://www.mendeley.com/documents/?uuid=28bf1c76-83b5-46ba-8c9c-efd885614e50" ] }, { "id" : "ITEM-2", "itemData" : { "DOI" : "10.1016/j.maturitas.2011.08.010", "ISBN" : "1912156083", "ISSN" : "03785122", "PMID" : "21958942", "abstract" : "The year 2011 was declared the 'European Year of Volunteering' to recognise the contribution volunteers make to society. Such cross-national events reflect the high profile of volunteering and political imperatives to promote it. The purpose of this review is to provide a comprehensive review of current knowledge (articles published between 2005 and 2011) regarding the role of volunteering in improving older people's quality of life (QoL) and to identify areas requiring further research. Volunteering was defined as an activity that is freely chosen, does not involve remuneration and helps or benefits those beyond an individual's immediate family. Our search identified 22 studies and 5 review articles that addressed the benefits of volunteering on older people's quality of life. Most of the research had been conducted in the United States, Canada and Australia using data from longitudinal studies. The majority of the studies concluded that there is a positive association between older people's quality of life and engagement in volunteering. Due to the study designs and the heterogeneity of the research, causality is difficult to demonstrate and the knowledge the studies bring to the subject is variable. This review shows that volunteering may help to maintain and possibly improve some older adults' quality of life. However, there are still major gaps in our understanding of who actually benefits, the social and cultural context of volunteering and its role in reducing health and social inequalities. ?? 2011 Elsevier Ireland Ltd.", "author" : [ { "dropping-particle" : "", "family" : "Cattan", "given" : "Mima", "non-dropping-particle" : "", "parse-names" : false, "suffix" : "" }, { "dropping-particle" : "", "family" : "Hogg", "given" : "Eddy", "non-dropping-particle" : "", "parse-names" : false, "suffix" : "" }, { "dropping-particle" : "", "family" : "Hardill", "given" : "Irene", "non-dropping-particle" : "", "parse-names" : false, "suffix" : "" } ], "container-title" : "Maturitas", "id" : "ITEM-2", "issue" : "4", "issued" : { "date-parts" : [ [ "2011" ] ] }, "page" : "328-332", "publisher" : "Elsevier Ireland Ltd", "title" : "Improving quality of life in ageing populations: What can volunteering do?", "type" : "article-journal", "volume" : "70" }, "uris" : [ "http://www.mendeley.com/documents/?uuid=7cb6e6b7-58ca-474e-a4fe-923493357f55" ] }, { "id" : "ITEM-3", "itemData" : { "DOI" : "10.1111/joop.12003", "ISBN" : "09631798", "ISSN" : "09631798", "PMID" : "90563210", "abstract" : "This study examines the impact of engaging in seven types of activities on depression and quality of life in retirees and older workers over a period of 2 years, using a sample from the survey of health, ageing and retirement in Europe. Longitudinal data were available from 2,813 retirees and 1,372 older employees. Our results showed that volunteering, providing help and going to sports or social clubs at the baseline improved retirees\u2019 quality of lifeover a period of 2 years. No direct effects of engaging in activities were found for older employees. Moreover, higher depression at the baseline fostered the depression experience at the follow-up in those retirees and older employees who were caring for disabled adults at baseline. In retirees with higher depression at baseline, participation in religious organizations was associated with a greater decrease in depression at follow-up than in those who had lower levels of depression at baseline. For older employees, taking part in political or community organizations at baselinewas related to a greater decrease in depression at follow-up than in those employees who experienced higher initial depression.", "author" : [ { "dropping-particle" : "", "family" : "Poto\u010dnik", "given" : "Kristina", "non-dropping-particle" : "", "parse-names" : false, "suffix" : "" }, { "dropping-particle" : "", "family" : "Sonnentag", "given" : "Sabine", "non-dropping-particle" : "", "parse-names" : false, "suffix" : "" } ], "container-title" : "Journal of Occupational and Organizational Psychology", "id" : "ITEM-3", "issue" : "4", "issued" : { "date-parts" : [ [ "2013" ] ] }, "page" : "497-521", "title" : "A longitudinal study of well-being in older workers and retirees: The role of engaging in different types of activities", "type" : "article-journal", "volume" : "86" }, "uris" : [ "http://www.mendeley.com/documents/?uuid=5889bc5d-921b-416d-a3eb-706b9facb5cf" ] } ], "mendeley" : { "formattedCitation" : "(Adams et al. 2011; Cattan et al. 2011; Poto\u010dnik and Sonnentag 2013)", "plainTextFormattedCitation" : "(Adams et al. 2011; Cattan et al. 2011; Poto\u010dnik and Sonnentag 2013)", "previouslyFormattedCitation" : "(Adams et al. 2011; Cattan et al. 2011; Poto\u010dnik and Sonnentag 2013)" }, "properties" : { "noteIndex" : 0 }, "schema" : "https://github.com/citation-style-language/schema/raw/master/csl-citation.json" }</w:instrText>
      </w:r>
      <w:r w:rsidRPr="00C3671E">
        <w:rPr>
          <w:lang w:eastAsia="zh-CN"/>
        </w:rPr>
        <w:fldChar w:fldCharType="separate"/>
      </w:r>
      <w:r w:rsidR="00A91559" w:rsidRPr="00C3671E">
        <w:rPr>
          <w:noProof/>
          <w:lang w:eastAsia="zh-CN"/>
        </w:rPr>
        <w:t>(Adams et al. 2011; Cattan et al. 2011; Potočnik and Sonnentag 2013)</w:t>
      </w:r>
      <w:r w:rsidRPr="00C3671E">
        <w:rPr>
          <w:lang w:eastAsia="zh-CN"/>
        </w:rPr>
        <w:fldChar w:fldCharType="end"/>
      </w:r>
      <w:r w:rsidRPr="00C3671E">
        <w:rPr>
          <w:lang w:eastAsia="zh-CN"/>
        </w:rPr>
        <w:t xml:space="preserve">. The analysis of Chapter 5 illustrates how the prevalence of social participation developed over the last decade under different welfare regimes and how is its availability shaped by the level of education, financial situation, and health status. </w:t>
      </w:r>
    </w:p>
    <w:p w14:paraId="57CA8EEF" w14:textId="5973A8BD" w:rsidR="00676326" w:rsidRPr="00C3671E" w:rsidRDefault="00676326" w:rsidP="00676326">
      <w:pPr>
        <w:pStyle w:val="Newparagraph"/>
        <w:jc w:val="both"/>
        <w:rPr>
          <w:lang w:eastAsia="zh-CN"/>
        </w:rPr>
      </w:pPr>
      <w:r w:rsidRPr="00C3671E">
        <w:rPr>
          <w:lang w:eastAsia="zh-CN"/>
        </w:rPr>
        <w:t xml:space="preserve">The findings show that individual resources strongly predict the presence of social participation and this effect is similar over time, although the prevalence of social participation slightly rises over time. Moreover, the data implies strong intersection of particular effects, and for instance older adults with good health and tertiary education have about five times higher chance for social participation than older adults with bad health and primary education. Finally, </w:t>
      </w:r>
      <w:r w:rsidRPr="00C3671E">
        <w:rPr>
          <w:lang w:eastAsia="zh-CN"/>
        </w:rPr>
        <w:lastRenderedPageBreak/>
        <w:t xml:space="preserve">the differences among European welfare regimes in the prevalence of the activities are quite strong, but not very consistent. Support for social participation by social systems thus promotes a beneficial group of activities, which is nevertheless more available to well-off older adults and the consistent effort has not been able to lower these inequalities so far. This dissertation focuses more on a quantitative description of the situation in Europe, but its conclusions are consistent with theoretical work of </w:t>
      </w:r>
      <w:r w:rsidRPr="00C3671E">
        <w:rPr>
          <w:lang w:eastAsia="zh-CN"/>
        </w:rPr>
        <w:fldChar w:fldCharType="begin" w:fldLock="1"/>
      </w:r>
      <w:r w:rsidRPr="00C3671E">
        <w:rPr>
          <w:lang w:eastAsia="zh-CN"/>
        </w:rPr>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"mendeley" : { "formattedCitation" : "(Timonen 2016)", "manualFormatting" : "Timonen (2016)", "plainTextFormattedCitation" : "(Timonen 2016)", "previouslyFormattedCitation" : "(Timonen 2016)" }, "properties" : { "noteIndex" : 0 }, "schema" : "https://github.com/citation-style-language/schema/raw/master/csl-citation.json" }</w:instrText>
      </w:r>
      <w:r w:rsidRPr="00C3671E">
        <w:rPr>
          <w:lang w:eastAsia="zh-CN"/>
        </w:rPr>
        <w:fldChar w:fldCharType="separate"/>
      </w:r>
      <w:r w:rsidRPr="00C3671E">
        <w:rPr>
          <w:noProof/>
          <w:lang w:eastAsia="zh-CN"/>
        </w:rPr>
        <w:t>Timonen (2016)</w:t>
      </w:r>
      <w:r w:rsidRPr="00C3671E">
        <w:rPr>
          <w:lang w:eastAsia="zh-CN"/>
        </w:rPr>
        <w:fldChar w:fldCharType="end"/>
      </w:r>
      <w:r w:rsidRPr="00C3671E">
        <w:rPr>
          <w:lang w:eastAsia="zh-CN"/>
        </w:rPr>
        <w:t xml:space="preserve"> and qualitative research of </w:t>
      </w:r>
      <w:r w:rsidRPr="00C3671E">
        <w:rPr>
          <w:lang w:eastAsia="zh-CN"/>
        </w:rPr>
        <w:fldChar w:fldCharType="begin" w:fldLock="1"/>
      </w:r>
      <w:r w:rsidR="001257AA" w:rsidRPr="00C3671E">
        <w:rPr>
          <w:lang w:eastAsia="zh-CN"/>
        </w:rPr>
        <w:instrText>ADDIN CSL_CITATION { "citationItems" : [ { "id" : "ITEM-1", "itemData" : { "DOI" : "10.1017/S0714980811000675", "ISBN" : "0714980811", "ISSN" : "0714-9808", "PMID" : "22373781", "abstract" : "Although some studies have confirmed positive associations between social engagement and well-being in later life, this study aimed to understand why some seniors cannot be engaged. The authors analyzed the lived experiences of 89 seniors in three rural communities in Canada, from semi-structured interviews and using the constant comparison method. Five factors make choices for social engagement in later life unequal among older adults who differ by gender, class, age, and health status. Profound engagement in care work, compulsory altruism, personal resources, objectively perceived and subjectively available engagement opportunities, and ageist barriers around paid work constrain choices for seniors who lack privilege in the context of a market economy, particularly for low-income older women. To avoid stigmatizing vulnerable older persons, societal barriers to meaningful activities must be addressed - for example, through provision of income security or by reversing inter- and intragenerational ageism in access to the labor market.", "author" : [ { "dropping-particle" : "", "family" : "Rozanova", "given" : "Julia", "non-dropping-particle" : "", "parse-names" : false, "suffix" : "" }, { "dropping-particle" : "", "family" : "Keating", "given" : "Norah", "non-dropping-particle" : "", "parse-names" : false, "suffix" : "" }, { "dropping-particle" : "", "family" : "Eales", "given" : "Jacquie", "non-dropping-particle" : "", "parse-names" : false, "suffix" : "" } ], "container-title" : "Canadian Journal on Aging / La Revue canadienne du vieillissement", "id" : "ITEM-1", "issue" : "01", "issued" : { "date-parts" : [ [ "2012" ] ] }, "note" : "Rozanova et al. 2012: Unequal Social Engagement for Older Adults: Constraints on Choice\nconcerns of social costs of ageing \u2192 ageing well perspective\ncritics emphasize the normative expectations this assumption carries \u2013 that those who are not well in later life may have themselves to blame because they haven\u2019t been sufficiently engaged (Katz, 2000 ; Laliberte-Rudman, 2006 )\nwell-being in later life is associated not with social engagement per se but with engagement in activities that an individual chooses freely and fi nds meaningful (Chapman, 2005 ; Katz, 2000 )\nJulia Rozanova et al.\naffected both by older individuals\u2019 personal character- istics and by community contexts. Researchers have noted that one important aspect in which rural com- munities may differ from urban areas is their lack of anonymity coupled with a tight-knit character (Keating, Swindle, &amp;amp; Fletcher, 2011 ). This aspect may facilitate the maintenance of social connectedness but at the same time block social engagement for some older individuals. For example, those who moved into the community as newcomers are typically viewed with some suspicion until they prove themselves in some way (Garland &amp;amp; Chakraborti, 2006 ). Other factors having an impact on social-engagement opportunities for rural older adults are the remoteness of some rural Canadian communities, a dwindling economy, and disparities of service infrastructure (Keating &amp;amp; Phillips, 2008 ).\nReview of the Literature Social Engagement of Older Adults\nSurvival through social engagement through activities that have a social component and are per- formed in relation to other people (Maier &amp;amp; Klumb, 2005 )\nsocial engagement may be affected by both structural inequalities and contextual factors\nthe lived experiences of 89 seniors in three rural communities in Canada from semi-structured interviews\nProfound engagement in care work, compulsory altruism, personal resources, objectively perceived and subjectively available engagement opportunities, and ageist barriers around paid work constrain choices especially for low-income older women\nsocietal barriers to meaningful activities must be addressed \u2013 through provision of income security or by reversing inter- and intragenerational ageism", "page" : "25-36", "title" : "Unequal Social Engagement for Older Adults: Constraints on Choice", "type" : "article-journal", "volume" : "31" }, "uris" : [ "http://www.mendeley.com/documents/?uuid=354042a3-40e3-4309-bec8-99c0941f3571" ] } ], "mendeley" : { "formattedCitation" : "(Rozanova et al. 2012)", "manualFormatting" : "Rozanova et al. (2012)", "plainTextFormattedCitation" : "(Rozanova et al. 2012)", "previouslyFormattedCitation" : "(Rozanova et al. 2012)" }, "properties" : { "noteIndex" : 0 }, "schema" : "https://github.com/citation-style-language/schema/raw/master/csl-citation.json" }</w:instrText>
      </w:r>
      <w:r w:rsidRPr="00C3671E">
        <w:rPr>
          <w:lang w:eastAsia="zh-CN"/>
        </w:rPr>
        <w:fldChar w:fldCharType="separate"/>
      </w:r>
      <w:r w:rsidRPr="00C3671E">
        <w:rPr>
          <w:noProof/>
          <w:lang w:eastAsia="zh-CN"/>
        </w:rPr>
        <w:t>Rozanova et al. (2012)</w:t>
      </w:r>
      <w:r w:rsidRPr="00C3671E">
        <w:rPr>
          <w:lang w:eastAsia="zh-CN"/>
        </w:rPr>
        <w:fldChar w:fldCharType="end"/>
      </w:r>
      <w:r w:rsidRPr="00C3671E">
        <w:rPr>
          <w:lang w:eastAsia="zh-CN"/>
        </w:rPr>
        <w:t>.</w:t>
      </w:r>
    </w:p>
    <w:p w14:paraId="10DA4FF4" w14:textId="6B3560F9" w:rsidR="00676326" w:rsidRPr="00C3671E" w:rsidRDefault="00676326" w:rsidP="00676326">
      <w:pPr>
        <w:pStyle w:val="Newparagraph"/>
        <w:jc w:val="both"/>
        <w:rPr>
          <w:lang w:eastAsia="zh-CN"/>
        </w:rPr>
      </w:pPr>
      <w:r w:rsidRPr="00C3671E">
        <w:rPr>
          <w:lang w:eastAsia="zh-CN"/>
        </w:rPr>
        <w:t xml:space="preserve">Chapter 6 evaluating all activities promoted by active ageing incorporates the fact that all roles and their outcomes within an individual are interconnected and affect each other. In other words, certain roles can be in conflict or reversely support each other </w:t>
      </w:r>
      <w:r w:rsidRPr="00C3671E">
        <w:rPr>
          <w:lang w:eastAsia="zh-CN"/>
        </w:rPr>
        <w:fldChar w:fldCharType="begin" w:fldLock="1"/>
      </w:r>
      <w:r w:rsidR="001257AA" w:rsidRPr="00C3671E">
        <w:rPr>
          <w:lang w:eastAsia="zh-CN"/>
        </w:rPr>
        <w:instrText>ADDIN CSL_CITATION { "citationItems" : [ { "id" : "ITEM-1", "itemData" : { "DOI" : "10.1177/0038040709356567", "ISBN" : "063120301X", "ISSN" : "0036-8075", "PMID" : "17806662", "author" : [ { "dropping-particle" : "", "family" : "Goode", "given" : "William J", "non-dropping-particle" : "", "parse-names" : false, "suffix" : "" } ], "container-title" : "American Sociological Review", "id" : "ITEM-1", "issue" : "4", "issued" : { "date-parts" : [ [ "1960" ] ] }, "page" : "483-496", "title" : "A Theory of Role Strain", "type" : "article-journal", "volume" : "25" }, "uris" : [ "http://www.mendeley.com/documents/?uuid=fa5664e7-4c35-4e1f-ab5d-837ee62474a6" ] }, { "id" : "ITEM-2", "itemData" : { "DOI" : "10.1007/s11150-016-9322-4", "ISSN" : "15737152", "abstract" : "Against the background of rapid population ageing, studying social participation in later life is of particular relevance within the framework of active ageing. Although caring for grandchildren has taken a central role for older persons due to unprecedented overlap between grandparents' and their grandchildren's lives, whether the relationship between grandparental childcare and social activities is characterised by cumulation or competition remains under-explored. Grandparental childcare may increase the purpose in life for grandparents, stimulating their social participation, or it may impose time and energy constraints on it. This study aims to assess the effect of providing grandchild care on participation in social activities for people aged 50-85 in Europe. Using an instrumental variable approach on data from the Survey of Health, Ageing and Retirement in Europe, we find no significant negative effects of grandchild care on engagement in at least one social activity. However, regular provision of grandchild care has a significant negative effect on the number of activities in which grandmothers participate. When considering the activities separately by type we also find, for grandmothers only, a negative effect on volunteering, engagement in educational or training courses and participation in political or community-related organisation.", "author" : [ { "dropping-particle" : "", "family" : "Arpino", "given" : "Bruno", "non-dropping-particle" : "", "parse-names" : false, "suffix" : "" }, { "dropping-particle" : "", "family" : "Bordone", "given" : "Valeria", "non-dropping-particle" : "", "parse-names" : false, "suffix" : "" } ], "container-title" : "Review of Economics of the Household", "id" : "ITEM-2", "issue" : "1", "issued" : { "date-parts" : [ [ "2017" ] ] }, "page" : "135-174", "title" : "Regular provision of grandchild care and participation in social activities", "type" : "article-journal", "volume" : "15" }, "uris" : [ "http://www.mendeley.com/documents/?uuid=9addf098-b8d1-4700-aa06-de499378d7e2" ] }, { "id" : "ITEM-3", "itemData" : { "ISBN" : "9789279458590", "author" : [ { "dropping-particle" : "", "family" : "Karpinska", "given" : "Kasia", "non-dropping-particle" : "", "parse-names" : false, "suffix" : "" }, { "dropping-particle" : "", "family" : "Dykstra", "given" : "Pearl", "non-dropping-particle" : "", "parse-names" : false, "suffix" : "" } ], "container-title" : "Peer Review on the Active Ageing Index", "id" : "ITEM-3", "issue" : "15-16 October", "issued" : { "date-parts" : [ [ "2014" ] ] }, "page" : "1-40", "publisher-place" : "Cracow", "title" : "The Active Ageing Index and its extension to the regional level", "type" : "paper-conference" }, "uris" : [ "http://www.mendeley.com/documents/?uuid=679d0341-1b56-43f5-a340-4315f24ebbb0" ] } ], "mendeley" : { "formattedCitation" : "(Arpino and Bordone 2017; Goode 1960; Karpinska and Dykstra 2014)", "plainTextFormattedCitation" : "(Arpino and Bordone 2017; Goode 1960; Karpinska and Dykstra 2014)", "previouslyFormattedCitation" : "(Arpino and Bordone 2017; Goode 1960; Karpinska and Dykstra 2014)" }, "properties" : { "noteIndex" : 0 }, "schema" : "https://github.com/citation-style-language/schema/raw/master/csl-citation.json" }</w:instrText>
      </w:r>
      <w:r w:rsidRPr="00C3671E">
        <w:rPr>
          <w:lang w:eastAsia="zh-CN"/>
        </w:rPr>
        <w:fldChar w:fldCharType="separate"/>
      </w:r>
      <w:r w:rsidR="00A91559" w:rsidRPr="00C3671E">
        <w:rPr>
          <w:noProof/>
          <w:lang w:eastAsia="zh-CN"/>
        </w:rPr>
        <w:t>(Arpino and Bordone 2017; Goode 1960; Karpinska and Dykstra 2014)</w:t>
      </w:r>
      <w:r w:rsidRPr="00C3671E">
        <w:rPr>
          <w:lang w:eastAsia="zh-CN"/>
        </w:rPr>
        <w:fldChar w:fldCharType="end"/>
      </w:r>
      <w:r w:rsidRPr="00C3671E">
        <w:rPr>
          <w:lang w:eastAsia="zh-CN"/>
        </w:rPr>
        <w:t xml:space="preserve">, which is not adequately reflected by active ageing and tools for its evaluation </w:t>
      </w:r>
      <w:r w:rsidRPr="00C3671E">
        <w:rPr>
          <w:lang w:eastAsia="zh-CN"/>
        </w:rPr>
        <w:fldChar w:fldCharType="begin" w:fldLock="1"/>
      </w:r>
      <w:r w:rsidR="001257AA" w:rsidRPr="00C3671E">
        <w:rPr>
          <w:lang w:eastAsia="zh-CN"/>
        </w:rPr>
        <w:instrText>ADDIN CSL_CITATION { "citationItems" : [ { "id" : "ITEM-1", "itemData" : { "DOI" : "10.1080/13880290902938435", "author" : [ { "dropping-particle" : "", "family" : "Commission of the European Communities", "given" : "", "non-dropping-particle" : "", "parse-names" : false, "suffix" : "" } ], "id" : "ITEM-1", "issued" : { "date-parts" : [ [ "2002" ] ] }, "page" : "1-15", "publisher-place" : "Brussels", "title" : "Europe's response to World Ageing: Promoting economic and social progress in an ageing world", "type" : "article" }, "uris" : [ "http://www.mendeley.com/documents/?uuid=c682390e-0125-49b7-955f-2b0f9b56c771" ] }, { "id" : "ITEM-2", "itemData" : { "author" : [ { "dropping-particle" : "", "family" : "European Commission", "given" : "", "non-dropping-particle" : "", "parse-names" : false, "suffix" : "" } ], "id" : "ITEM-2", "issued" : { "date-parts" : [ [ "2013" ] ] }, "publisher" : "European Comission", "publisher-place" : "Brussels", "title" : "Introducing the Active Ageing Index. Policy brief", "type" : "book" }, "uris" : [ "http://www.mendeley.com/documents/?uuid=15ea840e-806d-4ce4-88d2-b847e7b3756b" ] }, { "id" : "ITEM-3", "itemData" : { "DOI" : "10.1007/s12062-017-9174-6", "ISSN" : "1874-7884", "abstract" : "Why Active Ageing Matters\\r\\nBy the end of the first half of the twentieth century most European states had introduced public pension schemes of one sort or another. In doing so they were affirming the role of the state in providing individuals with a form of support that all but a few would struggle to provide for themselves. The objectives of these schemes were generally quite limited: to reduce the risk of poverty in old age by facilitating savings during working life. The rationale was simple: to provide access to financial support - a regular and reliable income \u2013 for a time of life when the ability to work was increasingly impaired by loss of health or functional ability. In the second half of the century, after the second world war, increasing affluence combined with a more demanding view of the responsibilities of government to improve the generosity of pensions and to expand welfare systems in ways that conferred other benefits on their older populations besides a basic pension income, including the provision of social care (e.g. care homes for older people who had no family and were unable to look after themselves in their own homes). Policy was still broadly conceived as a collective response to age-related losses that undermined independence.", "author" : [ { "dropping-particle" : "", "family" : "Zaidi", "given" : "Asghar", "non-dropping-particle" : "", "parse-names" : false, "suffix" : "" }, { "dropping-particle" : "", "family" : "Howse", "given" : "Kenneth", "non-dropping-particle" : "", "parse-names" : false, "suffix" : "" } ], "container-title" : "Journal of Population Ageing", "id" : "ITEM-3", "issue" : "1", "issued" : { "date-parts" : [ [ "2017" ] ] }, "page" : "1-10", "publisher" : "Journal of Population Ageing", "title" : "The Policy Discourse of Active Ageing: Some Reflections", "type" : "article-journal", "volume" : "10" }, "uris" : [ "http://www.mendeley.com/documents/?uuid=badd02a6-0ba4-4766-b6a7-a04a46414a57" ] } ], "mendeley" : { "formattedCitation" : "(Commission of the European Communities 2002; European Commission 2013; Zaidi and Howse 2017)", "plainTextFormattedCitation" : "(Commission of the European Communities 2002; European Commission 2013; Zaidi and Howse 2017)", "previouslyFormattedCitation" : "(Commission of the European Communities 2002; European Commission 2013; Zaidi and Howse 2017)" }, "properties" : { "noteIndex" : 0 }, "schema" : "https://github.com/citation-style-language/schema/raw/master/csl-citation.json" }</w:instrText>
      </w:r>
      <w:r w:rsidRPr="00C3671E">
        <w:rPr>
          <w:lang w:eastAsia="zh-CN"/>
        </w:rPr>
        <w:fldChar w:fldCharType="separate"/>
      </w:r>
      <w:r w:rsidR="00A91559" w:rsidRPr="00C3671E">
        <w:rPr>
          <w:noProof/>
          <w:lang w:eastAsia="zh-CN"/>
        </w:rPr>
        <w:t>(Commission of the European Communities 2002; European Commission 2013; Zaidi and Howse 2017)</w:t>
      </w:r>
      <w:r w:rsidRPr="00C3671E">
        <w:rPr>
          <w:lang w:eastAsia="zh-CN"/>
        </w:rPr>
        <w:fldChar w:fldCharType="end"/>
      </w:r>
      <w:r w:rsidRPr="00C3671E">
        <w:rPr>
          <w:lang w:eastAsia="zh-CN"/>
        </w:rPr>
        <w:t xml:space="preserve">. The fixed effect modelling used in this dissertation examines all important activities at the same time and capitalizes on the panel dimension of SHARE data and reflect the changes in roles and QoL within individuals over time. The results imply that some activities – volunteering, visiting social or sports club, and physical activity – have a positive effect, while caregiving within the household has a negative effect. Overall, all effects are weaker and less positive in fixed effects modelling than in other types of regression analysis, which suggests a spurious effect of being active in many studies. Hence, it is important to evaluate each effect within the context of other roles and use a proper statistical technique in order to produce data for a proper knowledge-based decision making </w:t>
      </w:r>
      <w:r w:rsidRPr="00C3671E">
        <w:rPr>
          <w:lang w:eastAsia="zh-CN"/>
        </w:rPr>
        <w:fldChar w:fldCharType="begin" w:fldLock="1"/>
      </w:r>
      <w:r w:rsidR="004F5010" w:rsidRPr="00C3671E">
        <w:rPr>
          <w:lang w:eastAsia="zh-CN"/>
        </w:rPr>
        <w:instrText>ADDIN CSL_CITATION { "citationItems" : [ { "id" : "ITEM-1", "itemData" : { "DOI" : "10.1146/annurev.so.19.080193.002033", "ISBN" : "0360-0572", "ISSN" : "0360-0572", "abstract" : "Research on life transitions highlights the normative and nonnormative changes that individuals experience over time. During the past two decades, life course perspectives have provided a strategic context for studying the genesis of life transitions and their personal and social consequences. Both population-based and individual models of transitions have become more complex, focusing on the ways that social and historical contexts shape life transitions. At the individual level, progress has also been made in identifying the mechanisms by which transitions affect outcomes. Research on life transitions continues to grapple with two major issues-the challenges raised by heterogeneity, and the need to better link macro and micro perspectives-although advances have been made in both cases. One of the most promising characteristics of recent studies is cross-fertilization of concepts and methods from previously distinct research traditions: role theory, social stress theory, and life course sociology.", "author" : [ { "dropping-particle" : "", "family" : "George", "given" : "L K", "non-dropping-particle" : "", "parse-names" : false, "suffix" : "" } ], "container-title" : "Annual Review of Sociology", "id" : "ITEM-1", "issued" : { "date-parts" : [ [ "1993" ] ] }, "page" : "353-373", "title" : "Sociological-Perspectives on Life Transitions", "type" : "article-journal", "volume" : "19" }, "uris" : [ "http://www.mendeley.com/documents/?uuid=fe4e53a2-8342-41f2-bcb3-f1fb3380abb5" ] }, { "id" : "ITEM-2", "itemData" : { "DOI" : "10.1111/1467-8721.00121", "ISBN" : "09637214", "ISSN" : "0963-7214", "abstract" : "Retirement has been viewed either as a transition that is accompanied by psychological distress or as a time of continued, or even enhanced, subjective well-being. Existing evidence is mixed, with some studies reporting retirement as positively related to well-being and other reporting a negative relationship or none at all. Our research indicates that developmental and social contexts shape an individual's retirement decisions and experiences, so that retirement should be studied in its ecological and life-course context. Research on marital quality and subjective well-being in retirement has demonstrated both similarities and differences between men and women, as well as the need to consider couples conjointly (rather than viewing individuals in isolation). Future research focusing on the retirement process as it unfolds over time and in ecological context can serve to illuminate the circumstances under which retirement promotes or detracts from the quality of life.", "author" : [ { "dropping-particle" : "", "family" : "Kim", "given" : "Jungmeen E", "non-dropping-particle" : "", "parse-names" : false, "suffix" : "" }, { "dropping-particle" : "", "family" : "Moen", "given" : "Phyllis", "non-dropping-particle" : "", "parse-names" : false, "suffix" : "" } ], "container-title" : "Current Directions in Psychological Science", "id" : "ITEM-2", "issue" : "3", "issued" : { "date-parts" : [ [ "2001" ] ] }, "page" : "83-86", "title" : "Is Retirement Good or Bad for Subjective Well-Being?", "type" : "article-journal", "volume" : "10" }, "uris" : [ "http://www.mendeley.com/documents/?uuid=d06e4216-f8ef-4e4d-8d67-2a892de0433e" ] }, { "id" : "ITEM-3", "itemData" : { "author" : [ { "dropping-particle" : "", "family" : "Kim", "given" : "Jungmeen E", "non-dropping-particle" : "", "parse-names" : false, "suffix" : "" }, { "dropping-particle" : "", "family" : "Moen", "given" : "Phyllis", "non-dropping-particle" : "", "parse-names" : false, "suffix" : "" } ], "container-title" : "Journal of Gerontology: Psychological Series", "id" : "ITEM-3", "issue" : "3", "issued" : { "date-parts" : [ [ "2002" ] ] }, "note" : "Kim, Moen 2002: Retirement Transitions, Gender, and Psychological Well-Being: A Life-Course, Ecological Model\nlongitudinal: retirement\u2192well-being (morale scale, CES-D); married 50-72\nmultiple imputations of missing values\nmoving out from demanding job loosing occupational attachments, network, and anchor for identity\nrole theory + life-course perspetive \u2192 role enhancement X role strain\ncontinuity theory - maintaining patterns, stability\na life-course, ecological model - best for this issue\n- locating transitions in the social contexts of other roles, relations, and developmental processes\n- process, linked lives, context\nthe relationship between retirement and psychological well-being must be viewed in a temporal, life course context\nmaking the transition to retirement within the last 2 years is associated with higher levels of morale for men, whereas being \u201ccontinuously\u201d retired is related to greater depressive symptoms among men\n- enjoyable \u201choneymoon\u201d phase proposed by Atchley (1976b) - right after the event of retirement there often is a euphoric, busy, honeymoon phase\nthe importance of resources and contexts of transitions (gender, prior level of well-being, spouses\u2019 circumstance, and changes in personal control, marital quality, subjective health, and income adequacy\n\u2192\nWomen\u2019s retirement: Policy implications of recent research\nIs retirement good or bad for subjective well-being?\nCouples\u2019 work/retirement transitions, gender, and marital quality\nMen\u2019s retirement and marital quality\nVolunteering and mortality among older adults: Findings from a national sample\nThe retiree identity: Gender and race differences", "page" : "212-222", "title" : "Retirement Transitions, Gender, and Psychological Well-Being: A Life-Course , Ecological Model", "type" : "article-journal", "volume" : "57" }, "uris" : [ "http://www.mendeley.com/documents/?uuid=d324d834-c4ee-483d-b637-cc2ca78095c1" ] } ], "mendeley" : { "formattedCitation" : "(George 1993; Kim and Moen 2001, 2002)", "plainTextFormattedCitation" : "(George 1993; Kim and Moen 2001, 2002)", "previouslyFormattedCitation" : "(George 1993; Kim and Moen 2001, 2002)" }, "properties" : { "noteIndex" : 0 }, "schema" : "https://github.com/citation-style-language/schema/raw/master/csl-citation.json" }</w:instrText>
      </w:r>
      <w:r w:rsidRPr="00C3671E">
        <w:rPr>
          <w:lang w:eastAsia="zh-CN"/>
        </w:rPr>
        <w:fldChar w:fldCharType="separate"/>
      </w:r>
      <w:r w:rsidR="00224AA0" w:rsidRPr="00C3671E">
        <w:rPr>
          <w:noProof/>
          <w:lang w:eastAsia="zh-CN"/>
        </w:rPr>
        <w:t>(George 1993; Kim and Moen 2001, 2002)</w:t>
      </w:r>
      <w:r w:rsidRPr="00C3671E">
        <w:rPr>
          <w:lang w:eastAsia="zh-CN"/>
        </w:rPr>
        <w:fldChar w:fldCharType="end"/>
      </w:r>
      <w:r w:rsidRPr="00C3671E">
        <w:rPr>
          <w:lang w:eastAsia="zh-CN"/>
        </w:rPr>
        <w:t>.</w:t>
      </w:r>
    </w:p>
    <w:p w14:paraId="2239F10D" w14:textId="77777777" w:rsidR="00676326" w:rsidRPr="00C3671E" w:rsidRDefault="00676326" w:rsidP="00676326">
      <w:pPr>
        <w:pStyle w:val="Newparagraph"/>
        <w:jc w:val="both"/>
        <w:rPr>
          <w:lang w:eastAsia="zh-CN"/>
        </w:rPr>
      </w:pPr>
      <w:r w:rsidRPr="00C3671E">
        <w:rPr>
          <w:lang w:eastAsia="zh-CN"/>
        </w:rPr>
        <w:t>The dissertation generally brings several conclusions, which is important to connect with both previous research and practical implications:</w:t>
      </w:r>
    </w:p>
    <w:p w14:paraId="23E1360C" w14:textId="77777777" w:rsidR="00676326" w:rsidRPr="00C3671E" w:rsidRDefault="00676326" w:rsidP="00676326">
      <w:pPr>
        <w:pStyle w:val="Newparagraph"/>
        <w:jc w:val="both"/>
        <w:rPr>
          <w:lang w:eastAsia="zh-CN"/>
        </w:rPr>
      </w:pPr>
      <w:r w:rsidRPr="00C3671E">
        <w:rPr>
          <w:lang w:eastAsia="zh-CN"/>
        </w:rPr>
        <w:lastRenderedPageBreak/>
        <w:t>First, some activities promoted by active ageing are beneficial for older adults, but it is not true for all the activities and under all circumstances. Furthermore, the dissertation illustrates that these effects are weak or negligible compared to characteristics like health, education, and age when proper statistical techniques are applied.</w:t>
      </w:r>
    </w:p>
    <w:p w14:paraId="11E3384A" w14:textId="492C3867" w:rsidR="00676326" w:rsidRPr="00C3671E" w:rsidRDefault="00676326" w:rsidP="00676326">
      <w:pPr>
        <w:pStyle w:val="Newparagraph"/>
        <w:jc w:val="both"/>
        <w:rPr>
          <w:lang w:eastAsia="zh-CN"/>
        </w:rPr>
      </w:pPr>
      <w:r w:rsidRPr="00C3671E">
        <w:rPr>
          <w:lang w:eastAsia="zh-CN"/>
        </w:rPr>
        <w:t xml:space="preserve">Second, it is always important to consider individual resources, group dynamics, characteristics of activities, and macro-context, as the effect can be opposite for different values of these factors. In that regard, neither the theory of role strain </w:t>
      </w:r>
      <w:r w:rsidRPr="00C3671E">
        <w:rPr>
          <w:lang w:eastAsia="zh-CN"/>
        </w:rPr>
        <w:fldChar w:fldCharType="begin" w:fldLock="1"/>
      </w:r>
      <w:r w:rsidRPr="00C3671E">
        <w:rPr>
          <w:lang w:eastAsia="zh-CN"/>
        </w:rPr>
        <w:instrText>ADDIN CSL_CITATION { "citationItems" : [ { "id" : "ITEM-1", "itemData" : { "DOI" : "10.1177/0038040709356567", "ISBN" : "063120301X", "ISSN" : "0036-8075", "PMID" : "17806662", "author" : [ { "dropping-particle" : "", "family" : "Goode", "given" : "William J", "non-dropping-particle" : "", "parse-names" : false, "suffix" : "" } ], "container-title" : "American Sociological Review", "id" : "ITEM-1", "issue" : "4", "issued" : { "date-parts" : [ [ "1960" ] ] }, "page" : "483-496", "title" : "A Theory of Role Strain", "type" : "article-journal", "volume" : "25" }, "uris" : [ "http://www.mendeley.com/documents/?uuid=fa5664e7-4c35-4e1f-ab5d-837ee62474a6" ] } ], "mendeley" : { "formattedCitation" : "(Goode 1960)", "plainTextFormattedCitation" : "(Goode 1960)", "previouslyFormattedCitation" : "(Goode 1960)" }, "properties" : { "noteIndex" : 0 }, "schema" : "https://github.com/citation-style-language/schema/raw/master/csl-citation.json" }</w:instrText>
      </w:r>
      <w:r w:rsidRPr="00C3671E">
        <w:rPr>
          <w:lang w:eastAsia="zh-CN"/>
        </w:rPr>
        <w:fldChar w:fldCharType="separate"/>
      </w:r>
      <w:r w:rsidRPr="00C3671E">
        <w:rPr>
          <w:noProof/>
          <w:lang w:eastAsia="zh-CN"/>
        </w:rPr>
        <w:t>(Goode 1960)</w:t>
      </w:r>
      <w:r w:rsidRPr="00C3671E">
        <w:rPr>
          <w:lang w:eastAsia="zh-CN"/>
        </w:rPr>
        <w:fldChar w:fldCharType="end"/>
      </w:r>
      <w:r w:rsidRPr="00C3671E">
        <w:rPr>
          <w:lang w:eastAsia="zh-CN"/>
        </w:rPr>
        <w:t xml:space="preserve"> nor the theory of role accumulation </w:t>
      </w:r>
      <w:r w:rsidRPr="00C3671E">
        <w:rPr>
          <w:lang w:eastAsia="zh-CN"/>
        </w:rPr>
        <w:fldChar w:fldCharType="begin" w:fldLock="1"/>
      </w:r>
      <w:r w:rsidRPr="00C3671E">
        <w:rPr>
          <w:lang w:eastAsia="zh-CN"/>
        </w:rPr>
        <w:instrText>ADDIN CSL_CITATION { "citationItems" : [ { "id" : "ITEM-1", "itemData" : { "DOI" : "10.1177/0003122413515997", "author" : [ { "dropping-particle" : "", "family" : "Sieber", "given" : "Sam D.", "non-dropping-particle" : "", "parse-names" : false, "suffix" : "" } ], "container-title" : "American Sociological Review", "id" : "ITEM-1", "issue" : "4", "issued" : { "date-parts" : [ [ "1974" ] ] }, "page" : "567-578", "title" : "Toward a Theory of Role Accumulation", "type" : "article-journal", "volume" : "39" }, "uris" : [ "http://www.mendeley.com/documents/?uuid=3a4692a5-08a8-406e-bfc8-2c3503d510c2" ] } ], "mendeley" : { "formattedCitation" : "(Sieber 1974)", "plainTextFormattedCitation" : "(Sieber 1974)", "previouslyFormattedCitation" : "(Sieber 1974)" }, "properties" : { "noteIndex" : 0 }, "schema" : "https://github.com/citation-style-language/schema/raw/master/csl-citation.json" }</w:instrText>
      </w:r>
      <w:r w:rsidRPr="00C3671E">
        <w:rPr>
          <w:lang w:eastAsia="zh-CN"/>
        </w:rPr>
        <w:fldChar w:fldCharType="separate"/>
      </w:r>
      <w:r w:rsidRPr="00C3671E">
        <w:rPr>
          <w:noProof/>
          <w:lang w:eastAsia="zh-CN"/>
        </w:rPr>
        <w:t>(Sieber 1974)</w:t>
      </w:r>
      <w:r w:rsidRPr="00C3671E">
        <w:rPr>
          <w:lang w:eastAsia="zh-CN"/>
        </w:rPr>
        <w:fldChar w:fldCharType="end"/>
      </w:r>
      <w:r w:rsidRPr="00C3671E">
        <w:rPr>
          <w:lang w:eastAsia="zh-CN"/>
        </w:rPr>
        <w:t xml:space="preserve"> has universal applicability. Moreover, the same can be said about the theory of disengagement </w:t>
      </w:r>
      <w:r w:rsidRPr="00C3671E">
        <w:rPr>
          <w:lang w:eastAsia="zh-CN"/>
        </w:rPr>
        <w:fldChar w:fldCharType="begin" w:fldLock="1"/>
      </w:r>
      <w:r w:rsidRPr="00C3671E">
        <w:rPr>
          <w:lang w:eastAsia="zh-CN"/>
        </w:rPr>
        <w:instrText>ADDIN CSL_CITATION { "citationItems" : [ { "id" : "ITEM-1", "itemData" : { "author" : [ { "dropping-particle" : "", "family" : "Cumming", "given" : "Elaine", "non-dropping-particle" : "", "parse-names" : false, "suffix" : "" }, { "dropping-particle" : "", "family" : "Henry", "given" : "William Earl", "non-dropping-particle" : "", "parse-names" : false, "suffix" : "" } ], "id" : "ITEM-1", "issued" : { "date-parts" : [ [ "1961" ] ] }, "publisher" : "Basic Books", "publisher-place" : "New York", "title" : "Growing old, the process of disengagement", "type" : "book" }, "uris" : [ "http://www.mendeley.com/documents/?uuid=b7f05d8b-128f-4438-8949-5f168bee8bd7" ] } ], "mendeley" : { "formattedCitation" : "(Cumming and Henry 1961)", "plainTextFormattedCitation" : "(Cumming and Henry 1961)", "previouslyFormattedCitation" : "(Cumming and Henry 1961)" }, "properties" : { "noteIndex" : 0 }, "schema" : "https://github.com/citation-style-language/schema/raw/master/csl-citation.json" }</w:instrText>
      </w:r>
      <w:r w:rsidRPr="00C3671E">
        <w:rPr>
          <w:lang w:eastAsia="zh-CN"/>
        </w:rPr>
        <w:fldChar w:fldCharType="separate"/>
      </w:r>
      <w:r w:rsidRPr="00C3671E">
        <w:rPr>
          <w:noProof/>
          <w:lang w:eastAsia="zh-CN"/>
        </w:rPr>
        <w:t>(Cumming and Henry 1961)</w:t>
      </w:r>
      <w:r w:rsidRPr="00C3671E">
        <w:rPr>
          <w:lang w:eastAsia="zh-CN"/>
        </w:rPr>
        <w:fldChar w:fldCharType="end"/>
      </w:r>
      <w:r w:rsidRPr="00C3671E">
        <w:rPr>
          <w:lang w:eastAsia="zh-CN"/>
        </w:rPr>
        <w:t xml:space="preserve"> and the activity theory or active ageing concept </w:t>
      </w:r>
      <w:r w:rsidRPr="00C3671E">
        <w:rPr>
          <w:lang w:eastAsia="zh-CN"/>
        </w:rPr>
        <w:fldChar w:fldCharType="begin" w:fldLock="1"/>
      </w:r>
      <w:r w:rsidR="001257AA" w:rsidRPr="00C3671E">
        <w:rPr>
          <w:lang w:eastAsia="zh-CN"/>
        </w:rPr>
        <w:instrText>ADDIN CSL_CITATION { "citationItems" : [ { "id" : "ITEM-1", "itemData" : { "DOI" : "10.1093/geront/1.1.8", "abstract" : "Substantial increases in the relative and absolute number of older persons in our society pose a challenge for biology, social and behavioral science, and medicine. Successful aging is multidimensional, encompassing the avoidance of disease and disability, the maintenance of high physical and cognitive function, and sustained engagement in social and productive activities. Research has identified factors predictive of success in these critical domains. The stage is set for intervention studies to enhance the proportion of our population aging successfully.", "author" : [ { "dropping-particle" : "", "family" : "Havighurst", "given" : "Robert J", "non-dropping-particle" : "", "parse-names" : false, "suffix" : "" } ], "container-title" : "The Gerontologist", "id" : "ITEM-1", "issue" : "1", "issued" : { "date-parts" : [ [ "1961" ] ] }, "page" : "8-13", "title" : "Successful Aging", "type" : "article-journal", "volume" : "1" }, "uris" : [ "http://www.mendeley.com/documents/?uuid=67d7e72c-655e-4df5-8029-f3c1efddc5da" ] }, { "id" : "ITEM-2", "itemData" : { "ISBN" : "9789287152404", "abstract" : "Foreword\\n\\nThe Council of Europe has a long tradition of producing population studies, and the work of the European Population Committee contributes to the understanding of the relationship between social policy and demographic issues in Europe. The findings of this work are published in the series Population studies, where topics covered include migration flows, national minorities, demographic\\nchanges and the labour market, the ageing of European populations and the demographic consequences of economic transition. These publications provide essential background information for implementing the Council of Europe\u2019s strategy for social cohesion: an integrated policy approach aimed at combating poverty and social exclusion through promoting access to social rights in areas\\nsuch as employment and training, health, social protection, housing, education and social services.\\n\\nThis volume takes as its starting point the changing age structure in European countries. This is characterised by the increase in the number of elderly persons and the decrease in the young and working populations. It reviews the demographic differences between European countries. The authors note that improved living conditions and effective health and social policies mean that the majority of younger elderly Europeans reach the third age in relatively good health and under conditions of some income security. They point out\\nthat whilst the effective age at retirement has been declining, it is only a minority of elderly people who use their free time in an active manner.\\n\\nThe authors examine the different public policy approaches and individual strategies developed in response to these societal changes and they make wide-ranging policy proposals for the development of active ageing strategies which address issues of employment, health, leisure and social cohesion.", "author" : [ { "dropping-particle" : "", "family" : "Avramov", "given" : "Dragana", "non-dropping-particle" : "", "parse-names" : false, "suffix" : "" }, { "dropping-particle" : "", "family" : "Maskova", "given" : "Miroslava", "non-dropping-particle" : "", "parse-names" : false, "suffix" : "" } ], "container-title" : "Population studies", "id" : "ITEM-2", "issue" : "41", "issued" : { "date-parts" : [ [ "2003" ] ] }, "number-of-pages" : "1-152", "publisher" : "Council of Europe Publishing", "publisher-place" : "Strasbourg", "title" : "Active ageing in Europe", "type" : "book", "volume" : "1" }, "uris" : [ "http://www.mendeley.com/documents/?uuid=7db55846-516c-430d-834c-164bd53456b9" ] } ], "mendeley" : { "formattedCitation" : "(Avramov and Maskova 2003; Havighurst 1961)", "plainTextFormattedCitation" : "(Avramov and Maskova 2003; Havighurst 1961)", "previouslyFormattedCitation" : "(Avramov and Maskova 2003; Havighurst 1961)" }, "properties" : { "noteIndex" : 0 }, "schema" : "https://github.com/citation-style-language/schema/raw/master/csl-citation.json" }</w:instrText>
      </w:r>
      <w:r w:rsidRPr="00C3671E">
        <w:rPr>
          <w:lang w:eastAsia="zh-CN"/>
        </w:rPr>
        <w:fldChar w:fldCharType="separate"/>
      </w:r>
      <w:r w:rsidR="00A91559" w:rsidRPr="00C3671E">
        <w:rPr>
          <w:noProof/>
          <w:lang w:eastAsia="zh-CN"/>
        </w:rPr>
        <w:t>(Avramov and Maskova 2003; Havighurst 1961)</w:t>
      </w:r>
      <w:r w:rsidRPr="00C3671E">
        <w:rPr>
          <w:lang w:eastAsia="zh-CN"/>
        </w:rPr>
        <w:fldChar w:fldCharType="end"/>
      </w:r>
      <w:r w:rsidRPr="00C3671E">
        <w:rPr>
          <w:lang w:eastAsia="zh-CN"/>
        </w:rPr>
        <w:t xml:space="preserve">. Rather than these ‘absolute notions’ of social gerontology, the life course approach </w:t>
      </w:r>
      <w:r w:rsidRPr="00C3671E">
        <w:rPr>
          <w:lang w:eastAsia="zh-CN"/>
        </w:rPr>
        <w:fldChar w:fldCharType="begin" w:fldLock="1"/>
      </w:r>
      <w:r w:rsidR="001257AA" w:rsidRPr="00C3671E">
        <w:rPr>
          <w:lang w:eastAsia="zh-CN"/>
        </w:rPr>
        <w:instrText>ADDIN CSL_CITATION { "citationItems" : [ { "id" : "ITEM-1", "itemData" : { "DOI" : "10.1146/annurev.so.19.080193.002033", "ISBN" : "0360-0572", "ISSN" : "0360-0572", "abstract" : "Research on life transitions highlights the normative and nonnormative changes that individuals experience over time. During the past two decades, life course perspectives have provided a strategic context for studying the genesis of life transitions and their personal and social consequences. Both population-based and individual models of transitions have become more complex, focusing on the ways that social and historical contexts shape life transitions. At the individual level, progress has also been made in identifying the mechanisms by which transitions affect outcomes. Research on life transitions continues to grapple with two major issues-the challenges raised by heterogeneity, and the need to better link macro and micro perspectives-although advances have been made in both cases. One of the most promising characteristics of recent studies is cross-fertilization of concepts and methods from previously distinct research traditions: role theory, social stress theory, and life course sociology.", "author" : [ { "dropping-particle" : "", "family" : "George", "given" : "L K", "non-dropping-particle" : "", "parse-names" : false, "suffix" : "" } ], "container-title" : "Annual Review of Sociology", "id" : "ITEM-1", "issued" : { "date-parts" : [ [ "1993" ] ] }, "page" : "353-373", "title" : "Sociological-Perspectives on Life Transitions", "type" : "article-journal", "volume" : "19" }, "uris" : [ "http://www.mendeley.com/documents/?uuid=fe4e53a2-8342-41f2-bcb3-f1fb3380abb5" ] }, { "id" : "ITEM-2", "itemData" : { "author" : [ { "dropping-particle" : "", "family" : "Kim", "given" : "Jungmeen E", "non-dropping-particle" : "", "parse-names" : false, "suffix" : "" }, { "dropping-particle" : "", "family" : "Moen", "given" : "Phyllis", "non-dropping-particle" : "", "parse-names" : false, "suffix" : "" } ], "container-title" : "Journal of Gerontology: Psychological Series", "id" : "ITEM-2", "issue" : "3", "issued" : { "date-parts" : [ [ "2002" ] ] }, "note" : "Kim, Moen 2002: Retirement Transitions, Gender, and Psychological Well-Being: A Life-Course, Ecological Model\nlongitudinal: retirement\u2192well-being (morale scale, CES-D); married 50-72\nmultiple imputations of missing values\nmoving out from demanding job loosing occupational attachments, network, and anchor for identity\nrole theory + life-course perspetive \u2192 role enhancement X role strain\ncontinuity theory - maintaining patterns, stability\na life-course, ecological model - best for this issue\n- locating transitions in the social contexts of other roles, relations, and developmental processes\n- process, linked lives, context\nthe relationship between retirement and psychological well-being must be viewed in a temporal, life course context\nmaking the transition to retirement within the last 2 years is associated with higher levels of morale for men, whereas being \u201ccontinuously\u201d retired is related to greater depressive symptoms among men\n- enjoyable \u201choneymoon\u201d phase proposed by Atchley (1976b) - right after the event of retirement there often is a euphoric, busy, honeymoon phase\nthe importance of resources and contexts of transitions (gender, prior level of well-being, spouses\u2019 circumstance, and changes in personal control, marital quality, subjective health, and income adequacy\n\u2192\nWomen\u2019s retirement: Policy implications of recent research\nIs retirement good or bad for subjective well-being?\nCouples\u2019 work/retirement transitions, gender, and marital quality\nMen\u2019s retirement and marital quality\nVolunteering and mortality among older adults: Findings from a national sample\nThe retiree identity: Gender and race differences", "page" : "212-222", "title" : "Retirement Transitions, Gender, and Psychological Well-Being: A Life-Course , Ecological Model", "type" : "article-journal", "volume" : "57" }, "uris" : [ "http://www.mendeley.com/documents/?uuid=d324d834-c4ee-483d-b637-cc2ca78095c1" ] } ], "mendeley" : { "formattedCitation" : "(George 1993; Kim and Moen 2002)", "plainTextFormattedCitation" : "(George 1993; Kim and Moen 2002)", "previouslyFormattedCitation" : "(George 1993; Kim and Moen 2002)" }, "properties" : { "noteIndex" : 0 }, "schema" : "https://github.com/citation-style-language/schema/raw/master/csl-citation.json" }</w:instrText>
      </w:r>
      <w:r w:rsidRPr="00C3671E">
        <w:rPr>
          <w:lang w:eastAsia="zh-CN"/>
        </w:rPr>
        <w:fldChar w:fldCharType="separate"/>
      </w:r>
      <w:r w:rsidR="00A91559" w:rsidRPr="00C3671E">
        <w:rPr>
          <w:noProof/>
          <w:lang w:eastAsia="zh-CN"/>
        </w:rPr>
        <w:t>(George 1993; Kim and Moen 2002)</w:t>
      </w:r>
      <w:r w:rsidRPr="00C3671E">
        <w:rPr>
          <w:lang w:eastAsia="zh-CN"/>
        </w:rPr>
        <w:fldChar w:fldCharType="end"/>
      </w:r>
      <w:r w:rsidRPr="00C3671E">
        <w:rPr>
          <w:lang w:eastAsia="zh-CN"/>
        </w:rPr>
        <w:t xml:space="preserve"> and ecological perspective </w:t>
      </w:r>
      <w:r w:rsidRPr="00C3671E">
        <w:rPr>
          <w:lang w:eastAsia="zh-CN"/>
        </w:rPr>
        <w:fldChar w:fldCharType="begin" w:fldLock="1"/>
      </w:r>
      <w:r w:rsidRPr="00C3671E">
        <w:rPr>
          <w:lang w:eastAsia="zh-CN"/>
        </w:rPr>
        <w:instrText>ADDIN CSL_CITATION { "citationItems" : [ { "id" : "ITEM-1", "itemData" : { "author" : [ { "dropping-particle" : "", "family" : "Bronfenbrenner", "given" : "Urie", "non-dropping-particle" : "", "parse-names" : false, "suffix" : "" } ], "container-title" : "Developmental Psychology", "id" : "ITEM-1", "issue" : "6", "issued" : { "date-parts" : [ [ "1986" ] ] }, "page" : "723-742", "title" : "Ecology of the family as a context for human development: research perspectives", "type" : "article-journal", "volume" : "22" }, "uris" : [ "http://www.mendeley.com/documents/?uuid=914637a8-15ad-4ca9-89fd-0e132df3bbfe" ] } ], "mendeley" : { "formattedCitation" : "(Bronfenbrenner 1986)", "plainTextFormattedCitation" : "(Bronfenbrenner 1986)", "previouslyFormattedCitation" : "(Bronfenbrenner 1986)" }, "properties" : { "noteIndex" : 0 }, "schema" : "https://github.com/citation-style-language/schema/raw/master/csl-citation.json" }</w:instrText>
      </w:r>
      <w:r w:rsidRPr="00C3671E">
        <w:rPr>
          <w:lang w:eastAsia="zh-CN"/>
        </w:rPr>
        <w:fldChar w:fldCharType="separate"/>
      </w:r>
      <w:r w:rsidRPr="00C3671E">
        <w:rPr>
          <w:noProof/>
          <w:lang w:eastAsia="zh-CN"/>
        </w:rPr>
        <w:t>(Bronfenbrenner 1986)</w:t>
      </w:r>
      <w:r w:rsidRPr="00C3671E">
        <w:rPr>
          <w:lang w:eastAsia="zh-CN"/>
        </w:rPr>
        <w:fldChar w:fldCharType="end"/>
      </w:r>
      <w:r w:rsidRPr="00C3671E">
        <w:rPr>
          <w:lang w:eastAsia="zh-CN"/>
        </w:rPr>
        <w:t xml:space="preserve"> are more relevant framings of this topic. This conclusion is compatible with </w:t>
      </w:r>
      <w:r w:rsidRPr="00C3671E">
        <w:rPr>
          <w:lang w:eastAsia="zh-CN"/>
        </w:rPr>
        <w:fldChar w:fldCharType="begin" w:fldLock="1"/>
      </w:r>
      <w:r w:rsidR="001257AA" w:rsidRPr="00C3671E">
        <w:rPr>
          <w:lang w:eastAsia="zh-CN"/>
        </w:rPr>
        <w:instrText>ADDIN CSL_CITATION { "citationItems" : [ { "id" : "ITEM-1", "itemData" : { "author" : [ { "dropping-particle" : "", "family" : "Phillips", "given" : "Judith", "non-dropping-particle" : "", "parse-names" : false, "suffix" : "" }, { "dropping-particle" : "", "family" : "Ajrouch", "given" : "Kristine", "non-dropping-particle" : "", "parse-names" : false, "suffix" : "" }, { "dropping-particle" : "", "family" : "Hillcoat-Nall\u00e9tamby", "given" : "Sarah", "non-dropping-particle" : "", "parse-names" : false, "suffix" : "" } ], "id" : "ITEM-1", "issued" : { "date-parts" : [ [ "2010" ] ] }, "publisher" : "SAGE", "publisher-place" : "Los Angeles", "title" : "Key concepts in social gerontology", "type" : "book" }, "uris" : [ "http://www.mendeley.com/documents/?uuid=aa168abc-3880-4938-aaf6-f6359651c5f9" ] } ], "mendeley" : { "formattedCitation" : "(Phillips et al. 2010)", "manualFormatting" : "Phillips's et al. (2010)", "plainTextFormattedCitation" : "(Phillips et al. 2010)", "previouslyFormattedCitation" : "(Phillips et al. 2010)" }, "properties" : { "noteIndex" : 0 }, "schema" : "https://github.com/citation-style-language/schema/raw/master/csl-citation.json" }</w:instrText>
      </w:r>
      <w:r w:rsidRPr="00C3671E">
        <w:rPr>
          <w:lang w:eastAsia="zh-CN"/>
        </w:rPr>
        <w:fldChar w:fldCharType="separate"/>
      </w:r>
      <w:r w:rsidRPr="00C3671E">
        <w:rPr>
          <w:noProof/>
          <w:lang w:eastAsia="zh-CN"/>
        </w:rPr>
        <w:t>Phillips's et al. (2010)</w:t>
      </w:r>
      <w:r w:rsidRPr="00C3671E">
        <w:rPr>
          <w:lang w:eastAsia="zh-CN"/>
        </w:rPr>
        <w:fldChar w:fldCharType="end"/>
      </w:r>
      <w:r w:rsidRPr="00C3671E">
        <w:rPr>
          <w:lang w:eastAsia="zh-CN"/>
        </w:rPr>
        <w:t xml:space="preserve"> description of the development of social gerontology towards more relative theories.</w:t>
      </w:r>
    </w:p>
    <w:p w14:paraId="54F31EC3" w14:textId="4B7CE6BE" w:rsidR="00676326" w:rsidRPr="00C3671E" w:rsidRDefault="00676326" w:rsidP="00676326">
      <w:pPr>
        <w:pStyle w:val="Newparagraph"/>
        <w:jc w:val="both"/>
        <w:rPr>
          <w:lang w:eastAsia="zh-CN"/>
        </w:rPr>
      </w:pPr>
      <w:r w:rsidRPr="00C3671E">
        <w:rPr>
          <w:lang w:eastAsia="zh-CN"/>
        </w:rPr>
        <w:t xml:space="preserve">Third, the results confirmed a weak association between actual and desired reality within active ageing concept indicated from its inception. While the theory of disengagement drew on the actual performance of roles in later life </w:t>
      </w:r>
      <w:r w:rsidRPr="00C3671E">
        <w:rPr>
          <w:lang w:eastAsia="zh-CN"/>
        </w:rPr>
        <w:fldChar w:fldCharType="begin" w:fldLock="1"/>
      </w:r>
      <w:r w:rsidR="001257AA" w:rsidRPr="00C3671E">
        <w:rPr>
          <w:lang w:eastAsia="zh-CN"/>
        </w:rPr>
        <w:instrText>ADDIN CSL_CITATION { "citationItems" : [ { "id" : "ITEM-1", "itemData" : { "author" : [ { "dropping-particle" : "", "family" : "Cumming", "given" : "Elaine", "non-dropping-particle" : "", "parse-names" : false, "suffix" : "" }, { "dropping-particle" : "", "family" : "Henry", "given" : "William Earl", "non-dropping-particle" : "", "parse-names" : false, "suffix" : "" } ], "id" : "ITEM-1", "issued" : { "date-parts" : [ [ "1961" ] ] }, "publisher" : "Basic Books", "publisher-place" : "New York", "title" : "Growing old, the process of disengagement", "type" : "book" }, "uris" : [ "http://www.mendeley.com/documents/?uuid=b7f05d8b-128f-4438-8949-5f168bee8bd7" ] }, { "id" : "ITEM-2", "itemData" : { "DOI" : "10.1007/978-3-662-38534-0_1", "ISBN" : "978-3-662-38534-0", "ISSN" : "0020756X", "author" : [ { "dropping-particle" : "", "family" : "Cumming", "given" : "E", "non-dropping-particle" : "", "parse-names" : false, "suffix" : "" } ], "container-title" : "International Social Science Journal", "id" : "ITEM-2", "issue" : "3", "issued" : { "date-parts" : [ [ "1963" ] ] }, "page" : "377-393", "title" : "Further Thoughts on the Theory of Disengagement", "type" : "article", "volume" : "15" }, "uris" : [ "http://www.mendeley.com/documents/?uuid=b123e4b5-1efa-4690-8b00-e7a87b558968" ] } ], "mendeley" : { "formattedCitation" : "(Cumming 1963; Cumming and Henry 1961)", "plainTextFormattedCitation" : "(Cumming 1963; Cumming and Henry 1961)", "previouslyFormattedCitation" : "(Cumming 1963; Cumming and Henry 1961)" }, "properties" : { "noteIndex" : 0 }, "schema" : "https://github.com/citation-style-language/schema/raw/master/csl-citation.json" }</w:instrText>
      </w:r>
      <w:r w:rsidRPr="00C3671E">
        <w:rPr>
          <w:lang w:eastAsia="zh-CN"/>
        </w:rPr>
        <w:fldChar w:fldCharType="separate"/>
      </w:r>
      <w:r w:rsidR="00A91559" w:rsidRPr="00C3671E">
        <w:rPr>
          <w:noProof/>
          <w:lang w:eastAsia="zh-CN"/>
        </w:rPr>
        <w:t>(Cumming 1963; Cumming and Henry 1961)</w:t>
      </w:r>
      <w:r w:rsidRPr="00C3671E">
        <w:rPr>
          <w:lang w:eastAsia="zh-CN"/>
        </w:rPr>
        <w:fldChar w:fldCharType="end"/>
      </w:r>
      <w:r w:rsidRPr="00C3671E">
        <w:rPr>
          <w:lang w:eastAsia="zh-CN"/>
        </w:rPr>
        <w:t xml:space="preserve">, the activity theory addressed desired state of affairs as an aim of the future </w:t>
      </w:r>
      <w:r w:rsidRPr="00C3671E">
        <w:rPr>
          <w:lang w:eastAsia="zh-CN"/>
        </w:rPr>
        <w:fldChar w:fldCharType="begin" w:fldLock="1"/>
      </w:r>
      <w:r w:rsidRPr="00C3671E">
        <w:rPr>
          <w:lang w:eastAsia="zh-CN"/>
        </w:rPr>
        <w:instrText>ADDIN CSL_CITATION { "citationItems" : [ { "id" : "ITEM-1", "itemData" : { "DOI" : "10.1093/geront/1.1.8", "abstract" : "Substantial increases in the relative and absolute number of older persons in our society pose a challenge for biology, social and behavioral science, and medicine. Successful aging is multidimensional, encompassing the avoidance of disease and disability, the maintenance of high physical and cognitive function, and sustained engagement in social and productive activities. Research has identified factors predictive of success in these critical domains. The stage is set for intervention studies to enhance the proportion of our population aging successfully.", "author" : [ { "dropping-particle" : "", "family" : "Havighurst", "given" : "Robert J", "non-dropping-particle" : "", "parse-names" : false, "suffix" : "" } ], "container-title" : "The Gerontologist", "id" : "ITEM-1", "issue" : "1", "issued" : { "date-parts" : [ [ "1961" ] ] }, "page" : "8-13", "title" : "Successful Aging", "type" : "article-journal", "volume" : "1" }, "uris" : [ "http://www.mendeley.com/documents/?uuid=67d7e72c-655e-4df5-8029-f3c1efddc5da" ] } ], "mendeley" : { "formattedCitation" : "(Havighurst 1961)", "plainTextFormattedCitation" : "(Havighurst 1961)", "previouslyFormattedCitation" : "(Havighurst 1961)" }, "properties" : { "noteIndex" : 0 }, "schema" : "https://github.com/citation-style-language/schema/raw/master/csl-citation.json" }</w:instrText>
      </w:r>
      <w:r w:rsidRPr="00C3671E">
        <w:rPr>
          <w:lang w:eastAsia="zh-CN"/>
        </w:rPr>
        <w:fldChar w:fldCharType="separate"/>
      </w:r>
      <w:r w:rsidRPr="00C3671E">
        <w:rPr>
          <w:noProof/>
          <w:lang w:eastAsia="zh-CN"/>
        </w:rPr>
        <w:t>(Havighurst 1961)</w:t>
      </w:r>
      <w:r w:rsidRPr="00C3671E">
        <w:rPr>
          <w:lang w:eastAsia="zh-CN"/>
        </w:rPr>
        <w:fldChar w:fldCharType="end"/>
      </w:r>
      <w:r w:rsidRPr="00C3671E">
        <w:rPr>
          <w:lang w:eastAsia="zh-CN"/>
        </w:rPr>
        <w:t xml:space="preserve">. Then, active ageing as an approach closely tied to social politics held this connection to the desired level of activities, which should be aimed for </w:t>
      </w:r>
      <w:r w:rsidRPr="00C3671E">
        <w:rPr>
          <w:lang w:eastAsia="zh-CN"/>
        </w:rPr>
        <w:fldChar w:fldCharType="begin" w:fldLock="1"/>
      </w:r>
      <w:r w:rsidR="001257AA" w:rsidRPr="00C3671E">
        <w:rPr>
          <w:lang w:eastAsia="zh-CN"/>
        </w:rPr>
        <w:instrText>ADDIN CSL_CITATION { "citationItems" : [ { "id" : "ITEM-1", "itemData" : { "author" : [ { "dropping-particle" : "", "family" : "European Commission", "given" : "", "non-dropping-particle" : "", "parse-names" : false, "suffix" : "" } ], "id" : "ITEM-1", "issued" : { "date-parts" : [ [ "2013" ] ] }, "publisher" : "European Comission", "publisher-place" : "Brussels", "title" : "Introducing the Active Ageing Index. Policy brief", "type" : "book" }, "uris" : [ "http://www.mendeley.com/documents/?uuid=15ea840e-806d-4ce4-88d2-b847e7b3756b" ] }, { "id" : "ITEM-2", "itemData" : { "DOI" : "10.1007/s12062-017-9174-6", "ISSN" : "1874-7884", "abstract" : "Why Active Ageing Matters\\r\\nBy the end of the first half of the twentieth century most European states had introduced public pension schemes of one sort or another. In doing so they were affirming the role of the state in providing individuals with a form of support that all but a few would struggle to provide for themselves. The objectives of these schemes were generally quite limited: to reduce the risk of poverty in old age by facilitating savings during working life. The rationale was simple: to provide access to financial support - a regular and reliable income \u2013 for a time of life when the ability to work was increasingly impaired by loss of health or functional ability. In the second half of the century, after the second world war, increasing affluence combined with a more demanding view of the responsibilities of government to improve the generosity of pensions and to expand welfare systems in ways that conferred other benefits on their older populations besides a basic pension income, including the provision of social care (e.g. care homes for older people who had no family and were unable to look after themselves in their own homes). Policy was still broadly conceived as a collective response to age-related losses that undermined independence.", "author" : [ { "dropping-particle" : "", "family" : "Zaidi", "given" : "Asghar", "non-dropping-particle" : "", "parse-names" : false, "suffix" : "" }, { "dropping-particle" : "", "family" : "Howse", "given" : "Kenneth", "non-dropping-particle" : "", "parse-names" : false, "suffix" : "" } ], "container-title" : "Journal of Population Ageing", "id" : "ITEM-2", "issue" : "1", "issued" : { "date-parts" : [ [ "2017" ] ] }, "page" : "1-10", "publisher" : "Journal of Population Ageing", "title" : "The Policy Discourse of Active Ageing: Some Reflections", "type" : "article-journal", "volume" : "10" }, "uris" : [ "http://www.mendeley.com/documents/?uuid=badd02a6-0ba4-4766-b6a7-a04a46414a57" ] } ], "mendeley" : { "formattedCitation" : "(European Commission 2013; Zaidi and Howse 2017)", "plainTextFormattedCitation" : "(European Commission 2013; Zaidi and Howse 2017)", "previouslyFormattedCitation" : "(European Commission 2013; Zaidi and Howse 2017)" }, "properties" : { "noteIndex" : 0 }, "schema" : "https://github.com/citation-style-language/schema/raw/master/csl-citation.json" }</w:instrText>
      </w:r>
      <w:r w:rsidRPr="00C3671E">
        <w:rPr>
          <w:lang w:eastAsia="zh-CN"/>
        </w:rPr>
        <w:fldChar w:fldCharType="separate"/>
      </w:r>
      <w:r w:rsidR="00A91559" w:rsidRPr="00C3671E">
        <w:rPr>
          <w:noProof/>
          <w:lang w:eastAsia="zh-CN"/>
        </w:rPr>
        <w:t>(European Commission 2013; Zaidi and Howse 2017)</w:t>
      </w:r>
      <w:r w:rsidRPr="00C3671E">
        <w:rPr>
          <w:lang w:eastAsia="zh-CN"/>
        </w:rPr>
        <w:fldChar w:fldCharType="end"/>
      </w:r>
      <w:r w:rsidRPr="00C3671E">
        <w:rPr>
          <w:lang w:eastAsia="zh-CN"/>
        </w:rPr>
        <w:t>. This work also presents lower levels of activities, which is especially true for very old age, worse health, and other limiting conditions. Therefore, a prevalence of some types of activities may rise in later life, but a decisive part of older European populations remains largely inactive when following the official definitions of activity.</w:t>
      </w:r>
    </w:p>
    <w:p w14:paraId="0DEFFB4E" w14:textId="77777777" w:rsidR="00676326" w:rsidRPr="00C3671E" w:rsidRDefault="00676326" w:rsidP="00676326">
      <w:pPr>
        <w:pStyle w:val="Newparagraph"/>
        <w:jc w:val="both"/>
        <w:rPr>
          <w:lang w:eastAsia="zh-CN"/>
        </w:rPr>
      </w:pPr>
      <w:r w:rsidRPr="00C3671E">
        <w:rPr>
          <w:lang w:eastAsia="zh-CN"/>
        </w:rPr>
        <w:lastRenderedPageBreak/>
        <w:t xml:space="preserve">Fourth, many beneficial activities are more available for well-off older people, and their support do not reduce these inequalities – in contrast, it may expand them. On the one hand, the role performance of worker or caregiver is not structured so strongly among social groups, as the less well of people may be forced to hold them even under less convenient conditions. On the other hand, availability of social activities is strongly structured by individual characteristics, which is even intensified with intersectionality of more disadvantages. Hence, the findings are in line with the criticism of Timonen </w:t>
      </w:r>
      <w:r w:rsidRPr="00C3671E">
        <w:rPr>
          <w:lang w:eastAsia="zh-CN"/>
        </w:rPr>
        <w:fldChar w:fldCharType="begin" w:fldLock="1"/>
      </w:r>
      <w:r w:rsidRPr="00C3671E">
        <w:rPr>
          <w:lang w:eastAsia="zh-CN"/>
        </w:rPr>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"mendeley" : { "formattedCitation" : "(Timonen 2016)", "manualFormatting" : "(2016)", "plainTextFormattedCitation" : "(Timonen 2016)", "previouslyFormattedCitation" : "(Timonen 2016)" }, "properties" : { "noteIndex" : 0 }, "schema" : "https://github.com/citation-style-language/schema/raw/master/csl-citation.json" }</w:instrText>
      </w:r>
      <w:r w:rsidRPr="00C3671E">
        <w:rPr>
          <w:lang w:eastAsia="zh-CN"/>
        </w:rPr>
        <w:fldChar w:fldCharType="separate"/>
      </w:r>
      <w:r w:rsidRPr="00C3671E">
        <w:rPr>
          <w:noProof/>
          <w:lang w:eastAsia="zh-CN"/>
        </w:rPr>
        <w:t>(2016)</w:t>
      </w:r>
      <w:r w:rsidRPr="00C3671E">
        <w:rPr>
          <w:lang w:eastAsia="zh-CN"/>
        </w:rPr>
        <w:fldChar w:fldCharType="end"/>
      </w:r>
      <w:r w:rsidRPr="00C3671E">
        <w:rPr>
          <w:lang w:eastAsia="zh-CN"/>
        </w:rPr>
        <w:t>, who assumes that active ageing serves the purposes of only certain groups of people.</w:t>
      </w:r>
    </w:p>
    <w:p w14:paraId="4A88985B" w14:textId="74D3DFAC" w:rsidR="00676326" w:rsidRPr="00C3671E" w:rsidRDefault="00676326" w:rsidP="00676326">
      <w:pPr>
        <w:pStyle w:val="Newparagraph"/>
        <w:jc w:val="both"/>
        <w:rPr>
          <w:lang w:eastAsia="zh-CN"/>
        </w:rPr>
      </w:pPr>
      <w:r w:rsidRPr="00C3671E">
        <w:rPr>
          <w:lang w:eastAsia="zh-CN"/>
        </w:rPr>
        <w:t xml:space="preserve">Fifth, active ageing approach formulated by people with a specific worldview serves predominantly the interests of specific groups of older adults. If the assumption that each theory reflects social position of its authors </w:t>
      </w:r>
      <w:r w:rsidRPr="00C3671E">
        <w:rPr>
          <w:lang w:eastAsia="zh-CN"/>
        </w:rPr>
        <w:fldChar w:fldCharType="begin" w:fldLock="1"/>
      </w:r>
      <w:r w:rsidR="001257AA" w:rsidRPr="00C3671E">
        <w:rPr>
          <w:lang w:eastAsia="zh-CN"/>
        </w:rPr>
        <w:instrText>ADDIN CSL_CITATION { "citationItems" : [ { "id" : "ITEM-1", "itemData" : { "author" : [ { "dropping-particle" : "", "family" : "Mannheim", "given" : "Karl", "non-dropping-particle" : "", "parse-names" : false, "suffix" : "" } ], "id" : "ITEM-1", "issued" : { "date-parts" : [ [ "1936" ] ] }, "publisher" : "Harvest book", "publisher-place" : "New York", "title" : "Ideology and utopia: an introduction to the sociology of knowledge", "type" : "book" }, "uris" : [ "http://www.mendeley.com/documents/?uuid=fe494f75-acc4-461b-a581-ea375a9ddd21" ] }, { "id" : "ITEM-2", "itemData" : { "author" : [ { "dropping-particle" : "", "family" : "Bar-Tal", "given" : "Daniel", "non-dropping-particle" : "", "parse-names" : false, "suffix" : "" } ], "id" : "ITEM-2", "issued" : { "date-parts" : [ [ "2000" ] ] }, "publisher" : "SAGE Publications", "publisher-place" : "Thousand Oaks", "title" : "Shared Beliefs in a Society: Social Psychological Analysis", "type" : "book" }, "uris" : [ "http://www.mendeley.com/documents/?uuid=6c12565a-8376-4369-a90d-d4dd5f9a7f86" ] }, { "id" : "ITEM-3", "itemData" : { "author" : [ { "dropping-particle" : "", "family" : "Inglehart", "given" : "Ronald", "non-dropping-particle" : "", "parse-names" : false, "suffix" : "" } ], "id" : "ITEM-3", "issued" : { "date-parts" : [ [ "1977" ] ] }, "publisher" : "Princeton University Press", "publisher-place" : "Princeton", "title" : "The Silent Revolution: Changing Values and Political Styles Among Western Publics", "type" : "book" }, "uris" : [ "http://www.mendeley.com/documents/?uuid=237848b7-5a83-4982-aba3-022ca1557adf" ] } ], "mendeley" : { "formattedCitation" : "(Bar-Tal 2000; Inglehart 1977; Mannheim 1936)", "plainTextFormattedCitation" : "(Bar-Tal 2000; Inglehart 1977; Mannheim 1936)", "previouslyFormattedCitation" : "(Bar-Tal 2000; Inglehart 1977; Mannheim 1936)" }, "properties" : { "noteIndex" : 0 }, "schema" : "https://github.com/citation-style-language/schema/raw/master/csl-citation.json" }</w:instrText>
      </w:r>
      <w:r w:rsidRPr="00C3671E">
        <w:rPr>
          <w:lang w:eastAsia="zh-CN"/>
        </w:rPr>
        <w:fldChar w:fldCharType="separate"/>
      </w:r>
      <w:r w:rsidR="00A91559" w:rsidRPr="00C3671E">
        <w:rPr>
          <w:noProof/>
          <w:lang w:eastAsia="zh-CN"/>
        </w:rPr>
        <w:t>(Bar-Tal 2000; Inglehart 1977; Mannheim 1936)</w:t>
      </w:r>
      <w:r w:rsidRPr="00C3671E">
        <w:rPr>
          <w:lang w:eastAsia="zh-CN"/>
        </w:rPr>
        <w:fldChar w:fldCharType="end"/>
      </w:r>
      <w:r w:rsidRPr="00C3671E">
        <w:rPr>
          <w:lang w:eastAsia="zh-CN"/>
        </w:rPr>
        <w:t xml:space="preserve"> is held, the formulation of active ageing approach needs to be reconsidered. Indeed, active ageing promotes a set of arbitrary set activities, which can reflect the specific social position of its formulators and can be considered as more postmaterialist </w:t>
      </w:r>
      <w:r w:rsidRPr="00C3671E">
        <w:rPr>
          <w:lang w:eastAsia="zh-CN"/>
        </w:rPr>
        <w:fldChar w:fldCharType="begin" w:fldLock="1"/>
      </w:r>
      <w:r w:rsidR="001257AA" w:rsidRPr="00C3671E">
        <w:rPr>
          <w:lang w:eastAsia="zh-CN"/>
        </w:rPr>
        <w:instrText>ADDIN CSL_CITATION { "citationItems" : [ { "id" : "ITEM-1", "itemData" : { "author" : [ { "dropping-particle" : "", "family" : "Inglehart", "given" : "Ronald", "non-dropping-particle" : "", "parse-names" : false, "suffix" : "" } ], "id" : "ITEM-1", "issued" : { "date-parts" : [ [ "1997" ] ] }, "publisher" : "Princeton University Press", "publisher-place" : "Princeton", "title" : "Modernization and postmodernization: Cultural, economic, and political change in 43 societies", "type" : "book" }, "uris" : [ "http://www.mendeley.com/documents/?uuid=d9d09854-470b-4e95-9b3e-bf59c6eb759b" ] }, { "id" : "ITEM-2", "itemData" : { "author" : [ { "dropping-particle" : "", "family" : "Inglehart", "given" : "Ronald", "non-dropping-particle" : "", "parse-names" : false, "suffix" : "" }, { "dropping-particle" : "", "family" : "Norris", "given" : "Pipa", "non-dropping-particle" : "", "parse-names" : false, "suffix" : "" } ], "id" : "ITEM-2", "issued" : { "date-parts" : [ [ "2003" ] ] }, "publisher" : "Cambridge University Press", "publisher-place" : "Cambridge", "title" : "Rising tide: Gender equality and cultural change around the world", "type" : "book" }, "uris" : [ "http://www.mendeley.com/documents/?uuid=77985ed9-dd36-4dc3-bebd-c5bb6a4ce91f" ] }, { "id" : "ITEM-3", "itemData" : { "DOI" : "10.1007/s11205-015-1137-9", "ISSN" : "15730921", "author" : [ { "dropping-particle" : "", "family" : "Alexander", "given" : "Amy C.", "non-dropping-particle" : "", "parse-names" : false, "suffix" : "" }, { "dropping-particle" : "", "family" : "Inglehart", "given" : "Ronald", "non-dropping-particle" : "", "parse-names" : false, "suffix" : "" }, { "dropping-particle" : "", "family" : "Welzel", "given" : "Christian", "non-dropping-particle" : "", "parse-names" : false, "suffix" : "" } ], "container-title" : "Social Indicators Research", "id" : "ITEM-3", "issue" : "2", "issued" : { "date-parts" : [ [ "2016" ] ] }, "page" : "909-935", "publisher" : "Springer Netherlands", "title" : "Emancipating Sexuality: Breakthroughs into a Bulwark of Tradition", "type" : "article-journal", "volume" : "129" }, "uris" : [ "http://www.mendeley.com/documents/?uuid=cd31a09d-f87c-432a-821e-ec05b0e8853f" ] } ], "mendeley" : { "formattedCitation" : "(Alexander et al. 2016; Inglehart 1997; Inglehart and Norris 2003)", "plainTextFormattedCitation" : "(Alexander et al. 2016; Inglehart 1997; Inglehart and Norris 2003)", "previouslyFormattedCitation" : "(Alexander et al. 2016; Inglehart 1997; Inglehart and Norris 2003)" }, "properties" : { "noteIndex" : 0 }, "schema" : "https://github.com/citation-style-language/schema/raw/master/csl-citation.json" }</w:instrText>
      </w:r>
      <w:r w:rsidRPr="00C3671E">
        <w:rPr>
          <w:lang w:eastAsia="zh-CN"/>
        </w:rPr>
        <w:fldChar w:fldCharType="separate"/>
      </w:r>
      <w:r w:rsidR="00A91559" w:rsidRPr="00C3671E">
        <w:rPr>
          <w:noProof/>
          <w:lang w:eastAsia="zh-CN"/>
        </w:rPr>
        <w:t>(Alexander et al. 2016; Inglehart 1997; Inglehart and Norris 2003)</w:t>
      </w:r>
      <w:r w:rsidRPr="00C3671E">
        <w:rPr>
          <w:lang w:eastAsia="zh-CN"/>
        </w:rPr>
        <w:fldChar w:fldCharType="end"/>
      </w:r>
      <w:r w:rsidRPr="00C3671E">
        <w:rPr>
          <w:lang w:eastAsia="zh-CN"/>
        </w:rPr>
        <w:t xml:space="preserve">. As a consequence, supported activities fit better, and thus are more beneficial only for certain groups of older adults </w:t>
      </w:r>
      <w:r w:rsidRPr="00C3671E">
        <w:rPr>
          <w:lang w:eastAsia="zh-CN"/>
        </w:rPr>
        <w:fldChar w:fldCharType="begin" w:fldLock="1"/>
      </w:r>
      <w:r w:rsidR="001257AA" w:rsidRPr="00C3671E">
        <w:rPr>
          <w:lang w:eastAsia="zh-CN"/>
        </w:rPr>
        <w:instrText>ADDIN CSL_CITATION { "citationItems" : [ { "id" : "ITEM-1", "itemData" : { "author" : [ { "dropping-particle" : "", "family" : "Timonen", "given" : "Virpi", "non-dropping-particle" : "", "parse-names" : false, "suffix" : "" } ], "id" : "ITEM-1", "issued" : { "date-parts" : [ [ "2016" ] ] }, "publisher" : "Policy Press Shorts Research", "publisher-place" : "Bristol", "title" : "Beyond successful and active ageing: A theory of model ageing", "type" : "book" }, "uris" : [ "http://www.mendeley.com/documents/?uuid=4c41af4a-05f8-46fd-bb8a-a893aaadda0a" ] }, { "id" : "ITEM-2", "itemData" : { "DOI" : "10.1017/S0714980811000675", "ISBN" : "0714980811", "ISSN" : "0714-9808", "PMID" : "22373781", "abstract" : "Although some studies have confirmed positive associations between social engagement and well-being in later life, this study aimed to understand why some seniors cannot be engaged. The authors analyzed the lived experiences of 89 seniors in three rural communities in Canada, from semi-structured interviews and using the constant comparison method. Five factors make choices for social engagement in later life unequal among older adults who differ by gender, class, age, and health status. Profound engagement in care work, compulsory altruism, personal resources, objectively perceived and subjectively available engagement opportunities, and ageist barriers around paid work constrain choices for seniors who lack privilege in the context of a market economy, particularly for low-income older women. To avoid stigmatizing vulnerable older persons, societal barriers to meaningful activities must be addressed - for example, through provision of income security or by reversing inter- and intragenerational ageism in access to the labor market.", "author" : [ { "dropping-particle" : "", "family" : "Rozanova", "given" : "Julia", "non-dropping-particle" : "", "parse-names" : false, "suffix" : "" }, { "dropping-particle" : "", "family" : "Keating", "given" : "Norah", "non-dropping-particle" : "", "parse-names" : false, "suffix" : "" }, { "dropping-particle" : "", "family" : "Eales", "given" : "Jacquie", "non-dropping-particle" : "", "parse-names" : false, "suffix" : "" } ], "container-title" : "Canadian Journal on Aging / La Revue canadienne du vieillissement", "id" : "ITEM-2", "issue" : "01", "issued" : { "date-parts" : [ [ "2012" ] ] }, "note" : "Rozanova et al. 2012: Unequal Social Engagement for Older Adults: Constraints on Choice\nconcerns of social costs of ageing \u2192 ageing well perspective\ncritics emphasize the normative expectations this assumption carries \u2013 that those who are not well in later life may have themselves to blame because they haven\u2019t been sufficiently engaged (Katz, 2000 ; Laliberte-Rudman, 2006 )\nwell-being in later life is associated not with social engagement per se but with engagement in activities that an individual chooses freely and fi nds meaningful (Chapman, 2005 ; Katz, 2000 )\nJulia Rozanova et al.\naffected both by older individuals\u2019 personal character- istics and by community contexts. Researchers have noted that one important aspect in which rural com- munities may differ from urban areas is their lack of anonymity coupled with a tight-knit character (Keating, Swindle, &amp;amp; Fletcher, 2011 ). This aspect may facilitate the maintenance of social connectedness but at the same time block social engagement for some older individuals. For example, those who moved into the community as newcomers are typically viewed with some suspicion until they prove themselves in some way (Garland &amp;amp; Chakraborti, 2006 ). Other factors having an impact on social-engagement opportunities for rural older adults are the remoteness of some rural Canadian communities, a dwindling economy, and disparities of service infrastructure (Keating &amp;amp; Phillips, 2008 ).\nReview of the Literature Social Engagement of Older Adults\nSurvival through social engagement through activities that have a social component and are per- formed in relation to other people (Maier &amp;amp; Klumb, 2005 )\nsocial engagement may be affected by both structural inequalities and contextual factors\nthe lived experiences of 89 seniors in three rural communities in Canada from semi-structured interviews\nProfound engagement in care work, compulsory altruism, personal resources, objectively perceived and subjectively available engagement opportunities, and ageist barriers around paid work constrain choices especially for low-income older women\nsocietal barriers to meaningful activities must be addressed \u2013 through provision of income security or by reversing inter- and intragenerational ageism", "page" : "25-36", "title" : "Unequal Social Engagement for Older Adults: Constraints on Choice", "type" : "article-journal", "volume" : "31" }, "uris" : [ "http://www.mendeley.com/documents/?uuid=354042a3-40e3-4309-bec8-99c0941f3571" ] } ], "mendeley" : { "formattedCitation" : "(Rozanova et al. 2012; Timonen 2016)", "plainTextFormattedCitation" : "(Rozanova et al. 2012; Timonen 2016)", "previouslyFormattedCitation" : "(Rozanova et al. 2012; Timonen 2016)" }, "properties" : { "noteIndex" : 0 }, "schema" : "https://github.com/citation-style-language/schema/raw/master/csl-citation.json" }</w:instrText>
      </w:r>
      <w:r w:rsidRPr="00C3671E">
        <w:rPr>
          <w:lang w:eastAsia="zh-CN"/>
        </w:rPr>
        <w:fldChar w:fldCharType="separate"/>
      </w:r>
      <w:r w:rsidR="00A91559" w:rsidRPr="00C3671E">
        <w:rPr>
          <w:noProof/>
          <w:lang w:eastAsia="zh-CN"/>
        </w:rPr>
        <w:t>(Rozanova et al. 2012; Timonen 2016)</w:t>
      </w:r>
      <w:r w:rsidRPr="00C3671E">
        <w:rPr>
          <w:lang w:eastAsia="zh-CN"/>
        </w:rPr>
        <w:fldChar w:fldCharType="end"/>
      </w:r>
      <w:r w:rsidRPr="00C3671E">
        <w:rPr>
          <w:lang w:eastAsia="zh-CN"/>
        </w:rPr>
        <w:t>. This assumption was confirmed partially in chapters on working and all activities together.</w:t>
      </w:r>
    </w:p>
    <w:p w14:paraId="7549BDA9" w14:textId="00735701" w:rsidR="00676326" w:rsidRPr="00C3671E" w:rsidRDefault="00676326" w:rsidP="00676326">
      <w:pPr>
        <w:pStyle w:val="Newparagraph"/>
        <w:jc w:val="both"/>
        <w:rPr>
          <w:lang w:eastAsia="zh-CN"/>
        </w:rPr>
      </w:pPr>
      <w:r w:rsidRPr="00C3671E">
        <w:rPr>
          <w:lang w:eastAsia="zh-CN"/>
        </w:rPr>
        <w:t xml:space="preserve">In conclusion, the active ageing approach brings the promised benefits to older adults only under some conditions. The derived social policy should address this as a limitation preventing from the standardized application of the same approach to all EU populations and all groups of older adults irrespective their differences </w:t>
      </w:r>
      <w:r w:rsidRPr="00C3671E">
        <w:rPr>
          <w:lang w:eastAsia="zh-CN"/>
        </w:rPr>
        <w:fldChar w:fldCharType="begin" w:fldLock="1"/>
      </w:r>
      <w:r w:rsidR="001257AA" w:rsidRPr="00C3671E">
        <w:rPr>
          <w:lang w:eastAsia="zh-CN"/>
        </w:rPr>
        <w:instrText>ADDIN CSL_CITATION { "citationItems" : [ { "id" : "ITEM-1", "itemData" : { "DOI" : "10.1093/esr/jcq023", "ISBN" : "0266-7215", "ISSN" : "02667215", "abstract" : "This article aims to improve our understanding of the societal determinants of older people\u2019s participation in non-market productive activities. Based on micro-data from the Survey of Health, Ageing and Retirement in Europe, we estimate logistic multilevel models for individuals\u2019 engagement in formal volunteering, informal helping, and caring across 11 countries. The results partially support hypotheses regarding the relationship between specific macro-level variables and individuals\u2019 productive engagement at older ages. While our measure of societal images of aging does not exhibit statistically significant associations with any of the activities considered here, our hypotheses concerning a positive relationship between greater political and religious freedom as well as the provision of welfare state services and older individuals\u2019 propensity to engage in productive aging are largely confirmed. We interpret these findings as evidence suggesting that both longstanding cultural elements of a society as well as contemporary welfare state interventions constitute reference frames and opportunity structures which older individuals perceive as relevant for their decision whether to participate in volunteering, helping, or caring.", "author" : [ { "dropping-particle" : "", "family" : "Hank", "given" : "Karsten", "non-dropping-particle" : "", "parse-names" : false, "suffix" : "" } ], "container-title" : "European Sociological Review", "id" : "ITEM-1", "issue" : "4", "issued" : { "date-parts" : [ [ "2011" ] ] }, "page" : "526-541", "title" : "Societal determinants of productive aging: A multilevel analysis across 11 European Countries", "type" : "article-journal", "volume" : "27" }, "uris" : [ "http://www.mendeley.com/documents/?uuid=fbcecccf-f864-4ae9-9b90-33a7d02f7393" ] }, { "id" : "ITEM-2", "itemData" : { "DOI" : "10.1007/s10680-014-9336-7", "ISBN" : "1068001493367", "ISSN" : "15729885", "abstract" : "We analyse the impact of the provision of care on the health and quality of life (QoL) of adult female informal caregivers using a representative sample drawn from the survey of health, ageing and retirement in Europe (SHARE). We match each informal caregiver with a non-carer using propensity score matching and test whether matched individuals differ on self-assessed health and a functional indicator of QoL and whether this relationship differs across European regions. We find a North-South gradient both for self-assessed health and QoL, and our results show that the provision of caregiving to close relatives in Europe impacts on the caregivers' QoL and health in a way that depends on their geographical location, the degree of formal care and specific cultural and social factors of the area. We find that informal caregiving is a complex phenomenon which may bring both psychological rewards and distress to providers of care and this complexity, along with the geographical gradient highlight the importance of ensuring that policies match the needs of individual carers in their own geographical areas and cultural contexts. [ABSTRACT FROM AUTHOR] Copyright of European Journal of Population is the property of Springer Science &amp; Business Media B.V.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"Novi", "given" : "Cinzia", "non-dropping-particle" : "Di", "parse-names" : false, "suffix" : "" }, { "dropping-particle" : "", "family" : "Jacobs", "given" : "Rowena", "non-dropping-particle" : "", "parse-names" : false, "suffix" : "" }, { "dropping-particle" : "", "family" : "Migheli", "given" : "Matteo", "non-dropping-particle" : "", "parse-names" : false, "suffix" : "" } ], "container-title" : "European Journal of Population", "id" : "ITEM-2", "issue" : "3", "issued" : { "date-parts" : [ [ "2015" ] ] }, "page" : "309-333", "publisher" : "Springer Netherlands", "title" : "The Quality of Life of Female Informal Caregivers: From Scandinavia to the Mediterranean Sea", "type" : "article-journal", "volume" : "31" }, "uris" : [ "http://www.mendeley.com/documents/?uuid=1ccc65b6-fa56-4844-8194-2bfe00ef56d5" ] }, { "id" : "ITEM-3", "itemData" : { "DOI" : "10.1111/1468-246X.00118", "ISBN" : "0020871X", "ISSN" : "0020-871X", "abstract" : "This article argues that a strategy of active ageing, by linking the key policy domains of employment, pensions, retirement, health and citizenship, provides a sound basis for industrialized countries to respond to the challenges presented by population ageing. The article outlines the genesis of the concept of active ageing and the principles that should be embodied in a modernized, comprehensive approach fit for the twenty-first century. It then considers the potential for active ageing to address problems in the five key policy domains. Finally the article sets out a strategy on active ageing and illustrates how it might be operationalized at different stages of the life cycle. In conclusion the potentially beneficial nature of a comprehensive strategy on active ageing is emphasized: it represents the unusual combination of a morally correct policy that also makes sound economic sense.", "author" : [ { "dropping-particle" : "", "family" : "Walker", "given" : "Alan", "non-dropping-particle" : "", "parse-names" : false, "suffix" : "" } ], "container-title" : "International Social Security Review", "id" : "ITEM-3", "issue" : "1", "issued" : { "date-parts" : [ [ "2002" ] ] }, "page" : "121-139", "title" : "A strategy for active ageing", "type" : "article-journal", "volume" : "55" }, "uris" : [ "http://www.mendeley.com/documents/?uuid=bac7ad5d-dc20-46b2-82e4-4f90b0a76f71" ] } ], "mendeley" : { "formattedCitation" : "(Hank 2011; Di Novi et al. 2015; Walker 2002a)", "plainTextFormattedCitation" : "(Hank 2011; Di Novi et al. 2015; Walker 2002a)", "previouslyFormattedCitation" : "(Hank 2011; Di Novi et al. 2015; Walker 2002a)" }, "properties" : { "noteIndex" : 0 }, "schema" : "https://github.com/citation-style-language/schema/raw/master/csl-citation.json" }</w:instrText>
      </w:r>
      <w:r w:rsidRPr="00C3671E">
        <w:rPr>
          <w:lang w:eastAsia="zh-CN"/>
        </w:rPr>
        <w:fldChar w:fldCharType="separate"/>
      </w:r>
      <w:r w:rsidR="00A91559" w:rsidRPr="00C3671E">
        <w:rPr>
          <w:noProof/>
          <w:lang w:eastAsia="zh-CN"/>
        </w:rPr>
        <w:t>(Hank 2011; Di Novi et al. 2015; Walker 2002a)</w:t>
      </w:r>
      <w:r w:rsidRPr="00C3671E">
        <w:rPr>
          <w:lang w:eastAsia="zh-CN"/>
        </w:rPr>
        <w:fldChar w:fldCharType="end"/>
      </w:r>
      <w:r w:rsidRPr="00C3671E">
        <w:rPr>
          <w:lang w:eastAsia="zh-CN"/>
        </w:rPr>
        <w:t xml:space="preserve">. If applied this way, active ageing can be a source of exclusion and marginalization in its attempt to systematize and control a large part of contemporary populations </w:t>
      </w:r>
      <w:r w:rsidRPr="00C3671E">
        <w:rPr>
          <w:lang w:eastAsia="zh-CN"/>
        </w:rPr>
        <w:fldChar w:fldCharType="begin" w:fldLock="1"/>
      </w:r>
      <w:r w:rsidR="001257AA" w:rsidRPr="00C3671E">
        <w:rPr>
          <w:lang w:eastAsia="zh-CN"/>
        </w:rPr>
        <w:instrText>ADDIN CSL_CITATION { "citationItems" : [ { "id" : "ITEM-1", "itemData" : { "author" : [ { "dropping-particle" : "", "family" : "Lasch", "given" : "Christopher", "non-dropping-particle" : "", "parse-names" : false, "suffix" : "" } ], "id" : "ITEM-1", "issued" : { "date-parts" : [ [ "1991" ] ] }, "number-of-pages" : "282", "publisher" : "W. W. Norton &amp; Company", "publisher-place" : "New York", "title" : "The Culture of Narcissism: American Life in an Age of Diminishing Expectations", "type" : "book" }, "uris" : [ "http://www.mendeley.com/documents/?uuid=e0eeb042-9896-49cf-9759-b094cd5a1af6" ] }, { "id" : "ITEM-2", "itemData" : { "author" : [ { "dropping-particle" : "", "family" : "Bauman", "given" : "Zygmunt", "non-dropping-particle" : "", "parse-names" : false, "suffix" : "" } ], "id" : "ITEM-2", "issued" : { "date-parts" : [ [ "1993" ] ] }, "number-of-pages" : "285", "publisher" : "Polity Press", "publisher-place" : "Cambridge", "title" : "Modernity and Ambivalence", "type" : "book" }, "uris" : [ "http://www.mendeley.com/documents/?uuid=8810b7ea-77ce-4f14-93a5-753e10906c84" ] } ], "mendeley" : { "formattedCitation" : "(Bauman 1993; Lasch 1991)", "plainTextFormattedCitation" : "(Bauman 1993; Lasch 1991)", "previouslyFormattedCitation" : "(Bauman 1993; Lasch 1991)" }, "properties" : { "noteIndex" : 0 }, "schema" : "https://github.com/citation-style-language/schema/raw/master/csl-citation.json" }</w:instrText>
      </w:r>
      <w:r w:rsidRPr="00C3671E">
        <w:rPr>
          <w:lang w:eastAsia="zh-CN"/>
        </w:rPr>
        <w:fldChar w:fldCharType="separate"/>
      </w:r>
      <w:r w:rsidR="00A91559" w:rsidRPr="00C3671E">
        <w:rPr>
          <w:noProof/>
          <w:lang w:eastAsia="zh-CN"/>
        </w:rPr>
        <w:t>(Bauman 1993; Lasch 1991)</w:t>
      </w:r>
      <w:r w:rsidRPr="00C3671E">
        <w:rPr>
          <w:lang w:eastAsia="zh-CN"/>
        </w:rPr>
        <w:fldChar w:fldCharType="end"/>
      </w:r>
      <w:r w:rsidRPr="00C3671E">
        <w:rPr>
          <w:lang w:eastAsia="zh-CN"/>
        </w:rPr>
        <w:t xml:space="preserve">. Therefore, this strategy for addressing population ageing needs to become much </w:t>
      </w:r>
      <w:r w:rsidRPr="00C3671E">
        <w:rPr>
          <w:lang w:eastAsia="zh-CN"/>
        </w:rPr>
        <w:lastRenderedPageBreak/>
        <w:t>more context-reflexive and incorporate the problems and conditions of older adults that are not able to fulfil its requirements.</w:t>
      </w:r>
    </w:p>
    <w:p w14:paraId="4225FED4" w14:textId="77777777" w:rsidR="00C004DA" w:rsidRPr="00C3671E" w:rsidRDefault="00C004DA">
      <w:pPr>
        <w:spacing w:after="160" w:line="259" w:lineRule="auto"/>
        <w:rPr>
          <w:lang w:val="en-GB"/>
        </w:rPr>
      </w:pPr>
      <w:r w:rsidRPr="00C3671E">
        <w:rPr>
          <w:lang w:val="en-GB"/>
        </w:rPr>
        <w:br w:type="page"/>
      </w:r>
    </w:p>
    <w:p w14:paraId="7B06C9EF" w14:textId="74384CCA" w:rsidR="00A74198" w:rsidRPr="00C3671E" w:rsidRDefault="00A74198" w:rsidP="00A74198">
      <w:pPr>
        <w:pStyle w:val="Nadpis1"/>
        <w:keepNext/>
        <w:suppressAutoHyphens/>
        <w:spacing w:before="360" w:beforeAutospacing="0" w:after="240" w:afterAutospacing="0" w:line="480" w:lineRule="auto"/>
        <w:jc w:val="both"/>
        <w:rPr>
          <w:sz w:val="24"/>
          <w:szCs w:val="24"/>
          <w:lang w:val="en-GB"/>
        </w:rPr>
      </w:pPr>
      <w:bookmarkStart w:id="107" w:name="_Toc512687795"/>
      <w:r w:rsidRPr="00C3671E">
        <w:rPr>
          <w:sz w:val="24"/>
          <w:szCs w:val="24"/>
          <w:lang w:val="en-GB"/>
        </w:rPr>
        <w:lastRenderedPageBreak/>
        <w:t>Bibliography</w:t>
      </w:r>
      <w:bookmarkEnd w:id="107"/>
    </w:p>
    <w:p w14:paraId="35034076" w14:textId="3468F532" w:rsidR="004F5010" w:rsidRPr="00C3671E" w:rsidRDefault="00AA6335" w:rsidP="00FE0FFE">
      <w:pPr>
        <w:widowControl w:val="0"/>
        <w:autoSpaceDE w:val="0"/>
        <w:autoSpaceDN w:val="0"/>
        <w:adjustRightInd w:val="0"/>
        <w:ind w:left="480" w:hanging="480"/>
        <w:rPr>
          <w:noProof/>
          <w:lang w:val="en-GB"/>
        </w:rPr>
      </w:pPr>
      <w:r w:rsidRPr="00C3671E">
        <w:rPr>
          <w:lang w:val="en-GB"/>
        </w:rPr>
        <w:fldChar w:fldCharType="begin" w:fldLock="1"/>
      </w:r>
      <w:r w:rsidRPr="00C3671E">
        <w:rPr>
          <w:lang w:val="en-GB"/>
        </w:rPr>
        <w:instrText xml:space="preserve">ADDIN Mendeley Bibliography CSL_BIBLIOGRAPHY </w:instrText>
      </w:r>
      <w:r w:rsidRPr="00C3671E">
        <w:rPr>
          <w:lang w:val="en-GB"/>
        </w:rPr>
        <w:fldChar w:fldCharType="separate"/>
      </w:r>
      <w:r w:rsidR="004F5010" w:rsidRPr="00C3671E">
        <w:rPr>
          <w:noProof/>
          <w:lang w:val="en-GB"/>
        </w:rPr>
        <w:t xml:space="preserve">Aartsen, Marja and Marja Jylhä. 2011. “Onset of Loneliness in Older Adults: Results of a 28 Year Prospective Study.” </w:t>
      </w:r>
      <w:r w:rsidR="004F5010" w:rsidRPr="00C3671E">
        <w:rPr>
          <w:i/>
          <w:iCs/>
          <w:noProof/>
          <w:lang w:val="en-GB"/>
        </w:rPr>
        <w:t>European Journal of Ageing</w:t>
      </w:r>
      <w:r w:rsidR="004F5010" w:rsidRPr="00C3671E">
        <w:rPr>
          <w:noProof/>
          <w:lang w:val="en-GB"/>
        </w:rPr>
        <w:t xml:space="preserve"> 8(1):31–38.</w:t>
      </w:r>
    </w:p>
    <w:p w14:paraId="58CCB0E1"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Aassve, Arnstein, Elena Meroni, and Chiara Pronzato. 2012. “Grandparenting and Childbearing in the Extended Family.” </w:t>
      </w:r>
      <w:r w:rsidRPr="00C3671E">
        <w:rPr>
          <w:i/>
          <w:iCs/>
          <w:noProof/>
          <w:lang w:val="en-GB"/>
        </w:rPr>
        <w:t>European Journal of Population</w:t>
      </w:r>
      <w:r w:rsidRPr="00C3671E">
        <w:rPr>
          <w:noProof/>
          <w:lang w:val="en-GB"/>
        </w:rPr>
        <w:t xml:space="preserve"> 28(4):499–518. Retrieved (http://link.springer.com/10.1007/s10680-012-9273-2).</w:t>
      </w:r>
    </w:p>
    <w:p w14:paraId="3FAA828D"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Abramson, Paul R. 2011. </w:t>
      </w:r>
      <w:r w:rsidRPr="00C3671E">
        <w:rPr>
          <w:i/>
          <w:iCs/>
          <w:noProof/>
          <w:lang w:val="en-GB"/>
        </w:rPr>
        <w:t>Critiques and Counter-Critiques of the Postmaterialism Thesis: Thirty-Four Years of Debate</w:t>
      </w:r>
      <w:r w:rsidRPr="00C3671E">
        <w:rPr>
          <w:noProof/>
          <w:lang w:val="en-GB"/>
        </w:rPr>
        <w:t>. Irvine.</w:t>
      </w:r>
    </w:p>
    <w:p w14:paraId="0B5F3AC3"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Adams, Kathryn Betts, Sylvia Leibbrandt, and Heehyul Moon. 2011. “A Critical Review of the Literature on Social and Leisure Activity and Wellbeing in Later Life.” </w:t>
      </w:r>
      <w:r w:rsidRPr="00C3671E">
        <w:rPr>
          <w:i/>
          <w:iCs/>
          <w:noProof/>
          <w:lang w:val="en-GB"/>
        </w:rPr>
        <w:t>Ageing and Society</w:t>
      </w:r>
      <w:r w:rsidRPr="00C3671E">
        <w:rPr>
          <w:noProof/>
          <w:lang w:val="en-GB"/>
        </w:rPr>
        <w:t xml:space="preserve"> 31(04):683–712. Retrieved (http://www.journals.cambridge.org/abstract_S0144686X10001091).</w:t>
      </w:r>
    </w:p>
    <w:p w14:paraId="5F5DEEA7"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AGE platform Europe. 2011. “How to Promote Active Ageing in Europe: EU Support to Local and Regional Actors.” 56.</w:t>
      </w:r>
    </w:p>
    <w:p w14:paraId="31997621"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Aguila, Cornelio, Alvaro Sicilia-Camacho, Antonio Rojas Tejada, Miguel Delgado-Noguera, and Michael Gard. 2008. “Postmodern Values and Leisure in Young Spanish University Students: An Exploratory Study.” </w:t>
      </w:r>
      <w:r w:rsidRPr="00C3671E">
        <w:rPr>
          <w:i/>
          <w:iCs/>
          <w:noProof/>
          <w:lang w:val="en-GB"/>
        </w:rPr>
        <w:t>Leisure Sciences</w:t>
      </w:r>
      <w:r w:rsidRPr="00C3671E">
        <w:rPr>
          <w:noProof/>
          <w:lang w:val="en-GB"/>
        </w:rPr>
        <w:t xml:space="preserve"> 30(4):275–92.</w:t>
      </w:r>
    </w:p>
    <w:p w14:paraId="6755945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Albertini, Marco and Martin Kohli. 2013. “The Generational Contract in the Family: An Analysis of Transfer Regimes in Europe.” </w:t>
      </w:r>
      <w:r w:rsidRPr="00C3671E">
        <w:rPr>
          <w:i/>
          <w:iCs/>
          <w:noProof/>
          <w:lang w:val="en-GB"/>
        </w:rPr>
        <w:t>European Sociological Review</w:t>
      </w:r>
      <w:r w:rsidRPr="00C3671E">
        <w:rPr>
          <w:noProof/>
          <w:lang w:val="en-GB"/>
        </w:rPr>
        <w:t xml:space="preserve"> 29(4):828–41.</w:t>
      </w:r>
    </w:p>
    <w:p w14:paraId="592800CE"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Albertini, Marco, Martin Kohli, and Claudia Vogel. 2007. “Intergenerational Transfers of Time and Money in European Families: Common Patterns — Different Regimes?” </w:t>
      </w:r>
      <w:r w:rsidRPr="00C3671E">
        <w:rPr>
          <w:i/>
          <w:iCs/>
          <w:noProof/>
          <w:lang w:val="en-GB"/>
        </w:rPr>
        <w:t>Journal of European Social Policy</w:t>
      </w:r>
      <w:r w:rsidRPr="00C3671E">
        <w:rPr>
          <w:noProof/>
          <w:lang w:val="en-GB"/>
        </w:rPr>
        <w:t xml:space="preserve"> 17(4):319–34. Retrieved (http://journals.sagepub.com/doi/10.1177/0958928707081068).</w:t>
      </w:r>
    </w:p>
    <w:p w14:paraId="6EB3B1B4"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Alexander, Amy C., Ronald Inglehart, and Christian Welzel. 2016. “Emancipating Sexuality: Breakthroughs into a Bulwark of Tradition.” </w:t>
      </w:r>
      <w:r w:rsidRPr="00C3671E">
        <w:rPr>
          <w:i/>
          <w:iCs/>
          <w:noProof/>
          <w:lang w:val="en-GB"/>
        </w:rPr>
        <w:t>Social Indicators Research</w:t>
      </w:r>
      <w:r w:rsidRPr="00C3671E">
        <w:rPr>
          <w:noProof/>
          <w:lang w:val="en-GB"/>
        </w:rPr>
        <w:t xml:space="preserve"> 129(2):909–35.</w:t>
      </w:r>
    </w:p>
    <w:p w14:paraId="7EB5428B"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Allison, Paul David. 2009. </w:t>
      </w:r>
      <w:r w:rsidRPr="00C3671E">
        <w:rPr>
          <w:i/>
          <w:iCs/>
          <w:noProof/>
          <w:lang w:val="en-GB"/>
        </w:rPr>
        <w:t>Fixed Effects Regression Models</w:t>
      </w:r>
      <w:r w:rsidRPr="00C3671E">
        <w:rPr>
          <w:noProof/>
          <w:lang w:val="en-GB"/>
        </w:rPr>
        <w:t>. Los Angeles: SAGE.</w:t>
      </w:r>
    </w:p>
    <w:p w14:paraId="0AC6CDF4"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Alvard, Michael. 2004. </w:t>
      </w:r>
      <w:r w:rsidRPr="00C3671E">
        <w:rPr>
          <w:i/>
          <w:iCs/>
          <w:noProof/>
          <w:lang w:val="en-GB"/>
        </w:rPr>
        <w:t>Socioeconomic Aspects of Human Behavioral Ecology</w:t>
      </w:r>
      <w:r w:rsidRPr="00C3671E">
        <w:rPr>
          <w:noProof/>
          <w:lang w:val="en-GB"/>
        </w:rPr>
        <w:t>. Bingley: Emerald Group Publishing Limited.</w:t>
      </w:r>
    </w:p>
    <w:p w14:paraId="07D7BC1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Andersson, Lars. 2004. “Sweden - Quality of Life in Old Age I.” Pp. 105–28 in </w:t>
      </w:r>
      <w:r w:rsidRPr="00C3671E">
        <w:rPr>
          <w:i/>
          <w:iCs/>
          <w:noProof/>
          <w:lang w:val="en-GB"/>
        </w:rPr>
        <w:t>Growing older in Europe</w:t>
      </w:r>
      <w:r w:rsidRPr="00C3671E">
        <w:rPr>
          <w:noProof/>
          <w:lang w:val="en-GB"/>
        </w:rPr>
        <w:t>, edited by A. Walker. Maidenhead: Open University Press.</w:t>
      </w:r>
    </w:p>
    <w:p w14:paraId="7A56BB61"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Antonucci, Toni C., James S. Jackson, and Simon Biggs. 2007. “Intergenerational Relations : Theory , Research , and Policy.” 63(4):679–94.</w:t>
      </w:r>
    </w:p>
    <w:p w14:paraId="6C5F64F5"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Arpino, Bruno and Valeria Bordone. 2015. </w:t>
      </w:r>
      <w:r w:rsidRPr="00C3671E">
        <w:rPr>
          <w:i/>
          <w:iCs/>
          <w:noProof/>
          <w:lang w:val="en-GB"/>
        </w:rPr>
        <w:t>Active Ageing Typologies: A Latent Class Analysis of the Older Europeans</w:t>
      </w:r>
      <w:r w:rsidRPr="00C3671E">
        <w:rPr>
          <w:noProof/>
          <w:lang w:val="en-GB"/>
        </w:rPr>
        <w:t>. Retrieved (http://paa2015.princeton.edu/abstracts/152739).</w:t>
      </w:r>
    </w:p>
    <w:p w14:paraId="22B0FA6D"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Arpino, Bruno and Valeria Bordone. 2017. “Regular Provision of Grandchild Care and Participation in Social Activities.” </w:t>
      </w:r>
      <w:r w:rsidRPr="00C3671E">
        <w:rPr>
          <w:i/>
          <w:iCs/>
          <w:noProof/>
          <w:lang w:val="en-GB"/>
        </w:rPr>
        <w:t>Review of Economics of the Household</w:t>
      </w:r>
      <w:r w:rsidRPr="00C3671E">
        <w:rPr>
          <w:noProof/>
          <w:lang w:val="en-GB"/>
        </w:rPr>
        <w:t xml:space="preserve"> 15(1):135–74.</w:t>
      </w:r>
    </w:p>
    <w:p w14:paraId="7A83DEF7"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Atchley, Robert C. 1989. “A Continuty Theory of Normal Aging.” </w:t>
      </w:r>
      <w:r w:rsidRPr="00C3671E">
        <w:rPr>
          <w:i/>
          <w:iCs/>
          <w:noProof/>
          <w:lang w:val="en-GB"/>
        </w:rPr>
        <w:t>The Gerontologist</w:t>
      </w:r>
      <w:r w:rsidRPr="00C3671E">
        <w:rPr>
          <w:noProof/>
          <w:lang w:val="en-GB"/>
        </w:rPr>
        <w:t xml:space="preserve"> 29(2):183–90.</w:t>
      </w:r>
    </w:p>
    <w:p w14:paraId="300DB2DA"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Austin, Peter C. 2007. “Propensity-Score Matching in the Cardiovascular Surgery Literature from 2004 to 2006: A Systematic Review and Suggestions for Improvement.” </w:t>
      </w:r>
      <w:r w:rsidRPr="00C3671E">
        <w:rPr>
          <w:i/>
          <w:iCs/>
          <w:noProof/>
          <w:lang w:val="en-GB"/>
        </w:rPr>
        <w:t>Journal of Thoracic and Cardiovascular Surgery</w:t>
      </w:r>
      <w:r w:rsidRPr="00C3671E">
        <w:rPr>
          <w:noProof/>
          <w:lang w:val="en-GB"/>
        </w:rPr>
        <w:t xml:space="preserve"> 134(5).</w:t>
      </w:r>
    </w:p>
    <w:p w14:paraId="1893184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Austin, Peter C. 2011. “An Introduction to Propensity Score Methods for Reducing the Effects of Confounding in Observational Studies.” </w:t>
      </w:r>
      <w:r w:rsidRPr="00C3671E">
        <w:rPr>
          <w:i/>
          <w:iCs/>
          <w:noProof/>
          <w:lang w:val="en-GB"/>
        </w:rPr>
        <w:t>Multivariate Behavioral Research</w:t>
      </w:r>
      <w:r w:rsidRPr="00C3671E">
        <w:rPr>
          <w:noProof/>
          <w:lang w:val="en-GB"/>
        </w:rPr>
        <w:t xml:space="preserve"> 46(3):399–424.</w:t>
      </w:r>
    </w:p>
    <w:p w14:paraId="5E166541"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Avramov, Dragana and Miroslava Maskova. 2003. </w:t>
      </w:r>
      <w:r w:rsidRPr="00C3671E">
        <w:rPr>
          <w:i/>
          <w:iCs/>
          <w:noProof/>
          <w:lang w:val="en-GB"/>
        </w:rPr>
        <w:t>Active Ageing in Europe</w:t>
      </w:r>
      <w:r w:rsidRPr="00C3671E">
        <w:rPr>
          <w:noProof/>
          <w:lang w:val="en-GB"/>
        </w:rPr>
        <w:t>. Strasbourg: Council of Europe Publishing.</w:t>
      </w:r>
    </w:p>
    <w:p w14:paraId="1C37612E"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Baltes, Paul B. and Jasqui Smith. 2003. “New Frontiers in the Future of Ageing: From Successful Ageing of Young Old to the Dilemmas of the Fourth Age.” </w:t>
      </w:r>
      <w:r w:rsidRPr="00C3671E">
        <w:rPr>
          <w:i/>
          <w:iCs/>
          <w:noProof/>
          <w:lang w:val="en-GB"/>
        </w:rPr>
        <w:t>Gerontology</w:t>
      </w:r>
      <w:r w:rsidRPr="00C3671E">
        <w:rPr>
          <w:noProof/>
          <w:lang w:val="en-GB"/>
        </w:rPr>
        <w:t xml:space="preserve"> </w:t>
      </w:r>
      <w:r w:rsidRPr="00C3671E">
        <w:rPr>
          <w:noProof/>
          <w:lang w:val="en-GB"/>
        </w:rPr>
        <w:lastRenderedPageBreak/>
        <w:t>49(2):123–135.</w:t>
      </w:r>
    </w:p>
    <w:p w14:paraId="1397F123"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Bar-Tal, Daniel. 2000. </w:t>
      </w:r>
      <w:r w:rsidRPr="00C3671E">
        <w:rPr>
          <w:i/>
          <w:iCs/>
          <w:noProof/>
          <w:lang w:val="en-GB"/>
        </w:rPr>
        <w:t>Shared Beliefs in a Society: Social Psychological Analysis</w:t>
      </w:r>
      <w:r w:rsidRPr="00C3671E">
        <w:rPr>
          <w:noProof/>
          <w:lang w:val="en-GB"/>
        </w:rPr>
        <w:t>. Thousand Oaks: SAGE Publications.</w:t>
      </w:r>
    </w:p>
    <w:p w14:paraId="470A93DF"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Bardi, Anat, Kathryn E. Buchanan, Robin Goodwin, Letitia Slabu, and Mark Robinson. 2014. “Value Stability and Change during Self-Chosen Life Transitions: Self-Selection versus Socialization Effects.” </w:t>
      </w:r>
      <w:r w:rsidRPr="00C3671E">
        <w:rPr>
          <w:i/>
          <w:iCs/>
          <w:noProof/>
          <w:lang w:val="en-GB"/>
        </w:rPr>
        <w:t>Journal of Personality and Social Psychology</w:t>
      </w:r>
      <w:r w:rsidRPr="00C3671E">
        <w:rPr>
          <w:noProof/>
          <w:lang w:val="en-GB"/>
        </w:rPr>
        <w:t xml:space="preserve"> 106(1):131–47.</w:t>
      </w:r>
    </w:p>
    <w:p w14:paraId="7BD7A8C6"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Bardi, Anat, Julie Anne Lee, Nadi Hofmann-Towfigh, and Geoffrey Soutar. 2009. “The Structure of Intra-Individual Value Change.” </w:t>
      </w:r>
      <w:r w:rsidRPr="00C3671E">
        <w:rPr>
          <w:i/>
          <w:iCs/>
          <w:noProof/>
          <w:lang w:val="en-GB"/>
        </w:rPr>
        <w:t>Journal of Personality and Social Psychology</w:t>
      </w:r>
      <w:r w:rsidRPr="00C3671E">
        <w:rPr>
          <w:noProof/>
          <w:lang w:val="en-GB"/>
        </w:rPr>
        <w:t xml:space="preserve"> 97:913–29.</w:t>
      </w:r>
    </w:p>
    <w:p w14:paraId="1B72C12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Barrett, Martyn and Bruna Zani. 2015. “Political and Civic Engagement: Theoretical Understandings, Evidence and Policies.” Pp. 3–26 in </w:t>
      </w:r>
      <w:r w:rsidRPr="00C3671E">
        <w:rPr>
          <w:i/>
          <w:iCs/>
          <w:noProof/>
          <w:lang w:val="en-GB"/>
        </w:rPr>
        <w:t>Political and civic engagement: multidisciplinary perspectives</w:t>
      </w:r>
      <w:r w:rsidRPr="00C3671E">
        <w:rPr>
          <w:noProof/>
          <w:lang w:val="en-GB"/>
        </w:rPr>
        <w:t>, edited by M. Barrett and B. Zani. Abingdon: Routledge.</w:t>
      </w:r>
    </w:p>
    <w:p w14:paraId="1C697799"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Basáñez, Miguel. 2015. </w:t>
      </w:r>
      <w:r w:rsidRPr="00C3671E">
        <w:rPr>
          <w:i/>
          <w:iCs/>
          <w:noProof/>
          <w:lang w:val="en-GB"/>
        </w:rPr>
        <w:t>A World of Three Cultures: Honor, Achievement and Joy</w:t>
      </w:r>
      <w:r w:rsidRPr="00C3671E">
        <w:rPr>
          <w:noProof/>
          <w:lang w:val="en-GB"/>
        </w:rPr>
        <w:t>. New York: Oxford University Press.</w:t>
      </w:r>
    </w:p>
    <w:p w14:paraId="151DEE6B"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Bauer, Jack J. and Sun W. Park. 2010. “Growth Is Not Just for the Young: Growth Narratives, Eudaimonic Resilience, and the Aging Self.” Pp. 60–89 in </w:t>
      </w:r>
      <w:r w:rsidRPr="00C3671E">
        <w:rPr>
          <w:i/>
          <w:iCs/>
          <w:noProof/>
          <w:lang w:val="en-GB"/>
        </w:rPr>
        <w:t>New Frontiers in Resilient Aging: Life-Strengths and Well-Being in Late Life</w:t>
      </w:r>
      <w:r w:rsidRPr="00C3671E">
        <w:rPr>
          <w:noProof/>
          <w:lang w:val="en-GB"/>
        </w:rPr>
        <w:t>, edited by P. S. Fry and C. L. M. Keyes. New York: Cambridge University Press.</w:t>
      </w:r>
    </w:p>
    <w:p w14:paraId="38503D70"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Bauman, Zygmunt. 1993. </w:t>
      </w:r>
      <w:r w:rsidRPr="00C3671E">
        <w:rPr>
          <w:i/>
          <w:iCs/>
          <w:noProof/>
          <w:lang w:val="en-GB"/>
        </w:rPr>
        <w:t>Modernity and Ambivalence</w:t>
      </w:r>
      <w:r w:rsidRPr="00C3671E">
        <w:rPr>
          <w:noProof/>
          <w:lang w:val="en-GB"/>
        </w:rPr>
        <w:t>. Cambridge: Polity Press.</w:t>
      </w:r>
    </w:p>
    <w:p w14:paraId="7951BED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Bauman, Zygmunt. 2006. </w:t>
      </w:r>
      <w:r w:rsidRPr="00C3671E">
        <w:rPr>
          <w:i/>
          <w:iCs/>
          <w:noProof/>
          <w:lang w:val="en-GB"/>
        </w:rPr>
        <w:t>Liquid Modernity</w:t>
      </w:r>
      <w:r w:rsidRPr="00C3671E">
        <w:rPr>
          <w:noProof/>
          <w:lang w:val="en-GB"/>
        </w:rPr>
        <w:t>. Cambridge: Polity Press.</w:t>
      </w:r>
    </w:p>
    <w:p w14:paraId="5014019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Van Bavel, Jan and Tom De Winter. 2013. “Becoming a Grandparent and Early Retirement in Europe.” </w:t>
      </w:r>
      <w:r w:rsidRPr="00C3671E">
        <w:rPr>
          <w:i/>
          <w:iCs/>
          <w:noProof/>
          <w:lang w:val="en-GB"/>
        </w:rPr>
        <w:t>European Sociological Review</w:t>
      </w:r>
      <w:r w:rsidRPr="00C3671E">
        <w:rPr>
          <w:noProof/>
          <w:lang w:val="en-GB"/>
        </w:rPr>
        <w:t xml:space="preserve"> 29(6):1295–1308.</w:t>
      </w:r>
    </w:p>
    <w:p w14:paraId="2A8D1D6D"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Baydar, Nazli and Jeanne Brooks-Gunn. 1998. “Profiles of Grandmothers Who Help Care for Their Grandchildren in the United States.” </w:t>
      </w:r>
      <w:r w:rsidRPr="00C3671E">
        <w:rPr>
          <w:i/>
          <w:iCs/>
          <w:noProof/>
          <w:lang w:val="en-GB"/>
        </w:rPr>
        <w:t>Family Relations</w:t>
      </w:r>
      <w:r w:rsidRPr="00C3671E">
        <w:rPr>
          <w:noProof/>
          <w:lang w:val="en-GB"/>
        </w:rPr>
        <w:t xml:space="preserve"> 47(4):385–93.</w:t>
      </w:r>
    </w:p>
    <w:p w14:paraId="02AE9AD8"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Becker, Gary S. and Gregg H. Lewis. 1974. “Interaction between Quantity and Quality of Children.” Pp. 81–90 in </w:t>
      </w:r>
      <w:r w:rsidRPr="00C3671E">
        <w:rPr>
          <w:i/>
          <w:iCs/>
          <w:noProof/>
          <w:lang w:val="en-GB"/>
        </w:rPr>
        <w:t>Economics of the family: Marriage, children, and human capital</w:t>
      </w:r>
      <w:r w:rsidRPr="00C3671E">
        <w:rPr>
          <w:noProof/>
          <w:lang w:val="en-GB"/>
        </w:rPr>
        <w:t>, edited by T. W. Schultz. Chicago: University of Chicago Press.</w:t>
      </w:r>
    </w:p>
    <w:p w14:paraId="7F770571"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Becker, Sascha O. and Andrea Ichino. 2002. “Estimation of Average Treatment Effects Based on Propensity Scores.” </w:t>
      </w:r>
      <w:r w:rsidRPr="00C3671E">
        <w:rPr>
          <w:i/>
          <w:iCs/>
          <w:noProof/>
          <w:lang w:val="en-GB"/>
        </w:rPr>
        <w:t>The Stata Journal</w:t>
      </w:r>
      <w:r w:rsidRPr="00C3671E">
        <w:rPr>
          <w:noProof/>
          <w:lang w:val="en-GB"/>
        </w:rPr>
        <w:t xml:space="preserve"> 2(4):358–77.</w:t>
      </w:r>
    </w:p>
    <w:p w14:paraId="1418AA01"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Bekkers, René. 2005. “Participation in Voluntary Associations: Relations with Resources, Personality, and Political Values.” </w:t>
      </w:r>
      <w:r w:rsidRPr="00C3671E">
        <w:rPr>
          <w:i/>
          <w:iCs/>
          <w:noProof/>
          <w:lang w:val="en-GB"/>
        </w:rPr>
        <w:t>Political Psychology</w:t>
      </w:r>
      <w:r w:rsidRPr="00C3671E">
        <w:rPr>
          <w:noProof/>
          <w:lang w:val="en-GB"/>
        </w:rPr>
        <w:t xml:space="preserve"> 26(3):439–54.</w:t>
      </w:r>
    </w:p>
    <w:p w14:paraId="113EACC7"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Bell, Daniel. 1973. </w:t>
      </w:r>
      <w:r w:rsidRPr="00C3671E">
        <w:rPr>
          <w:i/>
          <w:iCs/>
          <w:noProof/>
          <w:lang w:val="en-GB"/>
        </w:rPr>
        <w:t>The Coming of Post-Industrial Society</w:t>
      </w:r>
      <w:r w:rsidRPr="00C3671E">
        <w:rPr>
          <w:noProof/>
          <w:lang w:val="en-GB"/>
        </w:rPr>
        <w:t>. New York: Basic Books.</w:t>
      </w:r>
    </w:p>
    <w:p w14:paraId="2C76FB8D"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Bell, Daniel. 1976. </w:t>
      </w:r>
      <w:r w:rsidRPr="00C3671E">
        <w:rPr>
          <w:i/>
          <w:iCs/>
          <w:noProof/>
          <w:lang w:val="en-GB"/>
        </w:rPr>
        <w:t>The Cultural Contradictions of Capitalism</w:t>
      </w:r>
      <w:r w:rsidRPr="00C3671E">
        <w:rPr>
          <w:noProof/>
          <w:lang w:val="en-GB"/>
        </w:rPr>
        <w:t>. New York: Basic Books.</w:t>
      </w:r>
    </w:p>
    <w:p w14:paraId="6B9D1EF8"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Bender, Keith A. 2012. “An Analysis of Well-Being in Retirement: The Role of Pensions, Health, and ‘voluntariness’ of Retirement.” </w:t>
      </w:r>
      <w:r w:rsidRPr="00C3671E">
        <w:rPr>
          <w:i/>
          <w:iCs/>
          <w:noProof/>
          <w:lang w:val="en-GB"/>
        </w:rPr>
        <w:t>Journal of Socio-Economics</w:t>
      </w:r>
      <w:r w:rsidRPr="00C3671E">
        <w:rPr>
          <w:noProof/>
          <w:lang w:val="en-GB"/>
        </w:rPr>
        <w:t xml:space="preserve"> 41(4):424–33. Retrieved (http://dx.doi.org/10.1016/j.socec.2011.05.010).</w:t>
      </w:r>
    </w:p>
    <w:p w14:paraId="05BA0CA1"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Bengtson, Vern L. 2001. “Beyond the Nuclear Family: The Increasing Importance of Multigenerational Bonds.” </w:t>
      </w:r>
      <w:r w:rsidRPr="00C3671E">
        <w:rPr>
          <w:i/>
          <w:iCs/>
          <w:noProof/>
          <w:lang w:val="en-GB"/>
        </w:rPr>
        <w:t>Journal of Marriage and Family</w:t>
      </w:r>
      <w:r w:rsidRPr="00C3671E">
        <w:rPr>
          <w:noProof/>
          <w:lang w:val="en-GB"/>
        </w:rPr>
        <w:t xml:space="preserve"> 63(1):1–16.</w:t>
      </w:r>
    </w:p>
    <w:p w14:paraId="4D832BC4"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Bengtson, Vern L. and Peter Martin. 2001. “Families and Intergenerational Relationships in Aging Societies: Comparing the United States with German-Speaking Countries.” </w:t>
      </w:r>
      <w:r w:rsidRPr="00C3671E">
        <w:rPr>
          <w:i/>
          <w:iCs/>
          <w:noProof/>
          <w:lang w:val="en-GB"/>
        </w:rPr>
        <w:t>Zeitschrift Für Gerontologie Und Geriatrie</w:t>
      </w:r>
      <w:r w:rsidRPr="00C3671E">
        <w:rPr>
          <w:noProof/>
          <w:lang w:val="en-GB"/>
        </w:rPr>
        <w:t xml:space="preserve"> 34(3):207–17. Retrieved (http://www.ncbi.nlm.nih.gov/pubmed/11487963).</w:t>
      </w:r>
    </w:p>
    <w:p w14:paraId="3C32EFA5"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Bergmann, Michael, Thorsten Kneip, Giuseppe De Luca, and Annette Scherpenzeel. 2017. </w:t>
      </w:r>
      <w:r w:rsidRPr="00C3671E">
        <w:rPr>
          <w:i/>
          <w:iCs/>
          <w:noProof/>
          <w:lang w:val="en-GB"/>
        </w:rPr>
        <w:t>Survey Participation in the Survey of Health, Ageing and Retirement in Europe (SHARE), Wave 1-6. Based on Release 6.0.0 (March 2017).</w:t>
      </w:r>
      <w:r w:rsidRPr="00C3671E">
        <w:rPr>
          <w:noProof/>
          <w:lang w:val="en-GB"/>
        </w:rPr>
        <w:t xml:space="preserve"> Munich.</w:t>
      </w:r>
    </w:p>
    <w:p w14:paraId="092066EF"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Bolin, Kristian, Björn Lindgren, and Petter Lundborg. 2008. “Your next of Kin or Your Own Career?” </w:t>
      </w:r>
      <w:r w:rsidRPr="00C3671E">
        <w:rPr>
          <w:i/>
          <w:iCs/>
          <w:noProof/>
          <w:lang w:val="en-GB"/>
        </w:rPr>
        <w:t>Journal of Health Economics</w:t>
      </w:r>
      <w:r w:rsidRPr="00C3671E">
        <w:rPr>
          <w:noProof/>
          <w:lang w:val="en-GB"/>
        </w:rPr>
        <w:t xml:space="preserve"> 27(3):718–38.</w:t>
      </w:r>
    </w:p>
    <w:p w14:paraId="3B19981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Borges Neves, Rita, Fátima Barbosa, Alice Delerue Matos, Victor Rodrigues, and José Machado. 2013. “Unemployed 50+: Exploring Risk Factors for Depression in Europe.” Pp. 91–100 in </w:t>
      </w:r>
      <w:r w:rsidRPr="00C3671E">
        <w:rPr>
          <w:i/>
          <w:iCs/>
          <w:noProof/>
          <w:lang w:val="en-GB"/>
        </w:rPr>
        <w:t xml:space="preserve">Active ageing and solidarity between generations in Europe: first results </w:t>
      </w:r>
      <w:r w:rsidRPr="00C3671E">
        <w:rPr>
          <w:i/>
          <w:iCs/>
          <w:noProof/>
          <w:lang w:val="en-GB"/>
        </w:rPr>
        <w:lastRenderedPageBreak/>
        <w:t>from SHARE after the economic crisis</w:t>
      </w:r>
      <w:r w:rsidRPr="00C3671E">
        <w:rPr>
          <w:noProof/>
          <w:lang w:val="en-GB"/>
        </w:rPr>
        <w:t>, edited by A. Börsch-Supan, M. Brandt, H. Litwin, and G. Weber. Berlin: De Gruyter.</w:t>
      </w:r>
    </w:p>
    <w:p w14:paraId="5FEBBBAF"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Börsch-Supan, Axel et al. 2013. “Data Resource Profile: The Survey of Health, Ageing and Retirement in Europe (SHARE).” </w:t>
      </w:r>
      <w:r w:rsidRPr="00C3671E">
        <w:rPr>
          <w:i/>
          <w:iCs/>
          <w:noProof/>
          <w:lang w:val="en-GB"/>
        </w:rPr>
        <w:t>International Journal of Epidemiology</w:t>
      </w:r>
      <w:r w:rsidRPr="00C3671E">
        <w:rPr>
          <w:noProof/>
          <w:lang w:val="en-GB"/>
        </w:rPr>
        <w:t xml:space="preserve"> 42(4):992–1001.</w:t>
      </w:r>
    </w:p>
    <w:p w14:paraId="718C1DE9"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Börsch-Supan, Axel. 2017a. “Survey of Health, Ageing and Retirement in Europe (SHARE) Wave 1. Release Version: 6.0.0. SHARE-ERIC. Data Set.”</w:t>
      </w:r>
    </w:p>
    <w:p w14:paraId="27645EB8"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Börsch-Supan, Axel. 2017b. “Survey of Health, Ageing and Retirement in Europe (SHARE) Wave 2. Release Version: 6.0.0. SHARE-ERIC. Data Set.”</w:t>
      </w:r>
    </w:p>
    <w:p w14:paraId="5092820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Börsch-Supan, Axel. 2017c. “Survey of Health, Ageing and Retirement in Europe (SHARE) Wave 4. Release Version: 6.0.0. SHARE-ERIC. Data Set.”</w:t>
      </w:r>
    </w:p>
    <w:p w14:paraId="1F93F1F5"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Börsch-Supan, Axel. 2017d. “Survey of Health, Ageing and Retirement in Europe (SHARE) Wave 5. Release Version: 6.0.0. SHARE-ERIC. Data Set.”</w:t>
      </w:r>
    </w:p>
    <w:p w14:paraId="09B6178D"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Börsch-Supan, Axel. 2017e. “Survey of Health, Ageing and Retirement in Europe (SHARE) Wave 6. Release Version: 6.0.0. SHARE-ERIC. Data Set.”</w:t>
      </w:r>
    </w:p>
    <w:p w14:paraId="29B24401"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Börsch-Supan, Axel, Agar Brugiavini, and Enrica Croda. 2009. “The Role of Institutions and Health in European Patterns of Work and Retirement.” </w:t>
      </w:r>
      <w:r w:rsidRPr="00C3671E">
        <w:rPr>
          <w:i/>
          <w:iCs/>
          <w:noProof/>
          <w:lang w:val="en-GB"/>
        </w:rPr>
        <w:t>Journal of European Social Policy</w:t>
      </w:r>
      <w:r w:rsidRPr="00C3671E">
        <w:rPr>
          <w:noProof/>
          <w:lang w:val="en-GB"/>
        </w:rPr>
        <w:t xml:space="preserve"> 19(4):341–58. Retrieved (http://journals.sagepub.com/doi/10.1177/1350506809341515).</w:t>
      </w:r>
    </w:p>
    <w:p w14:paraId="36E7B4A7"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Börsch-Supan, Axel and Hendrik Jürges. 2009. “Early Retirement, Social Security and Well-Being in Germany.” Pp. 173–202 in </w:t>
      </w:r>
      <w:r w:rsidRPr="00C3671E">
        <w:rPr>
          <w:i/>
          <w:iCs/>
          <w:noProof/>
          <w:lang w:val="en-GB"/>
        </w:rPr>
        <w:t>Developments in the Economics of Aging</w:t>
      </w:r>
      <w:r w:rsidRPr="00C3671E">
        <w:rPr>
          <w:noProof/>
          <w:lang w:val="en-GB"/>
        </w:rPr>
        <w:t>, edited by D. A. Wise. Chicago and London: The University of Chicago Press.</w:t>
      </w:r>
    </w:p>
    <w:p w14:paraId="720A3FC9"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Boudiny, K. I. M. 2013. “‘Active Ageing’: From Empty Rhetoric to Effective Policy Tool.” </w:t>
      </w:r>
      <w:r w:rsidRPr="00C3671E">
        <w:rPr>
          <w:i/>
          <w:iCs/>
          <w:noProof/>
          <w:lang w:val="en-GB"/>
        </w:rPr>
        <w:t>Ageing &amp; Society</w:t>
      </w:r>
      <w:r w:rsidRPr="00C3671E">
        <w:rPr>
          <w:noProof/>
          <w:lang w:val="en-GB"/>
        </w:rPr>
        <w:t xml:space="preserve"> 33(6):1077–98.</w:t>
      </w:r>
    </w:p>
    <w:p w14:paraId="0E3DE90D"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Bourdieu, Pierre. 1984. </w:t>
      </w:r>
      <w:r w:rsidRPr="00C3671E">
        <w:rPr>
          <w:i/>
          <w:iCs/>
          <w:noProof/>
          <w:lang w:val="en-GB"/>
        </w:rPr>
        <w:t>Distinction: A Social Critique of the Judgement of Taste</w:t>
      </w:r>
      <w:r w:rsidRPr="00C3671E">
        <w:rPr>
          <w:noProof/>
          <w:lang w:val="en-GB"/>
        </w:rPr>
        <w:t>. Cambridge: Harvard University Press.</w:t>
      </w:r>
    </w:p>
    <w:p w14:paraId="782241E7"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Bourdieu, Pierre Felix. 1986. “The Forms of Capital.” Pp. 241–60 in </w:t>
      </w:r>
      <w:r w:rsidRPr="00C3671E">
        <w:rPr>
          <w:i/>
          <w:iCs/>
          <w:noProof/>
          <w:lang w:val="en-GB"/>
        </w:rPr>
        <w:t>Handbook of theory and research for the sociology of education</w:t>
      </w:r>
      <w:r w:rsidRPr="00C3671E">
        <w:rPr>
          <w:noProof/>
          <w:lang w:val="en-GB"/>
        </w:rPr>
        <w:t>, edited by J. G. Richardson. New York: Greenwood Press.</w:t>
      </w:r>
    </w:p>
    <w:p w14:paraId="5547453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Bowling, Ann. 2005. </w:t>
      </w:r>
      <w:r w:rsidRPr="00C3671E">
        <w:rPr>
          <w:i/>
          <w:iCs/>
          <w:noProof/>
          <w:lang w:val="en-GB"/>
        </w:rPr>
        <w:t>Ageing Well: Quality of Life in Old Age</w:t>
      </w:r>
      <w:r w:rsidRPr="00C3671E">
        <w:rPr>
          <w:noProof/>
          <w:lang w:val="en-GB"/>
        </w:rPr>
        <w:t>. Maidenhead: Open University Press.</w:t>
      </w:r>
    </w:p>
    <w:p w14:paraId="2A37F4A0"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Bowling, Ann. 2007. “21st Century: What Is Successful Aging?” </w:t>
      </w:r>
      <w:r w:rsidRPr="00C3671E">
        <w:rPr>
          <w:i/>
          <w:iCs/>
          <w:noProof/>
          <w:lang w:val="en-GB"/>
        </w:rPr>
        <w:t>International Journal of Aging &amp; Human Development</w:t>
      </w:r>
      <w:r w:rsidRPr="00C3671E">
        <w:rPr>
          <w:noProof/>
          <w:lang w:val="en-GB"/>
        </w:rPr>
        <w:t xml:space="preserve"> 64(3):263–97.</w:t>
      </w:r>
    </w:p>
    <w:p w14:paraId="3FB0723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Bowling, Ann. 2008. “Enhancing Later Life: How Older People Perceive Active Ageing?” </w:t>
      </w:r>
      <w:r w:rsidRPr="00C3671E">
        <w:rPr>
          <w:i/>
          <w:iCs/>
          <w:noProof/>
          <w:lang w:val="en-GB"/>
        </w:rPr>
        <w:t>Aging &amp; Mental Health</w:t>
      </w:r>
      <w:r w:rsidRPr="00C3671E">
        <w:rPr>
          <w:noProof/>
          <w:lang w:val="en-GB"/>
        </w:rPr>
        <w:t xml:space="preserve"> 12(3):293–301. Retrieved (http://www.tandfonline.com/doi/abs/10.1080/13607860802120979).</w:t>
      </w:r>
    </w:p>
    <w:p w14:paraId="6F19BA5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Bowling, Ann. 2009. “Perceptions of Active Ageing in Britain: Divergences between Minority Ethnic and Whole Population Samples.” </w:t>
      </w:r>
      <w:r w:rsidRPr="00C3671E">
        <w:rPr>
          <w:i/>
          <w:iCs/>
          <w:noProof/>
          <w:lang w:val="en-GB"/>
        </w:rPr>
        <w:t>Age and Ageing</w:t>
      </w:r>
      <w:r w:rsidRPr="00C3671E">
        <w:rPr>
          <w:noProof/>
          <w:lang w:val="en-GB"/>
        </w:rPr>
        <w:t xml:space="preserve"> 38(6):703–10.</w:t>
      </w:r>
    </w:p>
    <w:p w14:paraId="490F3F3A"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Bowling, Ann and Mai Stafford. 2007. “How Do Objective and Subjective Assessments of Neighbourhood Influence Social and Physical Functioning in Older Age? Findings from a British Survey of Ageing.” </w:t>
      </w:r>
      <w:r w:rsidRPr="00C3671E">
        <w:rPr>
          <w:i/>
          <w:iCs/>
          <w:noProof/>
          <w:lang w:val="en-GB"/>
        </w:rPr>
        <w:t>Social Science and Medicine</w:t>
      </w:r>
      <w:r w:rsidRPr="00C3671E">
        <w:rPr>
          <w:noProof/>
          <w:lang w:val="en-GB"/>
        </w:rPr>
        <w:t xml:space="preserve"> 64(12):2533–49.</w:t>
      </w:r>
    </w:p>
    <w:p w14:paraId="68F96BCF"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Boyle, Patricia A., Lisa L. Barnes, Aron S. Buchman, and David A. Bennett. 2009. “Purpose in Life Is Associated with Mortality among Community Dwelling Older Persons.” </w:t>
      </w:r>
      <w:r w:rsidRPr="00C3671E">
        <w:rPr>
          <w:i/>
          <w:iCs/>
          <w:noProof/>
          <w:lang w:val="en-GB"/>
        </w:rPr>
        <w:t>Psychosomatic Medicine</w:t>
      </w:r>
      <w:r w:rsidRPr="00C3671E">
        <w:rPr>
          <w:noProof/>
          <w:lang w:val="en-GB"/>
        </w:rPr>
        <w:t xml:space="preserve"> 71(5):574–79.</w:t>
      </w:r>
    </w:p>
    <w:p w14:paraId="43A9D8F0"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Brand, Jennie E. and Dwight Davis. 2011. “The Impact of College Education on Fertility: Evidence for Heterogeneous Effects.” </w:t>
      </w:r>
      <w:r w:rsidRPr="00C3671E">
        <w:rPr>
          <w:i/>
          <w:iCs/>
          <w:noProof/>
          <w:lang w:val="en-GB"/>
        </w:rPr>
        <w:t>Demography</w:t>
      </w:r>
      <w:r w:rsidRPr="00C3671E">
        <w:rPr>
          <w:noProof/>
          <w:lang w:val="en-GB"/>
        </w:rPr>
        <w:t xml:space="preserve"> 48(3):863–87.</w:t>
      </w:r>
    </w:p>
    <w:p w14:paraId="65F448E0"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Brandt, Martina and Christian Deindl. 2013. “Intergenerational Transfers to Adult Children in Europe: Do Social Policies Matter?” </w:t>
      </w:r>
      <w:r w:rsidRPr="00C3671E">
        <w:rPr>
          <w:i/>
          <w:iCs/>
          <w:noProof/>
          <w:lang w:val="en-GB"/>
        </w:rPr>
        <w:t>Journal of Marriage and Family</w:t>
      </w:r>
      <w:r w:rsidRPr="00C3671E">
        <w:rPr>
          <w:noProof/>
          <w:lang w:val="en-GB"/>
        </w:rPr>
        <w:t xml:space="preserve"> 75(1):235–51.</w:t>
      </w:r>
    </w:p>
    <w:p w14:paraId="679CA379"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Broe, Gerald A. et al. 1999. “Carer Distress in the General Population: Results from the Sydney Older Persons Study.” </w:t>
      </w:r>
      <w:r w:rsidRPr="00C3671E">
        <w:rPr>
          <w:i/>
          <w:iCs/>
          <w:noProof/>
          <w:lang w:val="en-GB"/>
        </w:rPr>
        <w:t>Age and Ageing</w:t>
      </w:r>
      <w:r w:rsidRPr="00C3671E">
        <w:rPr>
          <w:noProof/>
          <w:lang w:val="en-GB"/>
        </w:rPr>
        <w:t xml:space="preserve"> 28(3):307–11.</w:t>
      </w:r>
    </w:p>
    <w:p w14:paraId="7F383A96"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lastRenderedPageBreak/>
        <w:t xml:space="preserve">Broese van Groenou, Marjolein I., Alice de Boer, and Jurjen Iedema. 2013. “Positive and Negative Evaluation of Caregiving among Three Different Types of Informal Care Relationships.” </w:t>
      </w:r>
      <w:r w:rsidRPr="00C3671E">
        <w:rPr>
          <w:i/>
          <w:iCs/>
          <w:noProof/>
          <w:lang w:val="en-GB"/>
        </w:rPr>
        <w:t>European Journal of Ageing</w:t>
      </w:r>
      <w:r w:rsidRPr="00C3671E">
        <w:rPr>
          <w:noProof/>
          <w:lang w:val="en-GB"/>
        </w:rPr>
        <w:t xml:space="preserve"> 10(4):301–11.</w:t>
      </w:r>
    </w:p>
    <w:p w14:paraId="2B2C8055"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Bronfenbrenner, Urie. 1986. “Ecology of the Family as a Context for Human Development: Research Perspectives.” </w:t>
      </w:r>
      <w:r w:rsidRPr="00C3671E">
        <w:rPr>
          <w:i/>
          <w:iCs/>
          <w:noProof/>
          <w:lang w:val="en-GB"/>
        </w:rPr>
        <w:t>Developmental Psychology</w:t>
      </w:r>
      <w:r w:rsidRPr="00C3671E">
        <w:rPr>
          <w:noProof/>
          <w:lang w:val="en-GB"/>
        </w:rPr>
        <w:t xml:space="preserve"> 22(6):723–42.</w:t>
      </w:r>
    </w:p>
    <w:p w14:paraId="65440FD3"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Bryan, Mark L. and Stephen P. Jenkins. 2016. “Multilevel Modelling of Country Effects: A Cautionary Tale.” </w:t>
      </w:r>
      <w:r w:rsidRPr="00C3671E">
        <w:rPr>
          <w:i/>
          <w:iCs/>
          <w:noProof/>
          <w:lang w:val="en-GB"/>
        </w:rPr>
        <w:t>European Sociological Review</w:t>
      </w:r>
      <w:r w:rsidRPr="00C3671E">
        <w:rPr>
          <w:noProof/>
          <w:lang w:val="en-GB"/>
        </w:rPr>
        <w:t xml:space="preserve"> 32(1):3–22.</w:t>
      </w:r>
    </w:p>
    <w:p w14:paraId="7F1FEE69"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Caliendo, Marco and Sabine Kopeinig. 2008. “Some Practical Guidance for the Implementation of Propensity Score Matching.” </w:t>
      </w:r>
      <w:r w:rsidRPr="00C3671E">
        <w:rPr>
          <w:i/>
          <w:iCs/>
          <w:noProof/>
          <w:lang w:val="en-GB"/>
        </w:rPr>
        <w:t>Journal of Economic Surveys</w:t>
      </w:r>
      <w:r w:rsidRPr="00C3671E">
        <w:rPr>
          <w:noProof/>
          <w:lang w:val="en-GB"/>
        </w:rPr>
        <w:t xml:space="preserve"> 22(1):31–72.</w:t>
      </w:r>
    </w:p>
    <w:p w14:paraId="070A2D68"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Cattan, Mima, Eddy Hogg, and Irene Hardill. 2011. “Improving Quality of Life in Ageing Populations: What Can Volunteering Do?” </w:t>
      </w:r>
      <w:r w:rsidRPr="00C3671E">
        <w:rPr>
          <w:i/>
          <w:iCs/>
          <w:noProof/>
          <w:lang w:val="en-GB"/>
        </w:rPr>
        <w:t>Maturitas</w:t>
      </w:r>
      <w:r w:rsidRPr="00C3671E">
        <w:rPr>
          <w:noProof/>
          <w:lang w:val="en-GB"/>
        </w:rPr>
        <w:t xml:space="preserve"> 70(4):328–32. Retrieved (http://dx.doi.org/10.1016/j.maturitas.2011.08.010).</w:t>
      </w:r>
    </w:p>
    <w:p w14:paraId="2C7C9A9E"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Chassin, Laurie, Jon T. Macy, Dong Chul Seo, Clark C. Presson, and Steven J. Sherman. 2010. “The Association between Membership in the Sandwich Generation and Health Behaviors: A Longitudinal Study.” </w:t>
      </w:r>
      <w:r w:rsidRPr="00C3671E">
        <w:rPr>
          <w:i/>
          <w:iCs/>
          <w:noProof/>
          <w:lang w:val="en-GB"/>
        </w:rPr>
        <w:t>Journal of Applied Developmental Psychology</w:t>
      </w:r>
      <w:r w:rsidRPr="00C3671E">
        <w:rPr>
          <w:noProof/>
          <w:lang w:val="en-GB"/>
        </w:rPr>
        <w:t xml:space="preserve"> 31(1):38–46. Retrieved (http://dx.doi.org/10.1016/j.appdev.2009.06.001).</w:t>
      </w:r>
    </w:p>
    <w:p w14:paraId="43445CD7"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Choo, Hae Yeon and Myra Marx Ferree. 2010. “Practicing Intersectionality in Sociological Research : A Critical Analysis of Inclusions , Interactions , and Institutions in the Study of Inequalities.” </w:t>
      </w:r>
      <w:r w:rsidRPr="00C3671E">
        <w:rPr>
          <w:i/>
          <w:iCs/>
          <w:noProof/>
          <w:lang w:val="en-GB"/>
        </w:rPr>
        <w:t>Sociological Theory</w:t>
      </w:r>
      <w:r w:rsidRPr="00C3671E">
        <w:rPr>
          <w:noProof/>
          <w:lang w:val="en-GB"/>
        </w:rPr>
        <w:t xml:space="preserve"> 28(2):129–49.</w:t>
      </w:r>
    </w:p>
    <w:p w14:paraId="30AA7BD9"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Clark, Andrew E. and Yarine Fawaz. 2009. “Valuing Jobs via Retirement: European Evidence.” </w:t>
      </w:r>
      <w:r w:rsidRPr="00C3671E">
        <w:rPr>
          <w:i/>
          <w:iCs/>
          <w:noProof/>
          <w:lang w:val="en-GB"/>
        </w:rPr>
        <w:t>National Institute Economic Review</w:t>
      </w:r>
      <w:r w:rsidRPr="00C3671E">
        <w:rPr>
          <w:noProof/>
          <w:lang w:val="en-GB"/>
        </w:rPr>
        <w:t xml:space="preserve"> 209(1):88–103. Retrieved (http://ner.sagepub.com/content/209/1/88.abstract).</w:t>
      </w:r>
    </w:p>
    <w:p w14:paraId="175E0236"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Colombo, Francesca, Ana Llena-Nozal, Jérôme Mercier, and Frits Tjadens. 2011. </w:t>
      </w:r>
      <w:r w:rsidRPr="00C3671E">
        <w:rPr>
          <w:i/>
          <w:iCs/>
          <w:noProof/>
          <w:lang w:val="en-GB"/>
        </w:rPr>
        <w:t>Help Wanted? Providing and Paying for Long-Term Care</w:t>
      </w:r>
      <w:r w:rsidRPr="00C3671E">
        <w:rPr>
          <w:noProof/>
          <w:lang w:val="en-GB"/>
        </w:rPr>
        <w:t>. Paris: OECD Publishing. Retrieved (http://www.imf.org/external/pubs/ft/fandd/2015/06/khang.htm).</w:t>
      </w:r>
    </w:p>
    <w:p w14:paraId="0C8784F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Commission of the European Communities. 2002. “Europe’s Response to World Ageing: Promoting Economic and Social Progress in an Ageing World.” 1–15.</w:t>
      </w:r>
    </w:p>
    <w:p w14:paraId="4603FBA6"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Contoyannis, Paul and Andrew M. Jones. 2004. </w:t>
      </w:r>
      <w:r w:rsidRPr="00C3671E">
        <w:rPr>
          <w:i/>
          <w:iCs/>
          <w:noProof/>
          <w:lang w:val="en-GB"/>
        </w:rPr>
        <w:t>Socio-Economic Status, Health and Lifestyle</w:t>
      </w:r>
      <w:r w:rsidRPr="00C3671E">
        <w:rPr>
          <w:noProof/>
          <w:lang w:val="en-GB"/>
        </w:rPr>
        <w:t>.</w:t>
      </w:r>
    </w:p>
    <w:p w14:paraId="21D9F0F0"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Cosco, Theodore D., Blossom C. M. Stephan, and Carol Brayne. 2013. “Letter to the Editor: On the Success of the Successful Aging Paradigm.” </w:t>
      </w:r>
      <w:r w:rsidRPr="00C3671E">
        <w:rPr>
          <w:i/>
          <w:iCs/>
          <w:noProof/>
          <w:lang w:val="en-GB"/>
        </w:rPr>
        <w:t>Journal of Applied Gerontology</w:t>
      </w:r>
      <w:r w:rsidRPr="00C3671E">
        <w:rPr>
          <w:noProof/>
          <w:lang w:val="en-GB"/>
        </w:rPr>
        <w:t xml:space="preserve"> 32(3):275–76.</w:t>
      </w:r>
    </w:p>
    <w:p w14:paraId="40FCF4AA"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Coverman, Shelley. 1989. “Role Overload, Role Conflict and Stress: Addressing Consequences of Multiple Role Demand.” </w:t>
      </w:r>
      <w:r w:rsidRPr="00C3671E">
        <w:rPr>
          <w:i/>
          <w:iCs/>
          <w:noProof/>
          <w:lang w:val="en-GB"/>
        </w:rPr>
        <w:t>Social Forces</w:t>
      </w:r>
      <w:r w:rsidRPr="00C3671E">
        <w:rPr>
          <w:noProof/>
          <w:lang w:val="en-GB"/>
        </w:rPr>
        <w:t xml:space="preserve"> 67(4):965–82.</w:t>
      </w:r>
    </w:p>
    <w:p w14:paraId="4342F08E"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Croezen, Simone, Mauricio Avendano, and Alex Burdorf. 2013. “Does Social Participation Decrease Depressive Symptoms in Old Age?” Pp. 391–402 in </w:t>
      </w:r>
      <w:r w:rsidRPr="00C3671E">
        <w:rPr>
          <w:i/>
          <w:iCs/>
          <w:noProof/>
          <w:lang w:val="en-GB"/>
        </w:rPr>
        <w:t>Active ageing and solidarity between generations in Europe: First results from SHARE after the economic crisis</w:t>
      </w:r>
      <w:r w:rsidRPr="00C3671E">
        <w:rPr>
          <w:noProof/>
          <w:lang w:val="en-GB"/>
        </w:rPr>
        <w:t>, edited by A. Börsch-Supan, M. Brandt, H. Litwin, and G. Weber. Berlin: De Gruyter.</w:t>
      </w:r>
    </w:p>
    <w:p w14:paraId="7A134668"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Crown, William H. 2014. “Propensity-Score Matching in Economic Analyses: Comparison with Regression Models, Instrumental Variables, Residual Inclusion, Differences-in-Differences, and Decomposition Methods.” </w:t>
      </w:r>
      <w:r w:rsidRPr="00C3671E">
        <w:rPr>
          <w:i/>
          <w:iCs/>
          <w:noProof/>
          <w:lang w:val="en-GB"/>
        </w:rPr>
        <w:t>Applied Health Economics and Health Policy</w:t>
      </w:r>
      <w:r w:rsidRPr="00C3671E">
        <w:rPr>
          <w:noProof/>
          <w:lang w:val="en-GB"/>
        </w:rPr>
        <w:t xml:space="preserve"> 12(1):7–18.</w:t>
      </w:r>
    </w:p>
    <w:p w14:paraId="50810748"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Cumming, E. 1963. “Further Thoughts on the Theory of Disengagement.” </w:t>
      </w:r>
      <w:r w:rsidRPr="00C3671E">
        <w:rPr>
          <w:i/>
          <w:iCs/>
          <w:noProof/>
          <w:lang w:val="en-GB"/>
        </w:rPr>
        <w:t>International Social Science Journal</w:t>
      </w:r>
      <w:r w:rsidRPr="00C3671E">
        <w:rPr>
          <w:noProof/>
          <w:lang w:val="en-GB"/>
        </w:rPr>
        <w:t xml:space="preserve"> 15(3):377–93.</w:t>
      </w:r>
    </w:p>
    <w:p w14:paraId="0101269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Cumming, Elaine and William Earl Henry. 1961. </w:t>
      </w:r>
      <w:r w:rsidRPr="00C3671E">
        <w:rPr>
          <w:i/>
          <w:iCs/>
          <w:noProof/>
          <w:lang w:val="en-GB"/>
        </w:rPr>
        <w:t>Growing Old, the Process of Disengagement</w:t>
      </w:r>
      <w:r w:rsidRPr="00C3671E">
        <w:rPr>
          <w:noProof/>
          <w:lang w:val="en-GB"/>
        </w:rPr>
        <w:t>. New York: Basic Books.</w:t>
      </w:r>
    </w:p>
    <w:p w14:paraId="2432CCC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Daatland, Svein Olav, Marijke Veenstra, and Ivar A. Lima. 2010. “Norwegian Sandwiches: On the Prevalence and Consequences of Family and Work Role Squeezes over the Life Course.” </w:t>
      </w:r>
      <w:r w:rsidRPr="00C3671E">
        <w:rPr>
          <w:i/>
          <w:iCs/>
          <w:noProof/>
          <w:lang w:val="en-GB"/>
        </w:rPr>
        <w:t>European Journal of Ageing</w:t>
      </w:r>
      <w:r w:rsidRPr="00C3671E">
        <w:rPr>
          <w:noProof/>
          <w:lang w:val="en-GB"/>
        </w:rPr>
        <w:t xml:space="preserve"> 7(4):271–81.</w:t>
      </w:r>
    </w:p>
    <w:p w14:paraId="4BE76256"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lastRenderedPageBreak/>
        <w:t xml:space="preserve">Davis, Darren W. 2000. “Individual Level Examination of Postmaterialism in the U.S.: Political Tolerance, Racial Attitudes, Environmentalism, and Participatory Norms.” </w:t>
      </w:r>
      <w:r w:rsidRPr="00C3671E">
        <w:rPr>
          <w:i/>
          <w:iCs/>
          <w:noProof/>
          <w:lang w:val="en-GB"/>
        </w:rPr>
        <w:t>Political Research Quarterly</w:t>
      </w:r>
      <w:r w:rsidRPr="00C3671E">
        <w:rPr>
          <w:noProof/>
          <w:lang w:val="en-GB"/>
        </w:rPr>
        <w:t xml:space="preserve"> 53(3):455–75.</w:t>
      </w:r>
    </w:p>
    <w:p w14:paraId="06B45360"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Davis, James A. 1996. “Review Essay on Value Change in Global Perspective.” </w:t>
      </w:r>
      <w:r w:rsidRPr="00C3671E">
        <w:rPr>
          <w:i/>
          <w:iCs/>
          <w:noProof/>
          <w:lang w:val="en-GB"/>
        </w:rPr>
        <w:t>The Public Opinion Quarterly</w:t>
      </w:r>
      <w:r w:rsidRPr="00C3671E">
        <w:rPr>
          <w:noProof/>
          <w:lang w:val="en-GB"/>
        </w:rPr>
        <w:t xml:space="preserve"> 60(2):322–31.</w:t>
      </w:r>
    </w:p>
    <w:p w14:paraId="4EEF48AA"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Diener, E. D. and Eunkook Suh. 1997. “Measuring Quality of Life: Economic, Social, and Subjective Indicators.” </w:t>
      </w:r>
      <w:r w:rsidRPr="00C3671E">
        <w:rPr>
          <w:i/>
          <w:iCs/>
          <w:noProof/>
          <w:lang w:val="en-GB"/>
        </w:rPr>
        <w:t>Social Indicators Research</w:t>
      </w:r>
      <w:r w:rsidRPr="00C3671E">
        <w:rPr>
          <w:noProof/>
          <w:lang w:val="en-GB"/>
        </w:rPr>
        <w:t xml:space="preserve"> 40(1/2):189–216.</w:t>
      </w:r>
    </w:p>
    <w:p w14:paraId="4CC383D7"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Dorn, David and Alfonso Sousa-Poza. 2010. “‘Voluntary’ and ‘Involuntary’ Early Retirement: An International Analysis.” </w:t>
      </w:r>
      <w:r w:rsidRPr="00C3671E">
        <w:rPr>
          <w:i/>
          <w:iCs/>
          <w:noProof/>
          <w:lang w:val="en-GB"/>
        </w:rPr>
        <w:t>Applied Economics</w:t>
      </w:r>
      <w:r w:rsidRPr="00C3671E">
        <w:rPr>
          <w:noProof/>
          <w:lang w:val="en-GB"/>
        </w:rPr>
        <w:t xml:space="preserve"> 42(4):427–38.</w:t>
      </w:r>
    </w:p>
    <w:p w14:paraId="03A5A008"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Dykstra, Pearl A. and Maria Fleischmann. 2016. “Are Societies with a High Value on the Active Ageing Index More Age-Integrated?” Pp. 19–39 in </w:t>
      </w:r>
      <w:r w:rsidRPr="00C3671E">
        <w:rPr>
          <w:i/>
          <w:iCs/>
          <w:noProof/>
          <w:lang w:val="en-GB"/>
        </w:rPr>
        <w:t>Building evidence for active ageing policies: Active ageing index and its potential</w:t>
      </w:r>
      <w:r w:rsidRPr="00C3671E">
        <w:rPr>
          <w:noProof/>
          <w:lang w:val="en-GB"/>
        </w:rPr>
        <w:t>, edited by Ashgar Zaidi, Sarah Harper, K. Howse, G. Lamura, and J. Perek-Białas. Singapore: Palgrave Macmillan.</w:t>
      </w:r>
    </w:p>
    <w:p w14:paraId="03F90CFB"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Eagly, Alice H. 1987. </w:t>
      </w:r>
      <w:r w:rsidRPr="00C3671E">
        <w:rPr>
          <w:i/>
          <w:iCs/>
          <w:noProof/>
          <w:lang w:val="en-GB"/>
        </w:rPr>
        <w:t>Sex Differences in Social Behavior: A Social-Role Interpretation</w:t>
      </w:r>
      <w:r w:rsidRPr="00C3671E">
        <w:rPr>
          <w:noProof/>
          <w:lang w:val="en-GB"/>
        </w:rPr>
        <w:t>. Hillsdale: Lawrence Erlbaum Associates, Publishers.</w:t>
      </w:r>
    </w:p>
    <w:p w14:paraId="0473A3E6"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Ebbinghaus, Bernhard. 2012a. “Comparing Welfare State Regimes: Are Typologies an Ideal or Realistic Strategy?” Pp. 1–20 in </w:t>
      </w:r>
      <w:r w:rsidRPr="00C3671E">
        <w:rPr>
          <w:i/>
          <w:iCs/>
          <w:noProof/>
          <w:lang w:val="en-GB"/>
        </w:rPr>
        <w:t>ESPAnet Conference</w:t>
      </w:r>
      <w:r w:rsidRPr="00C3671E">
        <w:rPr>
          <w:noProof/>
          <w:lang w:val="en-GB"/>
        </w:rPr>
        <w:t>. Edinburg.</w:t>
      </w:r>
    </w:p>
    <w:p w14:paraId="6363503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Ebbinghaus, Bernhard. 2012b. “Europe’s Transformations towards a Renewed Pension System.” Pp. 182–205 in </w:t>
      </w:r>
      <w:r w:rsidRPr="00C3671E">
        <w:rPr>
          <w:i/>
          <w:iCs/>
          <w:noProof/>
          <w:lang w:val="en-GB"/>
        </w:rPr>
        <w:t>The politics of the New Welfare State</w:t>
      </w:r>
      <w:r w:rsidRPr="00C3671E">
        <w:rPr>
          <w:noProof/>
          <w:lang w:val="en-GB"/>
        </w:rPr>
        <w:t>, edited by G. Bonoli. Oxford: Oxford University Press.</w:t>
      </w:r>
    </w:p>
    <w:p w14:paraId="74087D5B"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EEPA. 2013. “The Lisbon Treaty - Article 3.” Retrieved January 30, 2018 (http://www.lisbon-treaty.org/wcm/the-lisbon-treaty/treaty-on-european-union-and-comments/title-1-common-provisions/4-article-3.html).</w:t>
      </w:r>
    </w:p>
    <w:p w14:paraId="04BDFB2E"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Ekwall, Anna, Bengt Sivberg, and Ingalill Rahm Hallberg. 2004. “Dimensions of Informal Care and Quality of Life among Elderly Family Caregivers.” </w:t>
      </w:r>
      <w:r w:rsidRPr="00C3671E">
        <w:rPr>
          <w:i/>
          <w:iCs/>
          <w:noProof/>
          <w:lang w:val="en-GB"/>
        </w:rPr>
        <w:t>Scandinavian Journal of Caring Sciences</w:t>
      </w:r>
      <w:r w:rsidRPr="00C3671E">
        <w:rPr>
          <w:noProof/>
          <w:lang w:val="en-GB"/>
        </w:rPr>
        <w:t xml:space="preserve"> 18(6):239–48.</w:t>
      </w:r>
    </w:p>
    <w:p w14:paraId="0759D594"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Elder, Glen H. 1994. “Time, Human Agency, and Social Change: Perspectives on the Life Course.” </w:t>
      </w:r>
      <w:r w:rsidRPr="00C3671E">
        <w:rPr>
          <w:i/>
          <w:iCs/>
          <w:noProof/>
          <w:lang w:val="en-GB"/>
        </w:rPr>
        <w:t>Social Psychology Quarterly</w:t>
      </w:r>
      <w:r w:rsidRPr="00C3671E">
        <w:rPr>
          <w:noProof/>
          <w:lang w:val="en-GB"/>
        </w:rPr>
        <w:t xml:space="preserve"> 57(1):4–15.</w:t>
      </w:r>
    </w:p>
    <w:p w14:paraId="1C633548"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Elster, Jon. 1989. “Nuts and Bolts for Social Sciences.” 184.</w:t>
      </w:r>
    </w:p>
    <w:p w14:paraId="24FFCC9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Englehardt, Henriette, Isabella Buber, Vegard Skirbekk, and Alexia Prskawetz. 2010. </w:t>
      </w:r>
      <w:r w:rsidRPr="00C3671E">
        <w:rPr>
          <w:i/>
          <w:iCs/>
          <w:noProof/>
          <w:lang w:val="en-GB"/>
        </w:rPr>
        <w:t>Social Engagement, Behavioural Risks and Cognitive Functioning Among the Aged</w:t>
      </w:r>
      <w:r w:rsidRPr="00C3671E">
        <w:rPr>
          <w:noProof/>
          <w:lang w:val="en-GB"/>
        </w:rPr>
        <w:t>. Retrieved (http://www.share-austria.at/fileadmin/user_upload/articles/2010_Cognitivefunctioning.pdf).</w:t>
      </w:r>
    </w:p>
    <w:p w14:paraId="0457C679"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ESFRI. 2016. </w:t>
      </w:r>
      <w:r w:rsidRPr="00C3671E">
        <w:rPr>
          <w:i/>
          <w:iCs/>
          <w:noProof/>
          <w:lang w:val="en-GB"/>
        </w:rPr>
        <w:t>Infrastructures, Strategy Report on Research</w:t>
      </w:r>
      <w:r w:rsidRPr="00C3671E">
        <w:rPr>
          <w:noProof/>
          <w:lang w:val="en-GB"/>
        </w:rPr>
        <w:t>. Retrieved (https://ec.europa.eu/research/infrastructures/pdf/esfri/esfri_roadmap/esfri_roadmap_2016_adopted.pdf).</w:t>
      </w:r>
    </w:p>
    <w:p w14:paraId="3665C3B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Esping-Andersen, Gøsta. 1990. </w:t>
      </w:r>
      <w:r w:rsidRPr="00C3671E">
        <w:rPr>
          <w:i/>
          <w:iCs/>
          <w:noProof/>
          <w:lang w:val="en-GB"/>
        </w:rPr>
        <w:t>Three Worlds of Welfare Capitalism</w:t>
      </w:r>
      <w:r w:rsidRPr="00C3671E">
        <w:rPr>
          <w:noProof/>
          <w:lang w:val="en-GB"/>
        </w:rPr>
        <w:t>. Princeton: Princeton University Press.</w:t>
      </w:r>
    </w:p>
    <w:p w14:paraId="7912CA7A"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EU Council. 2012. </w:t>
      </w:r>
      <w:r w:rsidRPr="00C3671E">
        <w:rPr>
          <w:i/>
          <w:iCs/>
          <w:noProof/>
          <w:lang w:val="en-GB"/>
        </w:rPr>
        <w:t>Council Declaration on the European Year for Active Ageing and Solidarity between Generations (2012): The Way Forward</w:t>
      </w:r>
      <w:r w:rsidRPr="00C3671E">
        <w:rPr>
          <w:noProof/>
          <w:lang w:val="en-GB"/>
        </w:rPr>
        <w:t>. Brussels: EU Council.</w:t>
      </w:r>
    </w:p>
    <w:p w14:paraId="60EE9996"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Eurobarometer. 2012. “Active Ageing.” Retrieved (http://www.emeraldinsight.com/doi/10.1108/qaoa.2012.55913baa.007).</w:t>
      </w:r>
    </w:p>
    <w:p w14:paraId="3C8705A8"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European Commission. 2013. </w:t>
      </w:r>
      <w:r w:rsidRPr="00C3671E">
        <w:rPr>
          <w:i/>
          <w:iCs/>
          <w:noProof/>
          <w:lang w:val="en-GB"/>
        </w:rPr>
        <w:t>Introducing the Active Ageing Index. Policy Brief</w:t>
      </w:r>
      <w:r w:rsidRPr="00C3671E">
        <w:rPr>
          <w:noProof/>
          <w:lang w:val="en-GB"/>
        </w:rPr>
        <w:t>. Brussels: European Comission.</w:t>
      </w:r>
    </w:p>
    <w:p w14:paraId="22F0C2AB"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European Union. 2012. </w:t>
      </w:r>
      <w:r w:rsidRPr="00C3671E">
        <w:rPr>
          <w:i/>
          <w:iCs/>
          <w:noProof/>
          <w:lang w:val="en-GB"/>
        </w:rPr>
        <w:t>The EU Contribution to Active Ageing and Solidarity between Generations</w:t>
      </w:r>
      <w:r w:rsidRPr="00C3671E">
        <w:rPr>
          <w:noProof/>
          <w:lang w:val="en-GB"/>
        </w:rPr>
        <w:t>. Luxembourg: Publications Office of the European Union.</w:t>
      </w:r>
    </w:p>
    <w:p w14:paraId="0968DC49"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Eurostat. 2012. </w:t>
      </w:r>
      <w:r w:rsidRPr="00C3671E">
        <w:rPr>
          <w:i/>
          <w:iCs/>
          <w:noProof/>
          <w:lang w:val="en-GB"/>
        </w:rPr>
        <w:t>Active Ageing and Solidarity between Generations</w:t>
      </w:r>
      <w:r w:rsidRPr="00C3671E">
        <w:rPr>
          <w:noProof/>
          <w:lang w:val="en-GB"/>
        </w:rPr>
        <w:t>. Retrieved (http://epp.eurostat.ec.europa.eu/portal/page/portal/product_details/publication?p_product_code=KS-EP-11-001).</w:t>
      </w:r>
    </w:p>
    <w:p w14:paraId="16D79EE9"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Eurostat. 2014. “Labour Force Survey Statistics - Transition from Work to Retirement.” </w:t>
      </w:r>
      <w:r w:rsidRPr="00C3671E">
        <w:rPr>
          <w:noProof/>
          <w:lang w:val="en-GB"/>
        </w:rPr>
        <w:lastRenderedPageBreak/>
        <w:t>Retrieved October 19, 2017 (http://ec.europa.eu/eurostat/statistics-explained/index.php/Labour_force_survey_statistics_-_transition_from_work_to_retirement#Early_retirement).</w:t>
      </w:r>
    </w:p>
    <w:p w14:paraId="68F8019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Eurostat. 2017a. “People in the EU – Population Projections.” Retrieved January 29, 2018 (http://ec.europa.eu/eurostat/statistics-explained/index.php/People_in_the_EU_–_population_projections).</w:t>
      </w:r>
    </w:p>
    <w:p w14:paraId="0D612F56"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Eurostat. 2017b. “Population Structure and Ageing.” Retrieved January 29, 2018 (http://ec.europa.eu/eurostat/statistics-explained/index.php/Population_structure_and_ageing).</w:t>
      </w:r>
    </w:p>
    <w:p w14:paraId="64619BEE"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EVS. 2011. “European Values Study 2008, Cross-Sectional Data File.”</w:t>
      </w:r>
    </w:p>
    <w:p w14:paraId="0FA7E151"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Fenger, Menno. 2007. “Welfare Regimes in Central and Eastern Europe: Incorporating Post-Communist Countries in a Welfare Regime Typology.” </w:t>
      </w:r>
      <w:r w:rsidRPr="00C3671E">
        <w:rPr>
          <w:i/>
          <w:iCs/>
          <w:noProof/>
          <w:lang w:val="en-GB"/>
        </w:rPr>
        <w:t>Contemporary Issues and Ideas in Social Sciences</w:t>
      </w:r>
      <w:r w:rsidRPr="00C3671E">
        <w:rPr>
          <w:noProof/>
          <w:lang w:val="en-GB"/>
        </w:rPr>
        <w:t xml:space="preserve"> (August):3–30.</w:t>
      </w:r>
    </w:p>
    <w:p w14:paraId="367B8A76"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Finnish Centre for Pensions. 2017. “Retirement Ages in Member States.” Retrieved June 12, 2017 (http://www.etk.fi/en/the-pension-system-2/the-pension-system/international-comparison/retirement-ages/).</w:t>
      </w:r>
    </w:p>
    <w:p w14:paraId="3C7BA6E3"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Fokkema, Tineke, Susan ter Bekke, and Pearl Dykstra. 2008. </w:t>
      </w:r>
      <w:r w:rsidRPr="00C3671E">
        <w:rPr>
          <w:i/>
          <w:iCs/>
          <w:noProof/>
          <w:lang w:val="en-GB"/>
        </w:rPr>
        <w:t>Solidarity between Parents and Their Adult Children in Europe</w:t>
      </w:r>
      <w:r w:rsidRPr="00C3671E">
        <w:rPr>
          <w:noProof/>
          <w:lang w:val="en-GB"/>
        </w:rPr>
        <w:t>. Amsterdam: Amsterdam University Press.</w:t>
      </w:r>
    </w:p>
    <w:p w14:paraId="6EBE1A05"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Foster, Liam and Alan Walker. 2013. “Gender and Active Ageing in Europe.” </w:t>
      </w:r>
      <w:r w:rsidRPr="00C3671E">
        <w:rPr>
          <w:i/>
          <w:iCs/>
          <w:noProof/>
          <w:lang w:val="en-GB"/>
        </w:rPr>
        <w:t>European Journal of Ageing</w:t>
      </w:r>
      <w:r w:rsidRPr="00C3671E">
        <w:rPr>
          <w:noProof/>
          <w:lang w:val="en-GB"/>
        </w:rPr>
        <w:t xml:space="preserve"> 10(1):3–10.</w:t>
      </w:r>
    </w:p>
    <w:p w14:paraId="0DF91D91"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Foster, Liam and Alan Walker. 2015. “Active and Successful Aging: A European Policy Perspective.” </w:t>
      </w:r>
      <w:r w:rsidRPr="00C3671E">
        <w:rPr>
          <w:i/>
          <w:iCs/>
          <w:noProof/>
          <w:lang w:val="en-GB"/>
        </w:rPr>
        <w:t>The Gerontologist</w:t>
      </w:r>
      <w:r w:rsidRPr="00C3671E">
        <w:rPr>
          <w:noProof/>
          <w:lang w:val="en-GB"/>
        </w:rPr>
        <w:t xml:space="preserve"> 55(1):83–90. Retrieved (http://www.ncbi.nlm.nih.gov/pubmed/24846882).</w:t>
      </w:r>
    </w:p>
    <w:p w14:paraId="28EFFEF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Foucault, Michel. 1979. </w:t>
      </w:r>
      <w:r w:rsidRPr="00C3671E">
        <w:rPr>
          <w:i/>
          <w:iCs/>
          <w:noProof/>
          <w:lang w:val="en-GB"/>
        </w:rPr>
        <w:t>Discipline and Punish : The Birth of the Prison</w:t>
      </w:r>
      <w:r w:rsidRPr="00C3671E">
        <w:rPr>
          <w:noProof/>
          <w:lang w:val="en-GB"/>
        </w:rPr>
        <w:t>. New York: Vintage Books.</w:t>
      </w:r>
    </w:p>
    <w:p w14:paraId="1A145764"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Francoeur, Richard B. 2011. “Interpreting Interactions of Ordinal or Continuous Variables in Moderated Regression Using the Zero Slope Comparison: Tutorial, New Extensions, and Cancer Symptom Applications.” </w:t>
      </w:r>
      <w:r w:rsidRPr="00C3671E">
        <w:rPr>
          <w:i/>
          <w:iCs/>
          <w:noProof/>
          <w:lang w:val="en-GB"/>
        </w:rPr>
        <w:t>International Journal of Society Systems Science</w:t>
      </w:r>
      <w:r w:rsidRPr="00C3671E">
        <w:rPr>
          <w:noProof/>
          <w:lang w:val="en-GB"/>
        </w:rPr>
        <w:t xml:space="preserve"> 3(1–2):137–58.</w:t>
      </w:r>
    </w:p>
    <w:p w14:paraId="19696A20"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Frisina, Annalisa. 2004. “Welfare, Church and Gender in Italy.” in </w:t>
      </w:r>
      <w:r w:rsidRPr="00C3671E">
        <w:rPr>
          <w:i/>
          <w:iCs/>
          <w:noProof/>
          <w:lang w:val="en-GB"/>
        </w:rPr>
        <w:t>Welfare, Church and Gender in Eight European Countries</w:t>
      </w:r>
      <w:r w:rsidRPr="00C3671E">
        <w:rPr>
          <w:noProof/>
          <w:lang w:val="en-GB"/>
        </w:rPr>
        <w:t>, edited by N. E. Beckman. Uppsala: SLU Repro.</w:t>
      </w:r>
    </w:p>
    <w:p w14:paraId="7C191C7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Fromm, Erich. 1965. </w:t>
      </w:r>
      <w:r w:rsidRPr="00C3671E">
        <w:rPr>
          <w:i/>
          <w:iCs/>
          <w:noProof/>
          <w:lang w:val="en-GB"/>
        </w:rPr>
        <w:t>Escape from Freedom</w:t>
      </w:r>
      <w:r w:rsidRPr="00C3671E">
        <w:rPr>
          <w:noProof/>
          <w:lang w:val="en-GB"/>
        </w:rPr>
        <w:t>. New York: Avon Books.</w:t>
      </w:r>
    </w:p>
    <w:p w14:paraId="6A6544E9"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Galenkamp, Henrike et al. 2016. “Predictors of Social Leisure Activities in Older Europeans with and without Multimorbidity.” </w:t>
      </w:r>
      <w:r w:rsidRPr="00C3671E">
        <w:rPr>
          <w:i/>
          <w:iCs/>
          <w:noProof/>
          <w:lang w:val="en-GB"/>
        </w:rPr>
        <w:t>European Journal of Ageing</w:t>
      </w:r>
      <w:r w:rsidRPr="00C3671E">
        <w:rPr>
          <w:noProof/>
          <w:lang w:val="en-GB"/>
        </w:rPr>
        <w:t xml:space="preserve"> 13(2):129–43.</w:t>
      </w:r>
    </w:p>
    <w:p w14:paraId="4A119674"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Galenkamp, Henrike and Dorly J. H. Deeg. 2016. “Increasing Social Participation of Older People: Are There Different Barriers for Those in Poor Health? Introduction to the Special Section.” </w:t>
      </w:r>
      <w:r w:rsidRPr="00C3671E">
        <w:rPr>
          <w:i/>
          <w:iCs/>
          <w:noProof/>
          <w:lang w:val="en-GB"/>
        </w:rPr>
        <w:t>European Journal of Ageing</w:t>
      </w:r>
      <w:r w:rsidRPr="00C3671E">
        <w:rPr>
          <w:noProof/>
          <w:lang w:val="en-GB"/>
        </w:rPr>
        <w:t xml:space="preserve"> 13(2):87–90.</w:t>
      </w:r>
    </w:p>
    <w:p w14:paraId="1FC5CAFE"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George, L. K. 1993. “Sociological-Perspectives on Life Transitions.” </w:t>
      </w:r>
      <w:r w:rsidRPr="00C3671E">
        <w:rPr>
          <w:i/>
          <w:iCs/>
          <w:noProof/>
          <w:lang w:val="en-GB"/>
        </w:rPr>
        <w:t>Annual Review of Sociology</w:t>
      </w:r>
      <w:r w:rsidRPr="00C3671E">
        <w:rPr>
          <w:noProof/>
          <w:lang w:val="en-GB"/>
        </w:rPr>
        <w:t xml:space="preserve"> 19:353–73.</w:t>
      </w:r>
    </w:p>
    <w:p w14:paraId="02092681"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George, Linda K. 2010. “Still Happy after All These Years: Research Frontiers on Subjective Well-Being in Later Life.” </w:t>
      </w:r>
      <w:r w:rsidRPr="00C3671E">
        <w:rPr>
          <w:i/>
          <w:iCs/>
          <w:noProof/>
          <w:lang w:val="en-GB"/>
        </w:rPr>
        <w:t>The Journals of Gerontology. Series B, Psychological Sciences and Social Sciences</w:t>
      </w:r>
      <w:r w:rsidRPr="00C3671E">
        <w:rPr>
          <w:noProof/>
          <w:lang w:val="en-GB"/>
        </w:rPr>
        <w:t xml:space="preserve"> 65B(3):331–39.</w:t>
      </w:r>
    </w:p>
    <w:p w14:paraId="3416C721"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Gergen, Mary M. and Kenneth J. Gergen. 2006. “Positive Aging: Reconstructing the Life Course.” Pp. 416–26 in </w:t>
      </w:r>
      <w:r w:rsidRPr="00C3671E">
        <w:rPr>
          <w:i/>
          <w:iCs/>
          <w:noProof/>
          <w:lang w:val="en-GB"/>
        </w:rPr>
        <w:t>Handbook of girls’ and women’s psychological health: Gender and well-being across the life span</w:t>
      </w:r>
      <w:r w:rsidRPr="00C3671E">
        <w:rPr>
          <w:noProof/>
          <w:lang w:val="en-GB"/>
        </w:rPr>
        <w:t>, edited by J. Worell and C. D. Goodheart. Oxford: Oxford University Press.</w:t>
      </w:r>
    </w:p>
    <w:p w14:paraId="68E21388"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Di Gessa, Giorgio and Emily Grundy. 2013. “The Relationship between Active Ageing and Health Using Longitudinal Data from Denmark, France, Italy and England.” </w:t>
      </w:r>
      <w:r w:rsidRPr="00C3671E">
        <w:rPr>
          <w:i/>
          <w:iCs/>
          <w:noProof/>
          <w:lang w:val="en-GB"/>
        </w:rPr>
        <w:t>Journal of Epidemiology and Community Health</w:t>
      </w:r>
      <w:r w:rsidRPr="00C3671E">
        <w:rPr>
          <w:noProof/>
          <w:lang w:val="en-GB"/>
        </w:rPr>
        <w:t xml:space="preserve"> 68(3):261–67. Retrieved (http://jech.bmj.com/content/68/3/261.full.pdf).</w:t>
      </w:r>
    </w:p>
    <w:p w14:paraId="4414316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lastRenderedPageBreak/>
        <w:t xml:space="preserve">Giddens, Anthony. 1997. </w:t>
      </w:r>
      <w:r w:rsidRPr="00C3671E">
        <w:rPr>
          <w:i/>
          <w:iCs/>
          <w:noProof/>
          <w:lang w:val="en-GB"/>
        </w:rPr>
        <w:t>The Transformation of Intimacy: Sexuality, Love and Eroticism in Modern Societies</w:t>
      </w:r>
      <w:r w:rsidRPr="00C3671E">
        <w:rPr>
          <w:noProof/>
          <w:lang w:val="en-GB"/>
        </w:rPr>
        <w:t>. Cambridge: Polity Press.</w:t>
      </w:r>
    </w:p>
    <w:p w14:paraId="55B7426F"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Giddens, Anthony. 2003. </w:t>
      </w:r>
      <w:r w:rsidRPr="00C3671E">
        <w:rPr>
          <w:i/>
          <w:iCs/>
          <w:noProof/>
          <w:lang w:val="en-GB"/>
        </w:rPr>
        <w:t>Důsledky Modernity</w:t>
      </w:r>
      <w:r w:rsidRPr="00C3671E">
        <w:rPr>
          <w:noProof/>
          <w:lang w:val="en-GB"/>
        </w:rPr>
        <w:t>. Praha: Sociologické nakladatelství.</w:t>
      </w:r>
    </w:p>
    <w:p w14:paraId="727C8140"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Gierveld, Jenny De Jong and Clemens Tesch-Römer. 2012. “Loneliness in Old Age in Eastern and Western European Societies: Theoretical Perspectives.” </w:t>
      </w:r>
      <w:r w:rsidRPr="00C3671E">
        <w:rPr>
          <w:i/>
          <w:iCs/>
          <w:noProof/>
          <w:lang w:val="en-GB"/>
        </w:rPr>
        <w:t>European Journal of Ageing</w:t>
      </w:r>
      <w:r w:rsidRPr="00C3671E">
        <w:rPr>
          <w:noProof/>
          <w:lang w:val="en-GB"/>
        </w:rPr>
        <w:t xml:space="preserve"> 9(1):285–95.</w:t>
      </w:r>
    </w:p>
    <w:p w14:paraId="2D7767CA"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Gjonça, Edlira, Mai Stafford, Paola Zaninotto, James Nazroo, and Natasha Wood. 2010. “Health and Social Engagement among the Oldest Old.” Pp. 227–53 in </w:t>
      </w:r>
      <w:r w:rsidRPr="00C3671E">
        <w:rPr>
          <w:i/>
          <w:iCs/>
          <w:noProof/>
          <w:lang w:val="en-GB"/>
        </w:rPr>
        <w:t>Financial Circumstances, Health and Well-Being of the Older Population in England: The 2008 English Longitudinal Study of Ageing (Wave 4)</w:t>
      </w:r>
      <w:r w:rsidRPr="00C3671E">
        <w:rPr>
          <w:noProof/>
          <w:lang w:val="en-GB"/>
        </w:rPr>
        <w:t>, edited by J. Banks et al. London: The Institute for Fiscal Studies. Retrieved (http://www.ifs.org.uk/elsa/report10/elsa_w4-1.pdf#page=243).</w:t>
      </w:r>
    </w:p>
    <w:p w14:paraId="58D58DD1"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Goode, William J. 1960. “A Theory of Role Strain.” </w:t>
      </w:r>
      <w:r w:rsidRPr="00C3671E">
        <w:rPr>
          <w:i/>
          <w:iCs/>
          <w:noProof/>
          <w:lang w:val="en-GB"/>
        </w:rPr>
        <w:t>American Sociological Review</w:t>
      </w:r>
      <w:r w:rsidRPr="00C3671E">
        <w:rPr>
          <w:noProof/>
          <w:lang w:val="en-GB"/>
        </w:rPr>
        <w:t xml:space="preserve"> 25(4):483–96.</w:t>
      </w:r>
    </w:p>
    <w:p w14:paraId="13AE782D"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Gorry, Aspen, Devon Gorry, and Sita Slavov. 2015. </w:t>
      </w:r>
      <w:r w:rsidRPr="00C3671E">
        <w:rPr>
          <w:i/>
          <w:iCs/>
          <w:noProof/>
          <w:lang w:val="en-GB"/>
        </w:rPr>
        <w:t>Does Retirement Improve Health and Life Satisfaction?</w:t>
      </w:r>
      <w:r w:rsidRPr="00C3671E">
        <w:rPr>
          <w:noProof/>
          <w:lang w:val="en-GB"/>
        </w:rPr>
        <w:t xml:space="preserve"> Cambridge: National Bureau of Economic Research. Retrieved (http://www.nber.org/papers/w21356).</w:t>
      </w:r>
    </w:p>
    <w:p w14:paraId="2745036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Grundy, Emily. 2008. “The Challenges of Ageing: Prospects for the Family Support of Older People in 21st Century Europe.” Pp. 223–48 in </w:t>
      </w:r>
      <w:r w:rsidRPr="00C3671E">
        <w:rPr>
          <w:i/>
          <w:iCs/>
          <w:noProof/>
          <w:lang w:val="en-GB"/>
        </w:rPr>
        <w:t>Demographic Challenges for the 21st Century: A State of the Art in Demography</w:t>
      </w:r>
      <w:r w:rsidRPr="00C3671E">
        <w:rPr>
          <w:noProof/>
          <w:lang w:val="en-GB"/>
        </w:rPr>
        <w:t>, edited by J. Surkyn, P. Deboosere, and J. Van Bavel. Brussels: VUBPRESS.</w:t>
      </w:r>
    </w:p>
    <w:p w14:paraId="1D9F8073"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Guo, Shenyang and Mark W. Fraser. 2010. </w:t>
      </w:r>
      <w:r w:rsidRPr="00C3671E">
        <w:rPr>
          <w:i/>
          <w:iCs/>
          <w:noProof/>
          <w:lang w:val="en-GB"/>
        </w:rPr>
        <w:t>Propensity Score Analysis</w:t>
      </w:r>
      <w:r w:rsidRPr="00C3671E">
        <w:rPr>
          <w:noProof/>
          <w:lang w:val="en-GB"/>
        </w:rPr>
        <w:t>. Los Angeles: SAGE Publications.</w:t>
      </w:r>
    </w:p>
    <w:p w14:paraId="0B0F77F3"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Habermas, Jürgen. 1987. </w:t>
      </w:r>
      <w:r w:rsidRPr="00C3671E">
        <w:rPr>
          <w:i/>
          <w:iCs/>
          <w:noProof/>
          <w:lang w:val="en-GB"/>
        </w:rPr>
        <w:t>The Theory of Communicative Action. Vol. 2, Lifeworld and System: A Critique of Functionalist Reason</w:t>
      </w:r>
      <w:r w:rsidRPr="00C3671E">
        <w:rPr>
          <w:noProof/>
          <w:lang w:val="en-GB"/>
        </w:rPr>
        <w:t>. Cambridge: Polity Press.</w:t>
      </w:r>
    </w:p>
    <w:p w14:paraId="6B795348"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Halpern-Manners, Andrew, John Robert Warren, James M. Raymo, and Adam D. Nicholson. 2015. “The Impact of Work and Family Life Histories on Economic Well-Being at Older Ages.” </w:t>
      </w:r>
      <w:r w:rsidRPr="00C3671E">
        <w:rPr>
          <w:i/>
          <w:iCs/>
          <w:noProof/>
          <w:lang w:val="en-GB"/>
        </w:rPr>
        <w:t>Social Forces</w:t>
      </w:r>
      <w:r w:rsidRPr="00C3671E">
        <w:rPr>
          <w:noProof/>
          <w:lang w:val="en-GB"/>
        </w:rPr>
        <w:t xml:space="preserve"> 93(4):1369–96.</w:t>
      </w:r>
    </w:p>
    <w:p w14:paraId="287CDF3A"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Hank, Karsten. 2011. “Societal Determinants of Productive Aging: A Multilevel Analysis across 11 European Countries.” </w:t>
      </w:r>
      <w:r w:rsidRPr="00C3671E">
        <w:rPr>
          <w:i/>
          <w:iCs/>
          <w:noProof/>
          <w:lang w:val="en-GB"/>
        </w:rPr>
        <w:t>European Sociological Review</w:t>
      </w:r>
      <w:r w:rsidRPr="00C3671E">
        <w:rPr>
          <w:noProof/>
          <w:lang w:val="en-GB"/>
        </w:rPr>
        <w:t xml:space="preserve"> 27(4):526–41.</w:t>
      </w:r>
    </w:p>
    <w:p w14:paraId="598C8777"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Hank, Karsten and Isabella Buber. 2009. “Grandparents Caring for Their Grandchildren.” </w:t>
      </w:r>
      <w:r w:rsidRPr="00C3671E">
        <w:rPr>
          <w:i/>
          <w:iCs/>
          <w:noProof/>
          <w:lang w:val="en-GB"/>
        </w:rPr>
        <w:t>Journal of Family Issues</w:t>
      </w:r>
      <w:r w:rsidRPr="00C3671E">
        <w:rPr>
          <w:noProof/>
          <w:lang w:val="en-GB"/>
        </w:rPr>
        <w:t xml:space="preserve"> 30(1):53–73. Retrieved (http://journals.sagepub.com/doi/10.1177/0192513X08322627).</w:t>
      </w:r>
    </w:p>
    <w:p w14:paraId="7F35C06F"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Hank, Karsten and Stephanie Stuck. 2007. </w:t>
      </w:r>
      <w:r w:rsidRPr="00C3671E">
        <w:rPr>
          <w:i/>
          <w:iCs/>
          <w:noProof/>
          <w:lang w:val="en-GB"/>
        </w:rPr>
        <w:t>Volunteer Work, Informal Help, and Care among the 50+ in Europe: Further Evidence for Linked Productive Activities at Older Ages</w:t>
      </w:r>
      <w:r w:rsidRPr="00C3671E">
        <w:rPr>
          <w:noProof/>
          <w:lang w:val="en-GB"/>
        </w:rPr>
        <w:t>. Berlin.</w:t>
      </w:r>
    </w:p>
    <w:p w14:paraId="4C246B38"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Harper, Sarah. 2014. “Introduction: Conceptualizing Social Policy for the Twenty-First-Century Demography.” Pp. 1–12 in </w:t>
      </w:r>
      <w:r w:rsidRPr="00C3671E">
        <w:rPr>
          <w:i/>
          <w:iCs/>
          <w:noProof/>
          <w:lang w:val="en-GB"/>
        </w:rPr>
        <w:t>International handbook on ageing and social policy</w:t>
      </w:r>
      <w:r w:rsidRPr="00C3671E">
        <w:rPr>
          <w:noProof/>
          <w:lang w:val="en-GB"/>
        </w:rPr>
        <w:t>, edited by S. Harper and K. Hamblin. Cheltenham: Edward Elgar.</w:t>
      </w:r>
    </w:p>
    <w:p w14:paraId="2C3217CA"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Hasmanová Marhánková, Jaroslava. 2013. </w:t>
      </w:r>
      <w:r w:rsidRPr="00C3671E">
        <w:rPr>
          <w:i/>
          <w:iCs/>
          <w:noProof/>
          <w:lang w:val="en-GB"/>
        </w:rPr>
        <w:t>Aktivita Jako Projekt: Diskurz Aktivního Stárnutí a Jeho Odezvy v Životech Českých Senior a Seniorek</w:t>
      </w:r>
      <w:r w:rsidRPr="00C3671E">
        <w:rPr>
          <w:noProof/>
          <w:lang w:val="en-GB"/>
        </w:rPr>
        <w:t>. Prague: Sociologické nakladatelství.</w:t>
      </w:r>
    </w:p>
    <w:p w14:paraId="18C76F0F"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Hasmanová Marhánková, Jaroslava. 2014. “Aktivní Stárnutí Jako Idea, Nástroj a Kapitál. Kde Hledat Kořeny Úspěchu Konceptu Aktivního Stárnutí?” </w:t>
      </w:r>
      <w:r w:rsidRPr="00C3671E">
        <w:rPr>
          <w:i/>
          <w:iCs/>
          <w:noProof/>
          <w:lang w:val="en-GB"/>
        </w:rPr>
        <w:t>Socialni Studia/Social Studies</w:t>
      </w:r>
      <w:r w:rsidRPr="00C3671E">
        <w:rPr>
          <w:noProof/>
          <w:lang w:val="en-GB"/>
        </w:rPr>
        <w:t xml:space="preserve"> 11(3):13–29.</w:t>
      </w:r>
    </w:p>
    <w:p w14:paraId="35FC61A6"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Hatch, Stephani L. 2005. “Conceptualizing and Identifying Cumulative Adversity and Protective Resources: Implications for Understanding Health Inequalities.” </w:t>
      </w:r>
      <w:r w:rsidRPr="00C3671E">
        <w:rPr>
          <w:i/>
          <w:iCs/>
          <w:noProof/>
          <w:lang w:val="en-GB"/>
        </w:rPr>
        <w:t>The Journals of Gerontology. Series B, Psychological Sciences and Social Sciences</w:t>
      </w:r>
      <w:r w:rsidRPr="00C3671E">
        <w:rPr>
          <w:noProof/>
          <w:lang w:val="en-GB"/>
        </w:rPr>
        <w:t xml:space="preserve"> 60 Spec No(August):130–34.</w:t>
      </w:r>
    </w:p>
    <w:p w14:paraId="2E3AF6E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Havighurst, Robert J. 1954. “Flexibility and the Social Roles of the Retired.” </w:t>
      </w:r>
      <w:r w:rsidRPr="00C3671E">
        <w:rPr>
          <w:i/>
          <w:iCs/>
          <w:noProof/>
          <w:lang w:val="en-GB"/>
        </w:rPr>
        <w:t>American Journal of Sociology</w:t>
      </w:r>
      <w:r w:rsidRPr="00C3671E">
        <w:rPr>
          <w:noProof/>
          <w:lang w:val="en-GB"/>
        </w:rPr>
        <w:t xml:space="preserve"> 59(4):309–11.</w:t>
      </w:r>
    </w:p>
    <w:p w14:paraId="271F7881"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lastRenderedPageBreak/>
        <w:t xml:space="preserve">Havighurst, Robert J. 1961. “Successful Aging.” </w:t>
      </w:r>
      <w:r w:rsidRPr="00C3671E">
        <w:rPr>
          <w:i/>
          <w:iCs/>
          <w:noProof/>
          <w:lang w:val="en-GB"/>
        </w:rPr>
        <w:t>The Gerontologist</w:t>
      </w:r>
      <w:r w:rsidRPr="00C3671E">
        <w:rPr>
          <w:noProof/>
          <w:lang w:val="en-GB"/>
        </w:rPr>
        <w:t xml:space="preserve"> 1(1):8–13.</w:t>
      </w:r>
    </w:p>
    <w:p w14:paraId="7D5EAC40"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Hecht, Laura M. 2001. “Role Conflict and Role Overload: Different Concepts, Different Consequences.” </w:t>
      </w:r>
      <w:r w:rsidRPr="00C3671E">
        <w:rPr>
          <w:i/>
          <w:iCs/>
          <w:noProof/>
          <w:lang w:val="en-GB"/>
        </w:rPr>
        <w:t>Sociological Inquiry</w:t>
      </w:r>
      <w:r w:rsidRPr="00C3671E">
        <w:rPr>
          <w:noProof/>
          <w:lang w:val="en-GB"/>
        </w:rPr>
        <w:t xml:space="preserve"> 71(1):111–21. Retrieved (http://doi.wiley.com/10.1111/j.1475-682X.2001.tb00930.x).</w:t>
      </w:r>
    </w:p>
    <w:p w14:paraId="340306B7"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Hess, Moritz, Elias Nauman, and Leander Steinkopf. 2017. “Population Ageing, the Intergenerational Conflict, and Active Ageing Policies – a Multilevel Study of 27 European Countries.” </w:t>
      </w:r>
      <w:r w:rsidRPr="00C3671E">
        <w:rPr>
          <w:i/>
          <w:iCs/>
          <w:noProof/>
          <w:lang w:val="en-GB"/>
        </w:rPr>
        <w:t>Journal of Population Ageing</w:t>
      </w:r>
      <w:r w:rsidRPr="00C3671E">
        <w:rPr>
          <w:noProof/>
          <w:lang w:val="en-GB"/>
        </w:rPr>
        <w:t xml:space="preserve"> 10(1):11–23. Retrieved (http://link.springer.com/10.1007/s12062-016-9161-3).</w:t>
      </w:r>
    </w:p>
    <w:p w14:paraId="732570DF"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Higgs, Paul, Martin Hyde, Richard Wiggins, and David Blane. 2003a. “Researching Quality of Life in Early Old Age: The Importance of the Sociological Dimension.” </w:t>
      </w:r>
      <w:r w:rsidRPr="00C3671E">
        <w:rPr>
          <w:i/>
          <w:iCs/>
          <w:noProof/>
          <w:lang w:val="en-GB"/>
        </w:rPr>
        <w:t>Social Policy &amp; Administration</w:t>
      </w:r>
      <w:r w:rsidRPr="00C3671E">
        <w:rPr>
          <w:noProof/>
          <w:lang w:val="en-GB"/>
        </w:rPr>
        <w:t xml:space="preserve"> 37(3):239–252.</w:t>
      </w:r>
    </w:p>
    <w:p w14:paraId="7E680568"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Higgs, Paul, Martin Hyde, Richard Wiggins, and David Blane. 2003b. “Researching Quality of Life in Early Old Age: The Importance of the Sociological Dimension.” </w:t>
      </w:r>
      <w:r w:rsidRPr="00C3671E">
        <w:rPr>
          <w:i/>
          <w:iCs/>
          <w:noProof/>
          <w:lang w:val="en-GB"/>
        </w:rPr>
        <w:t>Social Policy &amp; Administration</w:t>
      </w:r>
      <w:r w:rsidRPr="00C3671E">
        <w:rPr>
          <w:noProof/>
          <w:lang w:val="en-GB"/>
        </w:rPr>
        <w:t xml:space="preserve"> 37(3):239–252.</w:t>
      </w:r>
    </w:p>
    <w:p w14:paraId="77A46448"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Ho, Yuen Wan, Jin You, and Helene H. Fung. 2012. “The Moderating Role of Age in the Relationship between Volunteering Motives and Well-Being.” </w:t>
      </w:r>
      <w:r w:rsidRPr="00C3671E">
        <w:rPr>
          <w:i/>
          <w:iCs/>
          <w:noProof/>
          <w:lang w:val="en-GB"/>
        </w:rPr>
        <w:t>European Journal of Ageing</w:t>
      </w:r>
      <w:r w:rsidRPr="00C3671E">
        <w:rPr>
          <w:noProof/>
          <w:lang w:val="en-GB"/>
        </w:rPr>
        <w:t xml:space="preserve"> 9(4):319–27.</w:t>
      </w:r>
    </w:p>
    <w:p w14:paraId="78A827F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Hodge, Allison M., Dallas R. English, Graham G. Giles, and Leon Flicker. 2013. “Social Connectedness and Predictors of Successful Ageing.” </w:t>
      </w:r>
      <w:r w:rsidRPr="00C3671E">
        <w:rPr>
          <w:i/>
          <w:iCs/>
          <w:noProof/>
          <w:lang w:val="en-GB"/>
        </w:rPr>
        <w:t>Maturitas</w:t>
      </w:r>
      <w:r w:rsidRPr="00C3671E">
        <w:rPr>
          <w:noProof/>
          <w:lang w:val="en-GB"/>
        </w:rPr>
        <w:t xml:space="preserve"> 75(4):361–66. Retrieved (http://dx.doi.org/10.1016/j.maturitas.2013.05.002).</w:t>
      </w:r>
    </w:p>
    <w:p w14:paraId="6611709D"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Hofäcker, Dirk. 2015. “In Line or at Odds with Active Ageing Policies? Exploring Patterns of Retirement Preferences in Europe.” </w:t>
      </w:r>
      <w:r w:rsidRPr="00C3671E">
        <w:rPr>
          <w:i/>
          <w:iCs/>
          <w:noProof/>
          <w:lang w:val="en-GB"/>
        </w:rPr>
        <w:t>Ageing &amp; Society</w:t>
      </w:r>
      <w:r w:rsidRPr="00C3671E">
        <w:rPr>
          <w:noProof/>
          <w:lang w:val="en-GB"/>
        </w:rPr>
        <w:t xml:space="preserve"> 35(07):1529–56. Retrieved (http://www.journals.cambridge.org/abstract_S0144686X1400035X).</w:t>
      </w:r>
    </w:p>
    <w:p w14:paraId="461A210F"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Hofäcker, Dirk and Elias Naumann. 2015. “The Emerging Trend of Work beyond Retirement Age in Germany.” </w:t>
      </w:r>
      <w:r w:rsidRPr="00C3671E">
        <w:rPr>
          <w:i/>
          <w:iCs/>
          <w:noProof/>
          <w:lang w:val="en-GB"/>
        </w:rPr>
        <w:t>Zeitschrift Für Gerontologie Und Geriatrie</w:t>
      </w:r>
      <w:r w:rsidRPr="00C3671E">
        <w:rPr>
          <w:noProof/>
          <w:lang w:val="en-GB"/>
        </w:rPr>
        <w:t xml:space="preserve"> 48(5):473–79. Retrieved (http://link.springer.com/10.1007/s00391-014-0669-y).</w:t>
      </w:r>
    </w:p>
    <w:p w14:paraId="7373171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Holstein, Martha B. and Meredith Minkler. 2003. “Self, Society, and the ‘“New Gerontology.”’” </w:t>
      </w:r>
      <w:r w:rsidRPr="00C3671E">
        <w:rPr>
          <w:i/>
          <w:iCs/>
          <w:noProof/>
          <w:lang w:val="en-GB"/>
        </w:rPr>
        <w:t>The Gerontologist</w:t>
      </w:r>
      <w:r w:rsidRPr="00C3671E">
        <w:rPr>
          <w:noProof/>
          <w:lang w:val="en-GB"/>
        </w:rPr>
        <w:t xml:space="preserve"> 43(6):787–96.</w:t>
      </w:r>
    </w:p>
    <w:p w14:paraId="214A852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Horner, Elizabeth Mokyr. 2014. “Subjective Well-Being and Retirement: Analysis and Policy Recommendations.” </w:t>
      </w:r>
      <w:r w:rsidRPr="00C3671E">
        <w:rPr>
          <w:i/>
          <w:iCs/>
          <w:noProof/>
          <w:lang w:val="en-GB"/>
        </w:rPr>
        <w:t>Journal of Happiness Studies</w:t>
      </w:r>
      <w:r w:rsidRPr="00C3671E">
        <w:rPr>
          <w:noProof/>
          <w:lang w:val="en-GB"/>
        </w:rPr>
        <w:t xml:space="preserve"> 15(1):125–44.</w:t>
      </w:r>
    </w:p>
    <w:p w14:paraId="42E23BD9"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Howard, Marc Morje. 2003. </w:t>
      </w:r>
      <w:r w:rsidRPr="00C3671E">
        <w:rPr>
          <w:i/>
          <w:iCs/>
          <w:noProof/>
          <w:lang w:val="en-GB"/>
        </w:rPr>
        <w:t>The Weakness of Civil Society in Post-Communist Europe</w:t>
      </w:r>
      <w:r w:rsidRPr="00C3671E">
        <w:rPr>
          <w:noProof/>
          <w:lang w:val="en-GB"/>
        </w:rPr>
        <w:t>. Cambridge: Cambridge University Press.</w:t>
      </w:r>
    </w:p>
    <w:p w14:paraId="7C1ECD25"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Hyde, Martin, R. D. Wiggins, P. Higgs, and D. B. Blane. 2003. “A Measure of Quality of Life in Early Old Age: The Theory, Development and Properties of a Needs Satisfaction Model (CASP-19).” </w:t>
      </w:r>
      <w:r w:rsidRPr="00C3671E">
        <w:rPr>
          <w:i/>
          <w:iCs/>
          <w:noProof/>
          <w:lang w:val="en-GB"/>
        </w:rPr>
        <w:t>Aging and Mental Health</w:t>
      </w:r>
      <w:r w:rsidRPr="00C3671E">
        <w:rPr>
          <w:noProof/>
          <w:lang w:val="en-GB"/>
        </w:rPr>
        <w:t xml:space="preserve"> 7(3):186–94.</w:t>
      </w:r>
    </w:p>
    <w:p w14:paraId="44B0F210"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Igel, Corinne, Martina Brandt, Klaus Haberkern, and Marc Szydlik. 2009. “Specialization between Family and State Intergenerational Time Transfers in Western Europe.” </w:t>
      </w:r>
      <w:r w:rsidRPr="00C3671E">
        <w:rPr>
          <w:i/>
          <w:iCs/>
          <w:noProof/>
          <w:lang w:val="en-GB"/>
        </w:rPr>
        <w:t>Journal of Comparative Family Studies</w:t>
      </w:r>
      <w:r w:rsidRPr="00C3671E">
        <w:rPr>
          <w:noProof/>
          <w:lang w:val="en-GB"/>
        </w:rPr>
        <w:t xml:space="preserve"> 40(2):203–24.</w:t>
      </w:r>
    </w:p>
    <w:p w14:paraId="53431FC3"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Igel, Corinne and Marc Szydlik. 2011. “Grandchild Care and Welfare State Arrangements in Europe.” </w:t>
      </w:r>
      <w:r w:rsidRPr="00C3671E">
        <w:rPr>
          <w:i/>
          <w:iCs/>
          <w:noProof/>
          <w:lang w:val="en-GB"/>
        </w:rPr>
        <w:t>Journal of European Social Policy</w:t>
      </w:r>
      <w:r w:rsidRPr="00C3671E">
        <w:rPr>
          <w:noProof/>
          <w:lang w:val="en-GB"/>
        </w:rPr>
        <w:t xml:space="preserve"> 21(3):210–24. Retrieved (http://journals.sagepub.com/doi/10.1177/0958928711401766).</w:t>
      </w:r>
    </w:p>
    <w:p w14:paraId="51264E69"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Inglehart, Ronald. 1971. “The Silent Revolution in Europe: Intergenerational Change in Post-Industrial Societies.” </w:t>
      </w:r>
      <w:r w:rsidRPr="00C3671E">
        <w:rPr>
          <w:i/>
          <w:iCs/>
          <w:noProof/>
          <w:lang w:val="en-GB"/>
        </w:rPr>
        <w:t>American Political Science Review</w:t>
      </w:r>
      <w:r w:rsidRPr="00C3671E">
        <w:rPr>
          <w:noProof/>
          <w:lang w:val="en-GB"/>
        </w:rPr>
        <w:t xml:space="preserve"> 65(04):991–1017.</w:t>
      </w:r>
    </w:p>
    <w:p w14:paraId="459AF26D"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Inglehart, Ronald. 1977. </w:t>
      </w:r>
      <w:r w:rsidRPr="00C3671E">
        <w:rPr>
          <w:i/>
          <w:iCs/>
          <w:noProof/>
          <w:lang w:val="en-GB"/>
        </w:rPr>
        <w:t>The Silent Revolution: Changing Values and Political Styles Among Western Publics</w:t>
      </w:r>
      <w:r w:rsidRPr="00C3671E">
        <w:rPr>
          <w:noProof/>
          <w:lang w:val="en-GB"/>
        </w:rPr>
        <w:t>. Princeton: Princeton University Press.</w:t>
      </w:r>
    </w:p>
    <w:p w14:paraId="64532918"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Inglehart, Ronald. 1981. “Post-Materialism in an Environment of Insecurity.” </w:t>
      </w:r>
      <w:r w:rsidRPr="00C3671E">
        <w:rPr>
          <w:i/>
          <w:iCs/>
          <w:noProof/>
          <w:lang w:val="en-GB"/>
        </w:rPr>
        <w:t>The American Political Science Review</w:t>
      </w:r>
      <w:r w:rsidRPr="00C3671E">
        <w:rPr>
          <w:noProof/>
          <w:lang w:val="en-GB"/>
        </w:rPr>
        <w:t xml:space="preserve"> 75(4):880–900. Retrieved (http://www.jstor.org/stable/1962290%5Cnhttp://www.jstor.org/page/info/about/policies/terms.jsp).</w:t>
      </w:r>
    </w:p>
    <w:p w14:paraId="655C7454"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Inglehart, Ronald. 1985. “Aggregate Stability and Individual Level Flux in Mass Belief </w:t>
      </w:r>
      <w:r w:rsidRPr="00C3671E">
        <w:rPr>
          <w:noProof/>
          <w:lang w:val="en-GB"/>
        </w:rPr>
        <w:lastRenderedPageBreak/>
        <w:t xml:space="preserve">Systems: The Level of Analysis Paradox.” </w:t>
      </w:r>
      <w:r w:rsidRPr="00C3671E">
        <w:rPr>
          <w:i/>
          <w:iCs/>
          <w:noProof/>
          <w:lang w:val="en-GB"/>
        </w:rPr>
        <w:t>American Political Science Review</w:t>
      </w:r>
      <w:r w:rsidRPr="00C3671E">
        <w:rPr>
          <w:noProof/>
          <w:lang w:val="en-GB"/>
        </w:rPr>
        <w:t xml:space="preserve"> 79(1):97–116.</w:t>
      </w:r>
    </w:p>
    <w:p w14:paraId="26E7A8F6"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Inglehart, Ronald. 1990. </w:t>
      </w:r>
      <w:r w:rsidRPr="00C3671E">
        <w:rPr>
          <w:i/>
          <w:iCs/>
          <w:noProof/>
          <w:lang w:val="en-GB"/>
        </w:rPr>
        <w:t>Culture Shift in Advanced Industrial Society</w:t>
      </w:r>
      <w:r w:rsidRPr="00C3671E">
        <w:rPr>
          <w:noProof/>
          <w:lang w:val="en-GB"/>
        </w:rPr>
        <w:t>. Princeton: Princeton University Press.</w:t>
      </w:r>
    </w:p>
    <w:p w14:paraId="2049B52B"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Inglehart, Ronald. 1997. </w:t>
      </w:r>
      <w:r w:rsidRPr="00C3671E">
        <w:rPr>
          <w:i/>
          <w:iCs/>
          <w:noProof/>
          <w:lang w:val="en-GB"/>
        </w:rPr>
        <w:t>Modernization and Postmodernization: Cultural, Economic, and Political Change in 43 Societies</w:t>
      </w:r>
      <w:r w:rsidRPr="00C3671E">
        <w:rPr>
          <w:noProof/>
          <w:lang w:val="en-GB"/>
        </w:rPr>
        <w:t>. Princeton: Princeton University Press.</w:t>
      </w:r>
    </w:p>
    <w:p w14:paraId="46B7F741"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Inglehart, Ronald F. 2008. “Changing Values among Western Publics from 1970 to 2006.” </w:t>
      </w:r>
      <w:r w:rsidRPr="00C3671E">
        <w:rPr>
          <w:i/>
          <w:iCs/>
          <w:noProof/>
          <w:lang w:val="en-GB"/>
        </w:rPr>
        <w:t>West European Politics</w:t>
      </w:r>
      <w:r w:rsidRPr="00C3671E">
        <w:rPr>
          <w:noProof/>
          <w:lang w:val="en-GB"/>
        </w:rPr>
        <w:t xml:space="preserve"> 31(1–2):130–46.</w:t>
      </w:r>
    </w:p>
    <w:p w14:paraId="1A956124"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Inglehart, Ronald F. 2010. “Faith and Freedom: Traditional and Modern Ways.” Pp. 351–97 in </w:t>
      </w:r>
      <w:r w:rsidRPr="00C3671E">
        <w:rPr>
          <w:i/>
          <w:iCs/>
          <w:noProof/>
          <w:lang w:val="en-GB"/>
        </w:rPr>
        <w:t>International Differences in Well-Being</w:t>
      </w:r>
      <w:r w:rsidRPr="00C3671E">
        <w:rPr>
          <w:noProof/>
          <w:lang w:val="en-GB"/>
        </w:rPr>
        <w:t>, edited by E. Diener, J. F. Helliwell, and D. Kahneman. New York: Oxford University Press.</w:t>
      </w:r>
    </w:p>
    <w:p w14:paraId="6FBC6476"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Inglehart, Ronald and Pipa Norris. 2003. </w:t>
      </w:r>
      <w:r w:rsidRPr="00C3671E">
        <w:rPr>
          <w:i/>
          <w:iCs/>
          <w:noProof/>
          <w:lang w:val="en-GB"/>
        </w:rPr>
        <w:t>Rising Tide: Gender Equality and Cultural Change around the World</w:t>
      </w:r>
      <w:r w:rsidRPr="00C3671E">
        <w:rPr>
          <w:noProof/>
          <w:lang w:val="en-GB"/>
        </w:rPr>
        <w:t>. Cambridge: Cambridge University Press.</w:t>
      </w:r>
    </w:p>
    <w:p w14:paraId="29670086"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International Labour Office. 2012. </w:t>
      </w:r>
      <w:r w:rsidRPr="00C3671E">
        <w:rPr>
          <w:i/>
          <w:iCs/>
          <w:noProof/>
          <w:lang w:val="en-GB"/>
        </w:rPr>
        <w:t>International Standard Classification of Occupations</w:t>
      </w:r>
      <w:r w:rsidRPr="00C3671E">
        <w:rPr>
          <w:noProof/>
          <w:lang w:val="en-GB"/>
        </w:rPr>
        <w:t>. Geneva: International Labour Office.</w:t>
      </w:r>
    </w:p>
    <w:p w14:paraId="6F8BDFAE"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Ippel, Lianne, John P. T. M. Gelissen, and Guy B. D. Moors. 2014. “Investigating Longitudinal and Cross Cultural Measurement Invariance of Inglehart’s Short Post-Materialism Scale.” </w:t>
      </w:r>
      <w:r w:rsidRPr="00C3671E">
        <w:rPr>
          <w:i/>
          <w:iCs/>
          <w:noProof/>
          <w:lang w:val="en-GB"/>
        </w:rPr>
        <w:t>Social Indicators Research</w:t>
      </w:r>
      <w:r w:rsidRPr="00C3671E">
        <w:rPr>
          <w:noProof/>
          <w:lang w:val="en-GB"/>
        </w:rPr>
        <w:t xml:space="preserve"> 115(3):919–32.</w:t>
      </w:r>
    </w:p>
    <w:p w14:paraId="64110F98"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Jang, Yuri, James A. Mortimer, William E. Haley, and Amy R. Borenstein Graves. 2004. “The Role of Social Engagement in Life Satisfaction: Its Significance among Older Individuals with Disease and Disability.” </w:t>
      </w:r>
      <w:r w:rsidRPr="00C3671E">
        <w:rPr>
          <w:i/>
          <w:iCs/>
          <w:noProof/>
          <w:lang w:val="en-GB"/>
        </w:rPr>
        <w:t>Journal of Applied Gerontology</w:t>
      </w:r>
      <w:r w:rsidRPr="00C3671E">
        <w:rPr>
          <w:noProof/>
          <w:lang w:val="en-GB"/>
        </w:rPr>
        <w:t xml:space="preserve"> 23(3):266–78. Retrieved (http://journals.sagepub.com/doi/10.1177/0733464804267579).</w:t>
      </w:r>
    </w:p>
    <w:p w14:paraId="7D901DF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Jansen, Daphne L. et al. 2010. “Pre-Dialysis Patients’ Perceived Autonomy, Self-Esteem and Labor Participation: Associations with Illness Perceptions and Treatment Perceptions. A Cross-Sectional Study.” </w:t>
      </w:r>
      <w:r w:rsidRPr="00C3671E">
        <w:rPr>
          <w:i/>
          <w:iCs/>
          <w:noProof/>
          <w:lang w:val="en-GB"/>
        </w:rPr>
        <w:t>BMC Nephrology</w:t>
      </w:r>
      <w:r w:rsidRPr="00C3671E">
        <w:rPr>
          <w:noProof/>
          <w:lang w:val="en-GB"/>
        </w:rPr>
        <w:t xml:space="preserve"> 11(1):35. Retrieved (http://www.ncbi.nlm.nih.gov/pmc/articles/PMC3019121/%5Cnhttp://www.ncbi.nlm.nih.gov/pmc/articles/PMC3019121/pdf/1471-2369-11-35.pdf).</w:t>
      </w:r>
    </w:p>
    <w:p w14:paraId="1CD9C40D"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Johnson, J. D., C. J. Whitlatch, and H. L. Menne. 2014. “Activity and Well-Being of Older Adults: Does Cognitive Impairment Play a Role?” </w:t>
      </w:r>
      <w:r w:rsidRPr="00C3671E">
        <w:rPr>
          <w:i/>
          <w:iCs/>
          <w:noProof/>
          <w:lang w:val="en-GB"/>
        </w:rPr>
        <w:t>Research on Aging</w:t>
      </w:r>
      <w:r w:rsidRPr="00C3671E">
        <w:rPr>
          <w:noProof/>
          <w:lang w:val="en-GB"/>
        </w:rPr>
        <w:t xml:space="preserve"> 36(2):147–60. Retrieved (http://roa.sagepub.com/cgi/doi/10.1177/0164027512470703).</w:t>
      </w:r>
    </w:p>
    <w:p w14:paraId="6942F95E"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Johnson, Richard W. 2009. “Employment Opportunities at Older Ages: Introduction to the Special Issue.” </w:t>
      </w:r>
      <w:r w:rsidRPr="00C3671E">
        <w:rPr>
          <w:i/>
          <w:iCs/>
          <w:noProof/>
          <w:lang w:val="en-GB"/>
        </w:rPr>
        <w:t>Research on Aging</w:t>
      </w:r>
      <w:r w:rsidRPr="00C3671E">
        <w:rPr>
          <w:noProof/>
          <w:lang w:val="en-GB"/>
        </w:rPr>
        <w:t xml:space="preserve"> 31(1):3–16.</w:t>
      </w:r>
    </w:p>
    <w:p w14:paraId="49657266"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De Jong Gierveld, Jenny and Pearl A. Dykstra. 2008. “Virtue Is Its Own Reward? Support-Giving in the Family and Loneliness in Middle and Old Age.” </w:t>
      </w:r>
      <w:r w:rsidRPr="00C3671E">
        <w:rPr>
          <w:i/>
          <w:iCs/>
          <w:noProof/>
          <w:lang w:val="en-GB"/>
        </w:rPr>
        <w:t>Ageing and Society</w:t>
      </w:r>
      <w:r w:rsidRPr="00C3671E">
        <w:rPr>
          <w:noProof/>
          <w:lang w:val="en-GB"/>
        </w:rPr>
        <w:t xml:space="preserve"> 28(02):271–87.</w:t>
      </w:r>
    </w:p>
    <w:p w14:paraId="53E2986F"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van de Kaa, Dirk J. 1997. “Options and Sequences: Europe’s Demographic Patterns.” </w:t>
      </w:r>
      <w:r w:rsidRPr="00C3671E">
        <w:rPr>
          <w:i/>
          <w:iCs/>
          <w:noProof/>
          <w:lang w:val="en-GB"/>
        </w:rPr>
        <w:t>Journal of the Australian Population Association</w:t>
      </w:r>
      <w:r w:rsidRPr="00C3671E">
        <w:rPr>
          <w:noProof/>
          <w:lang w:val="en-GB"/>
        </w:rPr>
        <w:t xml:space="preserve"> 14(1):1–29.</w:t>
      </w:r>
    </w:p>
    <w:p w14:paraId="36FEAAF3"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van de Kaa, Dirk J. 2001. “Postmodern Fertility Preferences: From Changing Value Orientation to New Behaviour.” </w:t>
      </w:r>
      <w:r w:rsidRPr="00C3671E">
        <w:rPr>
          <w:i/>
          <w:iCs/>
          <w:noProof/>
          <w:lang w:val="en-GB"/>
        </w:rPr>
        <w:t>Demography</w:t>
      </w:r>
      <w:r w:rsidRPr="00C3671E">
        <w:rPr>
          <w:noProof/>
          <w:lang w:val="en-GB"/>
        </w:rPr>
        <w:t xml:space="preserve"> 27(1):290–331.</w:t>
      </w:r>
    </w:p>
    <w:p w14:paraId="62F0F0D6"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Kalmijn, Matthijs. 2010. “Country Differences in the Effects of Divorce on Well-Being: The Role of Norms, Support, and Selectivity.” </w:t>
      </w:r>
      <w:r w:rsidRPr="00C3671E">
        <w:rPr>
          <w:i/>
          <w:iCs/>
          <w:noProof/>
          <w:lang w:val="en-GB"/>
        </w:rPr>
        <w:t>European Sociological Review</w:t>
      </w:r>
      <w:r w:rsidRPr="00C3671E">
        <w:rPr>
          <w:noProof/>
          <w:lang w:val="en-GB"/>
        </w:rPr>
        <w:t xml:space="preserve"> 26(4):475–90.</w:t>
      </w:r>
    </w:p>
    <w:p w14:paraId="5054234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Karpinska, Kasia and Pearl Dykstra. 2014. “The Active Ageing Index and Its Extension to the Regional Level.” Pp. 1–40 in </w:t>
      </w:r>
      <w:r w:rsidRPr="00C3671E">
        <w:rPr>
          <w:i/>
          <w:iCs/>
          <w:noProof/>
          <w:lang w:val="en-GB"/>
        </w:rPr>
        <w:t>Peer Review on the Active Ageing Index</w:t>
      </w:r>
      <w:r w:rsidRPr="00C3671E">
        <w:rPr>
          <w:noProof/>
          <w:lang w:val="en-GB"/>
        </w:rPr>
        <w:t>. Cracow.</w:t>
      </w:r>
    </w:p>
    <w:p w14:paraId="46DB077B"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Katz, Ruth. 2009. “Intergenerational Family Relations and Subjective Well-Being in Old Age: A Cross-National Study.” </w:t>
      </w:r>
      <w:r w:rsidRPr="00C3671E">
        <w:rPr>
          <w:i/>
          <w:iCs/>
          <w:noProof/>
          <w:lang w:val="en-GB"/>
        </w:rPr>
        <w:t>European Journal of Ageing</w:t>
      </w:r>
      <w:r w:rsidRPr="00C3671E">
        <w:rPr>
          <w:noProof/>
          <w:lang w:val="en-GB"/>
        </w:rPr>
        <w:t xml:space="preserve"> 6(2):79–90.</w:t>
      </w:r>
    </w:p>
    <w:p w14:paraId="5BBAD099"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van Kessel, Gisela. 2013. “The Ability of Older People to Overcome Adversity: A Review of the Resilience Concept.” </w:t>
      </w:r>
      <w:r w:rsidRPr="00C3671E">
        <w:rPr>
          <w:i/>
          <w:iCs/>
          <w:noProof/>
          <w:lang w:val="en-GB"/>
        </w:rPr>
        <w:t>Geriatric Nursing</w:t>
      </w:r>
      <w:r w:rsidRPr="00C3671E">
        <w:rPr>
          <w:noProof/>
          <w:lang w:val="en-GB"/>
        </w:rPr>
        <w:t xml:space="preserve"> 34(2):122–27. Retrieved (http://dx.doi.org/10.1016/j.gerinurse.2012.12.011).</w:t>
      </w:r>
    </w:p>
    <w:p w14:paraId="28E17266"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Kim, Jungmeen E. and Phyllis Moen. 2001. “Is Retirement Good or Bad for Subjective Well-Being?” </w:t>
      </w:r>
      <w:r w:rsidRPr="00C3671E">
        <w:rPr>
          <w:i/>
          <w:iCs/>
          <w:noProof/>
          <w:lang w:val="en-GB"/>
        </w:rPr>
        <w:t>Current Directions in Psychological Science</w:t>
      </w:r>
      <w:r w:rsidRPr="00C3671E">
        <w:rPr>
          <w:noProof/>
          <w:lang w:val="en-GB"/>
        </w:rPr>
        <w:t xml:space="preserve"> 10(3):83–86. Retrieved </w:t>
      </w:r>
      <w:r w:rsidRPr="00C3671E">
        <w:rPr>
          <w:noProof/>
          <w:lang w:val="en-GB"/>
        </w:rPr>
        <w:lastRenderedPageBreak/>
        <w:t>(http://www.jstor.org/stable/20182705).</w:t>
      </w:r>
    </w:p>
    <w:p w14:paraId="6BEE6D59"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Kim, Jungmeen E. and Phyllis Moen. 2002. “Retirement Transitions, Gender, and Psychological Well-Being: A Life-Course , Ecological Model.” </w:t>
      </w:r>
      <w:r w:rsidRPr="00C3671E">
        <w:rPr>
          <w:i/>
          <w:iCs/>
          <w:noProof/>
          <w:lang w:val="en-GB"/>
        </w:rPr>
        <w:t>Journal of Gerontology: Psychological Series</w:t>
      </w:r>
      <w:r w:rsidRPr="00C3671E">
        <w:rPr>
          <w:noProof/>
          <w:lang w:val="en-GB"/>
        </w:rPr>
        <w:t xml:space="preserve"> 57(3):212–22.</w:t>
      </w:r>
    </w:p>
    <w:p w14:paraId="34E5D54F"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Knutsen, Oddbjorn. 1990. “Materialist and Postmaterialist Values and Social Structure in the Nordic Countries: A Comparative Study.” </w:t>
      </w:r>
      <w:r w:rsidRPr="00C3671E">
        <w:rPr>
          <w:i/>
          <w:iCs/>
          <w:noProof/>
          <w:lang w:val="en-GB"/>
        </w:rPr>
        <w:t>Comparative Politics</w:t>
      </w:r>
      <w:r w:rsidRPr="00C3671E">
        <w:rPr>
          <w:noProof/>
          <w:lang w:val="en-GB"/>
        </w:rPr>
        <w:t xml:space="preserve"> 23(1):85–104.</w:t>
      </w:r>
    </w:p>
    <w:p w14:paraId="703519C7"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Kohli, Martin and Camila Arza. 2010. “The Political Economy of Pension Reform in Europe.” Pp. 251–64 in </w:t>
      </w:r>
      <w:r w:rsidRPr="00C3671E">
        <w:rPr>
          <w:i/>
          <w:iCs/>
          <w:noProof/>
          <w:lang w:val="en-GB"/>
        </w:rPr>
        <w:t>Handbook of Aging and the Social Sciences</w:t>
      </w:r>
      <w:r w:rsidRPr="00C3671E">
        <w:rPr>
          <w:noProof/>
          <w:lang w:val="en-GB"/>
        </w:rPr>
        <w:t>, edited by R. H. Binstock and L. K. George. London: Academic Press.</w:t>
      </w:r>
    </w:p>
    <w:p w14:paraId="402ADE94"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Krause, Neal. 2007. “Age and Decline in Role-Specific Feelings of Control.” </w:t>
      </w:r>
      <w:r w:rsidRPr="00C3671E">
        <w:rPr>
          <w:i/>
          <w:iCs/>
          <w:noProof/>
          <w:lang w:val="en-GB"/>
        </w:rPr>
        <w:t>The Journals of Gerontology. Series B, Psychological Sciences and Social Sciences</w:t>
      </w:r>
      <w:r w:rsidRPr="00C3671E">
        <w:rPr>
          <w:noProof/>
          <w:lang w:val="en-GB"/>
        </w:rPr>
        <w:t xml:space="preserve"> 62(1):S28–35.</w:t>
      </w:r>
    </w:p>
    <w:p w14:paraId="47A9B433"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Krause, Neal. 2009. “Meaning in Life and Mortality.” </w:t>
      </w:r>
      <w:r w:rsidRPr="00C3671E">
        <w:rPr>
          <w:i/>
          <w:iCs/>
          <w:noProof/>
          <w:lang w:val="en-GB"/>
        </w:rPr>
        <w:t>Journal of Gerontology: Social Sciences</w:t>
      </w:r>
      <w:r w:rsidRPr="00C3671E">
        <w:rPr>
          <w:noProof/>
          <w:lang w:val="en-GB"/>
        </w:rPr>
        <w:t xml:space="preserve"> 64B(4):517–27.</w:t>
      </w:r>
    </w:p>
    <w:p w14:paraId="5472D999"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Kubicek, Bettina, Christian Korunka, and James M. Raymo. 2010. “Work and Family Characteristics as Predictors of Early Retirement in Married Men and Women.” </w:t>
      </w:r>
      <w:r w:rsidRPr="00C3671E">
        <w:rPr>
          <w:i/>
          <w:iCs/>
          <w:noProof/>
          <w:lang w:val="en-GB"/>
        </w:rPr>
        <w:t>Research on Aging</w:t>
      </w:r>
      <w:r w:rsidRPr="00C3671E">
        <w:rPr>
          <w:noProof/>
          <w:lang w:val="en-GB"/>
        </w:rPr>
        <w:t xml:space="preserve"> 32(4):467–98.</w:t>
      </w:r>
    </w:p>
    <w:p w14:paraId="5512B0F3"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Lakomý, Martin and Martin Kreidl. 2015. “Full-Time versus Part-Time Employment: Does It Influence Frequency of Grandparental Childcare?” </w:t>
      </w:r>
      <w:r w:rsidRPr="00C3671E">
        <w:rPr>
          <w:i/>
          <w:iCs/>
          <w:noProof/>
          <w:lang w:val="en-GB"/>
        </w:rPr>
        <w:t>European Journal of Ageing</w:t>
      </w:r>
      <w:r w:rsidRPr="00C3671E">
        <w:rPr>
          <w:noProof/>
          <w:lang w:val="en-GB"/>
        </w:rPr>
        <w:t xml:space="preserve"> 12(4):321–31.</w:t>
      </w:r>
    </w:p>
    <w:p w14:paraId="491B4978"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Lakomý, Martin and Marcela Petrová Kafková. 2017. “Resilience as a Factor of Longevity and Gender Differences in Its Effects.” </w:t>
      </w:r>
      <w:r w:rsidRPr="00C3671E">
        <w:rPr>
          <w:i/>
          <w:iCs/>
          <w:noProof/>
          <w:lang w:val="en-GB"/>
        </w:rPr>
        <w:t>Sociologický Časopis/Czech Sociological Review</w:t>
      </w:r>
      <w:r w:rsidRPr="00C3671E">
        <w:rPr>
          <w:noProof/>
          <w:lang w:val="en-GB"/>
        </w:rPr>
        <w:t xml:space="preserve"> 53(3):369–92.</w:t>
      </w:r>
    </w:p>
    <w:p w14:paraId="36DE6FB7"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Lasch, Christopher. 1991. </w:t>
      </w:r>
      <w:r w:rsidRPr="00C3671E">
        <w:rPr>
          <w:i/>
          <w:iCs/>
          <w:noProof/>
          <w:lang w:val="en-GB"/>
        </w:rPr>
        <w:t>The Culture of Narcissism: American Life in an Age of Diminishing Expectations</w:t>
      </w:r>
      <w:r w:rsidRPr="00C3671E">
        <w:rPr>
          <w:noProof/>
          <w:lang w:val="en-GB"/>
        </w:rPr>
        <w:t>. New York: W. W. Norton &amp; Company.</w:t>
      </w:r>
    </w:p>
    <w:p w14:paraId="0E708145"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Laslett, Peter. 1991. </w:t>
      </w:r>
      <w:r w:rsidRPr="00C3671E">
        <w:rPr>
          <w:i/>
          <w:iCs/>
          <w:noProof/>
          <w:lang w:val="en-GB"/>
        </w:rPr>
        <w:t>A Fresh Map of Life: The Emergence of the Third Age</w:t>
      </w:r>
      <w:r w:rsidRPr="00C3671E">
        <w:rPr>
          <w:noProof/>
          <w:lang w:val="en-GB"/>
        </w:rPr>
        <w:t>. Cambridge: Harvard University Press.</w:t>
      </w:r>
    </w:p>
    <w:p w14:paraId="0D1BF9FA"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Latif, Ehsan. 2011. “The Impact of Retirement on Mental Health in Canada.” </w:t>
      </w:r>
      <w:r w:rsidRPr="00C3671E">
        <w:rPr>
          <w:i/>
          <w:iCs/>
          <w:noProof/>
          <w:lang w:val="en-GB"/>
        </w:rPr>
        <w:t>Journal of Mental Health Policy and Economics</w:t>
      </w:r>
      <w:r w:rsidRPr="00C3671E">
        <w:rPr>
          <w:noProof/>
          <w:lang w:val="en-GB"/>
        </w:rPr>
        <w:t xml:space="preserve"> 16(1):35–46. Retrieved (http://dx.doi.org/10.1016/j.socec.2010.12.011).</w:t>
      </w:r>
    </w:p>
    <w:p w14:paraId="0551B15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Leinonen, Anu. 2011. “Masters of Their Own Time? Working Carers’ Visions of Retirement.” </w:t>
      </w:r>
      <w:r w:rsidRPr="00C3671E">
        <w:rPr>
          <w:i/>
          <w:iCs/>
          <w:noProof/>
          <w:lang w:val="en-GB"/>
        </w:rPr>
        <w:t>European Journal of Ageing</w:t>
      </w:r>
      <w:r w:rsidRPr="00C3671E">
        <w:rPr>
          <w:noProof/>
          <w:lang w:val="en-GB"/>
        </w:rPr>
        <w:t xml:space="preserve"> 8(4):243–53.</w:t>
      </w:r>
    </w:p>
    <w:p w14:paraId="2A0DB91E"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Lemon, Bruce W., Vern L. Bengtson, and James A. Peterson. 1972. “An Exploration of the Activity Theory of Aging: Activity Types and Life Satisfaction among in-Movers to a Retirement Community.” </w:t>
      </w:r>
      <w:r w:rsidRPr="00C3671E">
        <w:rPr>
          <w:i/>
          <w:iCs/>
          <w:noProof/>
          <w:lang w:val="en-GB"/>
        </w:rPr>
        <w:t>Journal of Gerontology</w:t>
      </w:r>
      <w:r w:rsidRPr="00C3671E">
        <w:rPr>
          <w:noProof/>
          <w:lang w:val="en-GB"/>
        </w:rPr>
        <w:t xml:space="preserve"> 27(4):511–23.</w:t>
      </w:r>
    </w:p>
    <w:p w14:paraId="6B836B31"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Lesthaeghe, Ron. 2011. “The ‘Second Demographic Transition’: A Conceptual Map for the Understanding of Late Modern Demographic Developments in Fertility and Family Formation.” </w:t>
      </w:r>
      <w:r w:rsidRPr="00C3671E">
        <w:rPr>
          <w:i/>
          <w:iCs/>
          <w:noProof/>
          <w:lang w:val="en-GB"/>
        </w:rPr>
        <w:t>Historical Social Research</w:t>
      </w:r>
      <w:r w:rsidRPr="00C3671E">
        <w:rPr>
          <w:noProof/>
          <w:lang w:val="en-GB"/>
        </w:rPr>
        <w:t xml:space="preserve"> 36(2):179–218. Retrieved (http://www.jstor.org/stable/41151280%5Cnhttp://about.jstor.org/terms).</w:t>
      </w:r>
    </w:p>
    <w:p w14:paraId="2BB438F4"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Lesthaeghe, Ron J. 2010. “The Unfolding Story of the Second Demographic Transition.” </w:t>
      </w:r>
      <w:r w:rsidRPr="00C3671E">
        <w:rPr>
          <w:i/>
          <w:iCs/>
          <w:noProof/>
          <w:lang w:val="en-GB"/>
        </w:rPr>
        <w:t>Population and Development Review</w:t>
      </w:r>
      <w:r w:rsidRPr="00C3671E">
        <w:rPr>
          <w:noProof/>
          <w:lang w:val="en-GB"/>
        </w:rPr>
        <w:t xml:space="preserve"> 36(2):211–51.</w:t>
      </w:r>
    </w:p>
    <w:p w14:paraId="3BF9AFC0"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Lesthaeghe, Ron and Guy Moors. 2002. “Life Course Transitions and Value Orientations: Selection and Adaptation.” Pp. 1–44 in </w:t>
      </w:r>
      <w:r w:rsidRPr="00C3671E">
        <w:rPr>
          <w:i/>
          <w:iCs/>
          <w:noProof/>
          <w:lang w:val="en-GB"/>
        </w:rPr>
        <w:t>Meaning and choice: Value orientations and life course decisions</w:t>
      </w:r>
      <w:r w:rsidRPr="00C3671E">
        <w:rPr>
          <w:noProof/>
          <w:lang w:val="en-GB"/>
        </w:rPr>
        <w:t>, vol. 37, edited by R. Lesthaeghe. The Hague and Brussels: NIDI-CBGS publications.</w:t>
      </w:r>
    </w:p>
    <w:p w14:paraId="74D81AAF"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Levasseur, Melanie, Lucie Richard, Lise Gauvin, and Emilie Raymond. 2010. “Inventory and Analysis of Definitions of Social Participation Found in the Aging Literature: Proposed Taxonomy of Social Activities.” </w:t>
      </w:r>
      <w:r w:rsidRPr="00C3671E">
        <w:rPr>
          <w:i/>
          <w:iCs/>
          <w:noProof/>
          <w:lang w:val="en-GB"/>
        </w:rPr>
        <w:t>Social Science and Medicine</w:t>
      </w:r>
      <w:r w:rsidRPr="00C3671E">
        <w:rPr>
          <w:noProof/>
          <w:lang w:val="en-GB"/>
        </w:rPr>
        <w:t xml:space="preserve"> 71(12):2141–49. Retrieved (http://dx.doi.org/10.1016/j.socscimed.2010.09.041).</w:t>
      </w:r>
    </w:p>
    <w:p w14:paraId="2184A5C9"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Liang, Jiayin and Baozhen Luo. 2012. “Toward a Discourse Shift in Social Gerontology: From Successful Aging to Harmonious Aging.” </w:t>
      </w:r>
      <w:r w:rsidRPr="00C3671E">
        <w:rPr>
          <w:i/>
          <w:iCs/>
          <w:noProof/>
          <w:lang w:val="en-GB"/>
        </w:rPr>
        <w:t>Journal of Aging Studies</w:t>
      </w:r>
      <w:r w:rsidRPr="00C3671E">
        <w:rPr>
          <w:noProof/>
          <w:lang w:val="en-GB"/>
        </w:rPr>
        <w:t xml:space="preserve"> 26(3):327–34. </w:t>
      </w:r>
      <w:r w:rsidRPr="00C3671E">
        <w:rPr>
          <w:noProof/>
          <w:lang w:val="en-GB"/>
        </w:rPr>
        <w:lastRenderedPageBreak/>
        <w:t>Retrieved (http://dx.doi.org/10.1016/j.jaging.2012.03.001).</w:t>
      </w:r>
    </w:p>
    <w:p w14:paraId="78D8CD6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Litwin, Howard and Kimberly J. Stoeckel. 2013. “Social Network and Mobility Improvement among Older Europeans: The Ambiguous Role of Family Ties.” </w:t>
      </w:r>
      <w:r w:rsidRPr="00C3671E">
        <w:rPr>
          <w:i/>
          <w:iCs/>
          <w:noProof/>
          <w:lang w:val="en-GB"/>
        </w:rPr>
        <w:t>European Journal of Ageing</w:t>
      </w:r>
      <w:r w:rsidRPr="00C3671E">
        <w:rPr>
          <w:noProof/>
          <w:lang w:val="en-GB"/>
        </w:rPr>
        <w:t xml:space="preserve"> 10(3):159–69.</w:t>
      </w:r>
    </w:p>
    <w:p w14:paraId="304C1FBD"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Liu, Huiying and Wei Qun Lou. 2016. “Patterns of Productive Activity Engagement among Older Adults in Urban China.” </w:t>
      </w:r>
      <w:r w:rsidRPr="00C3671E">
        <w:rPr>
          <w:i/>
          <w:iCs/>
          <w:noProof/>
          <w:lang w:val="en-GB"/>
        </w:rPr>
        <w:t>European Journal of Ageing</w:t>
      </w:r>
      <w:r w:rsidRPr="00C3671E">
        <w:rPr>
          <w:noProof/>
          <w:lang w:val="en-GB"/>
        </w:rPr>
        <w:t xml:space="preserve"> 13(4):1–12.</w:t>
      </w:r>
    </w:p>
    <w:p w14:paraId="736A684E"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Lowenstein, Ariela. 2007. </w:t>
      </w:r>
      <w:r w:rsidRPr="00C3671E">
        <w:rPr>
          <w:i/>
          <w:iCs/>
          <w:noProof/>
          <w:lang w:val="en-GB"/>
        </w:rPr>
        <w:t>Intergenerational Solidarity: Strengthening Economic and Social Ties Background Paper</w:t>
      </w:r>
      <w:r w:rsidRPr="00C3671E">
        <w:rPr>
          <w:noProof/>
          <w:lang w:val="en-GB"/>
        </w:rPr>
        <w:t>. New York.</w:t>
      </w:r>
    </w:p>
    <w:p w14:paraId="54305F96"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Lowenstein, Ariela, Ruth Katz, and Nurit Gur-Yaish. 2008. “Cross-National v Ariations in Elder Care: Antecedents and Outcomes.” Pp. 93–114 in </w:t>
      </w:r>
      <w:r w:rsidRPr="00C3671E">
        <w:rPr>
          <w:i/>
          <w:iCs/>
          <w:noProof/>
          <w:lang w:val="en-GB"/>
        </w:rPr>
        <w:t>Caregiving Contexts: Cultural, Familial, and Societal Implications</w:t>
      </w:r>
      <w:r w:rsidRPr="00C3671E">
        <w:rPr>
          <w:noProof/>
          <w:lang w:val="en-GB"/>
        </w:rPr>
        <w:t>, edited by A. Davey and M. E. Szinovacz. New York: Springer Publishing Company.</w:t>
      </w:r>
    </w:p>
    <w:p w14:paraId="5ECFE305"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Luo, Ye, Tracey A. LaPierre, Mary Elizabeth Hughes, and Linda J. Waite. 2012. “Grandparents Providing Care to Grandchildren.” </w:t>
      </w:r>
      <w:r w:rsidRPr="00C3671E">
        <w:rPr>
          <w:i/>
          <w:iCs/>
          <w:noProof/>
          <w:lang w:val="en-GB"/>
        </w:rPr>
        <w:t>Journal of Family Issues</w:t>
      </w:r>
      <w:r w:rsidRPr="00C3671E">
        <w:rPr>
          <w:noProof/>
          <w:lang w:val="en-GB"/>
        </w:rPr>
        <w:t xml:space="preserve"> 33(9):1143–67. Retrieved (http://journals.sagepub.com/doi/10.1177/0192513X12438685).</w:t>
      </w:r>
    </w:p>
    <w:p w14:paraId="68451560"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Maier, Heiner and Petra L. Klumb. 2005. “Social Participation and Survival at Older Ages: Is the Effect Driven by Activity Content or Context?” </w:t>
      </w:r>
      <w:r w:rsidRPr="00C3671E">
        <w:rPr>
          <w:i/>
          <w:iCs/>
          <w:noProof/>
          <w:lang w:val="en-GB"/>
        </w:rPr>
        <w:t>European Journal of Ageing</w:t>
      </w:r>
      <w:r w:rsidRPr="00C3671E">
        <w:rPr>
          <w:noProof/>
          <w:lang w:val="en-GB"/>
        </w:rPr>
        <w:t xml:space="preserve"> 2(1):31–39.</w:t>
      </w:r>
    </w:p>
    <w:p w14:paraId="3D51E68E"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Maltby, Tony, Bert de Vroom, Maria Luisa Mirabile, and Eynar Øverbye. 2017. </w:t>
      </w:r>
      <w:r w:rsidRPr="00C3671E">
        <w:rPr>
          <w:i/>
          <w:iCs/>
          <w:noProof/>
          <w:lang w:val="en-GB"/>
        </w:rPr>
        <w:t>Ageing and the Transition to Retirement: A Comparative Analysis of European Welfare States</w:t>
      </w:r>
      <w:r w:rsidRPr="00C3671E">
        <w:rPr>
          <w:noProof/>
          <w:lang w:val="en-GB"/>
        </w:rPr>
        <w:t>. Abingdon: Routledge.</w:t>
      </w:r>
    </w:p>
    <w:p w14:paraId="0A06B7E5"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Malter, Frederick and Axel Börsch-Supan. 2015. </w:t>
      </w:r>
      <w:r w:rsidRPr="00C3671E">
        <w:rPr>
          <w:i/>
          <w:iCs/>
          <w:noProof/>
          <w:lang w:val="en-GB"/>
        </w:rPr>
        <w:t>SHARE Wave 5: Innovations &amp; Methodology</w:t>
      </w:r>
      <w:r w:rsidRPr="00C3671E">
        <w:rPr>
          <w:noProof/>
          <w:lang w:val="en-GB"/>
        </w:rPr>
        <w:t>. München: Max Planck Institute for Social Law and Social Policy. Retrieved (http://www.share-project.org/fileadmin/pdf_documentation/Method_vol5_31March2015.pdf).</w:t>
      </w:r>
    </w:p>
    <w:p w14:paraId="3EC98BA8"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Mannheim, Karl. 1936. </w:t>
      </w:r>
      <w:r w:rsidRPr="00C3671E">
        <w:rPr>
          <w:i/>
          <w:iCs/>
          <w:noProof/>
          <w:lang w:val="en-GB"/>
        </w:rPr>
        <w:t>Ideology and Utopia: An Introduction to the Sociology of Knowledge</w:t>
      </w:r>
      <w:r w:rsidRPr="00C3671E">
        <w:rPr>
          <w:noProof/>
          <w:lang w:val="en-GB"/>
        </w:rPr>
        <w:t>. New York: Harvest book.</w:t>
      </w:r>
    </w:p>
    <w:p w14:paraId="54FF801A"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Marks, Stephen R. 1977. “Multiple Roles and Role Strain: Some Notes on Human Energy, Time and Commitment.” </w:t>
      </w:r>
      <w:r w:rsidRPr="00C3671E">
        <w:rPr>
          <w:i/>
          <w:iCs/>
          <w:noProof/>
          <w:lang w:val="en-GB"/>
        </w:rPr>
        <w:t>American Sociological Review</w:t>
      </w:r>
      <w:r w:rsidRPr="00C3671E">
        <w:rPr>
          <w:noProof/>
          <w:lang w:val="en-GB"/>
        </w:rPr>
        <w:t xml:space="preserve"> 42(6):921–36.</w:t>
      </w:r>
    </w:p>
    <w:p w14:paraId="68E237A4"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Marsillas, Sara et al. 2017. “Does Active Ageing Contribute to Life Satisfaction for Older People? Testing a New Model of Active Ageing.” </w:t>
      </w:r>
      <w:r w:rsidRPr="00C3671E">
        <w:rPr>
          <w:i/>
          <w:iCs/>
          <w:noProof/>
          <w:lang w:val="en-GB"/>
        </w:rPr>
        <w:t>European Journal of Ageing</w:t>
      </w:r>
      <w:r w:rsidRPr="00C3671E">
        <w:rPr>
          <w:noProof/>
          <w:lang w:val="en-GB"/>
        </w:rPr>
        <w:t xml:space="preserve"> 14(3):295–310.</w:t>
      </w:r>
    </w:p>
    <w:p w14:paraId="497D726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Marx, Karl and Friedrich Engels. 1952. </w:t>
      </w:r>
      <w:r w:rsidRPr="00C3671E">
        <w:rPr>
          <w:i/>
          <w:iCs/>
          <w:noProof/>
          <w:lang w:val="en-GB"/>
        </w:rPr>
        <w:t>Capital</w:t>
      </w:r>
      <w:r w:rsidRPr="00C3671E">
        <w:rPr>
          <w:noProof/>
          <w:lang w:val="en-GB"/>
        </w:rPr>
        <w:t>. Great book. Chicago: Encyclopaedia Britannica.</w:t>
      </w:r>
    </w:p>
    <w:p w14:paraId="6C99F157"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Maslow, A. H. 1943. “A Theory of Human Motivation.” </w:t>
      </w:r>
      <w:r w:rsidRPr="00C3671E">
        <w:rPr>
          <w:i/>
          <w:iCs/>
          <w:noProof/>
          <w:lang w:val="en-GB"/>
        </w:rPr>
        <w:t>Psychological Review</w:t>
      </w:r>
      <w:r w:rsidRPr="00C3671E">
        <w:rPr>
          <w:noProof/>
          <w:lang w:val="en-GB"/>
        </w:rPr>
        <w:t xml:space="preserve"> 50(4):370–96. Retrieved (http://content.apa.org/journals/rev/50/4/370).</w:t>
      </w:r>
    </w:p>
    <w:p w14:paraId="68CC8B57"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Matić, Davorka. 2017. “The Calling of Sociology: Beyond Value-Detached Professionalism and Partisan Activism.” </w:t>
      </w:r>
      <w:r w:rsidRPr="00C3671E">
        <w:rPr>
          <w:i/>
          <w:iCs/>
          <w:noProof/>
          <w:lang w:val="en-GB"/>
        </w:rPr>
        <w:t>Revija Za Sociologiju</w:t>
      </w:r>
      <w:r w:rsidRPr="00C3671E">
        <w:rPr>
          <w:noProof/>
          <w:lang w:val="en-GB"/>
        </w:rPr>
        <w:t xml:space="preserve"> 47(2):177–205. Retrieved (https://hrcak.srce.hr/index.php?show=clanak&amp;id_clanak_jezik=276228).</w:t>
      </w:r>
    </w:p>
    <w:p w14:paraId="0A0A88D0"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Mcilvane, Jessica M., Kristine J. Ajrouch, and Toni C. Antonucci. 2007. “Generational Structure and Social Resources in Mid-Life: Influences on Health and Well-Being.” </w:t>
      </w:r>
      <w:r w:rsidRPr="00C3671E">
        <w:rPr>
          <w:i/>
          <w:iCs/>
          <w:noProof/>
          <w:lang w:val="en-GB"/>
        </w:rPr>
        <w:t>Journal of Social Issues</w:t>
      </w:r>
      <w:r w:rsidRPr="00C3671E">
        <w:rPr>
          <w:noProof/>
          <w:lang w:val="en-GB"/>
        </w:rPr>
        <w:t xml:space="preserve"> 63(4):759–73.</w:t>
      </w:r>
    </w:p>
    <w:p w14:paraId="512F3EDF"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McInerney, Éamon. 1993. “European Year of Older People and Solidarity between Generations.” </w:t>
      </w:r>
      <w:r w:rsidRPr="00C3671E">
        <w:rPr>
          <w:i/>
          <w:iCs/>
          <w:noProof/>
          <w:lang w:val="en-GB"/>
        </w:rPr>
        <w:t>Ageing International</w:t>
      </w:r>
      <w:r w:rsidRPr="00C3671E">
        <w:rPr>
          <w:noProof/>
          <w:lang w:val="en-GB"/>
        </w:rPr>
        <w:t xml:space="preserve"> 20(4):41–43.</w:t>
      </w:r>
    </w:p>
    <w:p w14:paraId="1C8BCA67"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Mendes, Felismina Rosa. 2013. “Active Ageing: A Right or a Duty?” </w:t>
      </w:r>
      <w:r w:rsidRPr="00C3671E">
        <w:rPr>
          <w:i/>
          <w:iCs/>
          <w:noProof/>
          <w:lang w:val="en-GB"/>
        </w:rPr>
        <w:t>Health Sociology Review</w:t>
      </w:r>
      <w:r w:rsidRPr="00C3671E">
        <w:rPr>
          <w:noProof/>
          <w:lang w:val="en-GB"/>
        </w:rPr>
        <w:t xml:space="preserve"> 22(2):174–85.</w:t>
      </w:r>
    </w:p>
    <w:p w14:paraId="39E09FA5"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Merton, Robert K. 1957. “The Role-Set: Problems in Sociological Theory.” </w:t>
      </w:r>
      <w:r w:rsidRPr="00C3671E">
        <w:rPr>
          <w:i/>
          <w:iCs/>
          <w:noProof/>
          <w:lang w:val="en-GB"/>
        </w:rPr>
        <w:t>The British Journal of Sociology</w:t>
      </w:r>
      <w:r w:rsidRPr="00C3671E">
        <w:rPr>
          <w:noProof/>
          <w:lang w:val="en-GB"/>
        </w:rPr>
        <w:t xml:space="preserve"> 8(2):106–20.</w:t>
      </w:r>
    </w:p>
    <w:p w14:paraId="795948B1"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Michinov, Estelle, Evelyne Fouquereau, and Anne Fernandez. 2008. “Retirees’ Social Identity and Satisfaction with Retirement.” </w:t>
      </w:r>
      <w:r w:rsidRPr="00C3671E">
        <w:rPr>
          <w:i/>
          <w:iCs/>
          <w:noProof/>
          <w:lang w:val="en-GB"/>
        </w:rPr>
        <w:t xml:space="preserve">The International Journal of Aging and Human </w:t>
      </w:r>
      <w:r w:rsidRPr="00C3671E">
        <w:rPr>
          <w:i/>
          <w:iCs/>
          <w:noProof/>
          <w:lang w:val="en-GB"/>
        </w:rPr>
        <w:lastRenderedPageBreak/>
        <w:t>Development</w:t>
      </w:r>
      <w:r w:rsidRPr="00C3671E">
        <w:rPr>
          <w:noProof/>
          <w:lang w:val="en-GB"/>
        </w:rPr>
        <w:t xml:space="preserve"> 66(3):175–94. Retrieved (http://baywood.metapress.com/openurl.asp?genre=article&amp;id=doi:10.2190/AG.66.3.a).</w:t>
      </w:r>
    </w:p>
    <w:p w14:paraId="7146A0A4"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Ministry of Labour and Social Affairs. 2008. </w:t>
      </w:r>
      <w:r w:rsidRPr="00C3671E">
        <w:rPr>
          <w:i/>
          <w:iCs/>
          <w:noProof/>
          <w:lang w:val="en-GB"/>
        </w:rPr>
        <w:t>Quality of Life in Old Age</w:t>
      </w:r>
      <w:r w:rsidRPr="00C3671E">
        <w:rPr>
          <w:noProof/>
          <w:lang w:val="en-GB"/>
        </w:rPr>
        <w:t>. Prague: Ministry of Labour and Social Affairs.</w:t>
      </w:r>
    </w:p>
    <w:p w14:paraId="3D8D949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Moen, Phillis, Julie Robison, and Donna Dempster-McLain. 1995. “Caregiving and Women’s Well-Being: A Life Course Approach.” </w:t>
      </w:r>
      <w:r w:rsidRPr="00C3671E">
        <w:rPr>
          <w:i/>
          <w:iCs/>
          <w:noProof/>
          <w:lang w:val="en-GB"/>
        </w:rPr>
        <w:t>Journal of Health and Social Behaviour</w:t>
      </w:r>
      <w:r w:rsidRPr="00C3671E">
        <w:rPr>
          <w:noProof/>
          <w:lang w:val="en-GB"/>
        </w:rPr>
        <w:t xml:space="preserve"> 36(3):259–73.</w:t>
      </w:r>
    </w:p>
    <w:p w14:paraId="7B8B0733"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Moen, Phyllis, Jungmeen E. Kim, and Heather Hofmeister. 2001. “Couples’ Work/Retirement Transitions, Gender, and Marital Quality.” </w:t>
      </w:r>
      <w:r w:rsidRPr="00C3671E">
        <w:rPr>
          <w:i/>
          <w:iCs/>
          <w:noProof/>
          <w:lang w:val="en-GB"/>
        </w:rPr>
        <w:t>Social Psychology Quarterly</w:t>
      </w:r>
      <w:r w:rsidRPr="00C3671E">
        <w:rPr>
          <w:noProof/>
          <w:lang w:val="en-GB"/>
        </w:rPr>
        <w:t xml:space="preserve"> 64(1):55–71.</w:t>
      </w:r>
    </w:p>
    <w:p w14:paraId="1FA02A43"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Moors, Guy and Jeroen Vermunt. 2007. “Heterogeneity in Post-Materialist Value Priorities. Evidence from a Latent Class Discrete Choice Approach.” </w:t>
      </w:r>
      <w:r w:rsidRPr="00C3671E">
        <w:rPr>
          <w:i/>
          <w:iCs/>
          <w:noProof/>
          <w:lang w:val="en-GB"/>
        </w:rPr>
        <w:t>European Sociological Review</w:t>
      </w:r>
      <w:r w:rsidRPr="00C3671E">
        <w:rPr>
          <w:noProof/>
          <w:lang w:val="en-GB"/>
        </w:rPr>
        <w:t xml:space="preserve"> 23(5):631–48.</w:t>
      </w:r>
    </w:p>
    <w:p w14:paraId="5E82143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Motel-Klingebiel, Andreas, Clemens Tesch-Roemer, and Hans-Joachim Von Kondratowitz. 2005. “Welfare States Do Not Crowd out the Family: Evidence for Mixed Responsibility from Comparative Analyses.” </w:t>
      </w:r>
      <w:r w:rsidRPr="00C3671E">
        <w:rPr>
          <w:i/>
          <w:iCs/>
          <w:noProof/>
          <w:lang w:val="en-GB"/>
        </w:rPr>
        <w:t>Ageing and Society</w:t>
      </w:r>
      <w:r w:rsidRPr="00C3671E">
        <w:rPr>
          <w:noProof/>
          <w:lang w:val="en-GB"/>
        </w:rPr>
        <w:t xml:space="preserve"> 25(06):863–82.</w:t>
      </w:r>
    </w:p>
    <w:p w14:paraId="3F4DA36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Moulaert, Thibauld and Simon Biggs. 2013. “International and European Policy on Work and Retirement: Reinventing Critical Perspectives on Active Ageing and Mature Subjectivity.” </w:t>
      </w:r>
      <w:r w:rsidRPr="00C3671E">
        <w:rPr>
          <w:i/>
          <w:iCs/>
          <w:noProof/>
          <w:lang w:val="en-GB"/>
        </w:rPr>
        <w:t>Human Relations</w:t>
      </w:r>
      <w:r w:rsidRPr="00C3671E">
        <w:rPr>
          <w:noProof/>
          <w:lang w:val="en-GB"/>
        </w:rPr>
        <w:t xml:space="preserve"> 66(1):23–43. Retrieved (http://journals.sagepub.com/doi/10.1177/0018726711435180).</w:t>
      </w:r>
    </w:p>
    <w:p w14:paraId="2083373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Moulaert, Thibauld and Mario Paris. 2013. “Social Policy on Ageing: The Case of ‘Active Ageing’ as a Theatrical Metaphor.” </w:t>
      </w:r>
      <w:r w:rsidRPr="00C3671E">
        <w:rPr>
          <w:i/>
          <w:iCs/>
          <w:noProof/>
          <w:lang w:val="en-GB"/>
        </w:rPr>
        <w:t>International Journal of Social Science Studies</w:t>
      </w:r>
      <w:r w:rsidRPr="00C3671E">
        <w:rPr>
          <w:noProof/>
          <w:lang w:val="en-GB"/>
        </w:rPr>
        <w:t xml:space="preserve"> 1(2):113–23. Retrieved (http://redfame.com/journal/index.php/ijsss/article/view/141).</w:t>
      </w:r>
    </w:p>
    <w:p w14:paraId="64EAB9D5"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Mui, Ada C. 1995. “Multidimensional Predictors of Caregiver Strain Among Older Persons Caring for Frail Spouses.” </w:t>
      </w:r>
      <w:r w:rsidRPr="00C3671E">
        <w:rPr>
          <w:i/>
          <w:iCs/>
          <w:noProof/>
          <w:lang w:val="en-GB"/>
        </w:rPr>
        <w:t>Journal of Marriage and Family</w:t>
      </w:r>
      <w:r w:rsidRPr="00C3671E">
        <w:rPr>
          <w:noProof/>
          <w:lang w:val="en-GB"/>
        </w:rPr>
        <w:t xml:space="preserve"> 57:733–40.</w:t>
      </w:r>
    </w:p>
    <w:p w14:paraId="1BE813B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Neuberger, Franz S. and Klaus Haberkern. 2014. “Structured Ambivalence in Grandchild Care and the Quality of Life among European Grandparents.” </w:t>
      </w:r>
      <w:r w:rsidRPr="00C3671E">
        <w:rPr>
          <w:i/>
          <w:iCs/>
          <w:noProof/>
          <w:lang w:val="en-GB"/>
        </w:rPr>
        <w:t>European Journal of Ageing</w:t>
      </w:r>
      <w:r w:rsidRPr="00C3671E">
        <w:rPr>
          <w:noProof/>
          <w:lang w:val="en-GB"/>
        </w:rPr>
        <w:t xml:space="preserve"> 11(2):171–81. Retrieved (http://link.springer.com/10.1007/s10433-013-0294-4).</w:t>
      </w:r>
    </w:p>
    <w:p w14:paraId="31485C0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Noll, Heinz-Herbert. 2004. “Social Indicators and Quality of Life Research: Background, Achievements and Current Trends.” Pp. 151–81 in </w:t>
      </w:r>
      <w:r w:rsidRPr="00C3671E">
        <w:rPr>
          <w:i/>
          <w:iCs/>
          <w:noProof/>
          <w:lang w:val="en-GB"/>
        </w:rPr>
        <w:t>Advances in sociological knowledge</w:t>
      </w:r>
      <w:r w:rsidRPr="00C3671E">
        <w:rPr>
          <w:noProof/>
          <w:lang w:val="en-GB"/>
        </w:rPr>
        <w:t>. Wiesbaden: VS Verlag für Sozialwissenschaften.</w:t>
      </w:r>
    </w:p>
    <w:p w14:paraId="3FFFFDAB"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Nordenmark, Mikael and Mikael Stattin. 2009. “Psychosocial Wellbeing and Reasons for Retirement in Sweden.” </w:t>
      </w:r>
      <w:r w:rsidRPr="00C3671E">
        <w:rPr>
          <w:i/>
          <w:iCs/>
          <w:noProof/>
          <w:lang w:val="en-GB"/>
        </w:rPr>
        <w:t>Ageing &amp; Society</w:t>
      </w:r>
      <w:r w:rsidRPr="00C3671E">
        <w:rPr>
          <w:noProof/>
          <w:lang w:val="en-GB"/>
        </w:rPr>
        <w:t xml:space="preserve"> 29(May):413–30.</w:t>
      </w:r>
    </w:p>
    <w:p w14:paraId="5AB363A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Di Novi, Cinzia, Rowena Jacobs, and Matteo Migheli. 2015. “The Quality of Life of Female Informal Caregivers: From Scandinavia to the Mediterranean Sea.” </w:t>
      </w:r>
      <w:r w:rsidRPr="00C3671E">
        <w:rPr>
          <w:i/>
          <w:iCs/>
          <w:noProof/>
          <w:lang w:val="en-GB"/>
        </w:rPr>
        <w:t>European Journal of Population</w:t>
      </w:r>
      <w:r w:rsidRPr="00C3671E">
        <w:rPr>
          <w:noProof/>
          <w:lang w:val="en-GB"/>
        </w:rPr>
        <w:t xml:space="preserve"> 31(3):309–33. Retrieved (http://dx.doi.org/10.1007/s10680-014-9336-7).</w:t>
      </w:r>
    </w:p>
    <w:p w14:paraId="2F0227E0"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Nygren, B. et al. 2005. “Resilience, Sense of Coherence, Purpose in Life and Self-Transcendence in Relation to Perceived Physical and Mental Health among the Oldest Old.” </w:t>
      </w:r>
      <w:r w:rsidRPr="00C3671E">
        <w:rPr>
          <w:i/>
          <w:iCs/>
          <w:noProof/>
          <w:lang w:val="en-GB"/>
        </w:rPr>
        <w:t>Aging &amp; Mental Health</w:t>
      </w:r>
      <w:r w:rsidRPr="00C3671E">
        <w:rPr>
          <w:noProof/>
          <w:lang w:val="en-GB"/>
        </w:rPr>
        <w:t xml:space="preserve"> 9(4):354–62.</w:t>
      </w:r>
    </w:p>
    <w:p w14:paraId="00C0970B"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OECD. 2017. “Social Expenditure – Aggregated Data.” Retrieved November 23, 2017 (http://stats.oecd.org/Index.aspx?datasetcode=SOCX_AGG).</w:t>
      </w:r>
    </w:p>
    <w:p w14:paraId="776F2C3A"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Olesen, Sarah C. and Helen L. Berry. 2011. “Community Participation and Mental Health during Retirement in Community Sample of Australians.” </w:t>
      </w:r>
      <w:r w:rsidRPr="00C3671E">
        <w:rPr>
          <w:i/>
          <w:iCs/>
          <w:noProof/>
          <w:lang w:val="en-GB"/>
        </w:rPr>
        <w:t>Aging &amp; Mental Health</w:t>
      </w:r>
      <w:r w:rsidRPr="00C3671E">
        <w:rPr>
          <w:noProof/>
          <w:lang w:val="en-GB"/>
        </w:rPr>
        <w:t xml:space="preserve"> 15(2):186–97. Retrieved (http://www.tandfonline.com/doi/abs/10.1080/13607863.2010.501053).</w:t>
      </w:r>
    </w:p>
    <w:p w14:paraId="7F00A5DA"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Park, Nan Sook, Yuri Jang, Beom S. Lee, William E. Haley, and David A. Chiriboga. 2013. “The Mediating Role of Loneliness in the Relation between Social Engagement and Depressive Symptoms among Older Korean Americans.” </w:t>
      </w:r>
      <w:r w:rsidRPr="00C3671E">
        <w:rPr>
          <w:i/>
          <w:iCs/>
          <w:noProof/>
          <w:lang w:val="en-GB"/>
        </w:rPr>
        <w:t>The Jornal of Gerontology, Psychological Sciences and Social Sciences.</w:t>
      </w:r>
      <w:r w:rsidRPr="00C3671E">
        <w:rPr>
          <w:noProof/>
          <w:lang w:val="en-GB"/>
        </w:rPr>
        <w:t xml:space="preserve"> 68(2):193–201.</w:t>
      </w:r>
    </w:p>
    <w:p w14:paraId="56E7A071"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Parsons, Talcott. 1951. </w:t>
      </w:r>
      <w:r w:rsidRPr="00C3671E">
        <w:rPr>
          <w:i/>
          <w:iCs/>
          <w:noProof/>
          <w:lang w:val="en-GB"/>
        </w:rPr>
        <w:t>The Social System</w:t>
      </w:r>
      <w:r w:rsidRPr="00C3671E">
        <w:rPr>
          <w:noProof/>
          <w:lang w:val="en-GB"/>
        </w:rPr>
        <w:t>. London: Routledge &amp; Kegan Paul Ltd.</w:t>
      </w:r>
    </w:p>
    <w:p w14:paraId="0F02FFD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Pasta, David J. 2013. “Being Continuously Discrete (or Discretely Continuous): </w:t>
      </w:r>
      <w:r w:rsidRPr="00C3671E">
        <w:rPr>
          <w:noProof/>
          <w:lang w:val="en-GB"/>
        </w:rPr>
        <w:lastRenderedPageBreak/>
        <w:t xml:space="preserve">Understanding Models with Continuous and Discrete Predictors and Testing Associated Hypotheses.” in </w:t>
      </w:r>
      <w:r w:rsidRPr="00C3671E">
        <w:rPr>
          <w:i/>
          <w:iCs/>
          <w:noProof/>
          <w:lang w:val="en-GB"/>
        </w:rPr>
        <w:t>SAS Global Forum 2013: Statistics and Data Analysis</w:t>
      </w:r>
      <w:r w:rsidRPr="00C3671E">
        <w:rPr>
          <w:noProof/>
          <w:lang w:val="en-GB"/>
        </w:rPr>
        <w:t>. San Francisco.</w:t>
      </w:r>
    </w:p>
    <w:p w14:paraId="011CDCEE"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Paúl, Constança, Oscar Ribeiro, and Laetitia Teixeira. 2012. “Active Ageing: An Empirical Approach to the WHO Model.” </w:t>
      </w:r>
      <w:r w:rsidRPr="00C3671E">
        <w:rPr>
          <w:i/>
          <w:iCs/>
          <w:noProof/>
          <w:lang w:val="en-GB"/>
        </w:rPr>
        <w:t>Current Gerontology and Geriatrics Research</w:t>
      </w:r>
      <w:r w:rsidRPr="00C3671E">
        <w:rPr>
          <w:noProof/>
          <w:lang w:val="en-GB"/>
        </w:rPr>
        <w:t xml:space="preserve"> 1:1435–1445.</w:t>
      </w:r>
    </w:p>
    <w:p w14:paraId="4B544E6F"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Penning, M. J. 1998. “In the Middle: Parental Caregiving in the Context of Other Roles.” </w:t>
      </w:r>
      <w:r w:rsidRPr="00C3671E">
        <w:rPr>
          <w:i/>
          <w:iCs/>
          <w:noProof/>
          <w:lang w:val="en-GB"/>
        </w:rPr>
        <w:t>The Journals of Gerontology Series B: Psychological Sciences and Social Sciences</w:t>
      </w:r>
      <w:r w:rsidRPr="00C3671E">
        <w:rPr>
          <w:noProof/>
          <w:lang w:val="en-GB"/>
        </w:rPr>
        <w:t xml:space="preserve"> 53(4):S188-97. Retrieved (http://www.ncbi.nlm.nih.gov/pubmed/9679520).</w:t>
      </w:r>
    </w:p>
    <w:p w14:paraId="7C51C619"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Perek-Białas, Jolanta, Jan Zwierzchowski, Radosłav Antczak, and Tomasz Panek. 2017. </w:t>
      </w:r>
      <w:r w:rsidRPr="00C3671E">
        <w:rPr>
          <w:i/>
          <w:iCs/>
          <w:noProof/>
          <w:lang w:val="en-GB"/>
        </w:rPr>
        <w:t>Criteria Specific Analysis of the Active Ageing Index (AAI) at National Level in Poland: 2007-2015</w:t>
      </w:r>
      <w:r w:rsidRPr="00C3671E">
        <w:rPr>
          <w:noProof/>
          <w:lang w:val="en-GB"/>
        </w:rPr>
        <w:t>. Geneva.</w:t>
      </w:r>
    </w:p>
    <w:p w14:paraId="6829A737"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Petrová Kafková, Marcela. 2016a. “The Active Ageing Index (AAI) and Its Relation to the Quality of Life of Older Adults.” Pp. 55–74 in </w:t>
      </w:r>
      <w:r w:rsidRPr="00C3671E">
        <w:rPr>
          <w:i/>
          <w:iCs/>
          <w:noProof/>
          <w:lang w:val="en-GB"/>
        </w:rPr>
        <w:t>Building evidence for active ageing policies: Active ageing index and its potential</w:t>
      </w:r>
      <w:r w:rsidRPr="00C3671E">
        <w:rPr>
          <w:noProof/>
          <w:lang w:val="en-GB"/>
        </w:rPr>
        <w:t>, edited by A. Zaidi, S. Harper, K. Howse, G. Lamura, and J. Perek-Białas. Singapore: Palgrave Macmillan.</w:t>
      </w:r>
    </w:p>
    <w:p w14:paraId="2100C5D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Petrová Kafková, Marcela. 2016b. “The ‘Real’ Old Age and the Transition between the Third and Fourth Age.” </w:t>
      </w:r>
      <w:r w:rsidRPr="00C3671E">
        <w:rPr>
          <w:i/>
          <w:iCs/>
          <w:noProof/>
          <w:lang w:val="en-GB"/>
        </w:rPr>
        <w:t>Sociologia</w:t>
      </w:r>
      <w:r w:rsidRPr="00C3671E">
        <w:rPr>
          <w:noProof/>
          <w:lang w:val="en-GB"/>
        </w:rPr>
        <w:t xml:space="preserve"> 48(6):622–40.</w:t>
      </w:r>
    </w:p>
    <w:p w14:paraId="35B1BECA"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Petrová Kafková, Marcela and Ladislav Rabušic. 2010. “Význam Práce v Živote Českých a Slovenských Starších Pracovníků.” </w:t>
      </w:r>
      <w:r w:rsidRPr="00C3671E">
        <w:rPr>
          <w:i/>
          <w:iCs/>
          <w:noProof/>
          <w:lang w:val="en-GB"/>
        </w:rPr>
        <w:t>Sociológia</w:t>
      </w:r>
      <w:r w:rsidRPr="00C3671E">
        <w:rPr>
          <w:noProof/>
          <w:lang w:val="en-GB"/>
        </w:rPr>
        <w:t xml:space="preserve"> 42(4):316–38.</w:t>
      </w:r>
    </w:p>
    <w:p w14:paraId="7EF11961"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Phillips, Judith, Kristine Ajrouch, and Sarah Hillcoat-Nallétamby. 2010. </w:t>
      </w:r>
      <w:r w:rsidRPr="00C3671E">
        <w:rPr>
          <w:i/>
          <w:iCs/>
          <w:noProof/>
          <w:lang w:val="en-GB"/>
        </w:rPr>
        <w:t>Key Concepts in Social Gerontology</w:t>
      </w:r>
      <w:r w:rsidRPr="00C3671E">
        <w:rPr>
          <w:noProof/>
          <w:lang w:val="en-GB"/>
        </w:rPr>
        <w:t>. Los Angeles: SAGE.</w:t>
      </w:r>
    </w:p>
    <w:p w14:paraId="0267A1D1"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Piko, Bettina F. 2007. “Self-Perceived Health among Adolescents: The Role of Gender and Psychosocial Factors.” </w:t>
      </w:r>
      <w:r w:rsidRPr="00C3671E">
        <w:rPr>
          <w:i/>
          <w:iCs/>
          <w:noProof/>
          <w:lang w:val="en-GB"/>
        </w:rPr>
        <w:t>European Journal of Pediatrics</w:t>
      </w:r>
      <w:r w:rsidRPr="00C3671E">
        <w:rPr>
          <w:noProof/>
          <w:lang w:val="en-GB"/>
        </w:rPr>
        <w:t xml:space="preserve"> 166(7):701–8.</w:t>
      </w:r>
    </w:p>
    <w:p w14:paraId="5CB780E7"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Pines, Ayala Malach, Margaret B. Neal, Leslie B. Hammer, and Tamar Icekson. 2011. “Job Burnout and Couple Burnout in Dual-Earner Couples in the Sandwiched Generation.” </w:t>
      </w:r>
      <w:r w:rsidRPr="00C3671E">
        <w:rPr>
          <w:i/>
          <w:iCs/>
          <w:noProof/>
          <w:lang w:val="en-GB"/>
        </w:rPr>
        <w:t>Social Psychology Quarterly</w:t>
      </w:r>
      <w:r w:rsidRPr="00C3671E">
        <w:rPr>
          <w:noProof/>
          <w:lang w:val="en-GB"/>
        </w:rPr>
        <w:t xml:space="preserve"> 74(4):361–86. Retrieved (http://journals.sagepub.com/doi/10.1177/0190272511422452).</w:t>
      </w:r>
    </w:p>
    <w:p w14:paraId="06D8FDAF"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Pinquart, Martin and Ines Schindler. 2007. “Changes of Life Satisfaction in the Transition to Retirement: A Latent-Class Approach.” </w:t>
      </w:r>
      <w:r w:rsidRPr="00C3671E">
        <w:rPr>
          <w:i/>
          <w:iCs/>
          <w:noProof/>
          <w:lang w:val="en-GB"/>
        </w:rPr>
        <w:t>Psychology and Aging</w:t>
      </w:r>
      <w:r w:rsidRPr="00C3671E">
        <w:rPr>
          <w:noProof/>
          <w:lang w:val="en-GB"/>
        </w:rPr>
        <w:t xml:space="preserve"> 22(3):442–55.</w:t>
      </w:r>
    </w:p>
    <w:p w14:paraId="4D88CBEF"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Platts, Loretta G., Elizabeth Webb, Marie Zins, Marcel Goldberg, and Gopalakrishnan Netuveli. 2015. “Mid-Life Occupational Grade and Quality of Life Following Retirement: A 16-Year Follow-up of the French GAZEL Study.” </w:t>
      </w:r>
      <w:r w:rsidRPr="00C3671E">
        <w:rPr>
          <w:i/>
          <w:iCs/>
          <w:noProof/>
          <w:lang w:val="en-GB"/>
        </w:rPr>
        <w:t>Aging &amp; Mental Health</w:t>
      </w:r>
      <w:r w:rsidRPr="00C3671E">
        <w:rPr>
          <w:noProof/>
          <w:lang w:val="en-GB"/>
        </w:rPr>
        <w:t xml:space="preserve"> 19(7):634–46. Retrieved (http://www.tandfonline.com/doi/abs/10.1080/13607863.2014.955458).</w:t>
      </w:r>
    </w:p>
    <w:p w14:paraId="140473DB"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Posner, Michael A., Arlene S. Ash, Karen M. Freund, Mark A. Moskowitz, and Michael Shwartz. 2001. “Comparing Regression, Propensity Score Matching, and Instrumental Variables Methods for Determining the Influence of Mammography on Stage Diagnosis.” </w:t>
      </w:r>
      <w:r w:rsidRPr="00C3671E">
        <w:rPr>
          <w:i/>
          <w:iCs/>
          <w:noProof/>
          <w:lang w:val="en-GB"/>
        </w:rPr>
        <w:t>Health Services &amp; Outcomes Research Methodology</w:t>
      </w:r>
      <w:r w:rsidRPr="00C3671E">
        <w:rPr>
          <w:noProof/>
          <w:lang w:val="en-GB"/>
        </w:rPr>
        <w:t xml:space="preserve"> 2(3–4):279–90.</w:t>
      </w:r>
    </w:p>
    <w:p w14:paraId="09DD5ED8"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Potočnik, Kristina and Sabine Sonnentag. 2013. “A Longitudinal Study of Well-Being in Older Workers and Retirees: The Role of Engaging in Different Types of Activities.” </w:t>
      </w:r>
      <w:r w:rsidRPr="00C3671E">
        <w:rPr>
          <w:i/>
          <w:iCs/>
          <w:noProof/>
          <w:lang w:val="en-GB"/>
        </w:rPr>
        <w:t>Journal of Occupational and Organizational Psychology</w:t>
      </w:r>
      <w:r w:rsidRPr="00C3671E">
        <w:rPr>
          <w:noProof/>
          <w:lang w:val="en-GB"/>
        </w:rPr>
        <w:t xml:space="preserve"> 86(4):497–521.</w:t>
      </w:r>
    </w:p>
    <w:p w14:paraId="0C8C467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Promislo, Mark D., John R. Deckop, Robert A. Giacalone, and Carole L. Jurkiewicz. 2010. “Valuing Money More than People: The Effects of Materialism on Work-Family Conflict.” </w:t>
      </w:r>
      <w:r w:rsidRPr="00C3671E">
        <w:rPr>
          <w:i/>
          <w:iCs/>
          <w:noProof/>
          <w:lang w:val="en-GB"/>
        </w:rPr>
        <w:t>Journal of Occupational and Organizational Psychology</w:t>
      </w:r>
      <w:r w:rsidRPr="00C3671E">
        <w:rPr>
          <w:noProof/>
          <w:lang w:val="en-GB"/>
        </w:rPr>
        <w:t xml:space="preserve"> 83(4):935–53.</w:t>
      </w:r>
    </w:p>
    <w:p w14:paraId="7C78B77E"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Rabe-Hesketh, Sophia and Anders Skrondal. 2008. </w:t>
      </w:r>
      <w:r w:rsidRPr="00C3671E">
        <w:rPr>
          <w:i/>
          <w:iCs/>
          <w:noProof/>
          <w:lang w:val="en-GB"/>
        </w:rPr>
        <w:t>Multilevel and Longitudinal Modeling Using Stata</w:t>
      </w:r>
      <w:r w:rsidRPr="00C3671E">
        <w:rPr>
          <w:noProof/>
          <w:lang w:val="en-GB"/>
        </w:rPr>
        <w:t>. College Station: Stata Press.</w:t>
      </w:r>
    </w:p>
    <w:p w14:paraId="3E2462A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Rabušic, Ladislav. 2004. “Why Are They All So Eager to Retire? (On the Transition to Retirement in the Czech Republic).” </w:t>
      </w:r>
      <w:r w:rsidRPr="00C3671E">
        <w:rPr>
          <w:i/>
          <w:iCs/>
          <w:noProof/>
          <w:lang w:val="en-GB"/>
        </w:rPr>
        <w:t>Czech Sociological Review</w:t>
      </w:r>
      <w:r w:rsidRPr="00C3671E">
        <w:rPr>
          <w:noProof/>
          <w:lang w:val="en-GB"/>
        </w:rPr>
        <w:t xml:space="preserve"> 40(3):319–42.</w:t>
      </w:r>
    </w:p>
    <w:p w14:paraId="14EA2ABE"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Radl, Jonas. 2013. “Labour Market Exit and Social Stratification in Western Europe: The Effects of Social Class and Gender on the Timing of Retirement.” </w:t>
      </w:r>
      <w:r w:rsidRPr="00C3671E">
        <w:rPr>
          <w:i/>
          <w:iCs/>
          <w:noProof/>
          <w:lang w:val="en-GB"/>
        </w:rPr>
        <w:t xml:space="preserve">European Sociological </w:t>
      </w:r>
      <w:r w:rsidRPr="00C3671E">
        <w:rPr>
          <w:i/>
          <w:iCs/>
          <w:noProof/>
          <w:lang w:val="en-GB"/>
        </w:rPr>
        <w:lastRenderedPageBreak/>
        <w:t>Review</w:t>
      </w:r>
      <w:r w:rsidRPr="00C3671E">
        <w:rPr>
          <w:noProof/>
          <w:lang w:val="en-GB"/>
        </w:rPr>
        <w:t xml:space="preserve"> 29(3):654–68.</w:t>
      </w:r>
    </w:p>
    <w:p w14:paraId="76766EB9"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Reichert, Manuela and Monika Weidekamp-Maicher. 2004. “Germany – Quality of Life in Old Age II.” Pp. 159–78 in </w:t>
      </w:r>
      <w:r w:rsidRPr="00C3671E">
        <w:rPr>
          <w:i/>
          <w:iCs/>
          <w:noProof/>
          <w:lang w:val="en-GB"/>
        </w:rPr>
        <w:t>Growing older in Europe</w:t>
      </w:r>
      <w:r w:rsidRPr="00C3671E">
        <w:rPr>
          <w:noProof/>
          <w:lang w:val="en-GB"/>
        </w:rPr>
        <w:t>, edited by A. Walker. Maidenhead: Open University Press.</w:t>
      </w:r>
    </w:p>
    <w:p w14:paraId="388295C9"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Reid, Jennifer and Melissa Hardy. 1999. “Multiple Roles and Well-Being among Midlife Women: Testing Role Strain and Role Enhancement Theories.” </w:t>
      </w:r>
      <w:r w:rsidRPr="00C3671E">
        <w:rPr>
          <w:i/>
          <w:iCs/>
          <w:noProof/>
          <w:lang w:val="en-GB"/>
        </w:rPr>
        <w:t>The Journals of Gerontology Series B: Psychological Sciences and Social Sciences</w:t>
      </w:r>
      <w:r w:rsidRPr="00C3671E">
        <w:rPr>
          <w:noProof/>
          <w:lang w:val="en-GB"/>
        </w:rPr>
        <w:t xml:space="preserve"> 54B(6):S329–38.</w:t>
      </w:r>
    </w:p>
    <w:p w14:paraId="04B90D20"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Remennick, Larissa I. 1999. “Women of the ‘Sandwich’ Generation and Multiple Roles: The Case of Russian Immigrants of the 1990s in Israel.” </w:t>
      </w:r>
      <w:r w:rsidRPr="00C3671E">
        <w:rPr>
          <w:i/>
          <w:iCs/>
          <w:noProof/>
          <w:lang w:val="en-GB"/>
        </w:rPr>
        <w:t>Sex Roles</w:t>
      </w:r>
      <w:r w:rsidRPr="00C3671E">
        <w:rPr>
          <w:noProof/>
          <w:lang w:val="en-GB"/>
        </w:rPr>
        <w:t xml:space="preserve"> 40(5–6):347–78.</w:t>
      </w:r>
    </w:p>
    <w:p w14:paraId="4A393494"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Ritzer, George. 1993. </w:t>
      </w:r>
      <w:r w:rsidRPr="00C3671E">
        <w:rPr>
          <w:i/>
          <w:iCs/>
          <w:noProof/>
          <w:lang w:val="en-GB"/>
        </w:rPr>
        <w:t>The McDonaldization of Society: An Investigation into the Changing Character of Contemporary Social Life</w:t>
      </w:r>
      <w:r w:rsidRPr="00C3671E">
        <w:rPr>
          <w:noProof/>
          <w:lang w:val="en-GB"/>
        </w:rPr>
        <w:t>. Thousand Oaks: Pine Forge Press.</w:t>
      </w:r>
    </w:p>
    <w:p w14:paraId="0FA2F533"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Rokeach, M. 1985. “Inducing Changes and Stability in Belief Systems and Personality Structure.” </w:t>
      </w:r>
      <w:r w:rsidRPr="00C3671E">
        <w:rPr>
          <w:i/>
          <w:iCs/>
          <w:noProof/>
          <w:lang w:val="en-GB"/>
        </w:rPr>
        <w:t>Journal of Social Issues</w:t>
      </w:r>
      <w:r w:rsidRPr="00C3671E">
        <w:rPr>
          <w:noProof/>
          <w:lang w:val="en-GB"/>
        </w:rPr>
        <w:t xml:space="preserve"> 41(I):153–71.</w:t>
      </w:r>
    </w:p>
    <w:p w14:paraId="79A55A6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Rokeach, Milton. 1979. </w:t>
      </w:r>
      <w:r w:rsidRPr="00C3671E">
        <w:rPr>
          <w:i/>
          <w:iCs/>
          <w:noProof/>
          <w:lang w:val="en-GB"/>
        </w:rPr>
        <w:t>Understanding Human Values</w:t>
      </w:r>
      <w:r w:rsidRPr="00C3671E">
        <w:rPr>
          <w:noProof/>
          <w:lang w:val="en-GB"/>
        </w:rPr>
        <w:t>. New York: The Free Press.</w:t>
      </w:r>
    </w:p>
    <w:p w14:paraId="578AEA94"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Roll, Anat and Howard Litwin. 2013. “The Exchange of Support and Financial Assistance: Differences in Exchange Patterns and Their Implications for Ageing Well.” Pp. 289–300 in </w:t>
      </w:r>
      <w:r w:rsidRPr="00C3671E">
        <w:rPr>
          <w:i/>
          <w:iCs/>
          <w:noProof/>
          <w:lang w:val="en-GB"/>
        </w:rPr>
        <w:t>Active Ageing and Solidarity between Generations in Europe: First Results from SHARE after the Economic Crisis</w:t>
      </w:r>
      <w:r w:rsidRPr="00C3671E">
        <w:rPr>
          <w:noProof/>
          <w:lang w:val="en-GB"/>
        </w:rPr>
        <w:t>, edited by A. Börsch-Supan, M. Brandt, H. Litwin, and G. Weber. Berlin: De Gruyter.</w:t>
      </w:r>
    </w:p>
    <w:p w14:paraId="075607A9"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Rosenbaum, Paul R. and Donald B. Rubin. 1984. “Reducing Bias in Observaitonal Studies Using Subclassification on the Propensity Score.” </w:t>
      </w:r>
      <w:r w:rsidRPr="00C3671E">
        <w:rPr>
          <w:i/>
          <w:iCs/>
          <w:noProof/>
          <w:lang w:val="en-GB"/>
        </w:rPr>
        <w:t>Journal of the American Statistical Association</w:t>
      </w:r>
      <w:r w:rsidRPr="00C3671E">
        <w:rPr>
          <w:noProof/>
          <w:lang w:val="en-GB"/>
        </w:rPr>
        <w:t xml:space="preserve"> 79(387):516–24.</w:t>
      </w:r>
    </w:p>
    <w:p w14:paraId="0A709459"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Rosenbaum, Paul R. and Donald B. Rubin. 1985. “Constructing a Control Group Using Multivariate Matched Sampling Methods That Incorporate the Propensity Score.” </w:t>
      </w:r>
      <w:r w:rsidRPr="00C3671E">
        <w:rPr>
          <w:i/>
          <w:iCs/>
          <w:noProof/>
          <w:lang w:val="en-GB"/>
        </w:rPr>
        <w:t>The American Statistician</w:t>
      </w:r>
      <w:r w:rsidRPr="00C3671E">
        <w:rPr>
          <w:noProof/>
          <w:lang w:val="en-GB"/>
        </w:rPr>
        <w:t xml:space="preserve"> 39(1):33–38.</w:t>
      </w:r>
    </w:p>
    <w:p w14:paraId="1BF7C56B"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Rosenbaum, Paul and Donald Rubin. 1983. “The Central Role of the Propensity Score in Observational Studies for Causal Effects.” </w:t>
      </w:r>
      <w:r w:rsidRPr="00C3671E">
        <w:rPr>
          <w:i/>
          <w:iCs/>
          <w:noProof/>
          <w:lang w:val="en-GB"/>
        </w:rPr>
        <w:t>Biometrika</w:t>
      </w:r>
      <w:r w:rsidRPr="00C3671E">
        <w:rPr>
          <w:noProof/>
          <w:lang w:val="en-GB"/>
        </w:rPr>
        <w:t xml:space="preserve"> 70(1):41–55.</w:t>
      </w:r>
    </w:p>
    <w:p w14:paraId="0B5D5E5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Rossteutscher, Sigrid. 2004. “Explaining Politics: An Empirical Test of Competing Value Measures.” </w:t>
      </w:r>
      <w:r w:rsidRPr="00C3671E">
        <w:rPr>
          <w:i/>
          <w:iCs/>
          <w:noProof/>
          <w:lang w:val="en-GB"/>
        </w:rPr>
        <w:t>European Journal of Political Research</w:t>
      </w:r>
      <w:r w:rsidRPr="00C3671E">
        <w:rPr>
          <w:noProof/>
          <w:lang w:val="en-GB"/>
        </w:rPr>
        <w:t xml:space="preserve"> 43(5):769–95.</w:t>
      </w:r>
    </w:p>
    <w:p w14:paraId="17F9A3A6"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Rowe, John W. and Robert L. Kahn. 1997. “The Forum.” </w:t>
      </w:r>
      <w:r w:rsidRPr="00C3671E">
        <w:rPr>
          <w:i/>
          <w:iCs/>
          <w:noProof/>
          <w:lang w:val="en-GB"/>
        </w:rPr>
        <w:t>America</w:t>
      </w:r>
      <w:r w:rsidRPr="00C3671E">
        <w:rPr>
          <w:noProof/>
          <w:lang w:val="en-GB"/>
        </w:rPr>
        <w:t xml:space="preserve"> 37(4):433–40.</w:t>
      </w:r>
    </w:p>
    <w:p w14:paraId="5F07E1EF"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Rowe, John W. and Robert L. Kahn. 2015. “Successful Aging 2.0: Conceptual Expansions for the 21st Century John.” </w:t>
      </w:r>
      <w:r w:rsidRPr="00C3671E">
        <w:rPr>
          <w:i/>
          <w:iCs/>
          <w:noProof/>
          <w:lang w:val="en-GB"/>
        </w:rPr>
        <w:t>Journals of Gerontology, Series B: Psychological Sciences and Social Sciences</w:t>
      </w:r>
      <w:r w:rsidRPr="00C3671E">
        <w:rPr>
          <w:noProof/>
          <w:lang w:val="en-GB"/>
        </w:rPr>
        <w:t xml:space="preserve"> 70(4):593–96.</w:t>
      </w:r>
    </w:p>
    <w:p w14:paraId="4C73645E"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Rozanova, Julia, Norah Keating, and Jacquie Eales. 2012. “Unequal Social Engagement for Older Adults: Constraints on Choice.” </w:t>
      </w:r>
      <w:r w:rsidRPr="00C3671E">
        <w:rPr>
          <w:i/>
          <w:iCs/>
          <w:noProof/>
          <w:lang w:val="en-GB"/>
        </w:rPr>
        <w:t>Canadian Journal on Aging / La Revue Canadienne Du Vieillissement</w:t>
      </w:r>
      <w:r w:rsidRPr="00C3671E">
        <w:rPr>
          <w:noProof/>
          <w:lang w:val="en-GB"/>
        </w:rPr>
        <w:t xml:space="preserve"> 31(01):25–36.</w:t>
      </w:r>
    </w:p>
    <w:p w14:paraId="01DE3C20"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Salomon, Joshua A. et al. 2012. “Healthy Life Expectancy for 187 Countries, 1990-2010: A Systematic Analysis for the Global Burden Disease Study 2010.” </w:t>
      </w:r>
      <w:r w:rsidRPr="00C3671E">
        <w:rPr>
          <w:i/>
          <w:iCs/>
          <w:noProof/>
          <w:lang w:val="en-GB"/>
        </w:rPr>
        <w:t>The Lancet</w:t>
      </w:r>
      <w:r w:rsidRPr="00C3671E">
        <w:rPr>
          <w:noProof/>
          <w:lang w:val="en-GB"/>
        </w:rPr>
        <w:t xml:space="preserve"> 380(9859):2144–62. Retrieved (http://dx.doi.org/10.1016/S0140-6736(12)61690-0).</w:t>
      </w:r>
    </w:p>
    <w:p w14:paraId="45B54029"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São José, José Manuel de, Virpi Timonen, Carla Alexandra Filipe Amado, and Sérgio Pereira Santos. 2017. “A Critique of the Active Ageing Index.” </w:t>
      </w:r>
      <w:r w:rsidRPr="00C3671E">
        <w:rPr>
          <w:i/>
          <w:iCs/>
          <w:noProof/>
          <w:lang w:val="en-GB"/>
        </w:rPr>
        <w:t>Journal of Aging Studies</w:t>
      </w:r>
      <w:r w:rsidRPr="00C3671E">
        <w:rPr>
          <w:noProof/>
          <w:lang w:val="en-GB"/>
        </w:rPr>
        <w:t xml:space="preserve"> 40:49–56.</w:t>
      </w:r>
    </w:p>
    <w:p w14:paraId="556B4900"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Schmid, Tina, Martina Brandt, and Klaus Haberkern. 2012. “Gendered Support to Older Parents: Do Welfare States Matter?” </w:t>
      </w:r>
      <w:r w:rsidRPr="00C3671E">
        <w:rPr>
          <w:i/>
          <w:iCs/>
          <w:noProof/>
          <w:lang w:val="en-GB"/>
        </w:rPr>
        <w:t>European Journal of Ageing</w:t>
      </w:r>
      <w:r w:rsidRPr="00C3671E">
        <w:rPr>
          <w:noProof/>
          <w:lang w:val="en-GB"/>
        </w:rPr>
        <w:t xml:space="preserve"> 9(1):39–50.</w:t>
      </w:r>
    </w:p>
    <w:p w14:paraId="0FDC694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Schulz, Martin S., Philip A. Cowan, C. P. Cowan, and Robert T. Brennan. 2004. “Coming Home Upset: Gender, Marital Satisfaction, and the Daily Spillover of Workday Experience into Couple Interactions.” </w:t>
      </w:r>
      <w:r w:rsidRPr="00C3671E">
        <w:rPr>
          <w:i/>
          <w:iCs/>
          <w:noProof/>
          <w:lang w:val="en-GB"/>
        </w:rPr>
        <w:t>Journal of Family Psychology:</w:t>
      </w:r>
      <w:r w:rsidRPr="00C3671E">
        <w:rPr>
          <w:noProof/>
          <w:lang w:val="en-GB"/>
        </w:rPr>
        <w:t xml:space="preserve"> 18(1):250–63.</w:t>
      </w:r>
    </w:p>
    <w:p w14:paraId="15BEBDCE"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Schwartz, Shalom H. 2005. “Robustness and Fruitfulness of a Theory of Universals in Individual Values.” Pp. 1–46 in </w:t>
      </w:r>
      <w:r w:rsidRPr="00C3671E">
        <w:rPr>
          <w:i/>
          <w:iCs/>
          <w:noProof/>
          <w:lang w:val="en-GB"/>
        </w:rPr>
        <w:t>Valores e trabalho [Values and work]</w:t>
      </w:r>
      <w:r w:rsidRPr="00C3671E">
        <w:rPr>
          <w:noProof/>
          <w:lang w:val="en-GB"/>
        </w:rPr>
        <w:t>, edited by A. Tamayo and J. B. Porto. Brasilia: Editora Universidade de Brasilia.</w:t>
      </w:r>
    </w:p>
    <w:p w14:paraId="51843D7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lastRenderedPageBreak/>
        <w:t xml:space="preserve">Serrat, Rodrigo, Feliciano Villar, and Montserrat Celdrán. 2015. “Factors Associated with Spanish Older People’s Membership in Political Organizations: The Role of Active Aging Activities.” </w:t>
      </w:r>
      <w:r w:rsidRPr="00C3671E">
        <w:rPr>
          <w:i/>
          <w:iCs/>
          <w:noProof/>
          <w:lang w:val="en-GB"/>
        </w:rPr>
        <w:t>European Journal of Ageing</w:t>
      </w:r>
      <w:r w:rsidRPr="00C3671E">
        <w:rPr>
          <w:noProof/>
          <w:lang w:val="en-GB"/>
        </w:rPr>
        <w:t xml:space="preserve"> 12(3):239–47.</w:t>
      </w:r>
    </w:p>
    <w:p w14:paraId="593799F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Shiovitz-Ezra, Sharon. 2013. “Confidant Networks and Loneliness.” Pp. 349–58 in </w:t>
      </w:r>
      <w:r w:rsidRPr="00C3671E">
        <w:rPr>
          <w:i/>
          <w:iCs/>
          <w:noProof/>
          <w:lang w:val="en-GB"/>
        </w:rPr>
        <w:t>Active ageing and solidarity between generations in Europe. First results from SHARE after the economic crisis</w:t>
      </w:r>
      <w:r w:rsidRPr="00C3671E">
        <w:rPr>
          <w:noProof/>
          <w:lang w:val="en-GB"/>
        </w:rPr>
        <w:t>, edited by A. Börsch-Supan, M. Brandt, H. Litwin, and G. Weber. Berlin: De Gruyter.</w:t>
      </w:r>
    </w:p>
    <w:p w14:paraId="451B2D84"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Sidorenko, Alexandre and Asghar Zaidi. 2013. “Active Ageing in CIS Countries: Semantics, Challenges, and Responses.” </w:t>
      </w:r>
      <w:r w:rsidRPr="00C3671E">
        <w:rPr>
          <w:i/>
          <w:iCs/>
          <w:noProof/>
          <w:lang w:val="en-GB"/>
        </w:rPr>
        <w:t>Current Gerontology and Geriatrics Research</w:t>
      </w:r>
      <w:r w:rsidRPr="00C3671E">
        <w:rPr>
          <w:noProof/>
          <w:lang w:val="en-GB"/>
        </w:rPr>
        <w:t xml:space="preserve"> 2013.</w:t>
      </w:r>
    </w:p>
    <w:p w14:paraId="3EADFA0B"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Sieber, Sam D. 1974. “Toward a Theory of Role Accumulation.” </w:t>
      </w:r>
      <w:r w:rsidRPr="00C3671E">
        <w:rPr>
          <w:i/>
          <w:iCs/>
          <w:noProof/>
          <w:lang w:val="en-GB"/>
        </w:rPr>
        <w:t>American Sociological Review</w:t>
      </w:r>
      <w:r w:rsidRPr="00C3671E">
        <w:rPr>
          <w:noProof/>
          <w:lang w:val="en-GB"/>
        </w:rPr>
        <w:t xml:space="preserve"> 39(4):567–78.</w:t>
      </w:r>
    </w:p>
    <w:p w14:paraId="335E50B6"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Siegrist, Johannes and Morten Wahrendorf. 2009. “Participation in Socially Productive Activities and Quality of Life in Early Old Age: Findings from SHARE.” </w:t>
      </w:r>
      <w:r w:rsidRPr="00C3671E">
        <w:rPr>
          <w:i/>
          <w:iCs/>
          <w:noProof/>
          <w:lang w:val="en-GB"/>
        </w:rPr>
        <w:t>Journal of European Social Policy</w:t>
      </w:r>
      <w:r w:rsidRPr="00C3671E">
        <w:rPr>
          <w:noProof/>
          <w:lang w:val="en-GB"/>
        </w:rPr>
        <w:t xml:space="preserve"> 19(4):317–26. Retrieved (http://journals.sagepub.com/doi/10.1177/1350506809341513).</w:t>
      </w:r>
    </w:p>
    <w:p w14:paraId="444B325B"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Smelser, Neil J. 2003. “On Comparative Analysis, Interdisciplinarity and Internationalizaion in Sociology.” </w:t>
      </w:r>
      <w:r w:rsidRPr="00C3671E">
        <w:rPr>
          <w:i/>
          <w:iCs/>
          <w:noProof/>
          <w:lang w:val="en-GB"/>
        </w:rPr>
        <w:t>International Sociology</w:t>
      </w:r>
      <w:r w:rsidRPr="00C3671E">
        <w:rPr>
          <w:noProof/>
          <w:lang w:val="en-GB"/>
        </w:rPr>
        <w:t xml:space="preserve"> 18(4):643–57.</w:t>
      </w:r>
    </w:p>
    <w:p w14:paraId="13D7978A"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Sobotka, Tomáš. 2008a. “Does Persistent Low Fertility Threaten the Future of European Populations?” Pp. 27–90 in </w:t>
      </w:r>
      <w:r w:rsidRPr="00C3671E">
        <w:rPr>
          <w:i/>
          <w:iCs/>
          <w:noProof/>
          <w:lang w:val="en-GB"/>
        </w:rPr>
        <w:t>Demographic Challenges for the 21st Century: A State of the Art in Demography</w:t>
      </w:r>
      <w:r w:rsidRPr="00C3671E">
        <w:rPr>
          <w:noProof/>
          <w:lang w:val="en-GB"/>
        </w:rPr>
        <w:t>, edited by J. Surkyn, P. Deboosere, and J. Van Bavel. Brussels: VUBPRESS.</w:t>
      </w:r>
    </w:p>
    <w:p w14:paraId="50DD51BD"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Sobotka, Tomáš. 2008b. “Overview Chapter 6: The Diverse Faces of the Second Demographic Transition in Europe.” </w:t>
      </w:r>
      <w:r w:rsidRPr="00C3671E">
        <w:rPr>
          <w:i/>
          <w:iCs/>
          <w:noProof/>
          <w:lang w:val="en-GB"/>
        </w:rPr>
        <w:t>Demographic Research</w:t>
      </w:r>
      <w:r w:rsidRPr="00C3671E">
        <w:rPr>
          <w:noProof/>
          <w:lang w:val="en-GB"/>
        </w:rPr>
        <w:t xml:space="preserve"> 19:171–224.</w:t>
      </w:r>
    </w:p>
    <w:p w14:paraId="559599DF"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Sonnega, Amanda et al. 2014. “Cohort Profile: The Health and Retirement Study (HRS).” </w:t>
      </w:r>
      <w:r w:rsidRPr="00C3671E">
        <w:rPr>
          <w:i/>
          <w:iCs/>
          <w:noProof/>
          <w:lang w:val="en-GB"/>
        </w:rPr>
        <w:t>International Journal of Epidemiology</w:t>
      </w:r>
      <w:r w:rsidRPr="00C3671E">
        <w:rPr>
          <w:noProof/>
          <w:lang w:val="en-GB"/>
        </w:rPr>
        <w:t xml:space="preserve"> 43(2):576–85.</w:t>
      </w:r>
    </w:p>
    <w:p w14:paraId="673CF486"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Stenner, Paul, Tara McFarquhar, and Ann Bowling. 2011. “Older People and ‘Active Ageing’: Subjective Aspects of Ageing Actively.” </w:t>
      </w:r>
      <w:r w:rsidRPr="00C3671E">
        <w:rPr>
          <w:i/>
          <w:iCs/>
          <w:noProof/>
          <w:lang w:val="en-GB"/>
        </w:rPr>
        <w:t>Journal of Health Psychology</w:t>
      </w:r>
      <w:r w:rsidRPr="00C3671E">
        <w:rPr>
          <w:noProof/>
          <w:lang w:val="en-GB"/>
        </w:rPr>
        <w:t xml:space="preserve"> 16(3):467–77. Retrieved (http://journals.sagepub.com/doi/10.1177/1359105310384298).</w:t>
      </w:r>
    </w:p>
    <w:p w14:paraId="287DA3D4"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Stolz, Erwin. 2015. “Cross-National Variation in Quality of Life of Care-Dependent Elders in Europe: A Two-Step Approach Combining Multilevel Regression and Fuzzy-Set QCA.” </w:t>
      </w:r>
      <w:r w:rsidRPr="00C3671E">
        <w:rPr>
          <w:i/>
          <w:iCs/>
          <w:noProof/>
          <w:lang w:val="en-GB"/>
        </w:rPr>
        <w:t>International Journal of Sociology</w:t>
      </w:r>
      <w:r w:rsidRPr="00C3671E">
        <w:rPr>
          <w:noProof/>
          <w:lang w:val="en-GB"/>
        </w:rPr>
        <w:t xml:space="preserve"> 45(4):286–308. Retrieved (http://www.tandfonline.com/doi/full/10.1080/00207659.2015.1098177).</w:t>
      </w:r>
    </w:p>
    <w:p w14:paraId="7702CC1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Surkyn, Johan, Patrick Deboosere, and Jan van Bavel. 2008. </w:t>
      </w:r>
      <w:r w:rsidRPr="00C3671E">
        <w:rPr>
          <w:i/>
          <w:iCs/>
          <w:noProof/>
          <w:lang w:val="en-GB"/>
        </w:rPr>
        <w:t>Demographic Challenges for the 21st Century: A State of the Art in Demography</w:t>
      </w:r>
      <w:r w:rsidRPr="00C3671E">
        <w:rPr>
          <w:noProof/>
          <w:lang w:val="en-GB"/>
        </w:rPr>
        <w:t>. Brussels: VUBPRESS.</w:t>
      </w:r>
    </w:p>
    <w:p w14:paraId="415D550B"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Szinovacz, Maximiliane E. 2008. “Children in Caregiving Families.” Pp. 161–94 in </w:t>
      </w:r>
      <w:r w:rsidRPr="00C3671E">
        <w:rPr>
          <w:i/>
          <w:iCs/>
          <w:noProof/>
          <w:lang w:val="en-GB"/>
        </w:rPr>
        <w:t>Caregiving Contexts: Cultural, Familial, and Societal Implications: Cultural, Familial, and Societal Implications</w:t>
      </w:r>
      <w:r w:rsidRPr="00C3671E">
        <w:rPr>
          <w:noProof/>
          <w:lang w:val="en-GB"/>
        </w:rPr>
        <w:t>, edited by A. Davey and M. E. Szinovacz. New York: Springer Publishing Company.</w:t>
      </w:r>
    </w:p>
    <w:p w14:paraId="34945F0A"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Szinovacz, Maximiliane E. and Adam Davey. 2004. “Honeymoons and Joint Lunches: Effects of Retirement and Spouse’s Employment on Depressive Symptoms.” </w:t>
      </w:r>
      <w:r w:rsidRPr="00C3671E">
        <w:rPr>
          <w:i/>
          <w:iCs/>
          <w:noProof/>
          <w:lang w:val="en-GB"/>
        </w:rPr>
        <w:t>The Journals of Gerontology: Psychological Sciences</w:t>
      </w:r>
      <w:r w:rsidRPr="00C3671E">
        <w:rPr>
          <w:noProof/>
          <w:lang w:val="en-GB"/>
        </w:rPr>
        <w:t xml:space="preserve"> 59(5):233–45.</w:t>
      </w:r>
    </w:p>
    <w:p w14:paraId="3B0EC685"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Szinovacz, Maximiliane E. and Adam Davey. 2006. “Effects of Retirement and Grandchild Care on Depressive Symptoms.” </w:t>
      </w:r>
      <w:r w:rsidRPr="00C3671E">
        <w:rPr>
          <w:i/>
          <w:iCs/>
          <w:noProof/>
          <w:lang w:val="en-GB"/>
        </w:rPr>
        <w:t>International Journal of Aging &amp; Human Development</w:t>
      </w:r>
      <w:r w:rsidRPr="00C3671E">
        <w:rPr>
          <w:noProof/>
          <w:lang w:val="en-GB"/>
        </w:rPr>
        <w:t xml:space="preserve"> 62(1):1–20.</w:t>
      </w:r>
    </w:p>
    <w:p w14:paraId="40E2A586"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Theeke, Laurie A. 2009. “Predictors of Loneliness in U.S. Adults Over Age Sixty-Five.” </w:t>
      </w:r>
      <w:r w:rsidRPr="00C3671E">
        <w:rPr>
          <w:i/>
          <w:iCs/>
          <w:noProof/>
          <w:lang w:val="en-GB"/>
        </w:rPr>
        <w:t>Archives of Psychiatric Nursing</w:t>
      </w:r>
      <w:r w:rsidRPr="00C3671E">
        <w:rPr>
          <w:noProof/>
          <w:lang w:val="en-GB"/>
        </w:rPr>
        <w:t xml:space="preserve"> 23(5):387–96. Retrieved (http://dx.doi.org/10.1016/j.apnu.2008.11.002).</w:t>
      </w:r>
    </w:p>
    <w:p w14:paraId="51F4CAEA"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Thomas, Patricia A. 2011. “Trajectories of Social Engagement and Limitations in Late Life.” </w:t>
      </w:r>
      <w:r w:rsidRPr="00C3671E">
        <w:rPr>
          <w:i/>
          <w:iCs/>
          <w:noProof/>
          <w:lang w:val="en-GB"/>
        </w:rPr>
        <w:t>Journal of Health and Social Behavior</w:t>
      </w:r>
      <w:r w:rsidRPr="00C3671E">
        <w:rPr>
          <w:noProof/>
          <w:lang w:val="en-GB"/>
        </w:rPr>
        <w:t xml:space="preserve"> 52(4):430–43.</w:t>
      </w:r>
    </w:p>
    <w:p w14:paraId="3719468E"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Timonen, Virpi. 2008. </w:t>
      </w:r>
      <w:r w:rsidRPr="00C3671E">
        <w:rPr>
          <w:i/>
          <w:iCs/>
          <w:noProof/>
          <w:lang w:val="en-GB"/>
        </w:rPr>
        <w:t>Ageing Societies: A Comparative Introduction</w:t>
      </w:r>
      <w:r w:rsidRPr="00C3671E">
        <w:rPr>
          <w:noProof/>
          <w:lang w:val="en-GB"/>
        </w:rPr>
        <w:t xml:space="preserve">. Maidenhead: Open </w:t>
      </w:r>
      <w:r w:rsidRPr="00C3671E">
        <w:rPr>
          <w:noProof/>
          <w:lang w:val="en-GB"/>
        </w:rPr>
        <w:lastRenderedPageBreak/>
        <w:t>University Press. Retrieved (http://itidjournal.org/itid/article/viewFile/760/320).</w:t>
      </w:r>
    </w:p>
    <w:p w14:paraId="5FB47D5E"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Timonen, Virpi. 2016. </w:t>
      </w:r>
      <w:r w:rsidRPr="00C3671E">
        <w:rPr>
          <w:i/>
          <w:iCs/>
          <w:noProof/>
          <w:lang w:val="en-GB"/>
        </w:rPr>
        <w:t>Beyond Successful and Active Ageing: A Theory of Model Ageing</w:t>
      </w:r>
      <w:r w:rsidRPr="00C3671E">
        <w:rPr>
          <w:noProof/>
          <w:lang w:val="en-GB"/>
        </w:rPr>
        <w:t>. Bristol: Policy Press Shorts Research.</w:t>
      </w:r>
    </w:p>
    <w:p w14:paraId="2A3A5970"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Timonen, Virpi, Catherine Conlon, Thomas Scharf, and Gemma Carney. 2013. “Family, State, Class and Solidarity: Re-Conceptualising Intergenerational Solidarity through the Grounded Theory Approach.” </w:t>
      </w:r>
      <w:r w:rsidRPr="00C3671E">
        <w:rPr>
          <w:i/>
          <w:iCs/>
          <w:noProof/>
          <w:lang w:val="en-GB"/>
        </w:rPr>
        <w:t>European Journal of Ageing</w:t>
      </w:r>
      <w:r w:rsidRPr="00C3671E">
        <w:rPr>
          <w:noProof/>
          <w:lang w:val="en-GB"/>
        </w:rPr>
        <w:t xml:space="preserve"> 10(3):171–79.</w:t>
      </w:r>
    </w:p>
    <w:p w14:paraId="1B85F2CF"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Todosijević, Bojan. 2014. “Failed Promises of Modernization: Temporal Trends in Religiosity, Postmaterialism and Ethno-Nationalist Attitudes in the Netherlands.” </w:t>
      </w:r>
      <w:r w:rsidRPr="00C3671E">
        <w:rPr>
          <w:i/>
          <w:iCs/>
          <w:noProof/>
          <w:lang w:val="en-GB"/>
        </w:rPr>
        <w:t>Sociological Discourse</w:t>
      </w:r>
      <w:r w:rsidRPr="00C3671E">
        <w:rPr>
          <w:noProof/>
          <w:lang w:val="en-GB"/>
        </w:rPr>
        <w:t xml:space="preserve"> 4(5):29–43.</w:t>
      </w:r>
    </w:p>
    <w:p w14:paraId="7CC0AFD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Towers, Andy, Polly Yeung, Brendan Stevenson, Christine Stephens, and Fiona Alpass. 2015. “Quality of Life in Indigenous and Non-Indigenous Older Adults: Assessing the CASP-12 Factor Structure and Identifying a Brief CASP-3.” </w:t>
      </w:r>
      <w:r w:rsidRPr="00C3671E">
        <w:rPr>
          <w:i/>
          <w:iCs/>
          <w:noProof/>
          <w:lang w:val="en-GB"/>
        </w:rPr>
        <w:t>Quality of Life Research</w:t>
      </w:r>
      <w:r w:rsidRPr="00C3671E">
        <w:rPr>
          <w:noProof/>
          <w:lang w:val="en-GB"/>
        </w:rPr>
        <w:t xml:space="preserve"> 24(1):193–203.</w:t>
      </w:r>
    </w:p>
    <w:p w14:paraId="072781C3"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Trading Economics. 2017. “Retirement Age of Men and Women.” Retrieved October 19, 2017 (https://tradingeconomics.com/country-list/retirement-age-women).</w:t>
      </w:r>
    </w:p>
    <w:p w14:paraId="11A9CC9E"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Tsai, Feng-Jen, Sandrine Motamed, and André Rougemont. 2013. “The Protective Effect of Taking Care of Grandchildren on Elders’ Mental Health? Associations between Changing Patterns of Intergenerational Exchanges and the Reduction of Elders’ Loneliness and Depression between 1993 and 2007 in Taiwan.” </w:t>
      </w:r>
      <w:r w:rsidRPr="00C3671E">
        <w:rPr>
          <w:i/>
          <w:iCs/>
          <w:noProof/>
          <w:lang w:val="en-GB"/>
        </w:rPr>
        <w:t>BMC Public Health</w:t>
      </w:r>
      <w:r w:rsidRPr="00C3671E">
        <w:rPr>
          <w:noProof/>
          <w:lang w:val="en-GB"/>
        </w:rPr>
        <w:t xml:space="preserve"> 13(1):567. Retrieved (http://bmcpublichealth.biomedcentral.com/articles/10.1186/1471-2458-13-567).</w:t>
      </w:r>
    </w:p>
    <w:p w14:paraId="3A1B7468"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Uhlaner, Lorraine and Roy Thurik. 2004. </w:t>
      </w:r>
      <w:r w:rsidRPr="00C3671E">
        <w:rPr>
          <w:i/>
          <w:iCs/>
          <w:noProof/>
          <w:lang w:val="en-GB"/>
        </w:rPr>
        <w:t>Post-Materialism Influencing Total Entrepreneurial Activity Across Nations</w:t>
      </w:r>
      <w:r w:rsidRPr="00C3671E">
        <w:rPr>
          <w:noProof/>
          <w:lang w:val="en-GB"/>
        </w:rPr>
        <w:t>. Jena.</w:t>
      </w:r>
    </w:p>
    <w:p w14:paraId="4A4D9DA9"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UN. 2002. </w:t>
      </w:r>
      <w:r w:rsidRPr="00C3671E">
        <w:rPr>
          <w:i/>
          <w:iCs/>
          <w:noProof/>
          <w:lang w:val="en-GB"/>
        </w:rPr>
        <w:t>Madrid International Plan of Action on Ageing</w:t>
      </w:r>
      <w:r w:rsidRPr="00C3671E">
        <w:rPr>
          <w:noProof/>
          <w:lang w:val="en-GB"/>
        </w:rPr>
        <w:t>. New York.</w:t>
      </w:r>
    </w:p>
    <w:p w14:paraId="1EA63B1B"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UNECE. 2013. “Ensuring a Society for All Ages: Promoting Quality of Life and Active Ageing.” in </w:t>
      </w:r>
      <w:r w:rsidRPr="00C3671E">
        <w:rPr>
          <w:i/>
          <w:iCs/>
          <w:noProof/>
          <w:lang w:val="en-GB"/>
        </w:rPr>
        <w:t>2012 UNECE Ministerial Conference on Ageing</w:t>
      </w:r>
      <w:r w:rsidRPr="00C3671E">
        <w:rPr>
          <w:noProof/>
          <w:lang w:val="en-GB"/>
        </w:rPr>
        <w:t>. Geneva: United Nations.</w:t>
      </w:r>
    </w:p>
    <w:p w14:paraId="6A36450F"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Vásquez, Ian and Tanja Porčnik. 2017. </w:t>
      </w:r>
      <w:r w:rsidRPr="00C3671E">
        <w:rPr>
          <w:i/>
          <w:iCs/>
          <w:noProof/>
          <w:lang w:val="en-GB"/>
        </w:rPr>
        <w:t>The Human Freedom Index: A Global Measurement of Personal, Civil, and Economic Freedom</w:t>
      </w:r>
      <w:r w:rsidRPr="00C3671E">
        <w:rPr>
          <w:noProof/>
          <w:lang w:val="en-GB"/>
        </w:rPr>
        <w:t>. Washington DC. Retrieved March 15, 2018 (https://object.cato.org/sites/cato.org/files/human-freedom-index-files/2017-human-freedom-index-2.pdf).</w:t>
      </w:r>
    </w:p>
    <w:p w14:paraId="3F0450E0"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Veblen, Thorstein. 2003. </w:t>
      </w:r>
      <w:r w:rsidRPr="00C3671E">
        <w:rPr>
          <w:i/>
          <w:iCs/>
          <w:noProof/>
          <w:lang w:val="en-GB"/>
        </w:rPr>
        <w:t>The Theory of the Leisure Class</w:t>
      </w:r>
      <w:r w:rsidRPr="00C3671E">
        <w:rPr>
          <w:noProof/>
          <w:lang w:val="en-GB"/>
        </w:rPr>
        <w:t>. A Penn Sta. edited by J. Manis. Hazleton: The Pennsylvania State University.</w:t>
      </w:r>
    </w:p>
    <w:p w14:paraId="239F87F4"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Walker, Alan. 2002a. “A Strategy for Active Ageing.” </w:t>
      </w:r>
      <w:r w:rsidRPr="00C3671E">
        <w:rPr>
          <w:i/>
          <w:iCs/>
          <w:noProof/>
          <w:lang w:val="en-GB"/>
        </w:rPr>
        <w:t>International Social Security Review</w:t>
      </w:r>
      <w:r w:rsidRPr="00C3671E">
        <w:rPr>
          <w:noProof/>
          <w:lang w:val="en-GB"/>
        </w:rPr>
        <w:t xml:space="preserve"> 55(1):121–39. Retrieved (http://doi.wiley.com/10.1111/1468-246X.00118).</w:t>
      </w:r>
    </w:p>
    <w:p w14:paraId="3A2F68AB"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Walker, Alan. 2002b. “The Politics of Intergenerational Relations.” </w:t>
      </w:r>
      <w:r w:rsidRPr="00C3671E">
        <w:rPr>
          <w:i/>
          <w:iCs/>
          <w:noProof/>
          <w:lang w:val="en-GB"/>
        </w:rPr>
        <w:t>Zeitschrift Fur Gerontologie Und Geriatrie</w:t>
      </w:r>
      <w:r w:rsidRPr="00C3671E">
        <w:rPr>
          <w:noProof/>
          <w:lang w:val="en-GB"/>
        </w:rPr>
        <w:t xml:space="preserve"> 35(4):297–303.</w:t>
      </w:r>
    </w:p>
    <w:p w14:paraId="47CF3778"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Walker, Alan. 2004. “Quality of Life in Old Age in Europe.” Pp. 1–30 in </w:t>
      </w:r>
      <w:r w:rsidRPr="00C3671E">
        <w:rPr>
          <w:i/>
          <w:iCs/>
          <w:noProof/>
          <w:lang w:val="en-GB"/>
        </w:rPr>
        <w:t>Growing older in Europe</w:t>
      </w:r>
      <w:r w:rsidRPr="00C3671E">
        <w:rPr>
          <w:noProof/>
          <w:lang w:val="en-GB"/>
        </w:rPr>
        <w:t>, edited by A. Walker. Maidenhead: Open University Press.</w:t>
      </w:r>
    </w:p>
    <w:p w14:paraId="738FDE24"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Walker, Alan. 2005a. “A European Perspective on Quality of Life in Old Age.” </w:t>
      </w:r>
      <w:r w:rsidRPr="00C3671E">
        <w:rPr>
          <w:i/>
          <w:iCs/>
          <w:noProof/>
          <w:lang w:val="en-GB"/>
        </w:rPr>
        <w:t>European Journal of Ageing</w:t>
      </w:r>
      <w:r w:rsidRPr="00C3671E">
        <w:rPr>
          <w:noProof/>
          <w:lang w:val="en-GB"/>
        </w:rPr>
        <w:t xml:space="preserve"> 2(1):2–12.</w:t>
      </w:r>
    </w:p>
    <w:p w14:paraId="714A0C54"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Walker, Alan. 2005b. “Conclusion: From Research to Action.” Pp. 161–72 in </w:t>
      </w:r>
      <w:r w:rsidRPr="00C3671E">
        <w:rPr>
          <w:i/>
          <w:iCs/>
          <w:noProof/>
          <w:lang w:val="en-GB"/>
        </w:rPr>
        <w:t>Understanding Quality of Life in Old Age</w:t>
      </w:r>
      <w:r w:rsidRPr="00C3671E">
        <w:rPr>
          <w:noProof/>
          <w:lang w:val="en-GB"/>
        </w:rPr>
        <w:t>, edited by A. Walker. Maidenhead: Open University Press.</w:t>
      </w:r>
    </w:p>
    <w:p w14:paraId="40C7D918"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Walker, Alan. 2009. “Commentary: The Emergence and Application of Active Aging in Europe.” </w:t>
      </w:r>
      <w:r w:rsidRPr="00C3671E">
        <w:rPr>
          <w:i/>
          <w:iCs/>
          <w:noProof/>
          <w:lang w:val="en-GB"/>
        </w:rPr>
        <w:t>Journal of Aging and Social Policy</w:t>
      </w:r>
      <w:r w:rsidRPr="00C3671E">
        <w:rPr>
          <w:noProof/>
          <w:lang w:val="en-GB"/>
        </w:rPr>
        <w:t xml:space="preserve"> 21(1):75–93.</w:t>
      </w:r>
    </w:p>
    <w:p w14:paraId="4DE03AD2"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Walker, Alan and Tony Maltby. 2012. “Active Ageing: A Strategic Policy Solution to Demographic Ageing in the European Union.” </w:t>
      </w:r>
      <w:r w:rsidRPr="00C3671E">
        <w:rPr>
          <w:i/>
          <w:iCs/>
          <w:noProof/>
          <w:lang w:val="en-GB"/>
        </w:rPr>
        <w:t>International Journal of Social Welfare</w:t>
      </w:r>
      <w:r w:rsidRPr="00C3671E">
        <w:rPr>
          <w:noProof/>
          <w:lang w:val="en-GB"/>
        </w:rPr>
        <w:t xml:space="preserve"> 21(SUPPL.1):117–30.</w:t>
      </w:r>
    </w:p>
    <w:p w14:paraId="2E3D609C"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Warburton, Jeni and Eva Jeppsson Grassman. 2011. “Variations in Older People’s Social and Productive Ageing Activities across Different Social Welfare Regimes.” </w:t>
      </w:r>
      <w:r w:rsidRPr="00C3671E">
        <w:rPr>
          <w:i/>
          <w:iCs/>
          <w:noProof/>
          <w:lang w:val="en-GB"/>
        </w:rPr>
        <w:t>International Journal of Social Welfare</w:t>
      </w:r>
      <w:r w:rsidRPr="00C3671E">
        <w:rPr>
          <w:noProof/>
          <w:lang w:val="en-GB"/>
        </w:rPr>
        <w:t xml:space="preserve"> 20(2):180–91.</w:t>
      </w:r>
    </w:p>
    <w:p w14:paraId="03AFFDBE"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lastRenderedPageBreak/>
        <w:t xml:space="preserve">Warburton, Jeni and Rachel Winterton. 2010. “The Role of Volunteering in an Era of Cultural Transition: Can It Provide a Role Identity for Older People from Asian Cultures?” </w:t>
      </w:r>
      <w:r w:rsidRPr="00C3671E">
        <w:rPr>
          <w:i/>
          <w:iCs/>
          <w:noProof/>
          <w:lang w:val="en-GB"/>
        </w:rPr>
        <w:t>Diversity</w:t>
      </w:r>
      <w:r w:rsidRPr="00C3671E">
        <w:rPr>
          <w:noProof/>
          <w:lang w:val="en-GB"/>
        </w:rPr>
        <w:t xml:space="preserve"> 2(8):1048–58.</w:t>
      </w:r>
    </w:p>
    <w:p w14:paraId="11A616ED"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Warwick, Paul V. 1998. “Disputed Cause, Disputed Effect: The Postmaterialist Thesis Re-Examined.” </w:t>
      </w:r>
      <w:r w:rsidRPr="00C3671E">
        <w:rPr>
          <w:i/>
          <w:iCs/>
          <w:noProof/>
          <w:lang w:val="en-GB"/>
        </w:rPr>
        <w:t>The Public Opinion Quaterly</w:t>
      </w:r>
      <w:r w:rsidRPr="00C3671E">
        <w:rPr>
          <w:noProof/>
          <w:lang w:val="en-GB"/>
        </w:rPr>
        <w:t xml:space="preserve"> 62(4):583–609.</w:t>
      </w:r>
    </w:p>
    <w:p w14:paraId="2BCA3EB7"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Weber, Max. 2001. </w:t>
      </w:r>
      <w:r w:rsidRPr="00C3671E">
        <w:rPr>
          <w:i/>
          <w:iCs/>
          <w:noProof/>
          <w:lang w:val="en-GB"/>
        </w:rPr>
        <w:t>The Protestant Ethic and the Spirit of Capitalism</w:t>
      </w:r>
      <w:r w:rsidRPr="00C3671E">
        <w:rPr>
          <w:noProof/>
          <w:lang w:val="en-GB"/>
        </w:rPr>
        <w:t>. London: Routledge.</w:t>
      </w:r>
    </w:p>
    <w:p w14:paraId="08D4CA4D"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Weidekamp-Maicher, Monika and Manuela Reichert. 2004. “Germany – Quality of Life in Old Age I.” Pp. 33–54 in </w:t>
      </w:r>
      <w:r w:rsidRPr="00C3671E">
        <w:rPr>
          <w:i/>
          <w:iCs/>
          <w:noProof/>
          <w:lang w:val="en-GB"/>
        </w:rPr>
        <w:t>Growing older in Europe</w:t>
      </w:r>
      <w:r w:rsidRPr="00C3671E">
        <w:rPr>
          <w:noProof/>
          <w:lang w:val="en-GB"/>
        </w:rPr>
        <w:t>, edited by A. Walker. Maidenhead: Open University Press.</w:t>
      </w:r>
    </w:p>
    <w:p w14:paraId="66619AF3"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WHO. 1999. “Active Ageing Makes the Difference.” </w:t>
      </w:r>
      <w:r w:rsidRPr="00C3671E">
        <w:rPr>
          <w:i/>
          <w:iCs/>
          <w:noProof/>
          <w:lang w:val="en-GB"/>
        </w:rPr>
        <w:t>WHO &amp; Global Movement for Active Ageing</w:t>
      </w:r>
      <w:r w:rsidRPr="00C3671E">
        <w:rPr>
          <w:noProof/>
          <w:lang w:val="en-GB"/>
        </w:rPr>
        <w:t xml:space="preserve"> 2.</w:t>
      </w:r>
    </w:p>
    <w:p w14:paraId="49825835"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WHO. 2002. “Active Ageing: A Policy Framework.” 1–60. Retrieved (http://www.informaworld.com/openurl?genre=article&amp;doi=10.1080/713604647&amp;magic=crossref%7C%7CD404A21C5BB053405B1A640AFFD44AE3).</w:t>
      </w:r>
    </w:p>
    <w:p w14:paraId="287ED3BB"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WHO. 2012. “Good Health Adds Life to Years: Global Brief for World Health Day 2012.” 1–30.</w:t>
      </w:r>
    </w:p>
    <w:p w14:paraId="248D64AF"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Wollebæk, Dag and Per Selle. 2008. “A Social Democratic Model of Civil Society?” Pp. 47–69 in </w:t>
      </w:r>
      <w:r w:rsidRPr="00C3671E">
        <w:rPr>
          <w:i/>
          <w:iCs/>
          <w:noProof/>
          <w:lang w:val="en-GB"/>
        </w:rPr>
        <w:t>Changing Images of Civil Society: From protest to governance</w:t>
      </w:r>
      <w:r w:rsidRPr="00C3671E">
        <w:rPr>
          <w:noProof/>
          <w:lang w:val="en-GB"/>
        </w:rPr>
        <w:t>, edited by B. Jobert and B. Kohler-Koch. London: Routledge.</w:t>
      </w:r>
    </w:p>
    <w:p w14:paraId="5F5C4671"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Wong, Jessica Y. and Joanne K. Earl. 2009. “Towards an Integrated Model of Individual, Psychosocial, and Organizational Predictors of Retirement Adjustment.” </w:t>
      </w:r>
      <w:r w:rsidRPr="00C3671E">
        <w:rPr>
          <w:i/>
          <w:iCs/>
          <w:noProof/>
          <w:lang w:val="en-GB"/>
        </w:rPr>
        <w:t>Journal of Vocational Behavior</w:t>
      </w:r>
      <w:r w:rsidRPr="00C3671E">
        <w:rPr>
          <w:noProof/>
          <w:lang w:val="en-GB"/>
        </w:rPr>
        <w:t xml:space="preserve"> 75(1):1–13. Retrieved (http://dx.doi.org/10.1016/j.jvb.2008.12.010).</w:t>
      </w:r>
    </w:p>
    <w:p w14:paraId="72075815"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World Bank. 2018. “GDP per Capita (Current US$).” Retrieved March 15, 2018 (https://data.worldbank.org/indicator/NY.GDP.PCAP.CD?end=2015&amp;start=1960).</w:t>
      </w:r>
    </w:p>
    <w:p w14:paraId="1ECB0136"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Zaidi, Asghar. 2015. </w:t>
      </w:r>
      <w:r w:rsidRPr="00C3671E">
        <w:rPr>
          <w:i/>
          <w:iCs/>
          <w:noProof/>
          <w:lang w:val="en-GB"/>
        </w:rPr>
        <w:t>Active Ageing Index 2014 Analytical Report</w:t>
      </w:r>
      <w:r w:rsidRPr="00C3671E">
        <w:rPr>
          <w:noProof/>
          <w:lang w:val="en-GB"/>
        </w:rPr>
        <w:t>. Geneva: UNECE.</w:t>
      </w:r>
    </w:p>
    <w:p w14:paraId="6CFA3787"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Zaidi, Asghar and Kenneth Howse. 2017. “The Policy Discourse of Active Ageing: Some Reflections.” </w:t>
      </w:r>
      <w:r w:rsidRPr="00C3671E">
        <w:rPr>
          <w:i/>
          <w:iCs/>
          <w:noProof/>
          <w:lang w:val="en-GB"/>
        </w:rPr>
        <w:t>Journal of Population Ageing</w:t>
      </w:r>
      <w:r w:rsidRPr="00C3671E">
        <w:rPr>
          <w:noProof/>
          <w:lang w:val="en-GB"/>
        </w:rPr>
        <w:t xml:space="preserve"> 10(1):1–10. Retrieved (http://link.springer.com/10.1007/s12062-017-9174-6).</w:t>
      </w:r>
    </w:p>
    <w:p w14:paraId="563117C0" w14:textId="77777777" w:rsidR="004F5010" w:rsidRPr="00C3671E" w:rsidRDefault="004F5010" w:rsidP="00FE0FFE">
      <w:pPr>
        <w:widowControl w:val="0"/>
        <w:autoSpaceDE w:val="0"/>
        <w:autoSpaceDN w:val="0"/>
        <w:adjustRightInd w:val="0"/>
        <w:ind w:left="480" w:hanging="480"/>
        <w:rPr>
          <w:noProof/>
          <w:lang w:val="en-GB"/>
        </w:rPr>
      </w:pPr>
      <w:r w:rsidRPr="00C3671E">
        <w:rPr>
          <w:noProof/>
          <w:lang w:val="en-GB"/>
        </w:rPr>
        <w:t xml:space="preserve">Zanutto, Elaine L. 2006. “A Comparison of Propensity Score and Linear Regression Analysis of Complex Survey Data.” </w:t>
      </w:r>
      <w:r w:rsidRPr="00C3671E">
        <w:rPr>
          <w:i/>
          <w:iCs/>
          <w:noProof/>
          <w:lang w:val="en-GB"/>
        </w:rPr>
        <w:t>Journal of Data Science</w:t>
      </w:r>
      <w:r w:rsidRPr="00C3671E">
        <w:rPr>
          <w:noProof/>
          <w:lang w:val="en-GB"/>
        </w:rPr>
        <w:t xml:space="preserve"> 4(1):67–91.</w:t>
      </w:r>
    </w:p>
    <w:p w14:paraId="2EE6DAD8" w14:textId="511C5380" w:rsidR="00C3671E" w:rsidRPr="00C3671E" w:rsidRDefault="00AA6335" w:rsidP="00FE0FFE">
      <w:pPr>
        <w:pStyle w:val="Newparagraph"/>
        <w:spacing w:line="240" w:lineRule="auto"/>
        <w:ind w:firstLine="0"/>
        <w:jc w:val="both"/>
      </w:pPr>
      <w:r w:rsidRPr="00C3671E">
        <w:fldChar w:fldCharType="end"/>
      </w:r>
    </w:p>
    <w:p w14:paraId="46BC36C2" w14:textId="77777777" w:rsidR="00C3671E" w:rsidRPr="00C3671E" w:rsidRDefault="00C3671E">
      <w:pPr>
        <w:spacing w:after="160" w:line="259" w:lineRule="auto"/>
        <w:rPr>
          <w:lang w:val="en-GB" w:eastAsia="en-GB"/>
        </w:rPr>
      </w:pPr>
      <w:r w:rsidRPr="00C3671E">
        <w:rPr>
          <w:lang w:val="en-GB"/>
        </w:rPr>
        <w:br w:type="page"/>
      </w:r>
    </w:p>
    <w:p w14:paraId="67D1CE4F" w14:textId="4E106794" w:rsidR="00C3671E" w:rsidRPr="00C3671E" w:rsidRDefault="00C3671E" w:rsidP="00C3671E">
      <w:pPr>
        <w:pStyle w:val="Nadpis1"/>
        <w:keepNext/>
        <w:suppressAutoHyphens/>
        <w:spacing w:before="360" w:beforeAutospacing="0" w:after="240" w:afterAutospacing="0" w:line="480" w:lineRule="auto"/>
        <w:jc w:val="both"/>
        <w:rPr>
          <w:sz w:val="24"/>
          <w:szCs w:val="24"/>
          <w:lang w:val="en-GB"/>
        </w:rPr>
      </w:pPr>
      <w:bookmarkStart w:id="108" w:name="_Toc512687796"/>
      <w:r w:rsidRPr="00C3671E">
        <w:rPr>
          <w:sz w:val="24"/>
          <w:szCs w:val="24"/>
          <w:lang w:val="en-GB"/>
        </w:rPr>
        <w:lastRenderedPageBreak/>
        <w:t>List of tables and figures</w:t>
      </w:r>
      <w:bookmarkEnd w:id="108"/>
    </w:p>
    <w:p w14:paraId="3038A9D6" w14:textId="24478BFA"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r w:rsidRPr="00C3671E">
        <w:rPr>
          <w:lang w:val="en-GB"/>
        </w:rPr>
        <w:fldChar w:fldCharType="begin"/>
      </w:r>
      <w:r w:rsidRPr="00C3671E">
        <w:rPr>
          <w:lang w:val="en-GB"/>
        </w:rPr>
        <w:instrText xml:space="preserve"> TOC \h \z \c "Table" </w:instrText>
      </w:r>
      <w:r w:rsidRPr="00C3671E">
        <w:rPr>
          <w:lang w:val="en-GB"/>
        </w:rPr>
        <w:fldChar w:fldCharType="separate"/>
      </w:r>
      <w:hyperlink w:anchor="_Toc512687476" w:history="1">
        <w:r w:rsidRPr="00C3671E">
          <w:rPr>
            <w:rStyle w:val="Hypertextovodkaz"/>
            <w:noProof/>
            <w:lang w:val="en-GB"/>
          </w:rPr>
          <w:t>Table 1: Descriptive statistics of pre-matched variables – means (for the first three variables) and column percentages</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_Toc512687476 \h </w:instrText>
        </w:r>
        <w:r w:rsidRPr="00C3671E">
          <w:rPr>
            <w:noProof/>
            <w:webHidden/>
            <w:lang w:val="en-GB"/>
          </w:rPr>
        </w:r>
        <w:r w:rsidRPr="00C3671E">
          <w:rPr>
            <w:noProof/>
            <w:webHidden/>
            <w:lang w:val="en-GB"/>
          </w:rPr>
          <w:fldChar w:fldCharType="separate"/>
        </w:r>
        <w:r w:rsidRPr="00C3671E">
          <w:rPr>
            <w:noProof/>
            <w:webHidden/>
            <w:lang w:val="en-GB"/>
          </w:rPr>
          <w:t>57</w:t>
        </w:r>
        <w:r w:rsidRPr="00C3671E">
          <w:rPr>
            <w:noProof/>
            <w:webHidden/>
            <w:lang w:val="en-GB"/>
          </w:rPr>
          <w:fldChar w:fldCharType="end"/>
        </w:r>
      </w:hyperlink>
    </w:p>
    <w:p w14:paraId="08D8565B" w14:textId="219348B2"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77" w:history="1">
        <w:r w:rsidRPr="00C3671E">
          <w:rPr>
            <w:rStyle w:val="Hypertextovodkaz"/>
            <w:noProof/>
            <w:lang w:val="en-GB"/>
          </w:rPr>
          <w:t>Table 2: Results of covariate balancing test – difference between matched and unmatched sample across matching methods and regions</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_Toc512687477 \h </w:instrText>
        </w:r>
        <w:r w:rsidRPr="00C3671E">
          <w:rPr>
            <w:noProof/>
            <w:webHidden/>
            <w:lang w:val="en-GB"/>
          </w:rPr>
        </w:r>
        <w:r w:rsidRPr="00C3671E">
          <w:rPr>
            <w:noProof/>
            <w:webHidden/>
            <w:lang w:val="en-GB"/>
          </w:rPr>
          <w:fldChar w:fldCharType="separate"/>
        </w:r>
        <w:r w:rsidRPr="00C3671E">
          <w:rPr>
            <w:noProof/>
            <w:webHidden/>
            <w:lang w:val="en-GB"/>
          </w:rPr>
          <w:t>58</w:t>
        </w:r>
        <w:r w:rsidRPr="00C3671E">
          <w:rPr>
            <w:noProof/>
            <w:webHidden/>
            <w:lang w:val="en-GB"/>
          </w:rPr>
          <w:fldChar w:fldCharType="end"/>
        </w:r>
      </w:hyperlink>
    </w:p>
    <w:p w14:paraId="6E758BD7" w14:textId="3EE43E59"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78" w:history="1">
        <w:r w:rsidRPr="00C3671E">
          <w:rPr>
            <w:rStyle w:val="Hypertextovodkaz"/>
            <w:noProof/>
            <w:lang w:val="en-GB"/>
          </w:rPr>
          <w:t>Table 3: The effect of working in older ages on QoL – average treatment effects of Radius and Kernel matching in four European regions</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_Toc512687478 \h </w:instrText>
        </w:r>
        <w:r w:rsidRPr="00C3671E">
          <w:rPr>
            <w:noProof/>
            <w:webHidden/>
            <w:lang w:val="en-GB"/>
          </w:rPr>
        </w:r>
        <w:r w:rsidRPr="00C3671E">
          <w:rPr>
            <w:noProof/>
            <w:webHidden/>
            <w:lang w:val="en-GB"/>
          </w:rPr>
          <w:fldChar w:fldCharType="separate"/>
        </w:r>
        <w:r w:rsidRPr="00C3671E">
          <w:rPr>
            <w:noProof/>
            <w:webHidden/>
            <w:lang w:val="en-GB"/>
          </w:rPr>
          <w:t>60</w:t>
        </w:r>
        <w:r w:rsidRPr="00C3671E">
          <w:rPr>
            <w:noProof/>
            <w:webHidden/>
            <w:lang w:val="en-GB"/>
          </w:rPr>
          <w:fldChar w:fldCharType="end"/>
        </w:r>
      </w:hyperlink>
    </w:p>
    <w:p w14:paraId="2E82AC72" w14:textId="12B2EA03"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79" w:history="1">
        <w:r w:rsidRPr="00C3671E">
          <w:rPr>
            <w:rStyle w:val="Hypertextovodkaz"/>
            <w:noProof/>
            <w:lang w:val="en-GB"/>
          </w:rPr>
          <w:t>Table 4: Descriptive statistics of the cross-sectional sample of respondents used in an analysis</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_Toc512687479 \h </w:instrText>
        </w:r>
        <w:r w:rsidRPr="00C3671E">
          <w:rPr>
            <w:noProof/>
            <w:webHidden/>
            <w:lang w:val="en-GB"/>
          </w:rPr>
        </w:r>
        <w:r w:rsidRPr="00C3671E">
          <w:rPr>
            <w:noProof/>
            <w:webHidden/>
            <w:lang w:val="en-GB"/>
          </w:rPr>
          <w:fldChar w:fldCharType="separate"/>
        </w:r>
        <w:r w:rsidRPr="00C3671E">
          <w:rPr>
            <w:noProof/>
            <w:webHidden/>
            <w:lang w:val="en-GB"/>
          </w:rPr>
          <w:t>72</w:t>
        </w:r>
        <w:r w:rsidRPr="00C3671E">
          <w:rPr>
            <w:noProof/>
            <w:webHidden/>
            <w:lang w:val="en-GB"/>
          </w:rPr>
          <w:fldChar w:fldCharType="end"/>
        </w:r>
      </w:hyperlink>
    </w:p>
    <w:p w14:paraId="661E5645" w14:textId="442EE247"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80" w:history="1">
        <w:r w:rsidRPr="00C3671E">
          <w:rPr>
            <w:rStyle w:val="Hypertextovodkaz"/>
            <w:noProof/>
            <w:lang w:val="en-GB"/>
          </w:rPr>
          <w:t>Table 5: Ordinal multilevel logistic regression of three domains of subjective QoL – number of care activities performed almost every week or more often as the main explanatory variable</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_Toc512687480 \h </w:instrText>
        </w:r>
        <w:r w:rsidRPr="00C3671E">
          <w:rPr>
            <w:noProof/>
            <w:webHidden/>
            <w:lang w:val="en-GB"/>
          </w:rPr>
        </w:r>
        <w:r w:rsidRPr="00C3671E">
          <w:rPr>
            <w:noProof/>
            <w:webHidden/>
            <w:lang w:val="en-GB"/>
          </w:rPr>
          <w:fldChar w:fldCharType="separate"/>
        </w:r>
        <w:r w:rsidRPr="00C3671E">
          <w:rPr>
            <w:noProof/>
            <w:webHidden/>
            <w:lang w:val="en-GB"/>
          </w:rPr>
          <w:t>77</w:t>
        </w:r>
        <w:r w:rsidRPr="00C3671E">
          <w:rPr>
            <w:noProof/>
            <w:webHidden/>
            <w:lang w:val="en-GB"/>
          </w:rPr>
          <w:fldChar w:fldCharType="end"/>
        </w:r>
      </w:hyperlink>
    </w:p>
    <w:p w14:paraId="34E0927F" w14:textId="04BDFB6D"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81" w:history="1">
        <w:r w:rsidRPr="00C3671E">
          <w:rPr>
            <w:rStyle w:val="Hypertextovodkaz"/>
            <w:noProof/>
            <w:lang w:val="en-GB"/>
          </w:rPr>
          <w:t>Table 6: Ordinal multilevel logistic regression of three domains of subjective QoL – number of care activities performed almost every day or more often as the main explanatory variable</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_Toc512687481 \h </w:instrText>
        </w:r>
        <w:r w:rsidRPr="00C3671E">
          <w:rPr>
            <w:noProof/>
            <w:webHidden/>
            <w:lang w:val="en-GB"/>
          </w:rPr>
        </w:r>
        <w:r w:rsidRPr="00C3671E">
          <w:rPr>
            <w:noProof/>
            <w:webHidden/>
            <w:lang w:val="en-GB"/>
          </w:rPr>
          <w:fldChar w:fldCharType="separate"/>
        </w:r>
        <w:r w:rsidRPr="00C3671E">
          <w:rPr>
            <w:noProof/>
            <w:webHidden/>
            <w:lang w:val="en-GB"/>
          </w:rPr>
          <w:t>80</w:t>
        </w:r>
        <w:r w:rsidRPr="00C3671E">
          <w:rPr>
            <w:noProof/>
            <w:webHidden/>
            <w:lang w:val="en-GB"/>
          </w:rPr>
          <w:fldChar w:fldCharType="end"/>
        </w:r>
      </w:hyperlink>
    </w:p>
    <w:p w14:paraId="2660EE86" w14:textId="4C12F08C"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82" w:history="1">
        <w:r w:rsidRPr="00C3671E">
          <w:rPr>
            <w:rStyle w:val="Hypertextovodkaz"/>
            <w:noProof/>
            <w:lang w:val="en-GB"/>
          </w:rPr>
          <w:t>Table 7: Descriptive statistics for all utilized waves – respective means (only for age) or proportions</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_Toc512687482 \h </w:instrText>
        </w:r>
        <w:r w:rsidRPr="00C3671E">
          <w:rPr>
            <w:noProof/>
            <w:webHidden/>
            <w:lang w:val="en-GB"/>
          </w:rPr>
        </w:r>
        <w:r w:rsidRPr="00C3671E">
          <w:rPr>
            <w:noProof/>
            <w:webHidden/>
            <w:lang w:val="en-GB"/>
          </w:rPr>
          <w:fldChar w:fldCharType="separate"/>
        </w:r>
        <w:r w:rsidRPr="00C3671E">
          <w:rPr>
            <w:noProof/>
            <w:webHidden/>
            <w:lang w:val="en-GB"/>
          </w:rPr>
          <w:t>93</w:t>
        </w:r>
        <w:r w:rsidRPr="00C3671E">
          <w:rPr>
            <w:noProof/>
            <w:webHidden/>
            <w:lang w:val="en-GB"/>
          </w:rPr>
          <w:fldChar w:fldCharType="end"/>
        </w:r>
      </w:hyperlink>
    </w:p>
    <w:p w14:paraId="6FAB6318" w14:textId="3E66A03B"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83" w:history="1">
        <w:r w:rsidRPr="00C3671E">
          <w:rPr>
            <w:rStyle w:val="Hypertextovodkaz"/>
            <w:noProof/>
            <w:lang w:val="en-GB"/>
          </w:rPr>
          <w:t>Table 8: Descriptive statistics of the baseline characteristics of 14,989 respondents available for analysis in waves 4, 5, and 6 sorted by education.</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_Toc512687483 \h </w:instrText>
        </w:r>
        <w:r w:rsidRPr="00C3671E">
          <w:rPr>
            <w:noProof/>
            <w:webHidden/>
            <w:lang w:val="en-GB"/>
          </w:rPr>
        </w:r>
        <w:r w:rsidRPr="00C3671E">
          <w:rPr>
            <w:noProof/>
            <w:webHidden/>
            <w:lang w:val="en-GB"/>
          </w:rPr>
          <w:fldChar w:fldCharType="separate"/>
        </w:r>
        <w:r w:rsidRPr="00C3671E">
          <w:rPr>
            <w:noProof/>
            <w:webHidden/>
            <w:lang w:val="en-GB"/>
          </w:rPr>
          <w:t>117</w:t>
        </w:r>
        <w:r w:rsidRPr="00C3671E">
          <w:rPr>
            <w:noProof/>
            <w:webHidden/>
            <w:lang w:val="en-GB"/>
          </w:rPr>
          <w:fldChar w:fldCharType="end"/>
        </w:r>
      </w:hyperlink>
    </w:p>
    <w:p w14:paraId="1D057673" w14:textId="1DD0CBE3"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84" w:history="1">
        <w:r w:rsidRPr="00C3671E">
          <w:rPr>
            <w:rStyle w:val="Hypertextovodkaz"/>
            <w:noProof/>
            <w:lang w:val="en-GB"/>
          </w:rPr>
          <w:t>Table 9: Random effects and fixed effects regression models predicting QoL</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_Toc512687484 \h </w:instrText>
        </w:r>
        <w:r w:rsidRPr="00C3671E">
          <w:rPr>
            <w:noProof/>
            <w:webHidden/>
            <w:lang w:val="en-GB"/>
          </w:rPr>
        </w:r>
        <w:r w:rsidRPr="00C3671E">
          <w:rPr>
            <w:noProof/>
            <w:webHidden/>
            <w:lang w:val="en-GB"/>
          </w:rPr>
          <w:fldChar w:fldCharType="separate"/>
        </w:r>
        <w:r w:rsidRPr="00C3671E">
          <w:rPr>
            <w:noProof/>
            <w:webHidden/>
            <w:lang w:val="en-GB"/>
          </w:rPr>
          <w:t>121</w:t>
        </w:r>
        <w:r w:rsidRPr="00C3671E">
          <w:rPr>
            <w:noProof/>
            <w:webHidden/>
            <w:lang w:val="en-GB"/>
          </w:rPr>
          <w:fldChar w:fldCharType="end"/>
        </w:r>
      </w:hyperlink>
    </w:p>
    <w:p w14:paraId="759DCE73" w14:textId="74E2C2F6"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85" w:history="1">
        <w:r w:rsidRPr="00C3671E">
          <w:rPr>
            <w:rStyle w:val="Hypertextovodkaz"/>
            <w:noProof/>
            <w:lang w:val="en-GB"/>
          </w:rPr>
          <w:t>Table 10: Fixed effects regression models predicting QoL sorted by education</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_Toc512687485 \h </w:instrText>
        </w:r>
        <w:r w:rsidRPr="00C3671E">
          <w:rPr>
            <w:noProof/>
            <w:webHidden/>
            <w:lang w:val="en-GB"/>
          </w:rPr>
        </w:r>
        <w:r w:rsidRPr="00C3671E">
          <w:rPr>
            <w:noProof/>
            <w:webHidden/>
            <w:lang w:val="en-GB"/>
          </w:rPr>
          <w:fldChar w:fldCharType="separate"/>
        </w:r>
        <w:r w:rsidRPr="00C3671E">
          <w:rPr>
            <w:noProof/>
            <w:webHidden/>
            <w:lang w:val="en-GB"/>
          </w:rPr>
          <w:t>123</w:t>
        </w:r>
        <w:r w:rsidRPr="00C3671E">
          <w:rPr>
            <w:noProof/>
            <w:webHidden/>
            <w:lang w:val="en-GB"/>
          </w:rPr>
          <w:fldChar w:fldCharType="end"/>
        </w:r>
      </w:hyperlink>
    </w:p>
    <w:p w14:paraId="42060637" w14:textId="43713F90"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86" w:history="1">
        <w:r w:rsidRPr="00C3671E">
          <w:rPr>
            <w:rStyle w:val="Hypertextovodkaz"/>
            <w:noProof/>
            <w:lang w:val="en-GB"/>
          </w:rPr>
          <w:t>Table 11: Fixed effects regression models predicting QoL sorted by European region</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_Toc512687486 \h </w:instrText>
        </w:r>
        <w:r w:rsidRPr="00C3671E">
          <w:rPr>
            <w:noProof/>
            <w:webHidden/>
            <w:lang w:val="en-GB"/>
          </w:rPr>
        </w:r>
        <w:r w:rsidRPr="00C3671E">
          <w:rPr>
            <w:noProof/>
            <w:webHidden/>
            <w:lang w:val="en-GB"/>
          </w:rPr>
          <w:fldChar w:fldCharType="separate"/>
        </w:r>
        <w:r w:rsidRPr="00C3671E">
          <w:rPr>
            <w:noProof/>
            <w:webHidden/>
            <w:lang w:val="en-GB"/>
          </w:rPr>
          <w:t>124</w:t>
        </w:r>
        <w:r w:rsidRPr="00C3671E">
          <w:rPr>
            <w:noProof/>
            <w:webHidden/>
            <w:lang w:val="en-GB"/>
          </w:rPr>
          <w:fldChar w:fldCharType="end"/>
        </w:r>
      </w:hyperlink>
    </w:p>
    <w:p w14:paraId="54D4C2E2" w14:textId="6AA05771" w:rsidR="00C3671E" w:rsidRPr="00C3671E" w:rsidRDefault="00C3671E" w:rsidP="00C3671E">
      <w:pPr>
        <w:pStyle w:val="Seznamobrzk"/>
        <w:tabs>
          <w:tab w:val="right" w:leader="dot" w:pos="9062"/>
        </w:tabs>
        <w:jc w:val="both"/>
        <w:rPr>
          <w:lang w:val="en-GB"/>
        </w:rPr>
      </w:pPr>
      <w:r w:rsidRPr="00C3671E">
        <w:rPr>
          <w:lang w:val="en-GB"/>
        </w:rPr>
        <w:fldChar w:fldCharType="end"/>
      </w:r>
    </w:p>
    <w:p w14:paraId="48B1FAD9" w14:textId="3CEFC13B"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r w:rsidRPr="00C3671E">
        <w:rPr>
          <w:lang w:val="en-GB"/>
        </w:rPr>
        <w:fldChar w:fldCharType="begin"/>
      </w:r>
      <w:r w:rsidRPr="00C3671E">
        <w:rPr>
          <w:lang w:val="en-GB"/>
        </w:rPr>
        <w:instrText xml:space="preserve"> TOC \h \z \c "Figure" </w:instrText>
      </w:r>
      <w:r w:rsidRPr="00C3671E">
        <w:rPr>
          <w:lang w:val="en-GB"/>
        </w:rPr>
        <w:fldChar w:fldCharType="separate"/>
      </w:r>
      <w:hyperlink w:anchor="_Toc512687433" w:history="1">
        <w:r w:rsidRPr="00C3671E">
          <w:rPr>
            <w:rStyle w:val="Hypertextovodkaz"/>
            <w:noProof/>
            <w:lang w:val="en-GB"/>
          </w:rPr>
          <w:t>Figure 1: Distribution of population 50+ by current working status in four European regions</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_Toc512687433 \h </w:instrText>
        </w:r>
        <w:r w:rsidRPr="00C3671E">
          <w:rPr>
            <w:noProof/>
            <w:webHidden/>
            <w:lang w:val="en-GB"/>
          </w:rPr>
        </w:r>
        <w:r w:rsidRPr="00C3671E">
          <w:rPr>
            <w:noProof/>
            <w:webHidden/>
            <w:lang w:val="en-GB"/>
          </w:rPr>
          <w:fldChar w:fldCharType="separate"/>
        </w:r>
        <w:r w:rsidRPr="00C3671E">
          <w:rPr>
            <w:noProof/>
            <w:webHidden/>
            <w:lang w:val="en-GB"/>
          </w:rPr>
          <w:t>14</w:t>
        </w:r>
        <w:r w:rsidRPr="00C3671E">
          <w:rPr>
            <w:noProof/>
            <w:webHidden/>
            <w:lang w:val="en-GB"/>
          </w:rPr>
          <w:fldChar w:fldCharType="end"/>
        </w:r>
      </w:hyperlink>
    </w:p>
    <w:p w14:paraId="6EF13D08" w14:textId="546B7B0A"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34" w:history="1">
        <w:r w:rsidRPr="00C3671E">
          <w:rPr>
            <w:rStyle w:val="Hypertextovodkaz"/>
            <w:noProof/>
            <w:lang w:val="en-GB"/>
          </w:rPr>
          <w:t>Figure 2: Prevalence of three types of care provided by population 50+ in four European regions</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_Toc512687434 \h </w:instrText>
        </w:r>
        <w:r w:rsidRPr="00C3671E">
          <w:rPr>
            <w:noProof/>
            <w:webHidden/>
            <w:lang w:val="en-GB"/>
          </w:rPr>
        </w:r>
        <w:r w:rsidRPr="00C3671E">
          <w:rPr>
            <w:noProof/>
            <w:webHidden/>
            <w:lang w:val="en-GB"/>
          </w:rPr>
          <w:fldChar w:fldCharType="separate"/>
        </w:r>
        <w:r w:rsidRPr="00C3671E">
          <w:rPr>
            <w:noProof/>
            <w:webHidden/>
            <w:lang w:val="en-GB"/>
          </w:rPr>
          <w:t>16</w:t>
        </w:r>
        <w:r w:rsidRPr="00C3671E">
          <w:rPr>
            <w:noProof/>
            <w:webHidden/>
            <w:lang w:val="en-GB"/>
          </w:rPr>
          <w:fldChar w:fldCharType="end"/>
        </w:r>
      </w:hyperlink>
    </w:p>
    <w:p w14:paraId="37BF52D1" w14:textId="13B70131"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35" w:history="1">
        <w:r w:rsidRPr="00C3671E">
          <w:rPr>
            <w:rStyle w:val="Hypertextovodkaz"/>
            <w:noProof/>
            <w:lang w:val="en-GB"/>
          </w:rPr>
          <w:t>Figure 3: Prevalence of five activities promoted by the active ageing approach in population 50+ within four European regions</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_Toc512687435 \h </w:instrText>
        </w:r>
        <w:r w:rsidRPr="00C3671E">
          <w:rPr>
            <w:noProof/>
            <w:webHidden/>
            <w:lang w:val="en-GB"/>
          </w:rPr>
        </w:r>
        <w:r w:rsidRPr="00C3671E">
          <w:rPr>
            <w:noProof/>
            <w:webHidden/>
            <w:lang w:val="en-GB"/>
          </w:rPr>
          <w:fldChar w:fldCharType="separate"/>
        </w:r>
        <w:r w:rsidRPr="00C3671E">
          <w:rPr>
            <w:noProof/>
            <w:webHidden/>
            <w:lang w:val="en-GB"/>
          </w:rPr>
          <w:t>17</w:t>
        </w:r>
        <w:r w:rsidRPr="00C3671E">
          <w:rPr>
            <w:noProof/>
            <w:webHidden/>
            <w:lang w:val="en-GB"/>
          </w:rPr>
          <w:fldChar w:fldCharType="end"/>
        </w:r>
      </w:hyperlink>
    </w:p>
    <w:p w14:paraId="41D8FFF5" w14:textId="0018E143"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36" w:history="1">
        <w:r w:rsidRPr="00C3671E">
          <w:rPr>
            <w:rStyle w:val="Hypertextovodkaz"/>
            <w:noProof/>
            <w:lang w:val="en-GB"/>
          </w:rPr>
          <w:t>Figure 4: The relationship between GDP per capita and participation of older adults on the labour market for 17 European countries</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_Toc512687436 \h </w:instrText>
        </w:r>
        <w:r w:rsidRPr="00C3671E">
          <w:rPr>
            <w:noProof/>
            <w:webHidden/>
            <w:lang w:val="en-GB"/>
          </w:rPr>
        </w:r>
        <w:r w:rsidRPr="00C3671E">
          <w:rPr>
            <w:noProof/>
            <w:webHidden/>
            <w:lang w:val="en-GB"/>
          </w:rPr>
          <w:fldChar w:fldCharType="separate"/>
        </w:r>
        <w:r w:rsidRPr="00C3671E">
          <w:rPr>
            <w:noProof/>
            <w:webHidden/>
            <w:lang w:val="en-GB"/>
          </w:rPr>
          <w:t>18</w:t>
        </w:r>
        <w:r w:rsidRPr="00C3671E">
          <w:rPr>
            <w:noProof/>
            <w:webHidden/>
            <w:lang w:val="en-GB"/>
          </w:rPr>
          <w:fldChar w:fldCharType="end"/>
        </w:r>
      </w:hyperlink>
    </w:p>
    <w:p w14:paraId="3CE0204A" w14:textId="7C4B73CD"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37" w:history="1">
        <w:r w:rsidRPr="00C3671E">
          <w:rPr>
            <w:rStyle w:val="Hypertextovodkaz"/>
            <w:noProof/>
            <w:lang w:val="en-GB"/>
          </w:rPr>
          <w:t>Figure 5: The relationship between the strength of familial norms and prevalence of daily care within a household for 17 European countries</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_Toc512687437 \h </w:instrText>
        </w:r>
        <w:r w:rsidRPr="00C3671E">
          <w:rPr>
            <w:noProof/>
            <w:webHidden/>
            <w:lang w:val="en-GB"/>
          </w:rPr>
        </w:r>
        <w:r w:rsidRPr="00C3671E">
          <w:rPr>
            <w:noProof/>
            <w:webHidden/>
            <w:lang w:val="en-GB"/>
          </w:rPr>
          <w:fldChar w:fldCharType="separate"/>
        </w:r>
        <w:r w:rsidRPr="00C3671E">
          <w:rPr>
            <w:noProof/>
            <w:webHidden/>
            <w:lang w:val="en-GB"/>
          </w:rPr>
          <w:t>20</w:t>
        </w:r>
        <w:r w:rsidRPr="00C3671E">
          <w:rPr>
            <w:noProof/>
            <w:webHidden/>
            <w:lang w:val="en-GB"/>
          </w:rPr>
          <w:fldChar w:fldCharType="end"/>
        </w:r>
      </w:hyperlink>
    </w:p>
    <w:p w14:paraId="7D4378E4" w14:textId="2E065A2C"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38" w:history="1">
        <w:r w:rsidRPr="00C3671E">
          <w:rPr>
            <w:rStyle w:val="Hypertextovodkaz"/>
            <w:noProof/>
            <w:lang w:val="en-GB"/>
          </w:rPr>
          <w:t>Figure 6: The relationship between Human Freedom Index and prevalence of volunteering among older adults in 17 European countries</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_Toc512687438 \h </w:instrText>
        </w:r>
        <w:r w:rsidRPr="00C3671E">
          <w:rPr>
            <w:noProof/>
            <w:webHidden/>
            <w:lang w:val="en-GB"/>
          </w:rPr>
        </w:r>
        <w:r w:rsidRPr="00C3671E">
          <w:rPr>
            <w:noProof/>
            <w:webHidden/>
            <w:lang w:val="en-GB"/>
          </w:rPr>
          <w:fldChar w:fldCharType="separate"/>
        </w:r>
        <w:r w:rsidRPr="00C3671E">
          <w:rPr>
            <w:noProof/>
            <w:webHidden/>
            <w:lang w:val="en-GB"/>
          </w:rPr>
          <w:t>20</w:t>
        </w:r>
        <w:r w:rsidRPr="00C3671E">
          <w:rPr>
            <w:noProof/>
            <w:webHidden/>
            <w:lang w:val="en-GB"/>
          </w:rPr>
          <w:fldChar w:fldCharType="end"/>
        </w:r>
      </w:hyperlink>
    </w:p>
    <w:p w14:paraId="2081C402" w14:textId="0A58E366"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39" w:history="1">
        <w:r w:rsidRPr="00C3671E">
          <w:rPr>
            <w:rStyle w:val="Hypertextovodkaz"/>
            <w:noProof/>
            <w:lang w:val="en-GB"/>
          </w:rPr>
          <w:t>Figure 7: Differences among countries and regions in subjective QoL measured by CASP-12. Nordic countries are coloured in blue, Western Europe in green, Southern Europe in yellow, and Post-communist countries in red.</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_Toc512687439 \h </w:instrText>
        </w:r>
        <w:r w:rsidRPr="00C3671E">
          <w:rPr>
            <w:noProof/>
            <w:webHidden/>
            <w:lang w:val="en-GB"/>
          </w:rPr>
        </w:r>
        <w:r w:rsidRPr="00C3671E">
          <w:rPr>
            <w:noProof/>
            <w:webHidden/>
            <w:lang w:val="en-GB"/>
          </w:rPr>
          <w:fldChar w:fldCharType="separate"/>
        </w:r>
        <w:r w:rsidRPr="00C3671E">
          <w:rPr>
            <w:noProof/>
            <w:webHidden/>
            <w:lang w:val="en-GB"/>
          </w:rPr>
          <w:t>56</w:t>
        </w:r>
        <w:r w:rsidRPr="00C3671E">
          <w:rPr>
            <w:noProof/>
            <w:webHidden/>
            <w:lang w:val="en-GB"/>
          </w:rPr>
          <w:fldChar w:fldCharType="end"/>
        </w:r>
      </w:hyperlink>
    </w:p>
    <w:p w14:paraId="2D4939E6" w14:textId="7C0D23A2"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40" w:history="1">
        <w:r w:rsidRPr="00C3671E">
          <w:rPr>
            <w:rStyle w:val="Hypertextovodkaz"/>
            <w:noProof/>
            <w:lang w:val="en-GB"/>
          </w:rPr>
          <w:t>Figure 8: Proportional differences in social participation between tertiary and primary education</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_Toc512687440 \h </w:instrText>
        </w:r>
        <w:r w:rsidRPr="00C3671E">
          <w:rPr>
            <w:noProof/>
            <w:webHidden/>
            <w:lang w:val="en-GB"/>
          </w:rPr>
        </w:r>
        <w:r w:rsidRPr="00C3671E">
          <w:rPr>
            <w:noProof/>
            <w:webHidden/>
            <w:lang w:val="en-GB"/>
          </w:rPr>
          <w:fldChar w:fldCharType="separate"/>
        </w:r>
        <w:r w:rsidRPr="00C3671E">
          <w:rPr>
            <w:noProof/>
            <w:webHidden/>
            <w:lang w:val="en-GB"/>
          </w:rPr>
          <w:t>96</w:t>
        </w:r>
        <w:r w:rsidRPr="00C3671E">
          <w:rPr>
            <w:noProof/>
            <w:webHidden/>
            <w:lang w:val="en-GB"/>
          </w:rPr>
          <w:fldChar w:fldCharType="end"/>
        </w:r>
      </w:hyperlink>
    </w:p>
    <w:p w14:paraId="6D3EF6BB" w14:textId="7A0A5553"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41" w:history="1">
        <w:r w:rsidRPr="00C3671E">
          <w:rPr>
            <w:rStyle w:val="Hypertextovodkaz"/>
            <w:noProof/>
            <w:lang w:val="en-GB"/>
          </w:rPr>
          <w:t>Figure 9: Proportional differences in social participation between tertiary and primary education</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_Toc512687441 \h </w:instrText>
        </w:r>
        <w:r w:rsidRPr="00C3671E">
          <w:rPr>
            <w:noProof/>
            <w:webHidden/>
            <w:lang w:val="en-GB"/>
          </w:rPr>
        </w:r>
        <w:r w:rsidRPr="00C3671E">
          <w:rPr>
            <w:noProof/>
            <w:webHidden/>
            <w:lang w:val="en-GB"/>
          </w:rPr>
          <w:fldChar w:fldCharType="separate"/>
        </w:r>
        <w:r w:rsidRPr="00C3671E">
          <w:rPr>
            <w:noProof/>
            <w:webHidden/>
            <w:lang w:val="en-GB"/>
          </w:rPr>
          <w:t>97</w:t>
        </w:r>
        <w:r w:rsidRPr="00C3671E">
          <w:rPr>
            <w:noProof/>
            <w:webHidden/>
            <w:lang w:val="en-GB"/>
          </w:rPr>
          <w:fldChar w:fldCharType="end"/>
        </w:r>
      </w:hyperlink>
    </w:p>
    <w:p w14:paraId="238C5D65" w14:textId="77476956"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42" w:history="1">
        <w:r w:rsidRPr="00C3671E">
          <w:rPr>
            <w:rStyle w:val="Hypertextovodkaz"/>
            <w:noProof/>
            <w:lang w:val="en-GB"/>
          </w:rPr>
          <w:t>Figure 10: Ratios of social participation between tertiary and primary education</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_Toc512687442 \h </w:instrText>
        </w:r>
        <w:r w:rsidRPr="00C3671E">
          <w:rPr>
            <w:noProof/>
            <w:webHidden/>
            <w:lang w:val="en-GB"/>
          </w:rPr>
        </w:r>
        <w:r w:rsidRPr="00C3671E">
          <w:rPr>
            <w:noProof/>
            <w:webHidden/>
            <w:lang w:val="en-GB"/>
          </w:rPr>
          <w:fldChar w:fldCharType="separate"/>
        </w:r>
        <w:r w:rsidRPr="00C3671E">
          <w:rPr>
            <w:noProof/>
            <w:webHidden/>
            <w:lang w:val="en-GB"/>
          </w:rPr>
          <w:t>98</w:t>
        </w:r>
        <w:r w:rsidRPr="00C3671E">
          <w:rPr>
            <w:noProof/>
            <w:webHidden/>
            <w:lang w:val="en-GB"/>
          </w:rPr>
          <w:fldChar w:fldCharType="end"/>
        </w:r>
      </w:hyperlink>
    </w:p>
    <w:p w14:paraId="5AE7B01A" w14:textId="31122DC1"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43" w:history="1">
        <w:r w:rsidRPr="00C3671E">
          <w:rPr>
            <w:rStyle w:val="Hypertextovodkaz"/>
            <w:noProof/>
            <w:lang w:val="en-GB"/>
          </w:rPr>
          <w:t>Figure 11: Proportional differences in social participation between very good and bad financial situation</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_Toc512687443 \h </w:instrText>
        </w:r>
        <w:r w:rsidRPr="00C3671E">
          <w:rPr>
            <w:noProof/>
            <w:webHidden/>
            <w:lang w:val="en-GB"/>
          </w:rPr>
        </w:r>
        <w:r w:rsidRPr="00C3671E">
          <w:rPr>
            <w:noProof/>
            <w:webHidden/>
            <w:lang w:val="en-GB"/>
          </w:rPr>
          <w:fldChar w:fldCharType="separate"/>
        </w:r>
        <w:r w:rsidRPr="00C3671E">
          <w:rPr>
            <w:noProof/>
            <w:webHidden/>
            <w:lang w:val="en-GB"/>
          </w:rPr>
          <w:t>99</w:t>
        </w:r>
        <w:r w:rsidRPr="00C3671E">
          <w:rPr>
            <w:noProof/>
            <w:webHidden/>
            <w:lang w:val="en-GB"/>
          </w:rPr>
          <w:fldChar w:fldCharType="end"/>
        </w:r>
      </w:hyperlink>
    </w:p>
    <w:p w14:paraId="055BA912" w14:textId="794D3CCB"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44" w:history="1">
        <w:r w:rsidRPr="00C3671E">
          <w:rPr>
            <w:rStyle w:val="Hypertextovodkaz"/>
            <w:noProof/>
            <w:lang w:val="en-GB"/>
          </w:rPr>
          <w:t>Figure 12: Ratios of social participation between very good and bad financial situation</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_Toc512687444 \h </w:instrText>
        </w:r>
        <w:r w:rsidRPr="00C3671E">
          <w:rPr>
            <w:noProof/>
            <w:webHidden/>
            <w:lang w:val="en-GB"/>
          </w:rPr>
        </w:r>
        <w:r w:rsidRPr="00C3671E">
          <w:rPr>
            <w:noProof/>
            <w:webHidden/>
            <w:lang w:val="en-GB"/>
          </w:rPr>
          <w:fldChar w:fldCharType="separate"/>
        </w:r>
        <w:r w:rsidRPr="00C3671E">
          <w:rPr>
            <w:noProof/>
            <w:webHidden/>
            <w:lang w:val="en-GB"/>
          </w:rPr>
          <w:t>99</w:t>
        </w:r>
        <w:r w:rsidRPr="00C3671E">
          <w:rPr>
            <w:noProof/>
            <w:webHidden/>
            <w:lang w:val="en-GB"/>
          </w:rPr>
          <w:fldChar w:fldCharType="end"/>
        </w:r>
      </w:hyperlink>
    </w:p>
    <w:p w14:paraId="2871BFED" w14:textId="4379374C"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45" w:history="1">
        <w:r w:rsidRPr="00C3671E">
          <w:rPr>
            <w:rStyle w:val="Hypertextovodkaz"/>
            <w:noProof/>
            <w:lang w:val="en-GB"/>
          </w:rPr>
          <w:t>Figure 13: Proportional differences in social participation between very good and fair/poor health</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_Toc512687445 \h </w:instrText>
        </w:r>
        <w:r w:rsidRPr="00C3671E">
          <w:rPr>
            <w:noProof/>
            <w:webHidden/>
            <w:lang w:val="en-GB"/>
          </w:rPr>
        </w:r>
        <w:r w:rsidRPr="00C3671E">
          <w:rPr>
            <w:noProof/>
            <w:webHidden/>
            <w:lang w:val="en-GB"/>
          </w:rPr>
          <w:fldChar w:fldCharType="separate"/>
        </w:r>
        <w:r w:rsidRPr="00C3671E">
          <w:rPr>
            <w:noProof/>
            <w:webHidden/>
            <w:lang w:val="en-GB"/>
          </w:rPr>
          <w:t>100</w:t>
        </w:r>
        <w:r w:rsidRPr="00C3671E">
          <w:rPr>
            <w:noProof/>
            <w:webHidden/>
            <w:lang w:val="en-GB"/>
          </w:rPr>
          <w:fldChar w:fldCharType="end"/>
        </w:r>
      </w:hyperlink>
    </w:p>
    <w:p w14:paraId="2EDCBD44" w14:textId="45280A4F"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46" w:history="1">
        <w:r w:rsidRPr="00C3671E">
          <w:rPr>
            <w:rStyle w:val="Hypertextovodkaz"/>
            <w:noProof/>
            <w:lang w:val="en-GB"/>
          </w:rPr>
          <w:t>Figure 14: Ratios of social participation between very good and fair/poor health</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_Toc512687446 \h </w:instrText>
        </w:r>
        <w:r w:rsidRPr="00C3671E">
          <w:rPr>
            <w:noProof/>
            <w:webHidden/>
            <w:lang w:val="en-GB"/>
          </w:rPr>
        </w:r>
        <w:r w:rsidRPr="00C3671E">
          <w:rPr>
            <w:noProof/>
            <w:webHidden/>
            <w:lang w:val="en-GB"/>
          </w:rPr>
          <w:fldChar w:fldCharType="separate"/>
        </w:r>
        <w:r w:rsidRPr="00C3671E">
          <w:rPr>
            <w:noProof/>
            <w:webHidden/>
            <w:lang w:val="en-GB"/>
          </w:rPr>
          <w:t>100</w:t>
        </w:r>
        <w:r w:rsidRPr="00C3671E">
          <w:rPr>
            <w:noProof/>
            <w:webHidden/>
            <w:lang w:val="en-GB"/>
          </w:rPr>
          <w:fldChar w:fldCharType="end"/>
        </w:r>
      </w:hyperlink>
    </w:p>
    <w:p w14:paraId="6555AF32" w14:textId="7A0AF315"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47" w:history="1">
        <w:r w:rsidRPr="00C3671E">
          <w:rPr>
            <w:rStyle w:val="Hypertextovodkaz"/>
            <w:noProof/>
            <w:lang w:val="en-GB"/>
          </w:rPr>
          <w:t>Figure 15: Proportional differences in social participation between older adults with tertiary education and very good health and older adults with primary education and fair/poor health</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_Toc512687447 \h </w:instrText>
        </w:r>
        <w:r w:rsidRPr="00C3671E">
          <w:rPr>
            <w:noProof/>
            <w:webHidden/>
            <w:lang w:val="en-GB"/>
          </w:rPr>
        </w:r>
        <w:r w:rsidRPr="00C3671E">
          <w:rPr>
            <w:noProof/>
            <w:webHidden/>
            <w:lang w:val="en-GB"/>
          </w:rPr>
          <w:fldChar w:fldCharType="separate"/>
        </w:r>
        <w:r w:rsidRPr="00C3671E">
          <w:rPr>
            <w:noProof/>
            <w:webHidden/>
            <w:lang w:val="en-GB"/>
          </w:rPr>
          <w:t>101</w:t>
        </w:r>
        <w:r w:rsidRPr="00C3671E">
          <w:rPr>
            <w:noProof/>
            <w:webHidden/>
            <w:lang w:val="en-GB"/>
          </w:rPr>
          <w:fldChar w:fldCharType="end"/>
        </w:r>
      </w:hyperlink>
    </w:p>
    <w:p w14:paraId="232EF4AC" w14:textId="3771E5C3" w:rsidR="00C3671E" w:rsidRPr="00C3671E" w:rsidRDefault="00C3671E" w:rsidP="00C3671E">
      <w:pPr>
        <w:pStyle w:val="Seznamobrzk"/>
        <w:tabs>
          <w:tab w:val="right" w:leader="dot" w:pos="9062"/>
        </w:tabs>
        <w:jc w:val="both"/>
        <w:rPr>
          <w:rFonts w:asciiTheme="minorHAnsi" w:eastAsiaTheme="minorEastAsia" w:hAnsiTheme="minorHAnsi" w:cstheme="minorBidi"/>
          <w:noProof/>
          <w:sz w:val="22"/>
          <w:szCs w:val="22"/>
          <w:lang w:val="en-GB" w:eastAsia="en-GB"/>
        </w:rPr>
      </w:pPr>
      <w:hyperlink w:anchor="_Toc512687448" w:history="1">
        <w:r w:rsidRPr="00C3671E">
          <w:rPr>
            <w:rStyle w:val="Hypertextovodkaz"/>
            <w:noProof/>
            <w:lang w:val="en-GB"/>
          </w:rPr>
          <w:t>Figure 16: Ratios of social participation between older adults with tertiary education and very good health and older adults with primary education and fair/poor health</w:t>
        </w:r>
        <w:r w:rsidRPr="00C3671E">
          <w:rPr>
            <w:noProof/>
            <w:webHidden/>
            <w:lang w:val="en-GB"/>
          </w:rPr>
          <w:tab/>
        </w:r>
        <w:r w:rsidRPr="00C3671E">
          <w:rPr>
            <w:noProof/>
            <w:webHidden/>
            <w:lang w:val="en-GB"/>
          </w:rPr>
          <w:fldChar w:fldCharType="begin"/>
        </w:r>
        <w:r w:rsidRPr="00C3671E">
          <w:rPr>
            <w:noProof/>
            <w:webHidden/>
            <w:lang w:val="en-GB"/>
          </w:rPr>
          <w:instrText xml:space="preserve"> PAGEREF _Toc512687448 \h </w:instrText>
        </w:r>
        <w:r w:rsidRPr="00C3671E">
          <w:rPr>
            <w:noProof/>
            <w:webHidden/>
            <w:lang w:val="en-GB"/>
          </w:rPr>
        </w:r>
        <w:r w:rsidRPr="00C3671E">
          <w:rPr>
            <w:noProof/>
            <w:webHidden/>
            <w:lang w:val="en-GB"/>
          </w:rPr>
          <w:fldChar w:fldCharType="separate"/>
        </w:r>
        <w:r w:rsidRPr="00C3671E">
          <w:rPr>
            <w:noProof/>
            <w:webHidden/>
            <w:lang w:val="en-GB"/>
          </w:rPr>
          <w:t>102</w:t>
        </w:r>
        <w:r w:rsidRPr="00C3671E">
          <w:rPr>
            <w:noProof/>
            <w:webHidden/>
            <w:lang w:val="en-GB"/>
          </w:rPr>
          <w:fldChar w:fldCharType="end"/>
        </w:r>
      </w:hyperlink>
    </w:p>
    <w:p w14:paraId="637315E8" w14:textId="74D9A93B" w:rsidR="00A87637" w:rsidRPr="00C3671E" w:rsidRDefault="00C3671E" w:rsidP="00C3671E">
      <w:pPr>
        <w:pStyle w:val="Newparagraph"/>
        <w:spacing w:line="240" w:lineRule="auto"/>
        <w:ind w:firstLine="0"/>
        <w:jc w:val="both"/>
      </w:pPr>
      <w:r w:rsidRPr="00C3671E">
        <w:fldChar w:fldCharType="end"/>
      </w:r>
    </w:p>
    <w:sectPr w:rsidR="00A87637" w:rsidRPr="00C3671E">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597F9" w14:textId="77777777" w:rsidR="00C8101F" w:rsidRDefault="00C8101F">
      <w:r>
        <w:separator/>
      </w:r>
    </w:p>
  </w:endnote>
  <w:endnote w:type="continuationSeparator" w:id="0">
    <w:p w14:paraId="39B03C15" w14:textId="77777777" w:rsidR="00C8101F" w:rsidRDefault="00C8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2171" w14:textId="50E87A7A" w:rsidR="00F4146A" w:rsidRDefault="00F4146A">
    <w:pPr>
      <w:pStyle w:val="Zpat"/>
      <w:jc w:val="center"/>
    </w:pPr>
  </w:p>
  <w:p w14:paraId="52FE2C7B" w14:textId="77777777" w:rsidR="00F4146A" w:rsidRDefault="00F4146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80691"/>
      <w:docPartObj>
        <w:docPartGallery w:val="Page Numbers (Bottom of Page)"/>
        <w:docPartUnique/>
      </w:docPartObj>
    </w:sdtPr>
    <w:sdtContent>
      <w:p w14:paraId="37032891" w14:textId="77777777" w:rsidR="00F4146A" w:rsidRDefault="00F4146A">
        <w:pPr>
          <w:pStyle w:val="Zpat"/>
          <w:jc w:val="center"/>
        </w:pPr>
        <w:r>
          <w:fldChar w:fldCharType="begin"/>
        </w:r>
        <w:r>
          <w:instrText>PAGE   \* MERGEFORMAT</w:instrText>
        </w:r>
        <w:r>
          <w:fldChar w:fldCharType="separate"/>
        </w:r>
        <w:r>
          <w:t>2</w:t>
        </w:r>
        <w:r>
          <w:fldChar w:fldCharType="end"/>
        </w:r>
      </w:p>
    </w:sdtContent>
  </w:sdt>
  <w:p w14:paraId="0F381806" w14:textId="77777777" w:rsidR="00F4146A" w:rsidRDefault="00F414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56FCD" w14:textId="77777777" w:rsidR="00C8101F" w:rsidRDefault="00C8101F">
      <w:r>
        <w:separator/>
      </w:r>
    </w:p>
  </w:footnote>
  <w:footnote w:type="continuationSeparator" w:id="0">
    <w:p w14:paraId="6CD692DF" w14:textId="77777777" w:rsidR="00C8101F" w:rsidRDefault="00C81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9CA27C46"/>
    <w:name w:val="WW8Num2"/>
    <w:lvl w:ilvl="0">
      <w:start w:val="1"/>
      <w:numFmt w:val="decimal"/>
      <w:lvlText w:val="%1"/>
      <w:lvlJc w:val="left"/>
      <w:pPr>
        <w:tabs>
          <w:tab w:val="num" w:pos="0"/>
        </w:tabs>
        <w:ind w:left="432" w:hanging="432"/>
      </w:pPr>
      <w:rPr>
        <w:sz w:val="24"/>
        <w:szCs w:val="24"/>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380F6415"/>
    <w:multiLevelType w:val="multilevel"/>
    <w:tmpl w:val="3B581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0440A3"/>
    <w:multiLevelType w:val="multilevel"/>
    <w:tmpl w:val="B74A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421DE"/>
    <w:multiLevelType w:val="multilevel"/>
    <w:tmpl w:val="E6C2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AB11F5"/>
    <w:multiLevelType w:val="multilevel"/>
    <w:tmpl w:val="2FEA7AE4"/>
    <w:lvl w:ilvl="0">
      <w:start w:val="1"/>
      <w:numFmt w:val="decimal"/>
      <w:lvlText w:val="%1"/>
      <w:lvlJc w:val="left"/>
      <w:pPr>
        <w:tabs>
          <w:tab w:val="num" w:pos="432"/>
        </w:tabs>
        <w:ind w:left="432" w:hanging="432"/>
      </w:pPr>
      <w:rPr>
        <w:rFonts w:hint="default"/>
        <w:sz w:val="24"/>
        <w:szCs w:val="24"/>
        <w:lang w:val="en-US"/>
      </w:rPr>
    </w:lvl>
    <w:lvl w:ilvl="1">
      <w:start w:val="1"/>
      <w:numFmt w:val="decimal"/>
      <w:lvlText w:val="%1.%2"/>
      <w:lvlJc w:val="left"/>
      <w:pPr>
        <w:tabs>
          <w:tab w:val="num" w:pos="576"/>
        </w:tabs>
        <w:ind w:left="576" w:hanging="576"/>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864"/>
        </w:tabs>
        <w:ind w:left="864" w:hanging="864"/>
      </w:pPr>
      <w:rPr>
        <w:rFonts w:hint="default"/>
        <w:sz w:val="20"/>
      </w:rPr>
    </w:lvl>
    <w:lvl w:ilvl="4">
      <w:start w:val="1"/>
      <w:numFmt w:val="decimal"/>
      <w:lvlText w:val="%1.%2.%3.%4.%5"/>
      <w:lvlJc w:val="left"/>
      <w:pPr>
        <w:tabs>
          <w:tab w:val="num" w:pos="1008"/>
        </w:tabs>
        <w:ind w:left="1008" w:hanging="1008"/>
      </w:pPr>
      <w:rPr>
        <w:rFonts w:hint="default"/>
        <w:sz w:val="20"/>
      </w:rPr>
    </w:lvl>
    <w:lvl w:ilvl="5">
      <w:start w:val="1"/>
      <w:numFmt w:val="decimal"/>
      <w:lvlText w:val="%1.%2.%3.%4.%5.%6"/>
      <w:lvlJc w:val="left"/>
      <w:pPr>
        <w:tabs>
          <w:tab w:val="num" w:pos="1152"/>
        </w:tabs>
        <w:ind w:left="1152" w:hanging="1152"/>
      </w:pPr>
      <w:rPr>
        <w:rFonts w:hint="default"/>
        <w:sz w:val="20"/>
      </w:rPr>
    </w:lvl>
    <w:lvl w:ilvl="6">
      <w:start w:val="1"/>
      <w:numFmt w:val="decimal"/>
      <w:lvlText w:val="%1.%2.%3.%4.%5.%6.%7"/>
      <w:lvlJc w:val="left"/>
      <w:pPr>
        <w:tabs>
          <w:tab w:val="num" w:pos="1296"/>
        </w:tabs>
        <w:ind w:left="1296" w:hanging="1296"/>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584"/>
        </w:tabs>
        <w:ind w:left="1584" w:hanging="1584"/>
      </w:pPr>
      <w:rPr>
        <w:rFont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B7"/>
    <w:rsid w:val="001257AA"/>
    <w:rsid w:val="001A7940"/>
    <w:rsid w:val="00213BB8"/>
    <w:rsid w:val="00224AA0"/>
    <w:rsid w:val="002333CF"/>
    <w:rsid w:val="00243E45"/>
    <w:rsid w:val="00251CB7"/>
    <w:rsid w:val="0032550E"/>
    <w:rsid w:val="003878E7"/>
    <w:rsid w:val="00466C1F"/>
    <w:rsid w:val="004B2236"/>
    <w:rsid w:val="004F5010"/>
    <w:rsid w:val="00582955"/>
    <w:rsid w:val="005911D8"/>
    <w:rsid w:val="005E32BB"/>
    <w:rsid w:val="0062305D"/>
    <w:rsid w:val="00643D49"/>
    <w:rsid w:val="00671BB7"/>
    <w:rsid w:val="00676326"/>
    <w:rsid w:val="006B4D5C"/>
    <w:rsid w:val="006B7F0B"/>
    <w:rsid w:val="006C62A5"/>
    <w:rsid w:val="00714E3B"/>
    <w:rsid w:val="007302A0"/>
    <w:rsid w:val="007E6D8E"/>
    <w:rsid w:val="00942EFE"/>
    <w:rsid w:val="009B233B"/>
    <w:rsid w:val="00A36235"/>
    <w:rsid w:val="00A74198"/>
    <w:rsid w:val="00A87637"/>
    <w:rsid w:val="00A91559"/>
    <w:rsid w:val="00A95FE5"/>
    <w:rsid w:val="00AA6335"/>
    <w:rsid w:val="00AC261E"/>
    <w:rsid w:val="00B045A1"/>
    <w:rsid w:val="00B27899"/>
    <w:rsid w:val="00B344B0"/>
    <w:rsid w:val="00B836B0"/>
    <w:rsid w:val="00B86239"/>
    <w:rsid w:val="00B8756B"/>
    <w:rsid w:val="00C004DA"/>
    <w:rsid w:val="00C3671E"/>
    <w:rsid w:val="00C8101F"/>
    <w:rsid w:val="00C94483"/>
    <w:rsid w:val="00CB234B"/>
    <w:rsid w:val="00CF34BC"/>
    <w:rsid w:val="00DA59F2"/>
    <w:rsid w:val="00F06B52"/>
    <w:rsid w:val="00F4146A"/>
    <w:rsid w:val="00F96318"/>
    <w:rsid w:val="00FC37A0"/>
    <w:rsid w:val="00FE0FFE"/>
  </w:rsids>
  <m:mathPr>
    <m:mathFont m:val="Cambria Math"/>
    <m:brkBin m:val="before"/>
    <m:brkBinSub m:val="--"/>
    <m:smallFrac m:val="0"/>
    <m:dispDef/>
    <m:lMargin m:val="0"/>
    <m:rMargin m:val="0"/>
    <m:defJc m:val="centerGroup"/>
    <m:wrapIndent m:val="1440"/>
    <m:intLim m:val="subSup"/>
    <m:naryLim m:val="undOvr"/>
  </m:mathPr>
  <w:themeFontLang w:val="cs-CZ"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CC315"/>
  <w15:chartTrackingRefBased/>
  <w15:docId w15:val="{AEE42B29-D29F-46F7-82D9-EDC14762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A7940"/>
    <w:pPr>
      <w:spacing w:after="0" w:line="240" w:lineRule="auto"/>
    </w:pPr>
    <w:rPr>
      <w:rFonts w:ascii="Times New Roman" w:eastAsia="Times New Roman" w:hAnsi="Times New Roman" w:cs="Times New Roman"/>
      <w:sz w:val="24"/>
      <w:szCs w:val="24"/>
      <w:lang w:val="cs-CZ" w:eastAsia="cs-CZ"/>
    </w:rPr>
  </w:style>
  <w:style w:type="paragraph" w:styleId="Nadpis1">
    <w:name w:val="heading 1"/>
    <w:basedOn w:val="Normln"/>
    <w:link w:val="Nadpis1Char"/>
    <w:qFormat/>
    <w:rsid w:val="001A7940"/>
    <w:pPr>
      <w:spacing w:before="100" w:beforeAutospacing="1" w:after="100" w:afterAutospacing="1"/>
      <w:outlineLvl w:val="0"/>
    </w:pPr>
    <w:rPr>
      <w:b/>
      <w:bCs/>
      <w:kern w:val="36"/>
      <w:sz w:val="48"/>
      <w:szCs w:val="48"/>
    </w:rPr>
  </w:style>
  <w:style w:type="paragraph" w:styleId="Nadpis2">
    <w:name w:val="heading 2"/>
    <w:basedOn w:val="Normln"/>
    <w:link w:val="Nadpis2Char"/>
    <w:qFormat/>
    <w:rsid w:val="001A7940"/>
    <w:pPr>
      <w:spacing w:before="100" w:beforeAutospacing="1" w:after="100" w:afterAutospacing="1"/>
      <w:outlineLvl w:val="1"/>
    </w:pPr>
    <w:rPr>
      <w:b/>
      <w:bCs/>
      <w:sz w:val="36"/>
      <w:szCs w:val="36"/>
    </w:rPr>
  </w:style>
  <w:style w:type="paragraph" w:styleId="Nadpis3">
    <w:name w:val="heading 3"/>
    <w:basedOn w:val="Normln"/>
    <w:next w:val="Normln"/>
    <w:link w:val="Nadpis3Char"/>
    <w:qFormat/>
    <w:rsid w:val="001A7940"/>
    <w:pPr>
      <w:keepNext/>
      <w:tabs>
        <w:tab w:val="num" w:pos="720"/>
      </w:tabs>
      <w:spacing w:before="240" w:after="60"/>
      <w:ind w:left="720" w:hanging="720"/>
      <w:outlineLvl w:val="2"/>
    </w:pPr>
    <w:rPr>
      <w:rFonts w:ascii="Arial" w:hAnsi="Arial" w:cs="Arial"/>
      <w:b/>
      <w:bCs/>
      <w:sz w:val="26"/>
      <w:szCs w:val="26"/>
    </w:rPr>
  </w:style>
  <w:style w:type="paragraph" w:styleId="Nadpis4">
    <w:name w:val="heading 4"/>
    <w:basedOn w:val="Normln"/>
    <w:link w:val="Nadpis4Char"/>
    <w:qFormat/>
    <w:rsid w:val="001A7940"/>
    <w:pPr>
      <w:tabs>
        <w:tab w:val="num" w:pos="864"/>
      </w:tabs>
      <w:spacing w:before="100" w:beforeAutospacing="1" w:after="100" w:afterAutospacing="1"/>
      <w:ind w:left="864" w:hanging="864"/>
      <w:outlineLvl w:val="3"/>
    </w:pPr>
    <w:rPr>
      <w:b/>
      <w:bCs/>
    </w:rPr>
  </w:style>
  <w:style w:type="paragraph" w:styleId="Nadpis5">
    <w:name w:val="heading 5"/>
    <w:basedOn w:val="Normln"/>
    <w:link w:val="Nadpis5Char"/>
    <w:qFormat/>
    <w:rsid w:val="001A7940"/>
    <w:pPr>
      <w:tabs>
        <w:tab w:val="num" w:pos="1008"/>
      </w:tabs>
      <w:spacing w:before="100" w:beforeAutospacing="1" w:after="100" w:afterAutospacing="1"/>
      <w:ind w:left="1008" w:hanging="1008"/>
      <w:outlineLvl w:val="4"/>
    </w:pPr>
    <w:rPr>
      <w:b/>
      <w:bCs/>
      <w:sz w:val="20"/>
      <w:szCs w:val="20"/>
    </w:rPr>
  </w:style>
  <w:style w:type="paragraph" w:styleId="Nadpis6">
    <w:name w:val="heading 6"/>
    <w:basedOn w:val="Normln"/>
    <w:next w:val="Normln"/>
    <w:link w:val="Nadpis6Char"/>
    <w:qFormat/>
    <w:rsid w:val="001A7940"/>
    <w:pPr>
      <w:tabs>
        <w:tab w:val="num" w:pos="1152"/>
      </w:tabs>
      <w:spacing w:before="240" w:after="60"/>
      <w:ind w:left="1152" w:hanging="1152"/>
      <w:outlineLvl w:val="5"/>
    </w:pPr>
    <w:rPr>
      <w:b/>
      <w:bCs/>
      <w:sz w:val="22"/>
      <w:szCs w:val="22"/>
    </w:rPr>
  </w:style>
  <w:style w:type="paragraph" w:styleId="Nadpis7">
    <w:name w:val="heading 7"/>
    <w:basedOn w:val="Normln"/>
    <w:next w:val="Normln"/>
    <w:link w:val="Nadpis7Char"/>
    <w:qFormat/>
    <w:rsid w:val="001A7940"/>
    <w:pPr>
      <w:tabs>
        <w:tab w:val="num" w:pos="1296"/>
      </w:tabs>
      <w:spacing w:before="240" w:after="60"/>
      <w:ind w:left="1296" w:hanging="1296"/>
      <w:outlineLvl w:val="6"/>
    </w:pPr>
  </w:style>
  <w:style w:type="paragraph" w:styleId="Nadpis8">
    <w:name w:val="heading 8"/>
    <w:basedOn w:val="Normln"/>
    <w:next w:val="Normln"/>
    <w:link w:val="Nadpis8Char"/>
    <w:qFormat/>
    <w:rsid w:val="001A7940"/>
    <w:pPr>
      <w:tabs>
        <w:tab w:val="num" w:pos="1440"/>
      </w:tabs>
      <w:spacing w:before="240" w:after="60"/>
      <w:ind w:left="1440" w:hanging="1440"/>
      <w:outlineLvl w:val="7"/>
    </w:pPr>
    <w:rPr>
      <w:i/>
      <w:iCs/>
    </w:rPr>
  </w:style>
  <w:style w:type="paragraph" w:styleId="Nadpis9">
    <w:name w:val="heading 9"/>
    <w:basedOn w:val="Normln"/>
    <w:next w:val="Normln"/>
    <w:link w:val="Nadpis9Char"/>
    <w:qFormat/>
    <w:rsid w:val="001A7940"/>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A7940"/>
    <w:rPr>
      <w:rFonts w:ascii="Times New Roman" w:eastAsia="Times New Roman" w:hAnsi="Times New Roman" w:cs="Times New Roman"/>
      <w:b/>
      <w:bCs/>
      <w:kern w:val="36"/>
      <w:sz w:val="48"/>
      <w:szCs w:val="48"/>
      <w:lang w:val="cs-CZ" w:eastAsia="cs-CZ"/>
    </w:rPr>
  </w:style>
  <w:style w:type="character" w:customStyle="1" w:styleId="Nadpis2Char">
    <w:name w:val="Nadpis 2 Char"/>
    <w:basedOn w:val="Standardnpsmoodstavce"/>
    <w:link w:val="Nadpis2"/>
    <w:rsid w:val="001A7940"/>
    <w:rPr>
      <w:rFonts w:ascii="Times New Roman" w:eastAsia="Times New Roman" w:hAnsi="Times New Roman" w:cs="Times New Roman"/>
      <w:b/>
      <w:bCs/>
      <w:sz w:val="36"/>
      <w:szCs w:val="36"/>
      <w:lang w:val="cs-CZ" w:eastAsia="cs-CZ"/>
    </w:rPr>
  </w:style>
  <w:style w:type="character" w:customStyle="1" w:styleId="Nadpis3Char">
    <w:name w:val="Nadpis 3 Char"/>
    <w:basedOn w:val="Standardnpsmoodstavce"/>
    <w:link w:val="Nadpis3"/>
    <w:rsid w:val="001A7940"/>
    <w:rPr>
      <w:rFonts w:ascii="Arial" w:eastAsia="Times New Roman" w:hAnsi="Arial" w:cs="Arial"/>
      <w:b/>
      <w:bCs/>
      <w:sz w:val="26"/>
      <w:szCs w:val="26"/>
      <w:lang w:val="cs-CZ" w:eastAsia="cs-CZ"/>
    </w:rPr>
  </w:style>
  <w:style w:type="character" w:customStyle="1" w:styleId="Nadpis4Char">
    <w:name w:val="Nadpis 4 Char"/>
    <w:basedOn w:val="Standardnpsmoodstavce"/>
    <w:link w:val="Nadpis4"/>
    <w:rsid w:val="001A7940"/>
    <w:rPr>
      <w:rFonts w:ascii="Times New Roman" w:eastAsia="Times New Roman" w:hAnsi="Times New Roman" w:cs="Times New Roman"/>
      <w:b/>
      <w:bCs/>
      <w:sz w:val="24"/>
      <w:szCs w:val="24"/>
      <w:lang w:val="cs-CZ" w:eastAsia="cs-CZ"/>
    </w:rPr>
  </w:style>
  <w:style w:type="character" w:customStyle="1" w:styleId="Nadpis5Char">
    <w:name w:val="Nadpis 5 Char"/>
    <w:basedOn w:val="Standardnpsmoodstavce"/>
    <w:link w:val="Nadpis5"/>
    <w:rsid w:val="001A7940"/>
    <w:rPr>
      <w:rFonts w:ascii="Times New Roman" w:eastAsia="Times New Roman" w:hAnsi="Times New Roman" w:cs="Times New Roman"/>
      <w:b/>
      <w:bCs/>
      <w:sz w:val="20"/>
      <w:szCs w:val="20"/>
      <w:lang w:val="cs-CZ" w:eastAsia="cs-CZ"/>
    </w:rPr>
  </w:style>
  <w:style w:type="character" w:customStyle="1" w:styleId="Nadpis6Char">
    <w:name w:val="Nadpis 6 Char"/>
    <w:basedOn w:val="Standardnpsmoodstavce"/>
    <w:link w:val="Nadpis6"/>
    <w:rsid w:val="001A7940"/>
    <w:rPr>
      <w:rFonts w:ascii="Times New Roman" w:eastAsia="Times New Roman" w:hAnsi="Times New Roman" w:cs="Times New Roman"/>
      <w:b/>
      <w:bCs/>
      <w:lang w:val="cs-CZ" w:eastAsia="cs-CZ"/>
    </w:rPr>
  </w:style>
  <w:style w:type="character" w:customStyle="1" w:styleId="Nadpis7Char">
    <w:name w:val="Nadpis 7 Char"/>
    <w:basedOn w:val="Standardnpsmoodstavce"/>
    <w:link w:val="Nadpis7"/>
    <w:rsid w:val="001A7940"/>
    <w:rPr>
      <w:rFonts w:ascii="Times New Roman" w:eastAsia="Times New Roman" w:hAnsi="Times New Roman" w:cs="Times New Roman"/>
      <w:sz w:val="24"/>
      <w:szCs w:val="24"/>
      <w:lang w:val="cs-CZ" w:eastAsia="cs-CZ"/>
    </w:rPr>
  </w:style>
  <w:style w:type="character" w:customStyle="1" w:styleId="Nadpis8Char">
    <w:name w:val="Nadpis 8 Char"/>
    <w:basedOn w:val="Standardnpsmoodstavce"/>
    <w:link w:val="Nadpis8"/>
    <w:rsid w:val="001A7940"/>
    <w:rPr>
      <w:rFonts w:ascii="Times New Roman" w:eastAsia="Times New Roman" w:hAnsi="Times New Roman" w:cs="Times New Roman"/>
      <w:i/>
      <w:iCs/>
      <w:sz w:val="24"/>
      <w:szCs w:val="24"/>
      <w:lang w:val="cs-CZ" w:eastAsia="cs-CZ"/>
    </w:rPr>
  </w:style>
  <w:style w:type="character" w:customStyle="1" w:styleId="Nadpis9Char">
    <w:name w:val="Nadpis 9 Char"/>
    <w:basedOn w:val="Standardnpsmoodstavce"/>
    <w:link w:val="Nadpis9"/>
    <w:rsid w:val="001A7940"/>
    <w:rPr>
      <w:rFonts w:ascii="Arial" w:eastAsia="Times New Roman" w:hAnsi="Arial" w:cs="Arial"/>
      <w:lang w:val="cs-CZ" w:eastAsia="cs-CZ"/>
    </w:rPr>
  </w:style>
  <w:style w:type="character" w:styleId="Hypertextovodkaz">
    <w:name w:val="Hyperlink"/>
    <w:uiPriority w:val="99"/>
    <w:unhideWhenUsed/>
    <w:rsid w:val="001A7940"/>
    <w:rPr>
      <w:color w:val="0000FF"/>
      <w:u w:val="single"/>
    </w:rPr>
  </w:style>
  <w:style w:type="character" w:styleId="Odkaznakoment">
    <w:name w:val="annotation reference"/>
    <w:uiPriority w:val="99"/>
    <w:rsid w:val="001A7940"/>
    <w:rPr>
      <w:sz w:val="16"/>
      <w:szCs w:val="16"/>
    </w:rPr>
  </w:style>
  <w:style w:type="paragraph" w:styleId="Textkomente">
    <w:name w:val="annotation text"/>
    <w:basedOn w:val="Normln"/>
    <w:link w:val="TextkomenteChar"/>
    <w:uiPriority w:val="99"/>
    <w:rsid w:val="001A7940"/>
    <w:rPr>
      <w:sz w:val="20"/>
      <w:szCs w:val="20"/>
    </w:rPr>
  </w:style>
  <w:style w:type="character" w:customStyle="1" w:styleId="TextkomenteChar">
    <w:name w:val="Text komentáře Char"/>
    <w:basedOn w:val="Standardnpsmoodstavce"/>
    <w:link w:val="Textkomente"/>
    <w:uiPriority w:val="99"/>
    <w:rsid w:val="001A7940"/>
    <w:rPr>
      <w:rFonts w:ascii="Times New Roman" w:eastAsia="Times New Roman" w:hAnsi="Times New Roman" w:cs="Times New Roman"/>
      <w:sz w:val="20"/>
      <w:szCs w:val="20"/>
      <w:lang w:val="cs-CZ" w:eastAsia="cs-CZ"/>
    </w:rPr>
  </w:style>
  <w:style w:type="paragraph" w:styleId="Pedmtkomente">
    <w:name w:val="annotation subject"/>
    <w:basedOn w:val="Textkomente"/>
    <w:next w:val="Textkomente"/>
    <w:link w:val="PedmtkomenteChar"/>
    <w:uiPriority w:val="99"/>
    <w:rsid w:val="001A7940"/>
    <w:rPr>
      <w:b/>
      <w:bCs/>
    </w:rPr>
  </w:style>
  <w:style w:type="character" w:customStyle="1" w:styleId="PedmtkomenteChar">
    <w:name w:val="Předmět komentáře Char"/>
    <w:basedOn w:val="TextkomenteChar"/>
    <w:link w:val="Pedmtkomente"/>
    <w:uiPriority w:val="99"/>
    <w:rsid w:val="001A7940"/>
    <w:rPr>
      <w:rFonts w:ascii="Times New Roman" w:eastAsia="Times New Roman" w:hAnsi="Times New Roman" w:cs="Times New Roman"/>
      <w:b/>
      <w:bCs/>
      <w:sz w:val="20"/>
      <w:szCs w:val="20"/>
      <w:lang w:val="cs-CZ" w:eastAsia="cs-CZ"/>
    </w:rPr>
  </w:style>
  <w:style w:type="paragraph" w:styleId="Textbubliny">
    <w:name w:val="Balloon Text"/>
    <w:basedOn w:val="Normln"/>
    <w:link w:val="TextbublinyChar"/>
    <w:uiPriority w:val="99"/>
    <w:rsid w:val="001A7940"/>
    <w:rPr>
      <w:rFonts w:ascii="Tahoma" w:hAnsi="Tahoma" w:cs="Tahoma"/>
      <w:sz w:val="16"/>
      <w:szCs w:val="16"/>
    </w:rPr>
  </w:style>
  <w:style w:type="character" w:customStyle="1" w:styleId="TextbublinyChar">
    <w:name w:val="Text bubliny Char"/>
    <w:basedOn w:val="Standardnpsmoodstavce"/>
    <w:link w:val="Textbubliny"/>
    <w:uiPriority w:val="99"/>
    <w:rsid w:val="001A7940"/>
    <w:rPr>
      <w:rFonts w:ascii="Tahoma" w:eastAsia="Times New Roman" w:hAnsi="Tahoma" w:cs="Tahoma"/>
      <w:sz w:val="16"/>
      <w:szCs w:val="16"/>
      <w:lang w:val="cs-CZ" w:eastAsia="cs-CZ"/>
    </w:rPr>
  </w:style>
  <w:style w:type="paragraph" w:styleId="Zhlav">
    <w:name w:val="header"/>
    <w:basedOn w:val="Normln"/>
    <w:link w:val="ZhlavChar"/>
    <w:uiPriority w:val="99"/>
    <w:rsid w:val="001A7940"/>
    <w:pPr>
      <w:tabs>
        <w:tab w:val="center" w:pos="4536"/>
        <w:tab w:val="right" w:pos="9072"/>
      </w:tabs>
    </w:pPr>
  </w:style>
  <w:style w:type="character" w:customStyle="1" w:styleId="ZhlavChar">
    <w:name w:val="Záhlaví Char"/>
    <w:basedOn w:val="Standardnpsmoodstavce"/>
    <w:link w:val="Zhlav"/>
    <w:uiPriority w:val="99"/>
    <w:rsid w:val="001A7940"/>
    <w:rPr>
      <w:rFonts w:ascii="Times New Roman" w:eastAsia="Times New Roman" w:hAnsi="Times New Roman" w:cs="Times New Roman"/>
      <w:sz w:val="24"/>
      <w:szCs w:val="24"/>
      <w:lang w:val="cs-CZ" w:eastAsia="cs-CZ"/>
    </w:rPr>
  </w:style>
  <w:style w:type="paragraph" w:styleId="Zpat">
    <w:name w:val="footer"/>
    <w:basedOn w:val="Normln"/>
    <w:link w:val="ZpatChar"/>
    <w:uiPriority w:val="99"/>
    <w:rsid w:val="001A7940"/>
    <w:pPr>
      <w:tabs>
        <w:tab w:val="center" w:pos="4536"/>
        <w:tab w:val="right" w:pos="9072"/>
      </w:tabs>
    </w:pPr>
  </w:style>
  <w:style w:type="character" w:customStyle="1" w:styleId="ZpatChar">
    <w:name w:val="Zápatí Char"/>
    <w:basedOn w:val="Standardnpsmoodstavce"/>
    <w:link w:val="Zpat"/>
    <w:uiPriority w:val="99"/>
    <w:rsid w:val="001A7940"/>
    <w:rPr>
      <w:rFonts w:ascii="Times New Roman" w:eastAsia="Times New Roman" w:hAnsi="Times New Roman" w:cs="Times New Roman"/>
      <w:sz w:val="24"/>
      <w:szCs w:val="24"/>
      <w:lang w:val="cs-CZ" w:eastAsia="cs-CZ"/>
    </w:rPr>
  </w:style>
  <w:style w:type="paragraph" w:styleId="Normlnweb">
    <w:name w:val="Normal (Web)"/>
    <w:basedOn w:val="Normln"/>
    <w:rsid w:val="001A7940"/>
    <w:pPr>
      <w:spacing w:before="100" w:beforeAutospacing="1" w:after="100" w:afterAutospacing="1"/>
    </w:pPr>
  </w:style>
  <w:style w:type="character" w:styleId="Siln">
    <w:name w:val="Strong"/>
    <w:qFormat/>
    <w:rsid w:val="001A7940"/>
    <w:rPr>
      <w:b/>
      <w:bCs/>
    </w:rPr>
  </w:style>
  <w:style w:type="paragraph" w:styleId="z-Zatekformule">
    <w:name w:val="HTML Top of Form"/>
    <w:basedOn w:val="Normln"/>
    <w:next w:val="Normln"/>
    <w:link w:val="z-ZatekformuleChar"/>
    <w:hidden/>
    <w:rsid w:val="001A7940"/>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rsid w:val="001A7940"/>
    <w:rPr>
      <w:rFonts w:ascii="Arial" w:eastAsia="Times New Roman" w:hAnsi="Arial" w:cs="Arial"/>
      <w:vanish/>
      <w:sz w:val="16"/>
      <w:szCs w:val="16"/>
      <w:lang w:val="cs-CZ" w:eastAsia="cs-CZ"/>
    </w:rPr>
  </w:style>
  <w:style w:type="paragraph" w:styleId="z-Konecformule">
    <w:name w:val="HTML Bottom of Form"/>
    <w:basedOn w:val="Normln"/>
    <w:next w:val="Normln"/>
    <w:link w:val="z-KonecformuleChar"/>
    <w:hidden/>
    <w:rsid w:val="001A7940"/>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rsid w:val="001A7940"/>
    <w:rPr>
      <w:rFonts w:ascii="Arial" w:eastAsia="Times New Roman" w:hAnsi="Arial" w:cs="Arial"/>
      <w:vanish/>
      <w:sz w:val="16"/>
      <w:szCs w:val="16"/>
      <w:lang w:val="cs-CZ" w:eastAsia="cs-CZ"/>
    </w:rPr>
  </w:style>
  <w:style w:type="character" w:customStyle="1" w:styleId="red">
    <w:name w:val="red"/>
    <w:basedOn w:val="Standardnpsmoodstavce"/>
    <w:rsid w:val="001A7940"/>
  </w:style>
  <w:style w:type="paragraph" w:customStyle="1" w:styleId="padding">
    <w:name w:val="padding"/>
    <w:basedOn w:val="Normln"/>
    <w:rsid w:val="001A7940"/>
    <w:pPr>
      <w:spacing w:before="100" w:beforeAutospacing="1" w:after="100" w:afterAutospacing="1"/>
    </w:pPr>
  </w:style>
  <w:style w:type="paragraph" w:customStyle="1" w:styleId="calign">
    <w:name w:val="calign"/>
    <w:basedOn w:val="Normln"/>
    <w:rsid w:val="001A7940"/>
    <w:pPr>
      <w:spacing w:before="100" w:beforeAutospacing="1" w:after="100" w:afterAutospacing="1"/>
    </w:pPr>
  </w:style>
  <w:style w:type="character" w:customStyle="1" w:styleId="small">
    <w:name w:val="small"/>
    <w:basedOn w:val="Standardnpsmoodstavce"/>
    <w:rsid w:val="001A7940"/>
  </w:style>
  <w:style w:type="character" w:customStyle="1" w:styleId="redsmall">
    <w:name w:val="red small"/>
    <w:basedOn w:val="Standardnpsmoodstavce"/>
    <w:rsid w:val="001A7940"/>
  </w:style>
  <w:style w:type="character" w:customStyle="1" w:styleId="recommendednames">
    <w:name w:val="recommendednames"/>
    <w:basedOn w:val="Standardnpsmoodstavce"/>
    <w:rsid w:val="001A7940"/>
  </w:style>
  <w:style w:type="character" w:customStyle="1" w:styleId="pull-righttext-muted">
    <w:name w:val="pull-right text-muted"/>
    <w:basedOn w:val="Standardnpsmoodstavce"/>
    <w:rsid w:val="001A7940"/>
  </w:style>
  <w:style w:type="character" w:styleId="slostrnky">
    <w:name w:val="page number"/>
    <w:basedOn w:val="Standardnpsmoodstavce"/>
    <w:rsid w:val="001A7940"/>
  </w:style>
  <w:style w:type="paragraph" w:styleId="Textpoznpodarou">
    <w:name w:val="footnote text"/>
    <w:basedOn w:val="Normln"/>
    <w:link w:val="TextpoznpodarouChar"/>
    <w:uiPriority w:val="99"/>
    <w:semiHidden/>
    <w:rsid w:val="001A7940"/>
    <w:rPr>
      <w:sz w:val="20"/>
      <w:szCs w:val="20"/>
    </w:rPr>
  </w:style>
  <w:style w:type="character" w:customStyle="1" w:styleId="TextpoznpodarouChar">
    <w:name w:val="Text pozn. pod čarou Char"/>
    <w:basedOn w:val="Standardnpsmoodstavce"/>
    <w:link w:val="Textpoznpodarou"/>
    <w:uiPriority w:val="99"/>
    <w:semiHidden/>
    <w:rsid w:val="001A7940"/>
    <w:rPr>
      <w:rFonts w:ascii="Times New Roman" w:eastAsia="Times New Roman" w:hAnsi="Times New Roman" w:cs="Times New Roman"/>
      <w:sz w:val="20"/>
      <w:szCs w:val="20"/>
      <w:lang w:val="cs-CZ" w:eastAsia="cs-CZ"/>
    </w:rPr>
  </w:style>
  <w:style w:type="character" w:styleId="Znakapoznpodarou">
    <w:name w:val="footnote reference"/>
    <w:uiPriority w:val="99"/>
    <w:semiHidden/>
    <w:rsid w:val="001A7940"/>
    <w:rPr>
      <w:vertAlign w:val="superscript"/>
    </w:rPr>
  </w:style>
  <w:style w:type="paragraph" w:customStyle="1" w:styleId="Newparagraph">
    <w:name w:val="New paragraph"/>
    <w:basedOn w:val="Normln"/>
    <w:qFormat/>
    <w:rsid w:val="001A7940"/>
    <w:pPr>
      <w:spacing w:line="480" w:lineRule="auto"/>
      <w:ind w:firstLine="720"/>
    </w:pPr>
    <w:rPr>
      <w:lang w:val="en-GB" w:eastAsia="en-GB"/>
    </w:rPr>
  </w:style>
  <w:style w:type="paragraph" w:customStyle="1" w:styleId="Paragraph">
    <w:name w:val="Paragraph"/>
    <w:basedOn w:val="Normln"/>
    <w:next w:val="Newparagraph"/>
    <w:qFormat/>
    <w:rsid w:val="001A7940"/>
    <w:pPr>
      <w:widowControl w:val="0"/>
      <w:spacing w:before="240" w:line="480" w:lineRule="auto"/>
    </w:pPr>
    <w:rPr>
      <w:lang w:val="en-GB" w:eastAsia="en-GB"/>
    </w:rPr>
  </w:style>
  <w:style w:type="paragraph" w:customStyle="1" w:styleId="Abstract">
    <w:name w:val="Abstract"/>
    <w:basedOn w:val="Normln"/>
    <w:next w:val="Normln"/>
    <w:qFormat/>
    <w:rsid w:val="001A7940"/>
    <w:pPr>
      <w:spacing w:before="360" w:after="300" w:line="360" w:lineRule="auto"/>
      <w:ind w:left="720" w:right="567"/>
    </w:pPr>
    <w:rPr>
      <w:sz w:val="22"/>
      <w:lang w:val="en-GB" w:eastAsia="en-GB"/>
    </w:rPr>
  </w:style>
  <w:style w:type="paragraph" w:customStyle="1" w:styleId="Keywords">
    <w:name w:val="Keywords"/>
    <w:basedOn w:val="Normln"/>
    <w:next w:val="Paragraph"/>
    <w:qFormat/>
    <w:rsid w:val="001A7940"/>
    <w:pPr>
      <w:spacing w:before="240" w:after="240" w:line="360" w:lineRule="auto"/>
      <w:ind w:left="720" w:right="567"/>
    </w:pPr>
    <w:rPr>
      <w:sz w:val="22"/>
      <w:lang w:val="en-GB" w:eastAsia="en-GB"/>
    </w:rPr>
  </w:style>
  <w:style w:type="paragraph" w:customStyle="1" w:styleId="Articletitle">
    <w:name w:val="Article title"/>
    <w:basedOn w:val="Normln"/>
    <w:next w:val="Normln"/>
    <w:qFormat/>
    <w:rsid w:val="001A7940"/>
    <w:pPr>
      <w:spacing w:after="120" w:line="360" w:lineRule="auto"/>
    </w:pPr>
    <w:rPr>
      <w:b/>
      <w:sz w:val="28"/>
      <w:lang w:val="en-GB" w:eastAsia="en-GB"/>
    </w:rPr>
  </w:style>
  <w:style w:type="paragraph" w:styleId="FormtovanvHTML">
    <w:name w:val="HTML Preformatted"/>
    <w:basedOn w:val="Normln"/>
    <w:link w:val="FormtovanvHTMLChar"/>
    <w:uiPriority w:val="99"/>
    <w:semiHidden/>
    <w:unhideWhenUsed/>
    <w:rsid w:val="00A7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FormtovanvHTMLChar">
    <w:name w:val="Formátovaný v HTML Char"/>
    <w:basedOn w:val="Standardnpsmoodstavce"/>
    <w:link w:val="FormtovanvHTML"/>
    <w:uiPriority w:val="99"/>
    <w:semiHidden/>
    <w:rsid w:val="00A74198"/>
    <w:rPr>
      <w:rFonts w:ascii="Courier New" w:eastAsia="Times New Roman" w:hAnsi="Courier New" w:cs="Courier New"/>
      <w:sz w:val="20"/>
      <w:szCs w:val="20"/>
      <w:lang w:eastAsia="en-GB"/>
    </w:rPr>
  </w:style>
  <w:style w:type="paragraph" w:styleId="Nadpisobsahu">
    <w:name w:val="TOC Heading"/>
    <w:basedOn w:val="Nadpis1"/>
    <w:next w:val="Normln"/>
    <w:uiPriority w:val="39"/>
    <w:unhideWhenUsed/>
    <w:qFormat/>
    <w:rsid w:val="004B2236"/>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GB" w:eastAsia="en-GB"/>
    </w:rPr>
  </w:style>
  <w:style w:type="paragraph" w:styleId="Obsah1">
    <w:name w:val="toc 1"/>
    <w:basedOn w:val="Normln"/>
    <w:next w:val="Normln"/>
    <w:autoRedefine/>
    <w:uiPriority w:val="39"/>
    <w:unhideWhenUsed/>
    <w:rsid w:val="004B2236"/>
    <w:pPr>
      <w:spacing w:after="100"/>
    </w:pPr>
  </w:style>
  <w:style w:type="paragraph" w:styleId="Obsah2">
    <w:name w:val="toc 2"/>
    <w:basedOn w:val="Normln"/>
    <w:next w:val="Normln"/>
    <w:autoRedefine/>
    <w:uiPriority w:val="39"/>
    <w:unhideWhenUsed/>
    <w:rsid w:val="004B2236"/>
    <w:pPr>
      <w:spacing w:after="100"/>
      <w:ind w:left="240"/>
    </w:pPr>
  </w:style>
  <w:style w:type="paragraph" w:styleId="Obsah3">
    <w:name w:val="toc 3"/>
    <w:basedOn w:val="Normln"/>
    <w:next w:val="Normln"/>
    <w:autoRedefine/>
    <w:uiPriority w:val="39"/>
    <w:unhideWhenUsed/>
    <w:rsid w:val="004B2236"/>
    <w:pPr>
      <w:spacing w:after="100"/>
      <w:ind w:left="480"/>
    </w:pPr>
  </w:style>
  <w:style w:type="paragraph" w:styleId="Titulek">
    <w:name w:val="caption"/>
    <w:basedOn w:val="Normln"/>
    <w:next w:val="Normln"/>
    <w:uiPriority w:val="35"/>
    <w:unhideWhenUsed/>
    <w:qFormat/>
    <w:rsid w:val="005E32BB"/>
    <w:pPr>
      <w:spacing w:after="200"/>
    </w:pPr>
    <w:rPr>
      <w:i/>
      <w:iCs/>
      <w:color w:val="44546A" w:themeColor="text2"/>
      <w:sz w:val="18"/>
      <w:szCs w:val="18"/>
    </w:rPr>
  </w:style>
  <w:style w:type="paragraph" w:styleId="Seznamobrzk">
    <w:name w:val="table of figures"/>
    <w:basedOn w:val="Normln"/>
    <w:next w:val="Normln"/>
    <w:uiPriority w:val="99"/>
    <w:unhideWhenUsed/>
    <w:rsid w:val="00C36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0651">
      <w:bodyDiv w:val="1"/>
      <w:marLeft w:val="0"/>
      <w:marRight w:val="0"/>
      <w:marTop w:val="0"/>
      <w:marBottom w:val="0"/>
      <w:divBdr>
        <w:top w:val="none" w:sz="0" w:space="0" w:color="auto"/>
        <w:left w:val="none" w:sz="0" w:space="0" w:color="auto"/>
        <w:bottom w:val="none" w:sz="0" w:space="0" w:color="auto"/>
        <w:right w:val="none" w:sz="0" w:space="0" w:color="auto"/>
      </w:divBdr>
    </w:div>
    <w:div w:id="929386113">
      <w:bodyDiv w:val="1"/>
      <w:marLeft w:val="0"/>
      <w:marRight w:val="0"/>
      <w:marTop w:val="0"/>
      <w:marBottom w:val="0"/>
      <w:divBdr>
        <w:top w:val="none" w:sz="0" w:space="0" w:color="auto"/>
        <w:left w:val="none" w:sz="0" w:space="0" w:color="auto"/>
        <w:bottom w:val="none" w:sz="0" w:space="0" w:color="auto"/>
        <w:right w:val="none" w:sz="0" w:space="0" w:color="auto"/>
      </w:divBdr>
    </w:div>
    <w:div w:id="12816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225;j&#237;nek\Dropbox\doktorsk&#233;\disertace\descriptive_table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225;j&#237;nek\Dropbox\participation\analysis\results.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225;j&#237;nek\Dropbox\participation\analysis\results.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225;j&#237;nek\Dropbox\participation\analysis\results.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225;j&#237;nek\Dropbox\participation\analysis\results.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225;j&#237;nek\Dropbox\participation\analysis\results.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M&#225;j&#237;nek\Dropbox\participation\analysis\results.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M&#225;j&#237;nek\Dropbox\participation\analysis\results.xls"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M&#225;j&#237;nek\Dropbox\doktorsk&#233;\disertace\descriptive_table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M&#225;j&#237;nek\Dropbox\doktorsk&#233;\disertace\descriptive_table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M&#225;j&#237;nek\Dropbox\doktorsk&#233;\disertace\descriptive_table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M&#225;j&#237;nek\Dropbox\doktorsk&#233;\disertace\descriptive_table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M&#225;j&#237;nek\Dropbox\doktorsk&#233;\disertace\descriptive_table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M&#225;j&#237;nek\Dropbox\employment\graph.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225;j&#237;nek\Dropbox\participation\analysis\results.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225;j&#237;nek\Dropbox\participation\analysis\resul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List1!$C$3</c:f>
              <c:strCache>
                <c:ptCount val="1"/>
                <c:pt idx="0">
                  <c:v>retired</c:v>
                </c:pt>
              </c:strCache>
            </c:strRef>
          </c:tx>
          <c:spPr>
            <a:solidFill>
              <a:schemeClr val="accent1"/>
            </a:solidFill>
            <a:ln>
              <a:noFill/>
            </a:ln>
            <a:effectLst/>
          </c:spPr>
          <c:invertIfNegative val="0"/>
          <c:cat>
            <c:strRef>
              <c:f>List1!$D$2:$G$2</c:f>
              <c:strCache>
                <c:ptCount val="4"/>
                <c:pt idx="0">
                  <c:v>North</c:v>
                </c:pt>
                <c:pt idx="1">
                  <c:v>West</c:v>
                </c:pt>
                <c:pt idx="2">
                  <c:v>South</c:v>
                </c:pt>
                <c:pt idx="3">
                  <c:v>Post-communist</c:v>
                </c:pt>
              </c:strCache>
            </c:strRef>
          </c:cat>
          <c:val>
            <c:numRef>
              <c:f>List1!$D$3:$G$3</c:f>
              <c:numCache>
                <c:formatCode>General</c:formatCode>
                <c:ptCount val="4"/>
                <c:pt idx="0">
                  <c:v>61.48</c:v>
                </c:pt>
                <c:pt idx="1">
                  <c:v>60.6</c:v>
                </c:pt>
                <c:pt idx="2">
                  <c:v>52.31</c:v>
                </c:pt>
                <c:pt idx="3">
                  <c:v>68.94</c:v>
                </c:pt>
              </c:numCache>
            </c:numRef>
          </c:val>
          <c:extLst>
            <c:ext xmlns:c16="http://schemas.microsoft.com/office/drawing/2014/chart" uri="{C3380CC4-5D6E-409C-BE32-E72D297353CC}">
              <c16:uniqueId val="{00000000-62EE-448F-BBD4-C623EE43B180}"/>
            </c:ext>
          </c:extLst>
        </c:ser>
        <c:ser>
          <c:idx val="1"/>
          <c:order val="1"/>
          <c:tx>
            <c:strRef>
              <c:f>List1!$C$4</c:f>
              <c:strCache>
                <c:ptCount val="1"/>
                <c:pt idx="0">
                  <c:v>working</c:v>
                </c:pt>
              </c:strCache>
            </c:strRef>
          </c:tx>
          <c:spPr>
            <a:solidFill>
              <a:schemeClr val="accent2"/>
            </a:solidFill>
            <a:ln>
              <a:noFill/>
            </a:ln>
            <a:effectLst/>
          </c:spPr>
          <c:invertIfNegative val="0"/>
          <c:cat>
            <c:strRef>
              <c:f>List1!$D$2:$G$2</c:f>
              <c:strCache>
                <c:ptCount val="4"/>
                <c:pt idx="0">
                  <c:v>North</c:v>
                </c:pt>
                <c:pt idx="1">
                  <c:v>West</c:v>
                </c:pt>
                <c:pt idx="2">
                  <c:v>South</c:v>
                </c:pt>
                <c:pt idx="3">
                  <c:v>Post-communist</c:v>
                </c:pt>
              </c:strCache>
            </c:strRef>
          </c:cat>
          <c:val>
            <c:numRef>
              <c:f>List1!$D$4:$G$4</c:f>
              <c:numCache>
                <c:formatCode>General</c:formatCode>
                <c:ptCount val="4"/>
                <c:pt idx="0">
                  <c:v>34.15</c:v>
                </c:pt>
                <c:pt idx="1">
                  <c:v>26.13</c:v>
                </c:pt>
                <c:pt idx="2">
                  <c:v>20.59</c:v>
                </c:pt>
                <c:pt idx="3">
                  <c:v>22.15</c:v>
                </c:pt>
              </c:numCache>
            </c:numRef>
          </c:val>
          <c:extLst>
            <c:ext xmlns:c16="http://schemas.microsoft.com/office/drawing/2014/chart" uri="{C3380CC4-5D6E-409C-BE32-E72D297353CC}">
              <c16:uniqueId val="{00000001-62EE-448F-BBD4-C623EE43B180}"/>
            </c:ext>
          </c:extLst>
        </c:ser>
        <c:ser>
          <c:idx val="2"/>
          <c:order val="2"/>
          <c:tx>
            <c:strRef>
              <c:f>List1!$C$5</c:f>
              <c:strCache>
                <c:ptCount val="1"/>
                <c:pt idx="0">
                  <c:v>unemployed</c:v>
                </c:pt>
              </c:strCache>
            </c:strRef>
          </c:tx>
          <c:spPr>
            <a:solidFill>
              <a:schemeClr val="accent3"/>
            </a:solidFill>
            <a:ln>
              <a:noFill/>
            </a:ln>
            <a:effectLst/>
          </c:spPr>
          <c:invertIfNegative val="0"/>
          <c:cat>
            <c:strRef>
              <c:f>List1!$D$2:$G$2</c:f>
              <c:strCache>
                <c:ptCount val="4"/>
                <c:pt idx="0">
                  <c:v>North</c:v>
                </c:pt>
                <c:pt idx="1">
                  <c:v>West</c:v>
                </c:pt>
                <c:pt idx="2">
                  <c:v>South</c:v>
                </c:pt>
                <c:pt idx="3">
                  <c:v>Post-communist</c:v>
                </c:pt>
              </c:strCache>
            </c:strRef>
          </c:cat>
          <c:val>
            <c:numRef>
              <c:f>List1!$D$5:$G$5</c:f>
              <c:numCache>
                <c:formatCode>General</c:formatCode>
                <c:ptCount val="4"/>
                <c:pt idx="0">
                  <c:v>1.63</c:v>
                </c:pt>
                <c:pt idx="1">
                  <c:v>2.2599999999999998</c:v>
                </c:pt>
                <c:pt idx="2">
                  <c:v>3.87</c:v>
                </c:pt>
                <c:pt idx="3">
                  <c:v>3.11</c:v>
                </c:pt>
              </c:numCache>
            </c:numRef>
          </c:val>
          <c:extLst>
            <c:ext xmlns:c16="http://schemas.microsoft.com/office/drawing/2014/chart" uri="{C3380CC4-5D6E-409C-BE32-E72D297353CC}">
              <c16:uniqueId val="{00000002-62EE-448F-BBD4-C623EE43B180}"/>
            </c:ext>
          </c:extLst>
        </c:ser>
        <c:ser>
          <c:idx val="3"/>
          <c:order val="3"/>
          <c:tx>
            <c:strRef>
              <c:f>List1!$C$6</c:f>
              <c:strCache>
                <c:ptCount val="1"/>
                <c:pt idx="0">
                  <c:v>sick/disabled</c:v>
                </c:pt>
              </c:strCache>
            </c:strRef>
          </c:tx>
          <c:spPr>
            <a:solidFill>
              <a:schemeClr val="accent4"/>
            </a:solidFill>
            <a:ln>
              <a:noFill/>
            </a:ln>
            <a:effectLst/>
          </c:spPr>
          <c:invertIfNegative val="0"/>
          <c:cat>
            <c:strRef>
              <c:f>List1!$D$2:$G$2</c:f>
              <c:strCache>
                <c:ptCount val="4"/>
                <c:pt idx="0">
                  <c:v>North</c:v>
                </c:pt>
                <c:pt idx="1">
                  <c:v>West</c:v>
                </c:pt>
                <c:pt idx="2">
                  <c:v>South</c:v>
                </c:pt>
                <c:pt idx="3">
                  <c:v>Post-communist</c:v>
                </c:pt>
              </c:strCache>
            </c:strRef>
          </c:cat>
          <c:val>
            <c:numRef>
              <c:f>List1!$D$6:$G$6</c:f>
              <c:numCache>
                <c:formatCode>General</c:formatCode>
                <c:ptCount val="4"/>
                <c:pt idx="0">
                  <c:v>2.4</c:v>
                </c:pt>
                <c:pt idx="1">
                  <c:v>3.35</c:v>
                </c:pt>
                <c:pt idx="2">
                  <c:v>2.83</c:v>
                </c:pt>
                <c:pt idx="3">
                  <c:v>2.91</c:v>
                </c:pt>
              </c:numCache>
            </c:numRef>
          </c:val>
          <c:extLst>
            <c:ext xmlns:c16="http://schemas.microsoft.com/office/drawing/2014/chart" uri="{C3380CC4-5D6E-409C-BE32-E72D297353CC}">
              <c16:uniqueId val="{00000003-62EE-448F-BBD4-C623EE43B180}"/>
            </c:ext>
          </c:extLst>
        </c:ser>
        <c:ser>
          <c:idx val="4"/>
          <c:order val="4"/>
          <c:tx>
            <c:strRef>
              <c:f>List1!$C$7</c:f>
              <c:strCache>
                <c:ptCount val="1"/>
                <c:pt idx="0">
                  <c:v>homemaker</c:v>
                </c:pt>
              </c:strCache>
            </c:strRef>
          </c:tx>
          <c:spPr>
            <a:solidFill>
              <a:schemeClr val="accent5"/>
            </a:solidFill>
            <a:ln>
              <a:noFill/>
            </a:ln>
            <a:effectLst/>
          </c:spPr>
          <c:invertIfNegative val="0"/>
          <c:cat>
            <c:strRef>
              <c:f>List1!$D$2:$G$2</c:f>
              <c:strCache>
                <c:ptCount val="4"/>
                <c:pt idx="0">
                  <c:v>North</c:v>
                </c:pt>
                <c:pt idx="1">
                  <c:v>West</c:v>
                </c:pt>
                <c:pt idx="2">
                  <c:v>South</c:v>
                </c:pt>
                <c:pt idx="3">
                  <c:v>Post-communist</c:v>
                </c:pt>
              </c:strCache>
            </c:strRef>
          </c:cat>
          <c:val>
            <c:numRef>
              <c:f>List1!$D$7:$G$7</c:f>
              <c:numCache>
                <c:formatCode>General</c:formatCode>
                <c:ptCount val="4"/>
                <c:pt idx="0">
                  <c:v>0.34</c:v>
                </c:pt>
                <c:pt idx="1">
                  <c:v>7.66</c:v>
                </c:pt>
                <c:pt idx="2">
                  <c:v>20.399999999999999</c:v>
                </c:pt>
                <c:pt idx="3">
                  <c:v>2.89</c:v>
                </c:pt>
              </c:numCache>
            </c:numRef>
          </c:val>
          <c:extLst>
            <c:ext xmlns:c16="http://schemas.microsoft.com/office/drawing/2014/chart" uri="{C3380CC4-5D6E-409C-BE32-E72D297353CC}">
              <c16:uniqueId val="{00000004-62EE-448F-BBD4-C623EE43B180}"/>
            </c:ext>
          </c:extLst>
        </c:ser>
        <c:dLbls>
          <c:showLegendKey val="0"/>
          <c:showVal val="0"/>
          <c:showCatName val="0"/>
          <c:showSerName val="0"/>
          <c:showPercent val="0"/>
          <c:showBubbleSize val="0"/>
        </c:dLbls>
        <c:gapWidth val="219"/>
        <c:overlap val="-27"/>
        <c:axId val="524693816"/>
        <c:axId val="524695128"/>
      </c:barChart>
      <c:catAx>
        <c:axId val="524693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695128"/>
        <c:crosses val="autoZero"/>
        <c:auto val="1"/>
        <c:lblAlgn val="ctr"/>
        <c:lblOffset val="100"/>
        <c:noMultiLvlLbl val="0"/>
      </c:catAx>
      <c:valAx>
        <c:axId val="524695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693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ratios!$J$4</c:f>
              <c:strCache>
                <c:ptCount val="1"/>
                <c:pt idx="0">
                  <c:v>Austria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ratios!$K$3:$N$3</c:f>
              <c:numCache>
                <c:formatCode>General</c:formatCode>
                <c:ptCount val="4"/>
                <c:pt idx="0">
                  <c:v>2007</c:v>
                </c:pt>
                <c:pt idx="1">
                  <c:v>2011</c:v>
                </c:pt>
                <c:pt idx="2">
                  <c:v>2013</c:v>
                </c:pt>
                <c:pt idx="3">
                  <c:v>2015</c:v>
                </c:pt>
              </c:numCache>
            </c:numRef>
          </c:cat>
          <c:val>
            <c:numRef>
              <c:f>ratios!$K$4:$N$4</c:f>
              <c:numCache>
                <c:formatCode>General</c:formatCode>
                <c:ptCount val="4"/>
                <c:pt idx="0">
                  <c:v>1.8848167539267013</c:v>
                </c:pt>
                <c:pt idx="1">
                  <c:v>2.3194444444444442</c:v>
                </c:pt>
                <c:pt idx="2">
                  <c:v>1.9852398523985237</c:v>
                </c:pt>
                <c:pt idx="3">
                  <c:v>2.03125</c:v>
                </c:pt>
              </c:numCache>
            </c:numRef>
          </c:val>
          <c:smooth val="0"/>
          <c:extLst>
            <c:ext xmlns:c16="http://schemas.microsoft.com/office/drawing/2014/chart" uri="{C3380CC4-5D6E-409C-BE32-E72D297353CC}">
              <c16:uniqueId val="{00000000-0D61-4202-AB9E-AFD5A9FF4E3B}"/>
            </c:ext>
          </c:extLst>
        </c:ser>
        <c:ser>
          <c:idx val="1"/>
          <c:order val="1"/>
          <c:tx>
            <c:strRef>
              <c:f>ratios!$J$5</c:f>
              <c:strCache>
                <c:ptCount val="1"/>
                <c:pt idx="0">
                  <c:v>Sweden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ratios!$K$3:$N$3</c:f>
              <c:numCache>
                <c:formatCode>General</c:formatCode>
                <c:ptCount val="4"/>
                <c:pt idx="0">
                  <c:v>2007</c:v>
                </c:pt>
                <c:pt idx="1">
                  <c:v>2011</c:v>
                </c:pt>
                <c:pt idx="2">
                  <c:v>2013</c:v>
                </c:pt>
                <c:pt idx="3">
                  <c:v>2015</c:v>
                </c:pt>
              </c:numCache>
            </c:numRef>
          </c:cat>
          <c:val>
            <c:numRef>
              <c:f>ratios!$K$5:$N$5</c:f>
              <c:numCache>
                <c:formatCode>General</c:formatCode>
                <c:ptCount val="4"/>
                <c:pt idx="0">
                  <c:v>1.6770833333333335</c:v>
                </c:pt>
                <c:pt idx="1">
                  <c:v>1.5478723404255319</c:v>
                </c:pt>
                <c:pt idx="2">
                  <c:v>1.5249999999999999</c:v>
                </c:pt>
                <c:pt idx="3">
                  <c:v>1.4366812227074237</c:v>
                </c:pt>
              </c:numCache>
            </c:numRef>
          </c:val>
          <c:smooth val="0"/>
          <c:extLst>
            <c:ext xmlns:c16="http://schemas.microsoft.com/office/drawing/2014/chart" uri="{C3380CC4-5D6E-409C-BE32-E72D297353CC}">
              <c16:uniqueId val="{00000001-0D61-4202-AB9E-AFD5A9FF4E3B}"/>
            </c:ext>
          </c:extLst>
        </c:ser>
        <c:ser>
          <c:idx val="2"/>
          <c:order val="2"/>
          <c:tx>
            <c:strRef>
              <c:f>ratios!$J$6</c:f>
              <c:strCache>
                <c:ptCount val="1"/>
                <c:pt idx="0">
                  <c:v>Italy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ratios!$K$3:$N$3</c:f>
              <c:numCache>
                <c:formatCode>General</c:formatCode>
                <c:ptCount val="4"/>
                <c:pt idx="0">
                  <c:v>2007</c:v>
                </c:pt>
                <c:pt idx="1">
                  <c:v>2011</c:v>
                </c:pt>
                <c:pt idx="2">
                  <c:v>2013</c:v>
                </c:pt>
                <c:pt idx="3">
                  <c:v>2015</c:v>
                </c:pt>
              </c:numCache>
            </c:numRef>
          </c:cat>
          <c:val>
            <c:numRef>
              <c:f>ratios!$K$6:$N$6</c:f>
              <c:numCache>
                <c:formatCode>General</c:formatCode>
                <c:ptCount val="4"/>
                <c:pt idx="0">
                  <c:v>3.2201834862385321</c:v>
                </c:pt>
                <c:pt idx="1">
                  <c:v>3.2124999999999999</c:v>
                </c:pt>
                <c:pt idx="2">
                  <c:v>2.4873417721518982</c:v>
                </c:pt>
                <c:pt idx="3">
                  <c:v>2.5954198473282442</c:v>
                </c:pt>
              </c:numCache>
            </c:numRef>
          </c:val>
          <c:smooth val="0"/>
          <c:extLst>
            <c:ext xmlns:c16="http://schemas.microsoft.com/office/drawing/2014/chart" uri="{C3380CC4-5D6E-409C-BE32-E72D297353CC}">
              <c16:uniqueId val="{00000002-0D61-4202-AB9E-AFD5A9FF4E3B}"/>
            </c:ext>
          </c:extLst>
        </c:ser>
        <c:ser>
          <c:idx val="3"/>
          <c:order val="3"/>
          <c:tx>
            <c:strRef>
              <c:f>ratios!$J$7</c:f>
              <c:strCache>
                <c:ptCount val="1"/>
                <c:pt idx="0">
                  <c:v>Switzerland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ratios!$K$3:$N$3</c:f>
              <c:numCache>
                <c:formatCode>General</c:formatCode>
                <c:ptCount val="4"/>
                <c:pt idx="0">
                  <c:v>2007</c:v>
                </c:pt>
                <c:pt idx="1">
                  <c:v>2011</c:v>
                </c:pt>
                <c:pt idx="2">
                  <c:v>2013</c:v>
                </c:pt>
                <c:pt idx="3">
                  <c:v>2015</c:v>
                </c:pt>
              </c:numCache>
            </c:numRef>
          </c:cat>
          <c:val>
            <c:numRef>
              <c:f>ratios!$K$7:$N$7</c:f>
              <c:numCache>
                <c:formatCode>General</c:formatCode>
                <c:ptCount val="4"/>
                <c:pt idx="0">
                  <c:v>1.7123287671232876</c:v>
                </c:pt>
                <c:pt idx="1">
                  <c:v>2.2759856630824373</c:v>
                </c:pt>
                <c:pt idx="2">
                  <c:v>2.0253968253968253</c:v>
                </c:pt>
                <c:pt idx="3">
                  <c:v>1.9657320872274142</c:v>
                </c:pt>
              </c:numCache>
            </c:numRef>
          </c:val>
          <c:smooth val="0"/>
          <c:extLst>
            <c:ext xmlns:c16="http://schemas.microsoft.com/office/drawing/2014/chart" uri="{C3380CC4-5D6E-409C-BE32-E72D297353CC}">
              <c16:uniqueId val="{00000003-0D61-4202-AB9E-AFD5A9FF4E3B}"/>
            </c:ext>
          </c:extLst>
        </c:ser>
        <c:ser>
          <c:idx val="4"/>
          <c:order val="4"/>
          <c:tx>
            <c:strRef>
              <c:f>ratios!$J$8</c:f>
              <c:strCache>
                <c:ptCount val="1"/>
                <c:pt idx="0">
                  <c:v>Czechia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ratios!$K$3:$N$3</c:f>
              <c:numCache>
                <c:formatCode>General</c:formatCode>
                <c:ptCount val="4"/>
                <c:pt idx="0">
                  <c:v>2007</c:v>
                </c:pt>
                <c:pt idx="1">
                  <c:v>2011</c:v>
                </c:pt>
                <c:pt idx="2">
                  <c:v>2013</c:v>
                </c:pt>
                <c:pt idx="3">
                  <c:v>2015</c:v>
                </c:pt>
              </c:numCache>
            </c:numRef>
          </c:cat>
          <c:val>
            <c:numRef>
              <c:f>ratios!$K$8:$N$8</c:f>
              <c:numCache>
                <c:formatCode>General</c:formatCode>
                <c:ptCount val="4"/>
                <c:pt idx="0">
                  <c:v>3.7441860465116283</c:v>
                </c:pt>
                <c:pt idx="1">
                  <c:v>4.9880952380952381</c:v>
                </c:pt>
                <c:pt idx="2">
                  <c:v>3.9904761904761905</c:v>
                </c:pt>
                <c:pt idx="3">
                  <c:v>3.5677966101694913</c:v>
                </c:pt>
              </c:numCache>
            </c:numRef>
          </c:val>
          <c:smooth val="0"/>
          <c:extLst>
            <c:ext xmlns:c16="http://schemas.microsoft.com/office/drawing/2014/chart" uri="{C3380CC4-5D6E-409C-BE32-E72D297353CC}">
              <c16:uniqueId val="{00000004-0D61-4202-AB9E-AFD5A9FF4E3B}"/>
            </c:ext>
          </c:extLst>
        </c:ser>
        <c:dLbls>
          <c:showLegendKey val="0"/>
          <c:showVal val="0"/>
          <c:showCatName val="0"/>
          <c:showSerName val="0"/>
          <c:showPercent val="0"/>
          <c:showBubbleSize val="0"/>
        </c:dLbls>
        <c:marker val="1"/>
        <c:smooth val="0"/>
        <c:axId val="289905056"/>
        <c:axId val="1"/>
      </c:lineChart>
      <c:catAx>
        <c:axId val="28990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905056"/>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graphs!$B$18</c:f>
              <c:strCache>
                <c:ptCount val="1"/>
                <c:pt idx="0">
                  <c:v>Austria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graphs!$C$17:$F$17</c:f>
              <c:numCache>
                <c:formatCode>General</c:formatCode>
                <c:ptCount val="4"/>
                <c:pt idx="0">
                  <c:v>2007</c:v>
                </c:pt>
                <c:pt idx="1">
                  <c:v>2011</c:v>
                </c:pt>
                <c:pt idx="2">
                  <c:v>2013</c:v>
                </c:pt>
                <c:pt idx="3">
                  <c:v>2015</c:v>
                </c:pt>
              </c:numCache>
            </c:numRef>
          </c:cat>
          <c:val>
            <c:numRef>
              <c:f>graphs!$C$18:$F$18</c:f>
              <c:numCache>
                <c:formatCode>General</c:formatCode>
                <c:ptCount val="4"/>
                <c:pt idx="0">
                  <c:v>2.6000000000000014</c:v>
                </c:pt>
                <c:pt idx="1">
                  <c:v>19.399999999999999</c:v>
                </c:pt>
                <c:pt idx="2">
                  <c:v>15.099999999999994</c:v>
                </c:pt>
                <c:pt idx="3">
                  <c:v>4</c:v>
                </c:pt>
              </c:numCache>
            </c:numRef>
          </c:val>
          <c:smooth val="0"/>
          <c:extLst>
            <c:ext xmlns:c16="http://schemas.microsoft.com/office/drawing/2014/chart" uri="{C3380CC4-5D6E-409C-BE32-E72D297353CC}">
              <c16:uniqueId val="{00000000-7FC8-4FFA-A405-B05BBAA648A5}"/>
            </c:ext>
          </c:extLst>
        </c:ser>
        <c:ser>
          <c:idx val="1"/>
          <c:order val="1"/>
          <c:tx>
            <c:strRef>
              <c:f>graphs!$B$19</c:f>
              <c:strCache>
                <c:ptCount val="1"/>
                <c:pt idx="0">
                  <c:v>Sweden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graphs!$C$17:$F$17</c:f>
              <c:numCache>
                <c:formatCode>General</c:formatCode>
                <c:ptCount val="4"/>
                <c:pt idx="0">
                  <c:v>2007</c:v>
                </c:pt>
                <c:pt idx="1">
                  <c:v>2011</c:v>
                </c:pt>
                <c:pt idx="2">
                  <c:v>2013</c:v>
                </c:pt>
                <c:pt idx="3">
                  <c:v>2015</c:v>
                </c:pt>
              </c:numCache>
            </c:numRef>
          </c:cat>
          <c:val>
            <c:numRef>
              <c:f>graphs!$C$19:$F$19</c:f>
              <c:numCache>
                <c:formatCode>General</c:formatCode>
                <c:ptCount val="4"/>
                <c:pt idx="0">
                  <c:v>10.5</c:v>
                </c:pt>
                <c:pt idx="1">
                  <c:v>8.8000000000000043</c:v>
                </c:pt>
                <c:pt idx="2">
                  <c:v>10.5</c:v>
                </c:pt>
                <c:pt idx="3">
                  <c:v>6.5999999999999943</c:v>
                </c:pt>
              </c:numCache>
            </c:numRef>
          </c:val>
          <c:smooth val="0"/>
          <c:extLst>
            <c:ext xmlns:c16="http://schemas.microsoft.com/office/drawing/2014/chart" uri="{C3380CC4-5D6E-409C-BE32-E72D297353CC}">
              <c16:uniqueId val="{00000001-7FC8-4FFA-A405-B05BBAA648A5}"/>
            </c:ext>
          </c:extLst>
        </c:ser>
        <c:ser>
          <c:idx val="2"/>
          <c:order val="2"/>
          <c:tx>
            <c:strRef>
              <c:f>graphs!$B$20</c:f>
              <c:strCache>
                <c:ptCount val="1"/>
                <c:pt idx="0">
                  <c:v>Italy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graphs!$C$17:$F$17</c:f>
              <c:numCache>
                <c:formatCode>General</c:formatCode>
                <c:ptCount val="4"/>
                <c:pt idx="0">
                  <c:v>2007</c:v>
                </c:pt>
                <c:pt idx="1">
                  <c:v>2011</c:v>
                </c:pt>
                <c:pt idx="2">
                  <c:v>2013</c:v>
                </c:pt>
                <c:pt idx="3">
                  <c:v>2015</c:v>
                </c:pt>
              </c:numCache>
            </c:numRef>
          </c:cat>
          <c:val>
            <c:numRef>
              <c:f>graphs!$C$20:$F$20</c:f>
              <c:numCache>
                <c:formatCode>General</c:formatCode>
                <c:ptCount val="4"/>
                <c:pt idx="0">
                  <c:v>15.2</c:v>
                </c:pt>
                <c:pt idx="1">
                  <c:v>12.799999999999997</c:v>
                </c:pt>
                <c:pt idx="2">
                  <c:v>14.5</c:v>
                </c:pt>
                <c:pt idx="3">
                  <c:v>17.399999999999999</c:v>
                </c:pt>
              </c:numCache>
            </c:numRef>
          </c:val>
          <c:smooth val="0"/>
          <c:extLst>
            <c:ext xmlns:c16="http://schemas.microsoft.com/office/drawing/2014/chart" uri="{C3380CC4-5D6E-409C-BE32-E72D297353CC}">
              <c16:uniqueId val="{00000002-7FC8-4FFA-A405-B05BBAA648A5}"/>
            </c:ext>
          </c:extLst>
        </c:ser>
        <c:ser>
          <c:idx val="3"/>
          <c:order val="3"/>
          <c:tx>
            <c:strRef>
              <c:f>graphs!$B$21</c:f>
              <c:strCache>
                <c:ptCount val="1"/>
                <c:pt idx="0">
                  <c:v>Switzerland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graphs!$C$17:$F$17</c:f>
              <c:numCache>
                <c:formatCode>General</c:formatCode>
                <c:ptCount val="4"/>
                <c:pt idx="0">
                  <c:v>2007</c:v>
                </c:pt>
                <c:pt idx="1">
                  <c:v>2011</c:v>
                </c:pt>
                <c:pt idx="2">
                  <c:v>2013</c:v>
                </c:pt>
                <c:pt idx="3">
                  <c:v>2015</c:v>
                </c:pt>
              </c:numCache>
            </c:numRef>
          </c:cat>
          <c:val>
            <c:numRef>
              <c:f>graphs!$C$21:$F$21</c:f>
              <c:numCache>
                <c:formatCode>General</c:formatCode>
                <c:ptCount val="4"/>
                <c:pt idx="0">
                  <c:v>16.5</c:v>
                </c:pt>
                <c:pt idx="1">
                  <c:v>22.599999999999998</c:v>
                </c:pt>
                <c:pt idx="2">
                  <c:v>21.200000000000003</c:v>
                </c:pt>
                <c:pt idx="3">
                  <c:v>16</c:v>
                </c:pt>
              </c:numCache>
            </c:numRef>
          </c:val>
          <c:smooth val="0"/>
          <c:extLst>
            <c:ext xmlns:c16="http://schemas.microsoft.com/office/drawing/2014/chart" uri="{C3380CC4-5D6E-409C-BE32-E72D297353CC}">
              <c16:uniqueId val="{00000003-7FC8-4FFA-A405-B05BBAA648A5}"/>
            </c:ext>
          </c:extLst>
        </c:ser>
        <c:ser>
          <c:idx val="4"/>
          <c:order val="4"/>
          <c:tx>
            <c:strRef>
              <c:f>graphs!$B$22</c:f>
              <c:strCache>
                <c:ptCount val="1"/>
                <c:pt idx="0">
                  <c:v>Czechia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graphs!$C$17:$F$17</c:f>
              <c:numCache>
                <c:formatCode>General</c:formatCode>
                <c:ptCount val="4"/>
                <c:pt idx="0">
                  <c:v>2007</c:v>
                </c:pt>
                <c:pt idx="1">
                  <c:v>2011</c:v>
                </c:pt>
                <c:pt idx="2">
                  <c:v>2013</c:v>
                </c:pt>
                <c:pt idx="3">
                  <c:v>2015</c:v>
                </c:pt>
              </c:numCache>
            </c:numRef>
          </c:cat>
          <c:val>
            <c:numRef>
              <c:f>graphs!$C$22:$F$22</c:f>
              <c:numCache>
                <c:formatCode>General</c:formatCode>
                <c:ptCount val="4"/>
                <c:pt idx="0">
                  <c:v>10.6</c:v>
                </c:pt>
                <c:pt idx="1">
                  <c:v>10.099999999999998</c:v>
                </c:pt>
                <c:pt idx="2">
                  <c:v>6.2999999999999972</c:v>
                </c:pt>
                <c:pt idx="3">
                  <c:v>11.3</c:v>
                </c:pt>
              </c:numCache>
            </c:numRef>
          </c:val>
          <c:smooth val="0"/>
          <c:extLst>
            <c:ext xmlns:c16="http://schemas.microsoft.com/office/drawing/2014/chart" uri="{C3380CC4-5D6E-409C-BE32-E72D297353CC}">
              <c16:uniqueId val="{00000004-7FC8-4FFA-A405-B05BBAA648A5}"/>
            </c:ext>
          </c:extLst>
        </c:ser>
        <c:dLbls>
          <c:showLegendKey val="0"/>
          <c:showVal val="0"/>
          <c:showCatName val="0"/>
          <c:showSerName val="0"/>
          <c:showPercent val="0"/>
          <c:showBubbleSize val="0"/>
        </c:dLbls>
        <c:marker val="1"/>
        <c:smooth val="0"/>
        <c:axId val="288122232"/>
        <c:axId val="1"/>
      </c:lineChart>
      <c:catAx>
        <c:axId val="288122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122232"/>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ratios!$J$26</c:f>
              <c:strCache>
                <c:ptCount val="1"/>
                <c:pt idx="0">
                  <c:v>Austria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ratios!$K$25:$N$25</c:f>
              <c:numCache>
                <c:formatCode>General</c:formatCode>
                <c:ptCount val="4"/>
                <c:pt idx="0">
                  <c:v>2007</c:v>
                </c:pt>
                <c:pt idx="1">
                  <c:v>2011</c:v>
                </c:pt>
                <c:pt idx="2">
                  <c:v>2013</c:v>
                </c:pt>
                <c:pt idx="3">
                  <c:v>2015</c:v>
                </c:pt>
              </c:numCache>
            </c:numRef>
          </c:cat>
          <c:val>
            <c:numRef>
              <c:f>ratios!$K$26:$N$26</c:f>
              <c:numCache>
                <c:formatCode>General</c:formatCode>
                <c:ptCount val="4"/>
                <c:pt idx="0">
                  <c:v>1.1130434782608696</c:v>
                </c:pt>
                <c:pt idx="1">
                  <c:v>1.7637795275590551</c:v>
                </c:pt>
                <c:pt idx="2">
                  <c:v>1.4689440993788818</c:v>
                </c:pt>
                <c:pt idx="3">
                  <c:v>1.1023017902813299</c:v>
                </c:pt>
              </c:numCache>
            </c:numRef>
          </c:val>
          <c:smooth val="0"/>
          <c:extLst>
            <c:ext xmlns:c16="http://schemas.microsoft.com/office/drawing/2014/chart" uri="{C3380CC4-5D6E-409C-BE32-E72D297353CC}">
              <c16:uniqueId val="{00000000-920D-4876-9E2C-E79D35CFA49B}"/>
            </c:ext>
          </c:extLst>
        </c:ser>
        <c:ser>
          <c:idx val="1"/>
          <c:order val="1"/>
          <c:tx>
            <c:strRef>
              <c:f>ratios!$J$27</c:f>
              <c:strCache>
                <c:ptCount val="1"/>
                <c:pt idx="0">
                  <c:v>Sweden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ratios!$K$25:$N$25</c:f>
              <c:numCache>
                <c:formatCode>General</c:formatCode>
                <c:ptCount val="4"/>
                <c:pt idx="0">
                  <c:v>2007</c:v>
                </c:pt>
                <c:pt idx="1">
                  <c:v>2011</c:v>
                </c:pt>
                <c:pt idx="2">
                  <c:v>2013</c:v>
                </c:pt>
                <c:pt idx="3">
                  <c:v>2015</c:v>
                </c:pt>
              </c:numCache>
            </c:numRef>
          </c:cat>
          <c:val>
            <c:numRef>
              <c:f>ratios!$K$27:$N$27</c:f>
              <c:numCache>
                <c:formatCode>General</c:formatCode>
                <c:ptCount val="4"/>
                <c:pt idx="0">
                  <c:v>1.2554744525547445</c:v>
                </c:pt>
                <c:pt idx="1">
                  <c:v>1.21256038647343</c:v>
                </c:pt>
                <c:pt idx="2">
                  <c:v>1.2470588235294118</c:v>
                </c:pt>
                <c:pt idx="3">
                  <c:v>1.1252371916508537</c:v>
                </c:pt>
              </c:numCache>
            </c:numRef>
          </c:val>
          <c:smooth val="0"/>
          <c:extLst>
            <c:ext xmlns:c16="http://schemas.microsoft.com/office/drawing/2014/chart" uri="{C3380CC4-5D6E-409C-BE32-E72D297353CC}">
              <c16:uniqueId val="{00000001-920D-4876-9E2C-E79D35CFA49B}"/>
            </c:ext>
          </c:extLst>
        </c:ser>
        <c:ser>
          <c:idx val="2"/>
          <c:order val="2"/>
          <c:tx>
            <c:strRef>
              <c:f>ratios!$J$28</c:f>
              <c:strCache>
                <c:ptCount val="1"/>
                <c:pt idx="0">
                  <c:v>Italy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ratios!$K$25:$N$25</c:f>
              <c:numCache>
                <c:formatCode>General</c:formatCode>
                <c:ptCount val="4"/>
                <c:pt idx="0">
                  <c:v>2007</c:v>
                </c:pt>
                <c:pt idx="1">
                  <c:v>2011</c:v>
                </c:pt>
                <c:pt idx="2">
                  <c:v>2013</c:v>
                </c:pt>
                <c:pt idx="3">
                  <c:v>2015</c:v>
                </c:pt>
              </c:numCache>
            </c:numRef>
          </c:cat>
          <c:val>
            <c:numRef>
              <c:f>ratios!$K$28:$N$28</c:f>
              <c:numCache>
                <c:formatCode>General</c:formatCode>
                <c:ptCount val="4"/>
                <c:pt idx="0">
                  <c:v>2.0857142857142859</c:v>
                </c:pt>
                <c:pt idx="1">
                  <c:v>1.6564102564102563</c:v>
                </c:pt>
                <c:pt idx="2">
                  <c:v>1.8011049723756904</c:v>
                </c:pt>
                <c:pt idx="3">
                  <c:v>2.2794117647058822</c:v>
                </c:pt>
              </c:numCache>
            </c:numRef>
          </c:val>
          <c:smooth val="0"/>
          <c:extLst>
            <c:ext xmlns:c16="http://schemas.microsoft.com/office/drawing/2014/chart" uri="{C3380CC4-5D6E-409C-BE32-E72D297353CC}">
              <c16:uniqueId val="{00000002-920D-4876-9E2C-E79D35CFA49B}"/>
            </c:ext>
          </c:extLst>
        </c:ser>
        <c:ser>
          <c:idx val="3"/>
          <c:order val="3"/>
          <c:tx>
            <c:strRef>
              <c:f>ratios!$J$29</c:f>
              <c:strCache>
                <c:ptCount val="1"/>
                <c:pt idx="0">
                  <c:v>Switzerland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ratios!$K$25:$N$25</c:f>
              <c:numCache>
                <c:formatCode>General</c:formatCode>
                <c:ptCount val="4"/>
                <c:pt idx="0">
                  <c:v>2007</c:v>
                </c:pt>
                <c:pt idx="1">
                  <c:v>2011</c:v>
                </c:pt>
                <c:pt idx="2">
                  <c:v>2013</c:v>
                </c:pt>
                <c:pt idx="3">
                  <c:v>2015</c:v>
                </c:pt>
              </c:numCache>
            </c:numRef>
          </c:cat>
          <c:val>
            <c:numRef>
              <c:f>ratios!$K$29:$N$29</c:f>
              <c:numCache>
                <c:formatCode>General</c:formatCode>
                <c:ptCount val="4"/>
                <c:pt idx="0">
                  <c:v>1.515625</c:v>
                </c:pt>
                <c:pt idx="1">
                  <c:v>1.7129337539432177</c:v>
                </c:pt>
                <c:pt idx="2">
                  <c:v>1.6366366366366367</c:v>
                </c:pt>
                <c:pt idx="3">
                  <c:v>1.4507042253521127</c:v>
                </c:pt>
              </c:numCache>
            </c:numRef>
          </c:val>
          <c:smooth val="0"/>
          <c:extLst>
            <c:ext xmlns:c16="http://schemas.microsoft.com/office/drawing/2014/chart" uri="{C3380CC4-5D6E-409C-BE32-E72D297353CC}">
              <c16:uniqueId val="{00000003-920D-4876-9E2C-E79D35CFA49B}"/>
            </c:ext>
          </c:extLst>
        </c:ser>
        <c:ser>
          <c:idx val="4"/>
          <c:order val="4"/>
          <c:tx>
            <c:strRef>
              <c:f>ratios!$J$30</c:f>
              <c:strCache>
                <c:ptCount val="1"/>
                <c:pt idx="0">
                  <c:v>Czechia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ratios!$K$25:$N$25</c:f>
              <c:numCache>
                <c:formatCode>General</c:formatCode>
                <c:ptCount val="4"/>
                <c:pt idx="0">
                  <c:v>2007</c:v>
                </c:pt>
                <c:pt idx="1">
                  <c:v>2011</c:v>
                </c:pt>
                <c:pt idx="2">
                  <c:v>2013</c:v>
                </c:pt>
                <c:pt idx="3">
                  <c:v>2015</c:v>
                </c:pt>
              </c:numCache>
            </c:numRef>
          </c:cat>
          <c:val>
            <c:numRef>
              <c:f>ratios!$K$30:$N$30</c:f>
              <c:numCache>
                <c:formatCode>General</c:formatCode>
                <c:ptCount val="4"/>
                <c:pt idx="0">
                  <c:v>1.8412698412698412</c:v>
                </c:pt>
                <c:pt idx="1">
                  <c:v>1.5153061224489794</c:v>
                </c:pt>
                <c:pt idx="2">
                  <c:v>1.3214285714285712</c:v>
                </c:pt>
                <c:pt idx="3">
                  <c:v>1.6208791208791209</c:v>
                </c:pt>
              </c:numCache>
            </c:numRef>
          </c:val>
          <c:smooth val="0"/>
          <c:extLst>
            <c:ext xmlns:c16="http://schemas.microsoft.com/office/drawing/2014/chart" uri="{C3380CC4-5D6E-409C-BE32-E72D297353CC}">
              <c16:uniqueId val="{00000004-920D-4876-9E2C-E79D35CFA49B}"/>
            </c:ext>
          </c:extLst>
        </c:ser>
        <c:dLbls>
          <c:showLegendKey val="0"/>
          <c:showVal val="0"/>
          <c:showCatName val="0"/>
          <c:showSerName val="0"/>
          <c:showPercent val="0"/>
          <c:showBubbleSize val="0"/>
        </c:dLbls>
        <c:marker val="1"/>
        <c:smooth val="0"/>
        <c:axId val="289900792"/>
        <c:axId val="1"/>
      </c:lineChart>
      <c:catAx>
        <c:axId val="289900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900792"/>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graphs!$B$25</c:f>
              <c:strCache>
                <c:ptCount val="1"/>
                <c:pt idx="0">
                  <c:v>Austria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graphs!$C$24:$F$24</c:f>
              <c:numCache>
                <c:formatCode>General</c:formatCode>
                <c:ptCount val="4"/>
                <c:pt idx="0">
                  <c:v>2007</c:v>
                </c:pt>
                <c:pt idx="1">
                  <c:v>2011</c:v>
                </c:pt>
                <c:pt idx="2">
                  <c:v>2013</c:v>
                </c:pt>
                <c:pt idx="3">
                  <c:v>2015</c:v>
                </c:pt>
              </c:numCache>
            </c:numRef>
          </c:cat>
          <c:val>
            <c:numRef>
              <c:f>graphs!$C$25:$F$25</c:f>
              <c:numCache>
                <c:formatCode>General</c:formatCode>
                <c:ptCount val="4"/>
                <c:pt idx="0">
                  <c:v>22.799999999999997</c:v>
                </c:pt>
                <c:pt idx="1">
                  <c:v>26.8</c:v>
                </c:pt>
                <c:pt idx="2">
                  <c:v>24.1</c:v>
                </c:pt>
                <c:pt idx="3">
                  <c:v>23.3</c:v>
                </c:pt>
              </c:numCache>
            </c:numRef>
          </c:val>
          <c:smooth val="0"/>
          <c:extLst>
            <c:ext xmlns:c16="http://schemas.microsoft.com/office/drawing/2014/chart" uri="{C3380CC4-5D6E-409C-BE32-E72D297353CC}">
              <c16:uniqueId val="{00000000-5454-47BA-8ED3-059F2DC7677F}"/>
            </c:ext>
          </c:extLst>
        </c:ser>
        <c:ser>
          <c:idx val="1"/>
          <c:order val="1"/>
          <c:tx>
            <c:strRef>
              <c:f>graphs!$B$26</c:f>
              <c:strCache>
                <c:ptCount val="1"/>
                <c:pt idx="0">
                  <c:v>Sweden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graphs!$C$24:$F$24</c:f>
              <c:numCache>
                <c:formatCode>General</c:formatCode>
                <c:ptCount val="4"/>
                <c:pt idx="0">
                  <c:v>2007</c:v>
                </c:pt>
                <c:pt idx="1">
                  <c:v>2011</c:v>
                </c:pt>
                <c:pt idx="2">
                  <c:v>2013</c:v>
                </c:pt>
                <c:pt idx="3">
                  <c:v>2015</c:v>
                </c:pt>
              </c:numCache>
            </c:numRef>
          </c:cat>
          <c:val>
            <c:numRef>
              <c:f>graphs!$C$26:$F$26</c:f>
              <c:numCache>
                <c:formatCode>General</c:formatCode>
                <c:ptCount val="4"/>
                <c:pt idx="0">
                  <c:v>19</c:v>
                </c:pt>
                <c:pt idx="1">
                  <c:v>22.9</c:v>
                </c:pt>
                <c:pt idx="2">
                  <c:v>26.299999999999997</c:v>
                </c:pt>
                <c:pt idx="3">
                  <c:v>22.199999999999996</c:v>
                </c:pt>
              </c:numCache>
            </c:numRef>
          </c:val>
          <c:smooth val="0"/>
          <c:extLst>
            <c:ext xmlns:c16="http://schemas.microsoft.com/office/drawing/2014/chart" uri="{C3380CC4-5D6E-409C-BE32-E72D297353CC}">
              <c16:uniqueId val="{00000001-5454-47BA-8ED3-059F2DC7677F}"/>
            </c:ext>
          </c:extLst>
        </c:ser>
        <c:ser>
          <c:idx val="2"/>
          <c:order val="2"/>
          <c:tx>
            <c:strRef>
              <c:f>graphs!$B$27</c:f>
              <c:strCache>
                <c:ptCount val="1"/>
                <c:pt idx="0">
                  <c:v>Italy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graphs!$C$24:$F$24</c:f>
              <c:numCache>
                <c:formatCode>General</c:formatCode>
                <c:ptCount val="4"/>
                <c:pt idx="0">
                  <c:v>2007</c:v>
                </c:pt>
                <c:pt idx="1">
                  <c:v>2011</c:v>
                </c:pt>
                <c:pt idx="2">
                  <c:v>2013</c:v>
                </c:pt>
                <c:pt idx="3">
                  <c:v>2015</c:v>
                </c:pt>
              </c:numCache>
            </c:numRef>
          </c:cat>
          <c:val>
            <c:numRef>
              <c:f>graphs!$C$27:$F$27</c:f>
              <c:numCache>
                <c:formatCode>General</c:formatCode>
                <c:ptCount val="4"/>
                <c:pt idx="0">
                  <c:v>12.1</c:v>
                </c:pt>
                <c:pt idx="1">
                  <c:v>13.3</c:v>
                </c:pt>
                <c:pt idx="2">
                  <c:v>16.099999999999998</c:v>
                </c:pt>
                <c:pt idx="3">
                  <c:v>16.200000000000003</c:v>
                </c:pt>
              </c:numCache>
            </c:numRef>
          </c:val>
          <c:smooth val="0"/>
          <c:extLst>
            <c:ext xmlns:c16="http://schemas.microsoft.com/office/drawing/2014/chart" uri="{C3380CC4-5D6E-409C-BE32-E72D297353CC}">
              <c16:uniqueId val="{00000002-5454-47BA-8ED3-059F2DC7677F}"/>
            </c:ext>
          </c:extLst>
        </c:ser>
        <c:ser>
          <c:idx val="3"/>
          <c:order val="3"/>
          <c:tx>
            <c:strRef>
              <c:f>graphs!$B$28</c:f>
              <c:strCache>
                <c:ptCount val="1"/>
                <c:pt idx="0">
                  <c:v>Switzerland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graphs!$C$24:$F$24</c:f>
              <c:numCache>
                <c:formatCode>General</c:formatCode>
                <c:ptCount val="4"/>
                <c:pt idx="0">
                  <c:v>2007</c:v>
                </c:pt>
                <c:pt idx="1">
                  <c:v>2011</c:v>
                </c:pt>
                <c:pt idx="2">
                  <c:v>2013</c:v>
                </c:pt>
                <c:pt idx="3">
                  <c:v>2015</c:v>
                </c:pt>
              </c:numCache>
            </c:numRef>
          </c:cat>
          <c:val>
            <c:numRef>
              <c:f>graphs!$C$28:$F$28</c:f>
              <c:numCache>
                <c:formatCode>General</c:formatCode>
                <c:ptCount val="4"/>
                <c:pt idx="0">
                  <c:v>33.599999999999994</c:v>
                </c:pt>
                <c:pt idx="1">
                  <c:v>30.3</c:v>
                </c:pt>
                <c:pt idx="2">
                  <c:v>31.5</c:v>
                </c:pt>
                <c:pt idx="3">
                  <c:v>27.099999999999998</c:v>
                </c:pt>
              </c:numCache>
            </c:numRef>
          </c:val>
          <c:smooth val="0"/>
          <c:extLst>
            <c:ext xmlns:c16="http://schemas.microsoft.com/office/drawing/2014/chart" uri="{C3380CC4-5D6E-409C-BE32-E72D297353CC}">
              <c16:uniqueId val="{00000003-5454-47BA-8ED3-059F2DC7677F}"/>
            </c:ext>
          </c:extLst>
        </c:ser>
        <c:ser>
          <c:idx val="4"/>
          <c:order val="4"/>
          <c:tx>
            <c:strRef>
              <c:f>graphs!$B$29</c:f>
              <c:strCache>
                <c:ptCount val="1"/>
                <c:pt idx="0">
                  <c:v>Czechia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graphs!$C$24:$F$24</c:f>
              <c:numCache>
                <c:formatCode>General</c:formatCode>
                <c:ptCount val="4"/>
                <c:pt idx="0">
                  <c:v>2007</c:v>
                </c:pt>
                <c:pt idx="1">
                  <c:v>2011</c:v>
                </c:pt>
                <c:pt idx="2">
                  <c:v>2013</c:v>
                </c:pt>
                <c:pt idx="3">
                  <c:v>2015</c:v>
                </c:pt>
              </c:numCache>
            </c:numRef>
          </c:cat>
          <c:val>
            <c:numRef>
              <c:f>graphs!$C$29:$F$29</c:f>
              <c:numCache>
                <c:formatCode>General</c:formatCode>
                <c:ptCount val="4"/>
                <c:pt idx="0">
                  <c:v>17.8</c:v>
                </c:pt>
                <c:pt idx="1">
                  <c:v>24.9</c:v>
                </c:pt>
                <c:pt idx="2">
                  <c:v>23.2</c:v>
                </c:pt>
                <c:pt idx="3">
                  <c:v>24.9</c:v>
                </c:pt>
              </c:numCache>
            </c:numRef>
          </c:val>
          <c:smooth val="0"/>
          <c:extLst>
            <c:ext xmlns:c16="http://schemas.microsoft.com/office/drawing/2014/chart" uri="{C3380CC4-5D6E-409C-BE32-E72D297353CC}">
              <c16:uniqueId val="{00000004-5454-47BA-8ED3-059F2DC7677F}"/>
            </c:ext>
          </c:extLst>
        </c:ser>
        <c:dLbls>
          <c:showLegendKey val="0"/>
          <c:showVal val="0"/>
          <c:showCatName val="0"/>
          <c:showSerName val="0"/>
          <c:showPercent val="0"/>
          <c:showBubbleSize val="0"/>
        </c:dLbls>
        <c:marker val="1"/>
        <c:smooth val="0"/>
        <c:axId val="291092416"/>
        <c:axId val="1"/>
      </c:lineChart>
      <c:catAx>
        <c:axId val="29109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092416"/>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ratios!$J$48</c:f>
              <c:strCache>
                <c:ptCount val="1"/>
                <c:pt idx="0">
                  <c:v>Austria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ratios!$K$47:$N$47</c:f>
              <c:numCache>
                <c:formatCode>General</c:formatCode>
                <c:ptCount val="4"/>
                <c:pt idx="0">
                  <c:v>2007</c:v>
                </c:pt>
                <c:pt idx="1">
                  <c:v>2011</c:v>
                </c:pt>
                <c:pt idx="2">
                  <c:v>2013</c:v>
                </c:pt>
                <c:pt idx="3">
                  <c:v>2015</c:v>
                </c:pt>
              </c:numCache>
            </c:numRef>
          </c:cat>
          <c:val>
            <c:numRef>
              <c:f>ratios!$K$48:$N$48</c:f>
              <c:numCache>
                <c:formatCode>General</c:formatCode>
                <c:ptCount val="4"/>
                <c:pt idx="0">
                  <c:v>2.3818181818181818</c:v>
                </c:pt>
                <c:pt idx="1">
                  <c:v>2.1551724137931036</c:v>
                </c:pt>
                <c:pt idx="2">
                  <c:v>1.7799352750809063</c:v>
                </c:pt>
                <c:pt idx="3">
                  <c:v>1.8090277777777777</c:v>
                </c:pt>
              </c:numCache>
            </c:numRef>
          </c:val>
          <c:smooth val="0"/>
          <c:extLst>
            <c:ext xmlns:c16="http://schemas.microsoft.com/office/drawing/2014/chart" uri="{C3380CC4-5D6E-409C-BE32-E72D297353CC}">
              <c16:uniqueId val="{00000000-118C-4B94-8857-4F14824285D3}"/>
            </c:ext>
          </c:extLst>
        </c:ser>
        <c:ser>
          <c:idx val="1"/>
          <c:order val="1"/>
          <c:tx>
            <c:strRef>
              <c:f>ratios!$J$49</c:f>
              <c:strCache>
                <c:ptCount val="1"/>
                <c:pt idx="0">
                  <c:v>Sweden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ratios!$K$47:$N$47</c:f>
              <c:numCache>
                <c:formatCode>General</c:formatCode>
                <c:ptCount val="4"/>
                <c:pt idx="0">
                  <c:v>2007</c:v>
                </c:pt>
                <c:pt idx="1">
                  <c:v>2011</c:v>
                </c:pt>
                <c:pt idx="2">
                  <c:v>2013</c:v>
                </c:pt>
                <c:pt idx="3">
                  <c:v>2015</c:v>
                </c:pt>
              </c:numCache>
            </c:numRef>
          </c:cat>
          <c:val>
            <c:numRef>
              <c:f>ratios!$K$49:$N$49</c:f>
              <c:numCache>
                <c:formatCode>General</c:formatCode>
                <c:ptCount val="4"/>
                <c:pt idx="0">
                  <c:v>1.5177111716621252</c:v>
                </c:pt>
                <c:pt idx="1">
                  <c:v>1.6599423631123917</c:v>
                </c:pt>
                <c:pt idx="2">
                  <c:v>1.7471590909090908</c:v>
                </c:pt>
                <c:pt idx="3">
                  <c:v>1.5034013605442176</c:v>
                </c:pt>
              </c:numCache>
            </c:numRef>
          </c:val>
          <c:smooth val="0"/>
          <c:extLst>
            <c:ext xmlns:c16="http://schemas.microsoft.com/office/drawing/2014/chart" uri="{C3380CC4-5D6E-409C-BE32-E72D297353CC}">
              <c16:uniqueId val="{00000001-118C-4B94-8857-4F14824285D3}"/>
            </c:ext>
          </c:extLst>
        </c:ser>
        <c:ser>
          <c:idx val="2"/>
          <c:order val="2"/>
          <c:tx>
            <c:strRef>
              <c:f>ratios!$J$50</c:f>
              <c:strCache>
                <c:ptCount val="1"/>
                <c:pt idx="0">
                  <c:v>Italy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ratios!$K$47:$N$47</c:f>
              <c:numCache>
                <c:formatCode>General</c:formatCode>
                <c:ptCount val="4"/>
                <c:pt idx="0">
                  <c:v>2007</c:v>
                </c:pt>
                <c:pt idx="1">
                  <c:v>2011</c:v>
                </c:pt>
                <c:pt idx="2">
                  <c:v>2013</c:v>
                </c:pt>
                <c:pt idx="3">
                  <c:v>2015</c:v>
                </c:pt>
              </c:numCache>
            </c:numRef>
          </c:cat>
          <c:val>
            <c:numRef>
              <c:f>ratios!$K$50:$N$50</c:f>
              <c:numCache>
                <c:formatCode>General</c:formatCode>
                <c:ptCount val="4"/>
                <c:pt idx="0">
                  <c:v>2.0900900900900901</c:v>
                </c:pt>
                <c:pt idx="1">
                  <c:v>1.8209876543209877</c:v>
                </c:pt>
                <c:pt idx="2">
                  <c:v>2.0189873417721516</c:v>
                </c:pt>
                <c:pt idx="3">
                  <c:v>2.1911764705882355</c:v>
                </c:pt>
              </c:numCache>
            </c:numRef>
          </c:val>
          <c:smooth val="0"/>
          <c:extLst>
            <c:ext xmlns:c16="http://schemas.microsoft.com/office/drawing/2014/chart" uri="{C3380CC4-5D6E-409C-BE32-E72D297353CC}">
              <c16:uniqueId val="{00000002-118C-4B94-8857-4F14824285D3}"/>
            </c:ext>
          </c:extLst>
        </c:ser>
        <c:ser>
          <c:idx val="3"/>
          <c:order val="3"/>
          <c:tx>
            <c:strRef>
              <c:f>ratios!$J$51</c:f>
              <c:strCache>
                <c:ptCount val="1"/>
                <c:pt idx="0">
                  <c:v>Switzerland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ratios!$K$47:$N$47</c:f>
              <c:numCache>
                <c:formatCode>General</c:formatCode>
                <c:ptCount val="4"/>
                <c:pt idx="0">
                  <c:v>2007</c:v>
                </c:pt>
                <c:pt idx="1">
                  <c:v>2011</c:v>
                </c:pt>
                <c:pt idx="2">
                  <c:v>2013</c:v>
                </c:pt>
                <c:pt idx="3">
                  <c:v>2015</c:v>
                </c:pt>
              </c:numCache>
            </c:numRef>
          </c:cat>
          <c:val>
            <c:numRef>
              <c:f>ratios!$K$51:$N$51</c:f>
              <c:numCache>
                <c:formatCode>General</c:formatCode>
                <c:ptCount val="4"/>
                <c:pt idx="0">
                  <c:v>2.4177215189873418</c:v>
                </c:pt>
                <c:pt idx="1">
                  <c:v>2.1098901098901099</c:v>
                </c:pt>
                <c:pt idx="2">
                  <c:v>2.0899653979238755</c:v>
                </c:pt>
                <c:pt idx="3">
                  <c:v>1.8827361563517915</c:v>
                </c:pt>
              </c:numCache>
            </c:numRef>
          </c:val>
          <c:smooth val="0"/>
          <c:extLst>
            <c:ext xmlns:c16="http://schemas.microsoft.com/office/drawing/2014/chart" uri="{C3380CC4-5D6E-409C-BE32-E72D297353CC}">
              <c16:uniqueId val="{00000003-118C-4B94-8857-4F14824285D3}"/>
            </c:ext>
          </c:extLst>
        </c:ser>
        <c:ser>
          <c:idx val="4"/>
          <c:order val="4"/>
          <c:tx>
            <c:strRef>
              <c:f>ratios!$J$52</c:f>
              <c:strCache>
                <c:ptCount val="1"/>
                <c:pt idx="0">
                  <c:v>Czechia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ratios!$K$47:$N$47</c:f>
              <c:numCache>
                <c:formatCode>General</c:formatCode>
                <c:ptCount val="4"/>
                <c:pt idx="0">
                  <c:v>2007</c:v>
                </c:pt>
                <c:pt idx="1">
                  <c:v>2011</c:v>
                </c:pt>
                <c:pt idx="2">
                  <c:v>2013</c:v>
                </c:pt>
                <c:pt idx="3">
                  <c:v>2015</c:v>
                </c:pt>
              </c:numCache>
            </c:numRef>
          </c:cat>
          <c:val>
            <c:numRef>
              <c:f>ratios!$K$52:$N$52</c:f>
              <c:numCache>
                <c:formatCode>General</c:formatCode>
                <c:ptCount val="4"/>
                <c:pt idx="0">
                  <c:v>2.5892857142857144</c:v>
                </c:pt>
                <c:pt idx="1">
                  <c:v>2.4310344827586206</c:v>
                </c:pt>
                <c:pt idx="2">
                  <c:v>2.4683544303797467</c:v>
                </c:pt>
                <c:pt idx="3">
                  <c:v>2.4147727272727271</c:v>
                </c:pt>
              </c:numCache>
            </c:numRef>
          </c:val>
          <c:smooth val="0"/>
          <c:extLst>
            <c:ext xmlns:c16="http://schemas.microsoft.com/office/drawing/2014/chart" uri="{C3380CC4-5D6E-409C-BE32-E72D297353CC}">
              <c16:uniqueId val="{00000004-118C-4B94-8857-4F14824285D3}"/>
            </c:ext>
          </c:extLst>
        </c:ser>
        <c:dLbls>
          <c:showLegendKey val="0"/>
          <c:showVal val="0"/>
          <c:showCatName val="0"/>
          <c:showSerName val="0"/>
          <c:showPercent val="0"/>
          <c:showBubbleSize val="0"/>
        </c:dLbls>
        <c:marker val="1"/>
        <c:smooth val="0"/>
        <c:axId val="291086512"/>
        <c:axId val="1"/>
      </c:lineChart>
      <c:catAx>
        <c:axId val="291086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086512"/>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graphs!$B$32</c:f>
              <c:strCache>
                <c:ptCount val="1"/>
                <c:pt idx="0">
                  <c:v>Austria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graphs!$C$31:$F$31</c:f>
              <c:numCache>
                <c:formatCode>General</c:formatCode>
                <c:ptCount val="4"/>
                <c:pt idx="0">
                  <c:v>2007</c:v>
                </c:pt>
                <c:pt idx="1">
                  <c:v>2011</c:v>
                </c:pt>
                <c:pt idx="2">
                  <c:v>2013</c:v>
                </c:pt>
                <c:pt idx="3">
                  <c:v>2015</c:v>
                </c:pt>
              </c:numCache>
            </c:numRef>
          </c:cat>
          <c:val>
            <c:numRef>
              <c:f>graphs!$C$32:$F$32</c:f>
              <c:numCache>
                <c:formatCode>General</c:formatCode>
                <c:ptCount val="4"/>
                <c:pt idx="0">
                  <c:v>31.300000000000004</c:v>
                </c:pt>
                <c:pt idx="1">
                  <c:v>45</c:v>
                </c:pt>
                <c:pt idx="2">
                  <c:v>41.599999999999994</c:v>
                </c:pt>
                <c:pt idx="3">
                  <c:v>41.5</c:v>
                </c:pt>
              </c:numCache>
            </c:numRef>
          </c:val>
          <c:smooth val="0"/>
          <c:extLst>
            <c:ext xmlns:c16="http://schemas.microsoft.com/office/drawing/2014/chart" uri="{C3380CC4-5D6E-409C-BE32-E72D297353CC}">
              <c16:uniqueId val="{00000000-9C72-46D2-84A5-F32CEC4E525A}"/>
            </c:ext>
          </c:extLst>
        </c:ser>
        <c:ser>
          <c:idx val="1"/>
          <c:order val="1"/>
          <c:tx>
            <c:strRef>
              <c:f>graphs!$B$33</c:f>
              <c:strCache>
                <c:ptCount val="1"/>
                <c:pt idx="0">
                  <c:v>Sweden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graphs!$C$31:$F$31</c:f>
              <c:numCache>
                <c:formatCode>General</c:formatCode>
                <c:ptCount val="4"/>
                <c:pt idx="0">
                  <c:v>2007</c:v>
                </c:pt>
                <c:pt idx="1">
                  <c:v>2011</c:v>
                </c:pt>
                <c:pt idx="2">
                  <c:v>2013</c:v>
                </c:pt>
                <c:pt idx="3">
                  <c:v>2015</c:v>
                </c:pt>
              </c:numCache>
            </c:numRef>
          </c:cat>
          <c:val>
            <c:numRef>
              <c:f>graphs!$C$33:$F$33</c:f>
              <c:numCache>
                <c:formatCode>General</c:formatCode>
                <c:ptCount val="4"/>
                <c:pt idx="0">
                  <c:v>35.5</c:v>
                </c:pt>
                <c:pt idx="1">
                  <c:v>30.4</c:v>
                </c:pt>
                <c:pt idx="2">
                  <c:v>40.899999999999991</c:v>
                </c:pt>
                <c:pt idx="3">
                  <c:v>34.999999999999993</c:v>
                </c:pt>
              </c:numCache>
            </c:numRef>
          </c:val>
          <c:smooth val="0"/>
          <c:extLst>
            <c:ext xmlns:c16="http://schemas.microsoft.com/office/drawing/2014/chart" uri="{C3380CC4-5D6E-409C-BE32-E72D297353CC}">
              <c16:uniqueId val="{00000001-9C72-46D2-84A5-F32CEC4E525A}"/>
            </c:ext>
          </c:extLst>
        </c:ser>
        <c:ser>
          <c:idx val="2"/>
          <c:order val="2"/>
          <c:tx>
            <c:strRef>
              <c:f>graphs!$B$34</c:f>
              <c:strCache>
                <c:ptCount val="1"/>
                <c:pt idx="0">
                  <c:v>Italy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graphs!$C$31:$F$31</c:f>
              <c:numCache>
                <c:formatCode>General</c:formatCode>
                <c:ptCount val="4"/>
                <c:pt idx="0">
                  <c:v>2007</c:v>
                </c:pt>
                <c:pt idx="1">
                  <c:v>2011</c:v>
                </c:pt>
                <c:pt idx="2">
                  <c:v>2013</c:v>
                </c:pt>
                <c:pt idx="3">
                  <c:v>2015</c:v>
                </c:pt>
              </c:numCache>
            </c:numRef>
          </c:cat>
          <c:val>
            <c:numRef>
              <c:f>graphs!$C$34:$F$34</c:f>
              <c:numCache>
                <c:formatCode>General</c:formatCode>
                <c:ptCount val="4"/>
                <c:pt idx="0">
                  <c:v>32.1</c:v>
                </c:pt>
                <c:pt idx="1">
                  <c:v>41.300000000000004</c:v>
                </c:pt>
                <c:pt idx="2">
                  <c:v>40</c:v>
                </c:pt>
                <c:pt idx="3">
                  <c:v>33.700000000000003</c:v>
                </c:pt>
              </c:numCache>
            </c:numRef>
          </c:val>
          <c:smooth val="0"/>
          <c:extLst>
            <c:ext xmlns:c16="http://schemas.microsoft.com/office/drawing/2014/chart" uri="{C3380CC4-5D6E-409C-BE32-E72D297353CC}">
              <c16:uniqueId val="{00000002-9C72-46D2-84A5-F32CEC4E525A}"/>
            </c:ext>
          </c:extLst>
        </c:ser>
        <c:ser>
          <c:idx val="3"/>
          <c:order val="3"/>
          <c:tx>
            <c:strRef>
              <c:f>graphs!$B$35</c:f>
              <c:strCache>
                <c:ptCount val="1"/>
                <c:pt idx="0">
                  <c:v>Switzerland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graphs!$C$31:$F$31</c:f>
              <c:numCache>
                <c:formatCode>General</c:formatCode>
                <c:ptCount val="4"/>
                <c:pt idx="0">
                  <c:v>2007</c:v>
                </c:pt>
                <c:pt idx="1">
                  <c:v>2011</c:v>
                </c:pt>
                <c:pt idx="2">
                  <c:v>2013</c:v>
                </c:pt>
                <c:pt idx="3">
                  <c:v>2015</c:v>
                </c:pt>
              </c:numCache>
            </c:numRef>
          </c:cat>
          <c:val>
            <c:numRef>
              <c:f>graphs!$C$35:$F$35</c:f>
              <c:numCache>
                <c:formatCode>General</c:formatCode>
                <c:ptCount val="4"/>
                <c:pt idx="0">
                  <c:v>45.5</c:v>
                </c:pt>
                <c:pt idx="1">
                  <c:v>49.300000000000004</c:v>
                </c:pt>
                <c:pt idx="2">
                  <c:v>55.300000000000004</c:v>
                </c:pt>
                <c:pt idx="3">
                  <c:v>46</c:v>
                </c:pt>
              </c:numCache>
            </c:numRef>
          </c:val>
          <c:smooth val="0"/>
          <c:extLst>
            <c:ext xmlns:c16="http://schemas.microsoft.com/office/drawing/2014/chart" uri="{C3380CC4-5D6E-409C-BE32-E72D297353CC}">
              <c16:uniqueId val="{00000003-9C72-46D2-84A5-F32CEC4E525A}"/>
            </c:ext>
          </c:extLst>
        </c:ser>
        <c:ser>
          <c:idx val="4"/>
          <c:order val="4"/>
          <c:tx>
            <c:strRef>
              <c:f>graphs!$B$36</c:f>
              <c:strCache>
                <c:ptCount val="1"/>
                <c:pt idx="0">
                  <c:v>Czechia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graphs!$C$31:$F$31</c:f>
              <c:numCache>
                <c:formatCode>General</c:formatCode>
                <c:ptCount val="4"/>
                <c:pt idx="0">
                  <c:v>2007</c:v>
                </c:pt>
                <c:pt idx="1">
                  <c:v>2011</c:v>
                </c:pt>
                <c:pt idx="2">
                  <c:v>2013</c:v>
                </c:pt>
                <c:pt idx="3">
                  <c:v>2015</c:v>
                </c:pt>
              </c:numCache>
            </c:numRef>
          </c:cat>
          <c:val>
            <c:numRef>
              <c:f>graphs!$C$36:$F$36</c:f>
              <c:numCache>
                <c:formatCode>General</c:formatCode>
                <c:ptCount val="4"/>
                <c:pt idx="0">
                  <c:v>42.2</c:v>
                </c:pt>
                <c:pt idx="1">
                  <c:v>51.300000000000004</c:v>
                </c:pt>
                <c:pt idx="2">
                  <c:v>49.199999999999996</c:v>
                </c:pt>
                <c:pt idx="3">
                  <c:v>51</c:v>
                </c:pt>
              </c:numCache>
            </c:numRef>
          </c:val>
          <c:smooth val="0"/>
          <c:extLst>
            <c:ext xmlns:c16="http://schemas.microsoft.com/office/drawing/2014/chart" uri="{C3380CC4-5D6E-409C-BE32-E72D297353CC}">
              <c16:uniqueId val="{00000004-9C72-46D2-84A5-F32CEC4E525A}"/>
            </c:ext>
          </c:extLst>
        </c:ser>
        <c:dLbls>
          <c:showLegendKey val="0"/>
          <c:showVal val="0"/>
          <c:showCatName val="0"/>
          <c:showSerName val="0"/>
          <c:showPercent val="0"/>
          <c:showBubbleSize val="0"/>
        </c:dLbls>
        <c:marker val="1"/>
        <c:smooth val="0"/>
        <c:axId val="291093400"/>
        <c:axId val="1"/>
      </c:lineChart>
      <c:catAx>
        <c:axId val="291093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093400"/>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ratios!$J$70</c:f>
              <c:strCache>
                <c:ptCount val="1"/>
                <c:pt idx="0">
                  <c:v>Austria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ratios!$K$69:$N$69</c:f>
              <c:numCache>
                <c:formatCode>General</c:formatCode>
                <c:ptCount val="4"/>
                <c:pt idx="0">
                  <c:v>2007</c:v>
                </c:pt>
                <c:pt idx="1">
                  <c:v>2011</c:v>
                </c:pt>
                <c:pt idx="2">
                  <c:v>2013</c:v>
                </c:pt>
                <c:pt idx="3">
                  <c:v>2015</c:v>
                </c:pt>
              </c:numCache>
            </c:numRef>
          </c:cat>
          <c:val>
            <c:numRef>
              <c:f>ratios!$K$70:$N$70</c:f>
              <c:numCache>
                <c:formatCode>General</c:formatCode>
                <c:ptCount val="4"/>
                <c:pt idx="0">
                  <c:v>2.9685534591194971</c:v>
                </c:pt>
                <c:pt idx="1">
                  <c:v>3.9605263157894739</c:v>
                </c:pt>
                <c:pt idx="2">
                  <c:v>2.8325991189427313</c:v>
                </c:pt>
                <c:pt idx="3">
                  <c:v>2.820175438596491</c:v>
                </c:pt>
              </c:numCache>
            </c:numRef>
          </c:val>
          <c:smooth val="0"/>
          <c:extLst>
            <c:ext xmlns:c16="http://schemas.microsoft.com/office/drawing/2014/chart" uri="{C3380CC4-5D6E-409C-BE32-E72D297353CC}">
              <c16:uniqueId val="{00000000-6F51-4E57-AD72-26B289D2DB9F}"/>
            </c:ext>
          </c:extLst>
        </c:ser>
        <c:ser>
          <c:idx val="1"/>
          <c:order val="1"/>
          <c:tx>
            <c:strRef>
              <c:f>ratios!$J$71</c:f>
              <c:strCache>
                <c:ptCount val="1"/>
                <c:pt idx="0">
                  <c:v>Sweden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ratios!$K$69:$N$69</c:f>
              <c:numCache>
                <c:formatCode>General</c:formatCode>
                <c:ptCount val="4"/>
                <c:pt idx="0">
                  <c:v>2007</c:v>
                </c:pt>
                <c:pt idx="1">
                  <c:v>2011</c:v>
                </c:pt>
                <c:pt idx="2">
                  <c:v>2013</c:v>
                </c:pt>
                <c:pt idx="3">
                  <c:v>2015</c:v>
                </c:pt>
              </c:numCache>
            </c:numRef>
          </c:cat>
          <c:val>
            <c:numRef>
              <c:f>ratios!$K$71:$N$71</c:f>
              <c:numCache>
                <c:formatCode>General</c:formatCode>
                <c:ptCount val="4"/>
                <c:pt idx="0">
                  <c:v>2.0757575757575757</c:v>
                </c:pt>
                <c:pt idx="1">
                  <c:v>1.9353846153846153</c:v>
                </c:pt>
                <c:pt idx="2">
                  <c:v>2.3771043771043772</c:v>
                </c:pt>
                <c:pt idx="3">
                  <c:v>1.9562841530054642</c:v>
                </c:pt>
              </c:numCache>
            </c:numRef>
          </c:val>
          <c:smooth val="0"/>
          <c:extLst>
            <c:ext xmlns:c16="http://schemas.microsoft.com/office/drawing/2014/chart" uri="{C3380CC4-5D6E-409C-BE32-E72D297353CC}">
              <c16:uniqueId val="{00000001-6F51-4E57-AD72-26B289D2DB9F}"/>
            </c:ext>
          </c:extLst>
        </c:ser>
        <c:ser>
          <c:idx val="2"/>
          <c:order val="2"/>
          <c:tx>
            <c:strRef>
              <c:f>ratios!$J$72</c:f>
              <c:strCache>
                <c:ptCount val="1"/>
                <c:pt idx="0">
                  <c:v>Italy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ratios!$K$69:$N$69</c:f>
              <c:numCache>
                <c:formatCode>General</c:formatCode>
                <c:ptCount val="4"/>
                <c:pt idx="0">
                  <c:v>2007</c:v>
                </c:pt>
                <c:pt idx="1">
                  <c:v>2011</c:v>
                </c:pt>
                <c:pt idx="2">
                  <c:v>2013</c:v>
                </c:pt>
                <c:pt idx="3">
                  <c:v>2015</c:v>
                </c:pt>
              </c:numCache>
            </c:numRef>
          </c:cat>
          <c:val>
            <c:numRef>
              <c:f>ratios!$K$72:$N$72</c:f>
              <c:numCache>
                <c:formatCode>General</c:formatCode>
                <c:ptCount val="4"/>
                <c:pt idx="0">
                  <c:v>5.397260273972603</c:v>
                </c:pt>
                <c:pt idx="1">
                  <c:v>4.9711538461538467</c:v>
                </c:pt>
                <c:pt idx="2">
                  <c:v>4.6036036036036041</c:v>
                </c:pt>
                <c:pt idx="3">
                  <c:v>5.1097560975609762</c:v>
                </c:pt>
              </c:numCache>
            </c:numRef>
          </c:val>
          <c:smooth val="0"/>
          <c:extLst>
            <c:ext xmlns:c16="http://schemas.microsoft.com/office/drawing/2014/chart" uri="{C3380CC4-5D6E-409C-BE32-E72D297353CC}">
              <c16:uniqueId val="{00000002-6F51-4E57-AD72-26B289D2DB9F}"/>
            </c:ext>
          </c:extLst>
        </c:ser>
        <c:ser>
          <c:idx val="3"/>
          <c:order val="3"/>
          <c:tx>
            <c:strRef>
              <c:f>ratios!$J$73</c:f>
              <c:strCache>
                <c:ptCount val="1"/>
                <c:pt idx="0">
                  <c:v>Switzerland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ratios!$K$69:$N$69</c:f>
              <c:numCache>
                <c:formatCode>General</c:formatCode>
                <c:ptCount val="4"/>
                <c:pt idx="0">
                  <c:v>2007</c:v>
                </c:pt>
                <c:pt idx="1">
                  <c:v>2011</c:v>
                </c:pt>
                <c:pt idx="2">
                  <c:v>2013</c:v>
                </c:pt>
                <c:pt idx="3">
                  <c:v>2015</c:v>
                </c:pt>
              </c:numCache>
            </c:numRef>
          </c:cat>
          <c:val>
            <c:numRef>
              <c:f>ratios!$K$73:$N$73</c:f>
              <c:numCache>
                <c:formatCode>General</c:formatCode>
                <c:ptCount val="4"/>
                <c:pt idx="0">
                  <c:v>5.7894736842105265</c:v>
                </c:pt>
                <c:pt idx="1">
                  <c:v>3.679347826086957</c:v>
                </c:pt>
                <c:pt idx="2">
                  <c:v>4.787671232876713</c:v>
                </c:pt>
                <c:pt idx="3">
                  <c:v>3.3</c:v>
                </c:pt>
              </c:numCache>
            </c:numRef>
          </c:val>
          <c:smooth val="0"/>
          <c:extLst>
            <c:ext xmlns:c16="http://schemas.microsoft.com/office/drawing/2014/chart" uri="{C3380CC4-5D6E-409C-BE32-E72D297353CC}">
              <c16:uniqueId val="{00000003-6F51-4E57-AD72-26B289D2DB9F}"/>
            </c:ext>
          </c:extLst>
        </c:ser>
        <c:ser>
          <c:idx val="4"/>
          <c:order val="4"/>
          <c:tx>
            <c:strRef>
              <c:f>ratios!$J$74</c:f>
              <c:strCache>
                <c:ptCount val="1"/>
                <c:pt idx="0">
                  <c:v>Czechia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ratios!$K$69:$N$69</c:f>
              <c:numCache>
                <c:formatCode>General</c:formatCode>
                <c:ptCount val="4"/>
                <c:pt idx="0">
                  <c:v>2007</c:v>
                </c:pt>
                <c:pt idx="1">
                  <c:v>2011</c:v>
                </c:pt>
                <c:pt idx="2">
                  <c:v>2013</c:v>
                </c:pt>
                <c:pt idx="3">
                  <c:v>2015</c:v>
                </c:pt>
              </c:numCache>
            </c:numRef>
          </c:cat>
          <c:val>
            <c:numRef>
              <c:f>ratios!$K$74:$N$74</c:f>
              <c:numCache>
                <c:formatCode>General</c:formatCode>
                <c:ptCount val="4"/>
                <c:pt idx="0">
                  <c:v>6.4102564102564106</c:v>
                </c:pt>
                <c:pt idx="1">
                  <c:v>9.1428571428571441</c:v>
                </c:pt>
                <c:pt idx="2">
                  <c:v>7.3896103896103895</c:v>
                </c:pt>
                <c:pt idx="3">
                  <c:v>8.6119402985074629</c:v>
                </c:pt>
              </c:numCache>
            </c:numRef>
          </c:val>
          <c:smooth val="0"/>
          <c:extLst>
            <c:ext xmlns:c16="http://schemas.microsoft.com/office/drawing/2014/chart" uri="{C3380CC4-5D6E-409C-BE32-E72D297353CC}">
              <c16:uniqueId val="{00000004-6F51-4E57-AD72-26B289D2DB9F}"/>
            </c:ext>
          </c:extLst>
        </c:ser>
        <c:dLbls>
          <c:showLegendKey val="0"/>
          <c:showVal val="0"/>
          <c:showCatName val="0"/>
          <c:showSerName val="0"/>
          <c:showPercent val="0"/>
          <c:showBubbleSize val="0"/>
        </c:dLbls>
        <c:marker val="1"/>
        <c:smooth val="0"/>
        <c:axId val="291091760"/>
        <c:axId val="1"/>
      </c:lineChart>
      <c:catAx>
        <c:axId val="29109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091760"/>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List1!$C$13</c:f>
              <c:strCache>
                <c:ptCount val="1"/>
                <c:pt idx="0">
                  <c:v>grandchildren</c:v>
                </c:pt>
              </c:strCache>
            </c:strRef>
          </c:tx>
          <c:spPr>
            <a:solidFill>
              <a:schemeClr val="accent1"/>
            </a:solidFill>
            <a:ln>
              <a:noFill/>
            </a:ln>
            <a:effectLst/>
          </c:spPr>
          <c:invertIfNegative val="0"/>
          <c:cat>
            <c:strRef>
              <c:f>List1!$D$12:$G$12</c:f>
              <c:strCache>
                <c:ptCount val="4"/>
                <c:pt idx="0">
                  <c:v>North</c:v>
                </c:pt>
                <c:pt idx="1">
                  <c:v>West</c:v>
                </c:pt>
                <c:pt idx="2">
                  <c:v>South</c:v>
                </c:pt>
                <c:pt idx="3">
                  <c:v>Post-communist</c:v>
                </c:pt>
              </c:strCache>
            </c:strRef>
          </c:cat>
          <c:val>
            <c:numRef>
              <c:f>List1!$D$13:$G$13</c:f>
              <c:numCache>
                <c:formatCode>General</c:formatCode>
                <c:ptCount val="4"/>
                <c:pt idx="0">
                  <c:v>21.37</c:v>
                </c:pt>
                <c:pt idx="1">
                  <c:v>18.71</c:v>
                </c:pt>
                <c:pt idx="2">
                  <c:v>17.13</c:v>
                </c:pt>
                <c:pt idx="3">
                  <c:v>22.77</c:v>
                </c:pt>
              </c:numCache>
            </c:numRef>
          </c:val>
          <c:extLst>
            <c:ext xmlns:c16="http://schemas.microsoft.com/office/drawing/2014/chart" uri="{C3380CC4-5D6E-409C-BE32-E72D297353CC}">
              <c16:uniqueId val="{00000000-5960-45B8-B0A0-92C503BF6FCA}"/>
            </c:ext>
          </c:extLst>
        </c:ser>
        <c:ser>
          <c:idx val="1"/>
          <c:order val="1"/>
          <c:tx>
            <c:strRef>
              <c:f>List1!$C$14</c:f>
              <c:strCache>
                <c:ptCount val="1"/>
                <c:pt idx="0">
                  <c:v>outside the household</c:v>
                </c:pt>
              </c:strCache>
            </c:strRef>
          </c:tx>
          <c:spPr>
            <a:solidFill>
              <a:schemeClr val="accent2"/>
            </a:solidFill>
            <a:ln>
              <a:noFill/>
            </a:ln>
            <a:effectLst/>
          </c:spPr>
          <c:invertIfNegative val="0"/>
          <c:cat>
            <c:strRef>
              <c:f>List1!$D$12:$G$12</c:f>
              <c:strCache>
                <c:ptCount val="4"/>
                <c:pt idx="0">
                  <c:v>North</c:v>
                </c:pt>
                <c:pt idx="1">
                  <c:v>West</c:v>
                </c:pt>
                <c:pt idx="2">
                  <c:v>South</c:v>
                </c:pt>
                <c:pt idx="3">
                  <c:v>Post-communist</c:v>
                </c:pt>
              </c:strCache>
            </c:strRef>
          </c:cat>
          <c:val>
            <c:numRef>
              <c:f>List1!$D$14:$G$14</c:f>
              <c:numCache>
                <c:formatCode>General</c:formatCode>
                <c:ptCount val="4"/>
                <c:pt idx="0">
                  <c:v>26.18</c:v>
                </c:pt>
                <c:pt idx="1">
                  <c:v>24.06</c:v>
                </c:pt>
                <c:pt idx="2">
                  <c:v>11.45</c:v>
                </c:pt>
                <c:pt idx="3">
                  <c:v>19.66</c:v>
                </c:pt>
              </c:numCache>
            </c:numRef>
          </c:val>
          <c:extLst>
            <c:ext xmlns:c16="http://schemas.microsoft.com/office/drawing/2014/chart" uri="{C3380CC4-5D6E-409C-BE32-E72D297353CC}">
              <c16:uniqueId val="{00000001-5960-45B8-B0A0-92C503BF6FCA}"/>
            </c:ext>
          </c:extLst>
        </c:ser>
        <c:ser>
          <c:idx val="2"/>
          <c:order val="2"/>
          <c:tx>
            <c:strRef>
              <c:f>List1!$C$15</c:f>
              <c:strCache>
                <c:ptCount val="1"/>
                <c:pt idx="0">
                  <c:v>within the household</c:v>
                </c:pt>
              </c:strCache>
            </c:strRef>
          </c:tx>
          <c:spPr>
            <a:solidFill>
              <a:schemeClr val="accent3"/>
            </a:solidFill>
            <a:ln>
              <a:noFill/>
            </a:ln>
            <a:effectLst/>
          </c:spPr>
          <c:invertIfNegative val="0"/>
          <c:cat>
            <c:strRef>
              <c:f>List1!$D$12:$G$12</c:f>
              <c:strCache>
                <c:ptCount val="4"/>
                <c:pt idx="0">
                  <c:v>North</c:v>
                </c:pt>
                <c:pt idx="1">
                  <c:v>West</c:v>
                </c:pt>
                <c:pt idx="2">
                  <c:v>South</c:v>
                </c:pt>
                <c:pt idx="3">
                  <c:v>Post-communist</c:v>
                </c:pt>
              </c:strCache>
            </c:strRef>
          </c:cat>
          <c:val>
            <c:numRef>
              <c:f>List1!$D$15:$G$15</c:f>
              <c:numCache>
                <c:formatCode>General</c:formatCode>
                <c:ptCount val="4"/>
                <c:pt idx="0">
                  <c:v>3.21</c:v>
                </c:pt>
                <c:pt idx="1">
                  <c:v>4.58</c:v>
                </c:pt>
                <c:pt idx="2">
                  <c:v>6.6</c:v>
                </c:pt>
                <c:pt idx="3">
                  <c:v>6.18</c:v>
                </c:pt>
              </c:numCache>
            </c:numRef>
          </c:val>
          <c:extLst>
            <c:ext xmlns:c16="http://schemas.microsoft.com/office/drawing/2014/chart" uri="{C3380CC4-5D6E-409C-BE32-E72D297353CC}">
              <c16:uniqueId val="{00000002-5960-45B8-B0A0-92C503BF6FCA}"/>
            </c:ext>
          </c:extLst>
        </c:ser>
        <c:dLbls>
          <c:showLegendKey val="0"/>
          <c:showVal val="0"/>
          <c:showCatName val="0"/>
          <c:showSerName val="0"/>
          <c:showPercent val="0"/>
          <c:showBubbleSize val="0"/>
        </c:dLbls>
        <c:gapWidth val="219"/>
        <c:overlap val="-27"/>
        <c:axId val="506803128"/>
        <c:axId val="506401824"/>
      </c:barChart>
      <c:catAx>
        <c:axId val="506803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401824"/>
        <c:crosses val="autoZero"/>
        <c:auto val="1"/>
        <c:lblAlgn val="ctr"/>
        <c:lblOffset val="100"/>
        <c:noMultiLvlLbl val="0"/>
      </c:catAx>
      <c:valAx>
        <c:axId val="506401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803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List1!$C$19</c:f>
              <c:strCache>
                <c:ptCount val="1"/>
                <c:pt idx="0">
                  <c:v>volunteering</c:v>
                </c:pt>
              </c:strCache>
            </c:strRef>
          </c:tx>
          <c:spPr>
            <a:solidFill>
              <a:schemeClr val="accent1"/>
            </a:solidFill>
            <a:ln>
              <a:noFill/>
            </a:ln>
            <a:effectLst/>
          </c:spPr>
          <c:invertIfNegative val="0"/>
          <c:cat>
            <c:strRef>
              <c:f>List1!$D$18:$G$18</c:f>
              <c:strCache>
                <c:ptCount val="4"/>
                <c:pt idx="0">
                  <c:v>North</c:v>
                </c:pt>
                <c:pt idx="1">
                  <c:v>West</c:v>
                </c:pt>
                <c:pt idx="2">
                  <c:v>South</c:v>
                </c:pt>
                <c:pt idx="3">
                  <c:v>Post-communist</c:v>
                </c:pt>
              </c:strCache>
            </c:strRef>
          </c:cat>
          <c:val>
            <c:numRef>
              <c:f>List1!$D$19:$G$19</c:f>
              <c:numCache>
                <c:formatCode>General</c:formatCode>
                <c:ptCount val="4"/>
                <c:pt idx="0">
                  <c:v>15.32</c:v>
                </c:pt>
                <c:pt idx="1">
                  <c:v>18.77</c:v>
                </c:pt>
                <c:pt idx="2">
                  <c:v>7.56</c:v>
                </c:pt>
                <c:pt idx="3">
                  <c:v>2.54</c:v>
                </c:pt>
              </c:numCache>
            </c:numRef>
          </c:val>
          <c:extLst>
            <c:ext xmlns:c16="http://schemas.microsoft.com/office/drawing/2014/chart" uri="{C3380CC4-5D6E-409C-BE32-E72D297353CC}">
              <c16:uniqueId val="{00000000-EAC6-41CD-AD26-381BADAEC6E3}"/>
            </c:ext>
          </c:extLst>
        </c:ser>
        <c:ser>
          <c:idx val="1"/>
          <c:order val="1"/>
          <c:tx>
            <c:strRef>
              <c:f>List1!$C$20</c:f>
              <c:strCache>
                <c:ptCount val="1"/>
                <c:pt idx="0">
                  <c:v>educational course</c:v>
                </c:pt>
              </c:strCache>
            </c:strRef>
          </c:tx>
          <c:spPr>
            <a:solidFill>
              <a:schemeClr val="accent2"/>
            </a:solidFill>
            <a:ln>
              <a:noFill/>
            </a:ln>
            <a:effectLst/>
          </c:spPr>
          <c:invertIfNegative val="0"/>
          <c:cat>
            <c:strRef>
              <c:f>List1!$D$18:$G$18</c:f>
              <c:strCache>
                <c:ptCount val="4"/>
                <c:pt idx="0">
                  <c:v>North</c:v>
                </c:pt>
                <c:pt idx="1">
                  <c:v>West</c:v>
                </c:pt>
                <c:pt idx="2">
                  <c:v>South</c:v>
                </c:pt>
                <c:pt idx="3">
                  <c:v>Post-communist</c:v>
                </c:pt>
              </c:strCache>
            </c:strRef>
          </c:cat>
          <c:val>
            <c:numRef>
              <c:f>List1!$D$20:$G$20</c:f>
              <c:numCache>
                <c:formatCode>General</c:formatCode>
                <c:ptCount val="4"/>
                <c:pt idx="0">
                  <c:v>10.91</c:v>
                </c:pt>
                <c:pt idx="1">
                  <c:v>5.68</c:v>
                </c:pt>
                <c:pt idx="2">
                  <c:v>2.66</c:v>
                </c:pt>
                <c:pt idx="3">
                  <c:v>3.2</c:v>
                </c:pt>
              </c:numCache>
            </c:numRef>
          </c:val>
          <c:extLst>
            <c:ext xmlns:c16="http://schemas.microsoft.com/office/drawing/2014/chart" uri="{C3380CC4-5D6E-409C-BE32-E72D297353CC}">
              <c16:uniqueId val="{00000001-EAC6-41CD-AD26-381BADAEC6E3}"/>
            </c:ext>
          </c:extLst>
        </c:ser>
        <c:ser>
          <c:idx val="2"/>
          <c:order val="2"/>
          <c:tx>
            <c:strRef>
              <c:f>List1!$C$21</c:f>
              <c:strCache>
                <c:ptCount val="1"/>
                <c:pt idx="0">
                  <c:v>sport or social club</c:v>
                </c:pt>
              </c:strCache>
            </c:strRef>
          </c:tx>
          <c:spPr>
            <a:solidFill>
              <a:schemeClr val="accent3"/>
            </a:solidFill>
            <a:ln>
              <a:noFill/>
            </a:ln>
            <a:effectLst/>
          </c:spPr>
          <c:invertIfNegative val="0"/>
          <c:cat>
            <c:strRef>
              <c:f>List1!$D$18:$G$18</c:f>
              <c:strCache>
                <c:ptCount val="4"/>
                <c:pt idx="0">
                  <c:v>North</c:v>
                </c:pt>
                <c:pt idx="1">
                  <c:v>West</c:v>
                </c:pt>
                <c:pt idx="2">
                  <c:v>South</c:v>
                </c:pt>
                <c:pt idx="3">
                  <c:v>Post-communist</c:v>
                </c:pt>
              </c:strCache>
            </c:strRef>
          </c:cat>
          <c:val>
            <c:numRef>
              <c:f>List1!$D$21:$G$21</c:f>
              <c:numCache>
                <c:formatCode>General</c:formatCode>
                <c:ptCount val="4"/>
                <c:pt idx="0">
                  <c:v>47.54</c:v>
                </c:pt>
                <c:pt idx="1">
                  <c:v>28.87</c:v>
                </c:pt>
                <c:pt idx="2">
                  <c:v>9.56</c:v>
                </c:pt>
                <c:pt idx="3">
                  <c:v>9.57</c:v>
                </c:pt>
              </c:numCache>
            </c:numRef>
          </c:val>
          <c:extLst>
            <c:ext xmlns:c16="http://schemas.microsoft.com/office/drawing/2014/chart" uri="{C3380CC4-5D6E-409C-BE32-E72D297353CC}">
              <c16:uniqueId val="{00000002-EAC6-41CD-AD26-381BADAEC6E3}"/>
            </c:ext>
          </c:extLst>
        </c:ser>
        <c:ser>
          <c:idx val="3"/>
          <c:order val="3"/>
          <c:tx>
            <c:strRef>
              <c:f>List1!$C$22</c:f>
              <c:strCache>
                <c:ptCount val="1"/>
                <c:pt idx="0">
                  <c:v>political organization</c:v>
                </c:pt>
              </c:strCache>
            </c:strRef>
          </c:tx>
          <c:spPr>
            <a:solidFill>
              <a:schemeClr val="accent4"/>
            </a:solidFill>
            <a:ln>
              <a:noFill/>
            </a:ln>
            <a:effectLst/>
          </c:spPr>
          <c:invertIfNegative val="0"/>
          <c:cat>
            <c:strRef>
              <c:f>List1!$D$18:$G$18</c:f>
              <c:strCache>
                <c:ptCount val="4"/>
                <c:pt idx="0">
                  <c:v>North</c:v>
                </c:pt>
                <c:pt idx="1">
                  <c:v>West</c:v>
                </c:pt>
                <c:pt idx="2">
                  <c:v>South</c:v>
                </c:pt>
                <c:pt idx="3">
                  <c:v>Post-communist</c:v>
                </c:pt>
              </c:strCache>
            </c:strRef>
          </c:cat>
          <c:val>
            <c:numRef>
              <c:f>List1!$D$22:$G$22</c:f>
              <c:numCache>
                <c:formatCode>General</c:formatCode>
                <c:ptCount val="4"/>
                <c:pt idx="0">
                  <c:v>6.99</c:v>
                </c:pt>
                <c:pt idx="1">
                  <c:v>5.15</c:v>
                </c:pt>
                <c:pt idx="2">
                  <c:v>2.41</c:v>
                </c:pt>
                <c:pt idx="3">
                  <c:v>3.26</c:v>
                </c:pt>
              </c:numCache>
            </c:numRef>
          </c:val>
          <c:extLst>
            <c:ext xmlns:c16="http://schemas.microsoft.com/office/drawing/2014/chart" uri="{C3380CC4-5D6E-409C-BE32-E72D297353CC}">
              <c16:uniqueId val="{00000003-EAC6-41CD-AD26-381BADAEC6E3}"/>
            </c:ext>
          </c:extLst>
        </c:ser>
        <c:ser>
          <c:idx val="4"/>
          <c:order val="4"/>
          <c:tx>
            <c:strRef>
              <c:f>List1!$C$23</c:f>
              <c:strCache>
                <c:ptCount val="1"/>
                <c:pt idx="0">
                  <c:v>physically vigorous</c:v>
                </c:pt>
              </c:strCache>
            </c:strRef>
          </c:tx>
          <c:spPr>
            <a:solidFill>
              <a:srgbClr val="00B050"/>
            </a:solidFill>
            <a:ln>
              <a:noFill/>
            </a:ln>
            <a:effectLst/>
          </c:spPr>
          <c:invertIfNegative val="0"/>
          <c:cat>
            <c:strRef>
              <c:f>List1!$D$18:$G$18</c:f>
              <c:strCache>
                <c:ptCount val="4"/>
                <c:pt idx="0">
                  <c:v>North</c:v>
                </c:pt>
                <c:pt idx="1">
                  <c:v>West</c:v>
                </c:pt>
                <c:pt idx="2">
                  <c:v>South</c:v>
                </c:pt>
                <c:pt idx="3">
                  <c:v>Post-communist</c:v>
                </c:pt>
              </c:strCache>
            </c:strRef>
          </c:cat>
          <c:val>
            <c:numRef>
              <c:f>List1!$D$23:$G$23</c:f>
              <c:numCache>
                <c:formatCode>General</c:formatCode>
                <c:ptCount val="4"/>
                <c:pt idx="0">
                  <c:v>66.400000000000006</c:v>
                </c:pt>
                <c:pt idx="1">
                  <c:v>54.09</c:v>
                </c:pt>
                <c:pt idx="2">
                  <c:v>44.28</c:v>
                </c:pt>
                <c:pt idx="3">
                  <c:v>51.75</c:v>
                </c:pt>
              </c:numCache>
            </c:numRef>
          </c:val>
          <c:extLst>
            <c:ext xmlns:c16="http://schemas.microsoft.com/office/drawing/2014/chart" uri="{C3380CC4-5D6E-409C-BE32-E72D297353CC}">
              <c16:uniqueId val="{00000004-EAC6-41CD-AD26-381BADAEC6E3}"/>
            </c:ext>
          </c:extLst>
        </c:ser>
        <c:dLbls>
          <c:showLegendKey val="0"/>
          <c:showVal val="0"/>
          <c:showCatName val="0"/>
          <c:showSerName val="0"/>
          <c:showPercent val="0"/>
          <c:showBubbleSize val="0"/>
        </c:dLbls>
        <c:gapWidth val="219"/>
        <c:overlap val="-27"/>
        <c:axId val="524672168"/>
        <c:axId val="524675120"/>
      </c:barChart>
      <c:catAx>
        <c:axId val="524672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675120"/>
        <c:crosses val="autoZero"/>
        <c:auto val="1"/>
        <c:lblAlgn val="ctr"/>
        <c:lblOffset val="100"/>
        <c:noMultiLvlLbl val="0"/>
      </c:catAx>
      <c:valAx>
        <c:axId val="524675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672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Pt>
            <c:idx val="0"/>
            <c:marker>
              <c:symbol val="circle"/>
              <c:size val="5"/>
              <c:spPr>
                <a:solidFill>
                  <a:schemeClr val="tx1"/>
                </a:solidFill>
                <a:ln w="9525">
                  <a:solidFill>
                    <a:schemeClr val="accent1"/>
                  </a:solidFill>
                </a:ln>
                <a:effectLst/>
              </c:spPr>
            </c:marker>
            <c:bubble3D val="0"/>
            <c:extLst>
              <c:ext xmlns:c16="http://schemas.microsoft.com/office/drawing/2014/chart" uri="{C3380CC4-5D6E-409C-BE32-E72D297353CC}">
                <c16:uniqueId val="{00000000-B195-463E-944E-6416C7AA668B}"/>
              </c:ext>
            </c:extLst>
          </c:dPt>
          <c:dPt>
            <c:idx val="1"/>
            <c:marker>
              <c:symbol val="circle"/>
              <c:size val="5"/>
              <c:spPr>
                <a:solidFill>
                  <a:schemeClr val="tx1"/>
                </a:solidFill>
                <a:ln w="9525">
                  <a:solidFill>
                    <a:schemeClr val="accent1"/>
                  </a:solidFill>
                </a:ln>
                <a:effectLst/>
              </c:spPr>
            </c:marker>
            <c:bubble3D val="0"/>
            <c:extLst>
              <c:ext xmlns:c16="http://schemas.microsoft.com/office/drawing/2014/chart" uri="{C3380CC4-5D6E-409C-BE32-E72D297353CC}">
                <c16:uniqueId val="{00000001-B195-463E-944E-6416C7AA668B}"/>
              </c:ext>
            </c:extLst>
          </c:dPt>
          <c:dPt>
            <c:idx val="2"/>
            <c:marker>
              <c:symbol val="circle"/>
              <c:size val="5"/>
              <c:spPr>
                <a:solidFill>
                  <a:srgbClr val="FF0000"/>
                </a:solidFill>
                <a:ln w="9525">
                  <a:solidFill>
                    <a:schemeClr val="accent1"/>
                  </a:solidFill>
                </a:ln>
                <a:effectLst/>
              </c:spPr>
            </c:marker>
            <c:bubble3D val="0"/>
            <c:extLst>
              <c:ext xmlns:c16="http://schemas.microsoft.com/office/drawing/2014/chart" uri="{C3380CC4-5D6E-409C-BE32-E72D297353CC}">
                <c16:uniqueId val="{00000002-B195-463E-944E-6416C7AA668B}"/>
              </c:ext>
            </c:extLst>
          </c:dPt>
          <c:dPt>
            <c:idx val="3"/>
            <c:marker>
              <c:symbol val="circle"/>
              <c:size val="5"/>
              <c:spPr>
                <a:solidFill>
                  <a:srgbClr val="FF0000"/>
                </a:solidFill>
                <a:ln w="9525">
                  <a:solidFill>
                    <a:schemeClr val="accent1"/>
                  </a:solidFill>
                </a:ln>
                <a:effectLst/>
              </c:spPr>
            </c:marker>
            <c:bubble3D val="0"/>
            <c:extLst>
              <c:ext xmlns:c16="http://schemas.microsoft.com/office/drawing/2014/chart" uri="{C3380CC4-5D6E-409C-BE32-E72D297353CC}">
                <c16:uniqueId val="{00000003-B195-463E-944E-6416C7AA668B}"/>
              </c:ext>
            </c:extLst>
          </c:dPt>
          <c:dPt>
            <c:idx val="5"/>
            <c:marker>
              <c:symbol val="circle"/>
              <c:size val="5"/>
              <c:spPr>
                <a:solidFill>
                  <a:srgbClr val="FF0000"/>
                </a:solidFill>
                <a:ln w="9525">
                  <a:solidFill>
                    <a:schemeClr val="accent1"/>
                  </a:solidFill>
                </a:ln>
                <a:effectLst/>
              </c:spPr>
            </c:marker>
            <c:bubble3D val="0"/>
            <c:extLst>
              <c:ext xmlns:c16="http://schemas.microsoft.com/office/drawing/2014/chart" uri="{C3380CC4-5D6E-409C-BE32-E72D297353CC}">
                <c16:uniqueId val="{00000004-B195-463E-944E-6416C7AA668B}"/>
              </c:ext>
            </c:extLst>
          </c:dPt>
          <c:dPt>
            <c:idx val="6"/>
            <c:marker>
              <c:symbol val="circle"/>
              <c:size val="5"/>
              <c:spPr>
                <a:solidFill>
                  <a:schemeClr val="tx1"/>
                </a:solidFill>
                <a:ln w="9525">
                  <a:solidFill>
                    <a:schemeClr val="accent1"/>
                  </a:solidFill>
                </a:ln>
                <a:effectLst/>
              </c:spPr>
            </c:marker>
            <c:bubble3D val="0"/>
            <c:extLst>
              <c:ext xmlns:c16="http://schemas.microsoft.com/office/drawing/2014/chart" uri="{C3380CC4-5D6E-409C-BE32-E72D297353CC}">
                <c16:uniqueId val="{00000005-B195-463E-944E-6416C7AA668B}"/>
              </c:ext>
            </c:extLst>
          </c:dPt>
          <c:dPt>
            <c:idx val="7"/>
            <c:marker>
              <c:symbol val="circle"/>
              <c:size val="5"/>
              <c:spPr>
                <a:solidFill>
                  <a:schemeClr val="tx1"/>
                </a:solidFill>
                <a:ln w="9525">
                  <a:solidFill>
                    <a:schemeClr val="accent1"/>
                  </a:solidFill>
                </a:ln>
                <a:effectLst/>
              </c:spPr>
            </c:marker>
            <c:bubble3D val="0"/>
            <c:extLst>
              <c:ext xmlns:c16="http://schemas.microsoft.com/office/drawing/2014/chart" uri="{C3380CC4-5D6E-409C-BE32-E72D297353CC}">
                <c16:uniqueId val="{00000006-B195-463E-944E-6416C7AA668B}"/>
              </c:ext>
            </c:extLst>
          </c:dPt>
          <c:dPt>
            <c:idx val="8"/>
            <c:marker>
              <c:symbol val="circle"/>
              <c:size val="5"/>
              <c:spPr>
                <a:solidFill>
                  <a:srgbClr val="FFC000"/>
                </a:solidFill>
                <a:ln w="9525">
                  <a:solidFill>
                    <a:schemeClr val="accent1"/>
                  </a:solidFill>
                </a:ln>
                <a:effectLst/>
              </c:spPr>
            </c:marker>
            <c:bubble3D val="0"/>
            <c:extLst>
              <c:ext xmlns:c16="http://schemas.microsoft.com/office/drawing/2014/chart" uri="{C3380CC4-5D6E-409C-BE32-E72D297353CC}">
                <c16:uniqueId val="{00000007-B195-463E-944E-6416C7AA668B}"/>
              </c:ext>
            </c:extLst>
          </c:dPt>
          <c:dPt>
            <c:idx val="9"/>
            <c:marker>
              <c:symbol val="circle"/>
              <c:size val="5"/>
              <c:spPr>
                <a:solidFill>
                  <a:srgbClr val="FFC000"/>
                </a:solidFill>
                <a:ln w="9525">
                  <a:solidFill>
                    <a:schemeClr val="accent1"/>
                  </a:solidFill>
                </a:ln>
                <a:effectLst/>
              </c:spPr>
            </c:marker>
            <c:bubble3D val="0"/>
            <c:extLst>
              <c:ext xmlns:c16="http://schemas.microsoft.com/office/drawing/2014/chart" uri="{C3380CC4-5D6E-409C-BE32-E72D297353CC}">
                <c16:uniqueId val="{00000008-B195-463E-944E-6416C7AA668B}"/>
              </c:ext>
            </c:extLst>
          </c:dPt>
          <c:dPt>
            <c:idx val="10"/>
            <c:marker>
              <c:symbol val="circle"/>
              <c:size val="5"/>
              <c:spPr>
                <a:solidFill>
                  <a:schemeClr val="tx1"/>
                </a:solidFill>
                <a:ln w="9525">
                  <a:solidFill>
                    <a:schemeClr val="accent1"/>
                  </a:solidFill>
                </a:ln>
                <a:effectLst/>
              </c:spPr>
            </c:marker>
            <c:bubble3D val="0"/>
            <c:extLst>
              <c:ext xmlns:c16="http://schemas.microsoft.com/office/drawing/2014/chart" uri="{C3380CC4-5D6E-409C-BE32-E72D297353CC}">
                <c16:uniqueId val="{00000009-B195-463E-944E-6416C7AA668B}"/>
              </c:ext>
            </c:extLst>
          </c:dPt>
          <c:dPt>
            <c:idx val="11"/>
            <c:marker>
              <c:symbol val="circle"/>
              <c:size val="5"/>
              <c:spPr>
                <a:solidFill>
                  <a:srgbClr val="FF0000"/>
                </a:solidFill>
                <a:ln w="9525">
                  <a:solidFill>
                    <a:schemeClr val="accent1"/>
                  </a:solidFill>
                </a:ln>
                <a:effectLst/>
              </c:spPr>
            </c:marker>
            <c:bubble3D val="0"/>
            <c:extLst>
              <c:ext xmlns:c16="http://schemas.microsoft.com/office/drawing/2014/chart" uri="{C3380CC4-5D6E-409C-BE32-E72D297353CC}">
                <c16:uniqueId val="{0000000A-B195-463E-944E-6416C7AA668B}"/>
              </c:ext>
            </c:extLst>
          </c:dPt>
          <c:dPt>
            <c:idx val="12"/>
            <c:marker>
              <c:symbol val="circle"/>
              <c:size val="5"/>
              <c:spPr>
                <a:solidFill>
                  <a:srgbClr val="FFC000"/>
                </a:solidFill>
                <a:ln w="9525">
                  <a:solidFill>
                    <a:schemeClr val="accent1"/>
                  </a:solidFill>
                </a:ln>
                <a:effectLst/>
              </c:spPr>
            </c:marker>
            <c:bubble3D val="0"/>
            <c:extLst>
              <c:ext xmlns:c16="http://schemas.microsoft.com/office/drawing/2014/chart" uri="{C3380CC4-5D6E-409C-BE32-E72D297353CC}">
                <c16:uniqueId val="{0000000B-B195-463E-944E-6416C7AA668B}"/>
              </c:ext>
            </c:extLst>
          </c:dPt>
          <c:dPt>
            <c:idx val="13"/>
            <c:marker>
              <c:symbol val="circle"/>
              <c:size val="5"/>
              <c:spPr>
                <a:solidFill>
                  <a:srgbClr val="FF0000"/>
                </a:solidFill>
                <a:ln w="9525">
                  <a:solidFill>
                    <a:schemeClr val="accent1"/>
                  </a:solidFill>
                </a:ln>
                <a:effectLst/>
              </c:spPr>
            </c:marker>
            <c:bubble3D val="0"/>
            <c:extLst>
              <c:ext xmlns:c16="http://schemas.microsoft.com/office/drawing/2014/chart" uri="{C3380CC4-5D6E-409C-BE32-E72D297353CC}">
                <c16:uniqueId val="{0000000C-B195-463E-944E-6416C7AA668B}"/>
              </c:ext>
            </c:extLst>
          </c:dPt>
          <c:dPt>
            <c:idx val="14"/>
            <c:marker>
              <c:symbol val="circle"/>
              <c:size val="5"/>
              <c:spPr>
                <a:solidFill>
                  <a:srgbClr val="FFC000"/>
                </a:solidFill>
                <a:ln w="9525">
                  <a:solidFill>
                    <a:schemeClr val="accent1"/>
                  </a:solidFill>
                </a:ln>
                <a:effectLst/>
              </c:spPr>
            </c:marker>
            <c:bubble3D val="0"/>
            <c:extLst>
              <c:ext xmlns:c16="http://schemas.microsoft.com/office/drawing/2014/chart" uri="{C3380CC4-5D6E-409C-BE32-E72D297353CC}">
                <c16:uniqueId val="{0000000D-B195-463E-944E-6416C7AA668B}"/>
              </c:ext>
            </c:extLst>
          </c:dPt>
          <c:dPt>
            <c:idx val="16"/>
            <c:marker>
              <c:symbol val="circle"/>
              <c:size val="5"/>
              <c:spPr>
                <a:solidFill>
                  <a:schemeClr val="tx1"/>
                </a:solidFill>
                <a:ln w="9525">
                  <a:solidFill>
                    <a:schemeClr val="accent1"/>
                  </a:solidFill>
                </a:ln>
                <a:effectLst/>
              </c:spPr>
            </c:marker>
            <c:bubble3D val="0"/>
            <c:extLst>
              <c:ext xmlns:c16="http://schemas.microsoft.com/office/drawing/2014/chart" uri="{C3380CC4-5D6E-409C-BE32-E72D297353CC}">
                <c16:uniqueId val="{0000000E-B195-463E-944E-6416C7AA668B}"/>
              </c:ext>
            </c:extLst>
          </c:dPt>
          <c:xVal>
            <c:numRef>
              <c:f>List1!$D$33:$D$49</c:f>
              <c:numCache>
                <c:formatCode>General</c:formatCode>
                <c:ptCount val="17"/>
                <c:pt idx="0">
                  <c:v>29.91</c:v>
                </c:pt>
                <c:pt idx="1">
                  <c:v>32.950000000000003</c:v>
                </c:pt>
                <c:pt idx="2">
                  <c:v>27.29</c:v>
                </c:pt>
                <c:pt idx="3">
                  <c:v>31.04</c:v>
                </c:pt>
                <c:pt idx="4">
                  <c:v>42.61</c:v>
                </c:pt>
                <c:pt idx="5">
                  <c:v>41.18</c:v>
                </c:pt>
                <c:pt idx="6">
                  <c:v>32.42</c:v>
                </c:pt>
                <c:pt idx="7">
                  <c:v>37.58</c:v>
                </c:pt>
                <c:pt idx="8">
                  <c:v>28.51</c:v>
                </c:pt>
                <c:pt idx="9">
                  <c:v>30.14</c:v>
                </c:pt>
                <c:pt idx="10">
                  <c:v>31.86</c:v>
                </c:pt>
                <c:pt idx="11">
                  <c:v>31.6</c:v>
                </c:pt>
                <c:pt idx="12">
                  <c:v>30.51</c:v>
                </c:pt>
                <c:pt idx="13">
                  <c:v>28.28</c:v>
                </c:pt>
                <c:pt idx="14">
                  <c:v>31.64</c:v>
                </c:pt>
                <c:pt idx="15">
                  <c:v>43.51</c:v>
                </c:pt>
                <c:pt idx="16">
                  <c:v>45.14</c:v>
                </c:pt>
              </c:numCache>
            </c:numRef>
          </c:xVal>
          <c:yVal>
            <c:numRef>
              <c:f>List1!$E$33:$E$49</c:f>
              <c:numCache>
                <c:formatCode>General</c:formatCode>
                <c:ptCount val="17"/>
                <c:pt idx="0">
                  <c:v>44255</c:v>
                </c:pt>
                <c:pt idx="1">
                  <c:v>40375</c:v>
                </c:pt>
                <c:pt idx="2">
                  <c:v>11638</c:v>
                </c:pt>
                <c:pt idx="3">
                  <c:v>17715</c:v>
                </c:pt>
                <c:pt idx="4">
                  <c:v>53013</c:v>
                </c:pt>
                <c:pt idx="5">
                  <c:v>17115</c:v>
                </c:pt>
                <c:pt idx="6">
                  <c:v>36526</c:v>
                </c:pt>
                <c:pt idx="7">
                  <c:v>41323</c:v>
                </c:pt>
                <c:pt idx="8">
                  <c:v>18070</c:v>
                </c:pt>
                <c:pt idx="9">
                  <c:v>30171</c:v>
                </c:pt>
                <c:pt idx="10">
                  <c:v>101446</c:v>
                </c:pt>
                <c:pt idx="11">
                  <c:v>12564</c:v>
                </c:pt>
                <c:pt idx="12">
                  <c:v>19252</c:v>
                </c:pt>
                <c:pt idx="13">
                  <c:v>20873</c:v>
                </c:pt>
                <c:pt idx="14">
                  <c:v>25789</c:v>
                </c:pt>
                <c:pt idx="15">
                  <c:v>50812</c:v>
                </c:pt>
                <c:pt idx="16">
                  <c:v>82016</c:v>
                </c:pt>
              </c:numCache>
            </c:numRef>
          </c:yVal>
          <c:smooth val="0"/>
          <c:extLst>
            <c:ext xmlns:c16="http://schemas.microsoft.com/office/drawing/2014/chart" uri="{C3380CC4-5D6E-409C-BE32-E72D297353CC}">
              <c16:uniqueId val="{0000000F-B195-463E-944E-6416C7AA668B}"/>
            </c:ext>
          </c:extLst>
        </c:ser>
        <c:dLbls>
          <c:showLegendKey val="0"/>
          <c:showVal val="0"/>
          <c:showCatName val="0"/>
          <c:showSerName val="0"/>
          <c:showPercent val="0"/>
          <c:showBubbleSize val="0"/>
        </c:dLbls>
        <c:axId val="314991352"/>
        <c:axId val="314993648"/>
      </c:scatterChart>
      <c:valAx>
        <c:axId val="3149913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Ratio of people over 50 participating on </a:t>
                </a:r>
                <a:r>
                  <a:rPr lang="cs-CZ"/>
                  <a:t>the </a:t>
                </a:r>
                <a:r>
                  <a:rPr lang="en-US"/>
                  <a:t>labour market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993648"/>
        <c:crosses val="autoZero"/>
        <c:crossBetween val="midCat"/>
      </c:valAx>
      <c:valAx>
        <c:axId val="314993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GDP per capita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9913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dPt>
            <c:idx val="0"/>
            <c:marker>
              <c:symbol val="circle"/>
              <c:size val="5"/>
              <c:spPr>
                <a:solidFill>
                  <a:schemeClr val="tx1"/>
                </a:solidFill>
                <a:ln w="9525">
                  <a:solidFill>
                    <a:schemeClr val="accent1"/>
                  </a:solidFill>
                </a:ln>
                <a:effectLst/>
              </c:spPr>
            </c:marker>
            <c:bubble3D val="0"/>
            <c:extLst>
              <c:ext xmlns:c16="http://schemas.microsoft.com/office/drawing/2014/chart" uri="{C3380CC4-5D6E-409C-BE32-E72D297353CC}">
                <c16:uniqueId val="{00000000-F93A-4019-90A0-3A0970F68CAD}"/>
              </c:ext>
            </c:extLst>
          </c:dPt>
          <c:dPt>
            <c:idx val="1"/>
            <c:marker>
              <c:symbol val="circle"/>
              <c:size val="5"/>
              <c:spPr>
                <a:solidFill>
                  <a:schemeClr val="tx1"/>
                </a:solidFill>
                <a:ln w="9525">
                  <a:solidFill>
                    <a:schemeClr val="accent1"/>
                  </a:solidFill>
                </a:ln>
                <a:effectLst/>
              </c:spPr>
            </c:marker>
            <c:bubble3D val="0"/>
            <c:extLst>
              <c:ext xmlns:c16="http://schemas.microsoft.com/office/drawing/2014/chart" uri="{C3380CC4-5D6E-409C-BE32-E72D297353CC}">
                <c16:uniqueId val="{00000001-F93A-4019-90A0-3A0970F68CAD}"/>
              </c:ext>
            </c:extLst>
          </c:dPt>
          <c:dPt>
            <c:idx val="2"/>
            <c:marker>
              <c:symbol val="circle"/>
              <c:size val="5"/>
              <c:spPr>
                <a:solidFill>
                  <a:srgbClr val="FF0000"/>
                </a:solidFill>
                <a:ln w="9525">
                  <a:solidFill>
                    <a:schemeClr val="accent1"/>
                  </a:solidFill>
                </a:ln>
                <a:effectLst/>
              </c:spPr>
            </c:marker>
            <c:bubble3D val="0"/>
            <c:extLst>
              <c:ext xmlns:c16="http://schemas.microsoft.com/office/drawing/2014/chart" uri="{C3380CC4-5D6E-409C-BE32-E72D297353CC}">
                <c16:uniqueId val="{00000002-F93A-4019-90A0-3A0970F68CAD}"/>
              </c:ext>
            </c:extLst>
          </c:dPt>
          <c:dPt>
            <c:idx val="3"/>
            <c:marker>
              <c:symbol val="circle"/>
              <c:size val="5"/>
              <c:spPr>
                <a:solidFill>
                  <a:srgbClr val="FF0000"/>
                </a:solidFill>
                <a:ln w="9525">
                  <a:solidFill>
                    <a:schemeClr val="accent1"/>
                  </a:solidFill>
                </a:ln>
                <a:effectLst/>
              </c:spPr>
            </c:marker>
            <c:bubble3D val="0"/>
            <c:extLst>
              <c:ext xmlns:c16="http://schemas.microsoft.com/office/drawing/2014/chart" uri="{C3380CC4-5D6E-409C-BE32-E72D297353CC}">
                <c16:uniqueId val="{00000003-F93A-4019-90A0-3A0970F68CAD}"/>
              </c:ext>
            </c:extLst>
          </c:dPt>
          <c:dPt>
            <c:idx val="5"/>
            <c:marker>
              <c:symbol val="circle"/>
              <c:size val="5"/>
              <c:spPr>
                <a:solidFill>
                  <a:srgbClr val="FF0000"/>
                </a:solidFill>
                <a:ln w="9525">
                  <a:solidFill>
                    <a:schemeClr val="accent1"/>
                  </a:solidFill>
                </a:ln>
                <a:effectLst/>
              </c:spPr>
            </c:marker>
            <c:bubble3D val="0"/>
            <c:extLst>
              <c:ext xmlns:c16="http://schemas.microsoft.com/office/drawing/2014/chart" uri="{C3380CC4-5D6E-409C-BE32-E72D297353CC}">
                <c16:uniqueId val="{00000004-F93A-4019-90A0-3A0970F68CAD}"/>
              </c:ext>
            </c:extLst>
          </c:dPt>
          <c:dPt>
            <c:idx val="6"/>
            <c:marker>
              <c:symbol val="circle"/>
              <c:size val="5"/>
              <c:spPr>
                <a:solidFill>
                  <a:schemeClr val="tx1"/>
                </a:solidFill>
                <a:ln w="9525">
                  <a:solidFill>
                    <a:schemeClr val="accent1"/>
                  </a:solidFill>
                </a:ln>
                <a:effectLst/>
              </c:spPr>
            </c:marker>
            <c:bubble3D val="0"/>
            <c:extLst>
              <c:ext xmlns:c16="http://schemas.microsoft.com/office/drawing/2014/chart" uri="{C3380CC4-5D6E-409C-BE32-E72D297353CC}">
                <c16:uniqueId val="{00000005-F93A-4019-90A0-3A0970F68CAD}"/>
              </c:ext>
            </c:extLst>
          </c:dPt>
          <c:dPt>
            <c:idx val="7"/>
            <c:marker>
              <c:symbol val="circle"/>
              <c:size val="5"/>
              <c:spPr>
                <a:solidFill>
                  <a:schemeClr val="tx1"/>
                </a:solidFill>
                <a:ln w="9525">
                  <a:solidFill>
                    <a:schemeClr val="accent1"/>
                  </a:solidFill>
                </a:ln>
                <a:effectLst/>
              </c:spPr>
            </c:marker>
            <c:bubble3D val="0"/>
            <c:extLst>
              <c:ext xmlns:c16="http://schemas.microsoft.com/office/drawing/2014/chart" uri="{C3380CC4-5D6E-409C-BE32-E72D297353CC}">
                <c16:uniqueId val="{00000006-F93A-4019-90A0-3A0970F68CAD}"/>
              </c:ext>
            </c:extLst>
          </c:dPt>
          <c:dPt>
            <c:idx val="8"/>
            <c:marker>
              <c:symbol val="circle"/>
              <c:size val="5"/>
              <c:spPr>
                <a:solidFill>
                  <a:srgbClr val="FFC000"/>
                </a:solidFill>
                <a:ln w="9525">
                  <a:solidFill>
                    <a:schemeClr val="accent1"/>
                  </a:solidFill>
                </a:ln>
                <a:effectLst/>
              </c:spPr>
            </c:marker>
            <c:bubble3D val="0"/>
            <c:extLst>
              <c:ext xmlns:c16="http://schemas.microsoft.com/office/drawing/2014/chart" uri="{C3380CC4-5D6E-409C-BE32-E72D297353CC}">
                <c16:uniqueId val="{00000007-F93A-4019-90A0-3A0970F68CAD}"/>
              </c:ext>
            </c:extLst>
          </c:dPt>
          <c:dPt>
            <c:idx val="9"/>
            <c:marker>
              <c:symbol val="circle"/>
              <c:size val="5"/>
              <c:spPr>
                <a:solidFill>
                  <a:srgbClr val="FFC000"/>
                </a:solidFill>
                <a:ln w="9525">
                  <a:solidFill>
                    <a:schemeClr val="accent1"/>
                  </a:solidFill>
                </a:ln>
                <a:effectLst/>
              </c:spPr>
            </c:marker>
            <c:bubble3D val="0"/>
            <c:extLst>
              <c:ext xmlns:c16="http://schemas.microsoft.com/office/drawing/2014/chart" uri="{C3380CC4-5D6E-409C-BE32-E72D297353CC}">
                <c16:uniqueId val="{00000008-F93A-4019-90A0-3A0970F68CAD}"/>
              </c:ext>
            </c:extLst>
          </c:dPt>
          <c:dPt>
            <c:idx val="10"/>
            <c:marker>
              <c:symbol val="circle"/>
              <c:size val="5"/>
              <c:spPr>
                <a:solidFill>
                  <a:schemeClr val="tx1"/>
                </a:solidFill>
                <a:ln w="9525">
                  <a:solidFill>
                    <a:schemeClr val="accent1"/>
                  </a:solidFill>
                </a:ln>
                <a:effectLst/>
              </c:spPr>
            </c:marker>
            <c:bubble3D val="0"/>
            <c:extLst>
              <c:ext xmlns:c16="http://schemas.microsoft.com/office/drawing/2014/chart" uri="{C3380CC4-5D6E-409C-BE32-E72D297353CC}">
                <c16:uniqueId val="{00000009-F93A-4019-90A0-3A0970F68CAD}"/>
              </c:ext>
            </c:extLst>
          </c:dPt>
          <c:dPt>
            <c:idx val="11"/>
            <c:marker>
              <c:symbol val="circle"/>
              <c:size val="5"/>
              <c:spPr>
                <a:solidFill>
                  <a:srgbClr val="FF0000"/>
                </a:solidFill>
                <a:ln w="9525">
                  <a:solidFill>
                    <a:schemeClr val="accent1"/>
                  </a:solidFill>
                </a:ln>
                <a:effectLst/>
              </c:spPr>
            </c:marker>
            <c:bubble3D val="0"/>
            <c:extLst>
              <c:ext xmlns:c16="http://schemas.microsoft.com/office/drawing/2014/chart" uri="{C3380CC4-5D6E-409C-BE32-E72D297353CC}">
                <c16:uniqueId val="{0000000A-F93A-4019-90A0-3A0970F68CAD}"/>
              </c:ext>
            </c:extLst>
          </c:dPt>
          <c:dPt>
            <c:idx val="12"/>
            <c:marker>
              <c:symbol val="circle"/>
              <c:size val="5"/>
              <c:spPr>
                <a:solidFill>
                  <a:srgbClr val="FFC000"/>
                </a:solidFill>
                <a:ln w="9525">
                  <a:solidFill>
                    <a:schemeClr val="accent1"/>
                  </a:solidFill>
                </a:ln>
                <a:effectLst/>
              </c:spPr>
            </c:marker>
            <c:bubble3D val="0"/>
            <c:extLst>
              <c:ext xmlns:c16="http://schemas.microsoft.com/office/drawing/2014/chart" uri="{C3380CC4-5D6E-409C-BE32-E72D297353CC}">
                <c16:uniqueId val="{0000000B-F93A-4019-90A0-3A0970F68CAD}"/>
              </c:ext>
            </c:extLst>
          </c:dPt>
          <c:dPt>
            <c:idx val="13"/>
            <c:marker>
              <c:symbol val="circle"/>
              <c:size val="5"/>
              <c:spPr>
                <a:solidFill>
                  <a:srgbClr val="FF0000"/>
                </a:solidFill>
                <a:ln w="9525">
                  <a:solidFill>
                    <a:schemeClr val="accent1"/>
                  </a:solidFill>
                </a:ln>
                <a:effectLst/>
              </c:spPr>
            </c:marker>
            <c:bubble3D val="0"/>
            <c:extLst>
              <c:ext xmlns:c16="http://schemas.microsoft.com/office/drawing/2014/chart" uri="{C3380CC4-5D6E-409C-BE32-E72D297353CC}">
                <c16:uniqueId val="{0000000C-F93A-4019-90A0-3A0970F68CAD}"/>
              </c:ext>
            </c:extLst>
          </c:dPt>
          <c:dPt>
            <c:idx val="14"/>
            <c:marker>
              <c:symbol val="circle"/>
              <c:size val="5"/>
              <c:spPr>
                <a:solidFill>
                  <a:srgbClr val="FFC000"/>
                </a:solidFill>
                <a:ln w="9525">
                  <a:solidFill>
                    <a:schemeClr val="accent1"/>
                  </a:solidFill>
                </a:ln>
                <a:effectLst/>
              </c:spPr>
            </c:marker>
            <c:bubble3D val="0"/>
            <c:extLst>
              <c:ext xmlns:c16="http://schemas.microsoft.com/office/drawing/2014/chart" uri="{C3380CC4-5D6E-409C-BE32-E72D297353CC}">
                <c16:uniqueId val="{0000000D-F93A-4019-90A0-3A0970F68CAD}"/>
              </c:ext>
            </c:extLst>
          </c:dPt>
          <c:dPt>
            <c:idx val="16"/>
            <c:marker>
              <c:symbol val="circle"/>
              <c:size val="5"/>
              <c:spPr>
                <a:solidFill>
                  <a:schemeClr val="tx1"/>
                </a:solidFill>
                <a:ln w="9525">
                  <a:solidFill>
                    <a:schemeClr val="accent1"/>
                  </a:solidFill>
                </a:ln>
                <a:effectLst/>
              </c:spPr>
            </c:marker>
            <c:bubble3D val="0"/>
            <c:extLst>
              <c:ext xmlns:c16="http://schemas.microsoft.com/office/drawing/2014/chart" uri="{C3380CC4-5D6E-409C-BE32-E72D297353CC}">
                <c16:uniqueId val="{0000000E-F93A-4019-90A0-3A0970F68CAD}"/>
              </c:ext>
            </c:extLst>
          </c:dPt>
          <c:xVal>
            <c:numRef>
              <c:f>List1!$D$54:$D$70</c:f>
              <c:numCache>
                <c:formatCode>General</c:formatCode>
                <c:ptCount val="17"/>
                <c:pt idx="0">
                  <c:v>5.92</c:v>
                </c:pt>
                <c:pt idx="1">
                  <c:v>6.84</c:v>
                </c:pt>
                <c:pt idx="2">
                  <c:v>6.35</c:v>
                </c:pt>
                <c:pt idx="3">
                  <c:v>8.7799999999999994</c:v>
                </c:pt>
                <c:pt idx="4">
                  <c:v>4.3600000000000003</c:v>
                </c:pt>
                <c:pt idx="5">
                  <c:v>5.8</c:v>
                </c:pt>
                <c:pt idx="6">
                  <c:v>5.5</c:v>
                </c:pt>
                <c:pt idx="7">
                  <c:v>5.05</c:v>
                </c:pt>
                <c:pt idx="8">
                  <c:v>5.97</c:v>
                </c:pt>
                <c:pt idx="9">
                  <c:v>6.73</c:v>
                </c:pt>
                <c:pt idx="10">
                  <c:v>4.26</c:v>
                </c:pt>
                <c:pt idx="11">
                  <c:v>5.77</c:v>
                </c:pt>
                <c:pt idx="12">
                  <c:v>11.29</c:v>
                </c:pt>
                <c:pt idx="13">
                  <c:v>5.71</c:v>
                </c:pt>
                <c:pt idx="14">
                  <c:v>6.71</c:v>
                </c:pt>
                <c:pt idx="15">
                  <c:v>2.95</c:v>
                </c:pt>
                <c:pt idx="16">
                  <c:v>3.01</c:v>
                </c:pt>
              </c:numCache>
            </c:numRef>
          </c:xVal>
          <c:yVal>
            <c:numRef>
              <c:f>List1!$E$54:$E$70</c:f>
              <c:numCache>
                <c:formatCode>General</c:formatCode>
                <c:ptCount val="17"/>
                <c:pt idx="0">
                  <c:v>32.200000000000003</c:v>
                </c:pt>
                <c:pt idx="1">
                  <c:v>41.5</c:v>
                </c:pt>
                <c:pt idx="2">
                  <c:v>69.3</c:v>
                </c:pt>
                <c:pt idx="3">
                  <c:v>54</c:v>
                </c:pt>
                <c:pt idx="4">
                  <c:v>16.7</c:v>
                </c:pt>
                <c:pt idx="5">
                  <c:v>48.6</c:v>
                </c:pt>
                <c:pt idx="6">
                  <c:v>50.6</c:v>
                </c:pt>
                <c:pt idx="7">
                  <c:v>42.2</c:v>
                </c:pt>
                <c:pt idx="8">
                  <c:v>69.5</c:v>
                </c:pt>
                <c:pt idx="9">
                  <c:v>75.599999999999994</c:v>
                </c:pt>
                <c:pt idx="10">
                  <c:v>55.9</c:v>
                </c:pt>
                <c:pt idx="11">
                  <c:v>72.3</c:v>
                </c:pt>
                <c:pt idx="12">
                  <c:v>80.599999999999994</c:v>
                </c:pt>
                <c:pt idx="13">
                  <c:v>56.8</c:v>
                </c:pt>
                <c:pt idx="14">
                  <c:v>72.3</c:v>
                </c:pt>
                <c:pt idx="15">
                  <c:v>26</c:v>
                </c:pt>
                <c:pt idx="16">
                  <c:v>42.2</c:v>
                </c:pt>
              </c:numCache>
            </c:numRef>
          </c:yVal>
          <c:smooth val="0"/>
          <c:extLst>
            <c:ext xmlns:c16="http://schemas.microsoft.com/office/drawing/2014/chart" uri="{C3380CC4-5D6E-409C-BE32-E72D297353CC}">
              <c16:uniqueId val="{0000000F-F93A-4019-90A0-3A0970F68CAD}"/>
            </c:ext>
          </c:extLst>
        </c:ser>
        <c:dLbls>
          <c:showLegendKey val="0"/>
          <c:showVal val="0"/>
          <c:showCatName val="0"/>
          <c:showSerName val="0"/>
          <c:showPercent val="0"/>
          <c:showBubbleSize val="0"/>
        </c:dLbls>
        <c:axId val="695027072"/>
        <c:axId val="695025104"/>
      </c:scatterChart>
      <c:valAx>
        <c:axId val="6950270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Ratio</a:t>
                </a:r>
                <a:r>
                  <a:rPr lang="en-US"/>
                  <a:t> of people</a:t>
                </a:r>
                <a:r>
                  <a:rPr lang="cs-CZ"/>
                  <a:t> 50+</a:t>
                </a:r>
                <a:r>
                  <a:rPr lang="en-US"/>
                  <a:t> providing daily care within a ho</a:t>
                </a:r>
                <a:r>
                  <a:rPr lang="cs-CZ"/>
                  <a:t>u</a:t>
                </a:r>
                <a:r>
                  <a:rPr lang="en-US"/>
                  <a:t>sehold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5025104"/>
        <c:crosses val="autoZero"/>
        <c:crossBetween val="midCat"/>
      </c:valAx>
      <c:valAx>
        <c:axId val="695025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Familial norms in a society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50270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Pt>
            <c:idx val="0"/>
            <c:marker>
              <c:symbol val="circle"/>
              <c:size val="5"/>
              <c:spPr>
                <a:solidFill>
                  <a:schemeClr val="tx1"/>
                </a:solidFill>
                <a:ln w="9525">
                  <a:solidFill>
                    <a:schemeClr val="accent1"/>
                  </a:solidFill>
                </a:ln>
                <a:effectLst/>
              </c:spPr>
            </c:marker>
            <c:bubble3D val="0"/>
            <c:extLst>
              <c:ext xmlns:c16="http://schemas.microsoft.com/office/drawing/2014/chart" uri="{C3380CC4-5D6E-409C-BE32-E72D297353CC}">
                <c16:uniqueId val="{00000000-8764-44F0-AC2C-E887EB21F3C8}"/>
              </c:ext>
            </c:extLst>
          </c:dPt>
          <c:dPt>
            <c:idx val="1"/>
            <c:marker>
              <c:symbol val="circle"/>
              <c:size val="5"/>
              <c:spPr>
                <a:solidFill>
                  <a:schemeClr val="tx1"/>
                </a:solidFill>
                <a:ln w="9525">
                  <a:solidFill>
                    <a:schemeClr val="accent1"/>
                  </a:solidFill>
                </a:ln>
                <a:effectLst/>
              </c:spPr>
            </c:marker>
            <c:bubble3D val="0"/>
            <c:extLst>
              <c:ext xmlns:c16="http://schemas.microsoft.com/office/drawing/2014/chart" uri="{C3380CC4-5D6E-409C-BE32-E72D297353CC}">
                <c16:uniqueId val="{00000001-8764-44F0-AC2C-E887EB21F3C8}"/>
              </c:ext>
            </c:extLst>
          </c:dPt>
          <c:dPt>
            <c:idx val="2"/>
            <c:marker>
              <c:symbol val="circle"/>
              <c:size val="5"/>
              <c:spPr>
                <a:solidFill>
                  <a:srgbClr val="FF0000"/>
                </a:solidFill>
                <a:ln w="9525">
                  <a:solidFill>
                    <a:schemeClr val="accent1"/>
                  </a:solidFill>
                </a:ln>
                <a:effectLst/>
              </c:spPr>
            </c:marker>
            <c:bubble3D val="0"/>
            <c:extLst>
              <c:ext xmlns:c16="http://schemas.microsoft.com/office/drawing/2014/chart" uri="{C3380CC4-5D6E-409C-BE32-E72D297353CC}">
                <c16:uniqueId val="{00000002-8764-44F0-AC2C-E887EB21F3C8}"/>
              </c:ext>
            </c:extLst>
          </c:dPt>
          <c:dPt>
            <c:idx val="3"/>
            <c:marker>
              <c:symbol val="circle"/>
              <c:size val="5"/>
              <c:spPr>
                <a:solidFill>
                  <a:srgbClr val="FF0000"/>
                </a:solidFill>
                <a:ln w="9525">
                  <a:solidFill>
                    <a:schemeClr val="accent1"/>
                  </a:solidFill>
                </a:ln>
                <a:effectLst/>
              </c:spPr>
            </c:marker>
            <c:bubble3D val="0"/>
            <c:extLst>
              <c:ext xmlns:c16="http://schemas.microsoft.com/office/drawing/2014/chart" uri="{C3380CC4-5D6E-409C-BE32-E72D297353CC}">
                <c16:uniqueId val="{00000003-8764-44F0-AC2C-E887EB21F3C8}"/>
              </c:ext>
            </c:extLst>
          </c:dPt>
          <c:dPt>
            <c:idx val="5"/>
            <c:marker>
              <c:symbol val="circle"/>
              <c:size val="5"/>
              <c:spPr>
                <a:solidFill>
                  <a:srgbClr val="FF0000"/>
                </a:solidFill>
                <a:ln w="9525">
                  <a:solidFill>
                    <a:schemeClr val="accent1"/>
                  </a:solidFill>
                </a:ln>
                <a:effectLst/>
              </c:spPr>
            </c:marker>
            <c:bubble3D val="0"/>
            <c:extLst>
              <c:ext xmlns:c16="http://schemas.microsoft.com/office/drawing/2014/chart" uri="{C3380CC4-5D6E-409C-BE32-E72D297353CC}">
                <c16:uniqueId val="{00000004-8764-44F0-AC2C-E887EB21F3C8}"/>
              </c:ext>
            </c:extLst>
          </c:dPt>
          <c:dPt>
            <c:idx val="6"/>
            <c:marker>
              <c:symbol val="circle"/>
              <c:size val="5"/>
              <c:spPr>
                <a:solidFill>
                  <a:schemeClr val="tx1"/>
                </a:solidFill>
                <a:ln w="9525">
                  <a:solidFill>
                    <a:schemeClr val="accent1"/>
                  </a:solidFill>
                </a:ln>
                <a:effectLst/>
              </c:spPr>
            </c:marker>
            <c:bubble3D val="0"/>
            <c:extLst>
              <c:ext xmlns:c16="http://schemas.microsoft.com/office/drawing/2014/chart" uri="{C3380CC4-5D6E-409C-BE32-E72D297353CC}">
                <c16:uniqueId val="{00000005-8764-44F0-AC2C-E887EB21F3C8}"/>
              </c:ext>
            </c:extLst>
          </c:dPt>
          <c:dPt>
            <c:idx val="7"/>
            <c:marker>
              <c:symbol val="circle"/>
              <c:size val="5"/>
              <c:spPr>
                <a:solidFill>
                  <a:schemeClr val="tx1"/>
                </a:solidFill>
                <a:ln w="9525">
                  <a:solidFill>
                    <a:schemeClr val="accent1"/>
                  </a:solidFill>
                </a:ln>
                <a:effectLst/>
              </c:spPr>
            </c:marker>
            <c:bubble3D val="0"/>
            <c:extLst>
              <c:ext xmlns:c16="http://schemas.microsoft.com/office/drawing/2014/chart" uri="{C3380CC4-5D6E-409C-BE32-E72D297353CC}">
                <c16:uniqueId val="{00000006-8764-44F0-AC2C-E887EB21F3C8}"/>
              </c:ext>
            </c:extLst>
          </c:dPt>
          <c:dPt>
            <c:idx val="8"/>
            <c:marker>
              <c:symbol val="circle"/>
              <c:size val="5"/>
              <c:spPr>
                <a:solidFill>
                  <a:srgbClr val="FFC000"/>
                </a:solidFill>
                <a:ln w="9525">
                  <a:solidFill>
                    <a:schemeClr val="accent1"/>
                  </a:solidFill>
                </a:ln>
                <a:effectLst/>
              </c:spPr>
            </c:marker>
            <c:bubble3D val="0"/>
            <c:extLst>
              <c:ext xmlns:c16="http://schemas.microsoft.com/office/drawing/2014/chart" uri="{C3380CC4-5D6E-409C-BE32-E72D297353CC}">
                <c16:uniqueId val="{00000007-8764-44F0-AC2C-E887EB21F3C8}"/>
              </c:ext>
            </c:extLst>
          </c:dPt>
          <c:dPt>
            <c:idx val="9"/>
            <c:marker>
              <c:symbol val="circle"/>
              <c:size val="5"/>
              <c:spPr>
                <a:solidFill>
                  <a:srgbClr val="FFC000"/>
                </a:solidFill>
                <a:ln w="9525">
                  <a:solidFill>
                    <a:schemeClr val="accent1"/>
                  </a:solidFill>
                </a:ln>
                <a:effectLst/>
              </c:spPr>
            </c:marker>
            <c:bubble3D val="0"/>
            <c:extLst>
              <c:ext xmlns:c16="http://schemas.microsoft.com/office/drawing/2014/chart" uri="{C3380CC4-5D6E-409C-BE32-E72D297353CC}">
                <c16:uniqueId val="{00000008-8764-44F0-AC2C-E887EB21F3C8}"/>
              </c:ext>
            </c:extLst>
          </c:dPt>
          <c:dPt>
            <c:idx val="10"/>
            <c:marker>
              <c:symbol val="circle"/>
              <c:size val="5"/>
              <c:spPr>
                <a:solidFill>
                  <a:schemeClr val="tx1"/>
                </a:solidFill>
                <a:ln w="9525">
                  <a:solidFill>
                    <a:schemeClr val="accent1"/>
                  </a:solidFill>
                </a:ln>
                <a:effectLst/>
              </c:spPr>
            </c:marker>
            <c:bubble3D val="0"/>
            <c:extLst>
              <c:ext xmlns:c16="http://schemas.microsoft.com/office/drawing/2014/chart" uri="{C3380CC4-5D6E-409C-BE32-E72D297353CC}">
                <c16:uniqueId val="{00000009-8764-44F0-AC2C-E887EB21F3C8}"/>
              </c:ext>
            </c:extLst>
          </c:dPt>
          <c:dPt>
            <c:idx val="11"/>
            <c:marker>
              <c:symbol val="circle"/>
              <c:size val="5"/>
              <c:spPr>
                <a:solidFill>
                  <a:srgbClr val="FF0000"/>
                </a:solidFill>
                <a:ln w="9525">
                  <a:solidFill>
                    <a:schemeClr val="accent1"/>
                  </a:solidFill>
                </a:ln>
                <a:effectLst/>
              </c:spPr>
            </c:marker>
            <c:bubble3D val="0"/>
            <c:extLst>
              <c:ext xmlns:c16="http://schemas.microsoft.com/office/drawing/2014/chart" uri="{C3380CC4-5D6E-409C-BE32-E72D297353CC}">
                <c16:uniqueId val="{0000000A-8764-44F0-AC2C-E887EB21F3C8}"/>
              </c:ext>
            </c:extLst>
          </c:dPt>
          <c:dPt>
            <c:idx val="12"/>
            <c:marker>
              <c:symbol val="circle"/>
              <c:size val="5"/>
              <c:spPr>
                <a:solidFill>
                  <a:srgbClr val="FFC000"/>
                </a:solidFill>
                <a:ln w="9525">
                  <a:solidFill>
                    <a:schemeClr val="accent1"/>
                  </a:solidFill>
                </a:ln>
                <a:effectLst/>
              </c:spPr>
            </c:marker>
            <c:bubble3D val="0"/>
            <c:extLst>
              <c:ext xmlns:c16="http://schemas.microsoft.com/office/drawing/2014/chart" uri="{C3380CC4-5D6E-409C-BE32-E72D297353CC}">
                <c16:uniqueId val="{0000000B-8764-44F0-AC2C-E887EB21F3C8}"/>
              </c:ext>
            </c:extLst>
          </c:dPt>
          <c:dPt>
            <c:idx val="13"/>
            <c:marker>
              <c:symbol val="circle"/>
              <c:size val="5"/>
              <c:spPr>
                <a:solidFill>
                  <a:srgbClr val="FF0000"/>
                </a:solidFill>
                <a:ln w="9525">
                  <a:solidFill>
                    <a:schemeClr val="accent1"/>
                  </a:solidFill>
                </a:ln>
                <a:effectLst/>
              </c:spPr>
            </c:marker>
            <c:bubble3D val="0"/>
            <c:extLst>
              <c:ext xmlns:c16="http://schemas.microsoft.com/office/drawing/2014/chart" uri="{C3380CC4-5D6E-409C-BE32-E72D297353CC}">
                <c16:uniqueId val="{0000000C-8764-44F0-AC2C-E887EB21F3C8}"/>
              </c:ext>
            </c:extLst>
          </c:dPt>
          <c:dPt>
            <c:idx val="14"/>
            <c:marker>
              <c:symbol val="circle"/>
              <c:size val="5"/>
              <c:spPr>
                <a:solidFill>
                  <a:srgbClr val="FFC000"/>
                </a:solidFill>
                <a:ln w="9525">
                  <a:solidFill>
                    <a:schemeClr val="accent1"/>
                  </a:solidFill>
                </a:ln>
                <a:effectLst/>
              </c:spPr>
            </c:marker>
            <c:bubble3D val="0"/>
            <c:extLst>
              <c:ext xmlns:c16="http://schemas.microsoft.com/office/drawing/2014/chart" uri="{C3380CC4-5D6E-409C-BE32-E72D297353CC}">
                <c16:uniqueId val="{0000000D-8764-44F0-AC2C-E887EB21F3C8}"/>
              </c:ext>
            </c:extLst>
          </c:dPt>
          <c:dPt>
            <c:idx val="16"/>
            <c:marker>
              <c:symbol val="circle"/>
              <c:size val="5"/>
              <c:spPr>
                <a:solidFill>
                  <a:schemeClr val="tx1"/>
                </a:solidFill>
                <a:ln w="9525">
                  <a:solidFill>
                    <a:schemeClr val="accent1"/>
                  </a:solidFill>
                </a:ln>
                <a:effectLst/>
              </c:spPr>
            </c:marker>
            <c:bubble3D val="0"/>
            <c:extLst>
              <c:ext xmlns:c16="http://schemas.microsoft.com/office/drawing/2014/chart" uri="{C3380CC4-5D6E-409C-BE32-E72D297353CC}">
                <c16:uniqueId val="{0000000E-8764-44F0-AC2C-E887EB21F3C8}"/>
              </c:ext>
            </c:extLst>
          </c:dPt>
          <c:xVal>
            <c:numRef>
              <c:f>List1!$D$74:$D$90</c:f>
              <c:numCache>
                <c:formatCode>General</c:formatCode>
                <c:ptCount val="17"/>
                <c:pt idx="0">
                  <c:v>13.87</c:v>
                </c:pt>
                <c:pt idx="1">
                  <c:v>21.4</c:v>
                </c:pt>
                <c:pt idx="2">
                  <c:v>3.06</c:v>
                </c:pt>
                <c:pt idx="3">
                  <c:v>4.79</c:v>
                </c:pt>
                <c:pt idx="4">
                  <c:v>23.53</c:v>
                </c:pt>
                <c:pt idx="5">
                  <c:v>5.58</c:v>
                </c:pt>
                <c:pt idx="6">
                  <c:v>18.32</c:v>
                </c:pt>
                <c:pt idx="7">
                  <c:v>18.989999999999998</c:v>
                </c:pt>
                <c:pt idx="8">
                  <c:v>4.45</c:v>
                </c:pt>
                <c:pt idx="9">
                  <c:v>9.5399999999999991</c:v>
                </c:pt>
                <c:pt idx="10">
                  <c:v>17.48</c:v>
                </c:pt>
                <c:pt idx="11">
                  <c:v>2.06</c:v>
                </c:pt>
                <c:pt idx="12">
                  <c:v>6.24</c:v>
                </c:pt>
                <c:pt idx="13">
                  <c:v>9.16</c:v>
                </c:pt>
                <c:pt idx="14">
                  <c:v>3.84</c:v>
                </c:pt>
                <c:pt idx="15">
                  <c:v>10.56</c:v>
                </c:pt>
                <c:pt idx="16">
                  <c:v>22.79</c:v>
                </c:pt>
              </c:numCache>
            </c:numRef>
          </c:xVal>
          <c:yVal>
            <c:numRef>
              <c:f>List1!$E$74:$E$90</c:f>
              <c:numCache>
                <c:formatCode>General</c:formatCode>
                <c:ptCount val="17"/>
                <c:pt idx="0">
                  <c:v>8.52</c:v>
                </c:pt>
                <c:pt idx="1">
                  <c:v>8.31</c:v>
                </c:pt>
                <c:pt idx="2">
                  <c:v>7.75</c:v>
                </c:pt>
                <c:pt idx="3">
                  <c:v>8.2100000000000009</c:v>
                </c:pt>
                <c:pt idx="4">
                  <c:v>8.56</c:v>
                </c:pt>
                <c:pt idx="5">
                  <c:v>8.48</c:v>
                </c:pt>
                <c:pt idx="6">
                  <c:v>8.0399999999999991</c:v>
                </c:pt>
                <c:pt idx="7">
                  <c:v>8.4499999999999993</c:v>
                </c:pt>
                <c:pt idx="8">
                  <c:v>7.21</c:v>
                </c:pt>
                <c:pt idx="9">
                  <c:v>8.02</c:v>
                </c:pt>
                <c:pt idx="10">
                  <c:v>8.48</c:v>
                </c:pt>
                <c:pt idx="11">
                  <c:v>8.08</c:v>
                </c:pt>
                <c:pt idx="12">
                  <c:v>8.31</c:v>
                </c:pt>
                <c:pt idx="13">
                  <c:v>8.01</c:v>
                </c:pt>
                <c:pt idx="14">
                  <c:v>8.14</c:v>
                </c:pt>
                <c:pt idx="15">
                  <c:v>8.48</c:v>
                </c:pt>
                <c:pt idx="16">
                  <c:v>8.89</c:v>
                </c:pt>
              </c:numCache>
            </c:numRef>
          </c:yVal>
          <c:smooth val="0"/>
          <c:extLst>
            <c:ext xmlns:c16="http://schemas.microsoft.com/office/drawing/2014/chart" uri="{C3380CC4-5D6E-409C-BE32-E72D297353CC}">
              <c16:uniqueId val="{0000000F-8764-44F0-AC2C-E887EB21F3C8}"/>
            </c:ext>
          </c:extLst>
        </c:ser>
        <c:dLbls>
          <c:showLegendKey val="0"/>
          <c:showVal val="0"/>
          <c:showCatName val="0"/>
          <c:showSerName val="0"/>
          <c:showPercent val="0"/>
          <c:showBubbleSize val="0"/>
        </c:dLbls>
        <c:axId val="524724648"/>
        <c:axId val="524723992"/>
      </c:scatterChart>
      <c:valAx>
        <c:axId val="5247246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Ratio of people 50+ participating on volunteering</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723992"/>
        <c:crosses val="autoZero"/>
        <c:crossBetween val="midCat"/>
      </c:valAx>
      <c:valAx>
        <c:axId val="524723992"/>
        <c:scaling>
          <c:orientation val="minMax"/>
          <c:max val="10"/>
          <c:min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Human Freedom Index</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7246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2"/>
            <c:invertIfNegative val="0"/>
            <c:bubble3D val="0"/>
            <c:spPr>
              <a:solidFill>
                <a:srgbClr val="00B050"/>
              </a:solidFill>
              <a:ln>
                <a:solidFill>
                  <a:srgbClr val="00B050"/>
                </a:solidFill>
              </a:ln>
              <a:effectLst/>
            </c:spPr>
            <c:extLst>
              <c:ext xmlns:c16="http://schemas.microsoft.com/office/drawing/2014/chart" uri="{C3380CC4-5D6E-409C-BE32-E72D297353CC}">
                <c16:uniqueId val="{00000001-6068-44B2-9EC4-2C29E26681AA}"/>
              </c:ext>
            </c:extLst>
          </c:dPt>
          <c:dPt>
            <c:idx val="3"/>
            <c:invertIfNegative val="0"/>
            <c:bubble3D val="0"/>
            <c:spPr>
              <a:solidFill>
                <a:srgbClr val="00B050"/>
              </a:solidFill>
              <a:ln>
                <a:solidFill>
                  <a:srgbClr val="00B050"/>
                </a:solidFill>
              </a:ln>
              <a:effectLst/>
            </c:spPr>
            <c:extLst>
              <c:ext xmlns:c16="http://schemas.microsoft.com/office/drawing/2014/chart" uri="{C3380CC4-5D6E-409C-BE32-E72D297353CC}">
                <c16:uniqueId val="{00000003-6068-44B2-9EC4-2C29E26681AA}"/>
              </c:ext>
            </c:extLst>
          </c:dPt>
          <c:dPt>
            <c:idx val="4"/>
            <c:invertIfNegative val="0"/>
            <c:bubble3D val="0"/>
            <c:spPr>
              <a:solidFill>
                <a:srgbClr val="00B050"/>
              </a:solidFill>
              <a:ln>
                <a:solidFill>
                  <a:srgbClr val="00B050"/>
                </a:solidFill>
              </a:ln>
              <a:effectLst/>
            </c:spPr>
            <c:extLst>
              <c:ext xmlns:c16="http://schemas.microsoft.com/office/drawing/2014/chart" uri="{C3380CC4-5D6E-409C-BE32-E72D297353CC}">
                <c16:uniqueId val="{00000005-6068-44B2-9EC4-2C29E26681AA}"/>
              </c:ext>
            </c:extLst>
          </c:dPt>
          <c:dPt>
            <c:idx val="5"/>
            <c:invertIfNegative val="0"/>
            <c:bubble3D val="0"/>
            <c:spPr>
              <a:solidFill>
                <a:srgbClr val="00B050"/>
              </a:solidFill>
              <a:ln>
                <a:solidFill>
                  <a:srgbClr val="00B050"/>
                </a:solidFill>
              </a:ln>
              <a:effectLst/>
            </c:spPr>
            <c:extLst>
              <c:ext xmlns:c16="http://schemas.microsoft.com/office/drawing/2014/chart" uri="{C3380CC4-5D6E-409C-BE32-E72D297353CC}">
                <c16:uniqueId val="{00000007-6068-44B2-9EC4-2C29E26681AA}"/>
              </c:ext>
            </c:extLst>
          </c:dPt>
          <c:dPt>
            <c:idx val="6"/>
            <c:invertIfNegative val="0"/>
            <c:bubble3D val="0"/>
            <c:spPr>
              <a:solidFill>
                <a:srgbClr val="00B050"/>
              </a:solidFill>
              <a:ln>
                <a:solidFill>
                  <a:srgbClr val="00B050"/>
                </a:solidFill>
              </a:ln>
              <a:effectLst/>
            </c:spPr>
            <c:extLst>
              <c:ext xmlns:c16="http://schemas.microsoft.com/office/drawing/2014/chart" uri="{C3380CC4-5D6E-409C-BE32-E72D297353CC}">
                <c16:uniqueId val="{00000009-6068-44B2-9EC4-2C29E26681AA}"/>
              </c:ext>
            </c:extLst>
          </c:dPt>
          <c:dPt>
            <c:idx val="7"/>
            <c:invertIfNegative val="0"/>
            <c:bubble3D val="0"/>
            <c:spPr>
              <a:solidFill>
                <a:srgbClr val="00B050"/>
              </a:solidFill>
              <a:ln>
                <a:solidFill>
                  <a:srgbClr val="00B050"/>
                </a:solidFill>
              </a:ln>
              <a:effectLst/>
            </c:spPr>
            <c:extLst>
              <c:ext xmlns:c16="http://schemas.microsoft.com/office/drawing/2014/chart" uri="{C3380CC4-5D6E-409C-BE32-E72D297353CC}">
                <c16:uniqueId val="{0000000B-6068-44B2-9EC4-2C29E26681AA}"/>
              </c:ext>
            </c:extLst>
          </c:dPt>
          <c:dPt>
            <c:idx val="8"/>
            <c:invertIfNegative val="0"/>
            <c:bubble3D val="0"/>
            <c:spPr>
              <a:solidFill>
                <a:srgbClr val="FFFF00"/>
              </a:solidFill>
              <a:ln>
                <a:solidFill>
                  <a:srgbClr val="FFFF00"/>
                </a:solidFill>
              </a:ln>
              <a:effectLst/>
            </c:spPr>
            <c:extLst>
              <c:ext xmlns:c16="http://schemas.microsoft.com/office/drawing/2014/chart" uri="{C3380CC4-5D6E-409C-BE32-E72D297353CC}">
                <c16:uniqueId val="{0000000D-6068-44B2-9EC4-2C29E26681AA}"/>
              </c:ext>
            </c:extLst>
          </c:dPt>
          <c:dPt>
            <c:idx val="9"/>
            <c:invertIfNegative val="0"/>
            <c:bubble3D val="0"/>
            <c:spPr>
              <a:solidFill>
                <a:srgbClr val="FFFF00"/>
              </a:solidFill>
              <a:ln>
                <a:solidFill>
                  <a:srgbClr val="FFFF00"/>
                </a:solidFill>
              </a:ln>
              <a:effectLst/>
            </c:spPr>
            <c:extLst>
              <c:ext xmlns:c16="http://schemas.microsoft.com/office/drawing/2014/chart" uri="{C3380CC4-5D6E-409C-BE32-E72D297353CC}">
                <c16:uniqueId val="{0000000F-6068-44B2-9EC4-2C29E26681AA}"/>
              </c:ext>
            </c:extLst>
          </c:dPt>
          <c:dPt>
            <c:idx val="10"/>
            <c:invertIfNegative val="0"/>
            <c:bubble3D val="0"/>
            <c:spPr>
              <a:solidFill>
                <a:srgbClr val="FFFF00"/>
              </a:solidFill>
              <a:ln>
                <a:solidFill>
                  <a:srgbClr val="FFFF00"/>
                </a:solidFill>
              </a:ln>
              <a:effectLst/>
            </c:spPr>
            <c:extLst>
              <c:ext xmlns:c16="http://schemas.microsoft.com/office/drawing/2014/chart" uri="{C3380CC4-5D6E-409C-BE32-E72D297353CC}">
                <c16:uniqueId val="{00000011-6068-44B2-9EC4-2C29E26681AA}"/>
              </c:ext>
            </c:extLst>
          </c:dPt>
          <c:dPt>
            <c:idx val="11"/>
            <c:invertIfNegative val="0"/>
            <c:bubble3D val="0"/>
            <c:spPr>
              <a:solidFill>
                <a:srgbClr val="FFFF00"/>
              </a:solidFill>
              <a:ln>
                <a:solidFill>
                  <a:srgbClr val="FFFF00"/>
                </a:solidFill>
              </a:ln>
              <a:effectLst/>
            </c:spPr>
            <c:extLst>
              <c:ext xmlns:c16="http://schemas.microsoft.com/office/drawing/2014/chart" uri="{C3380CC4-5D6E-409C-BE32-E72D297353CC}">
                <c16:uniqueId val="{00000013-6068-44B2-9EC4-2C29E26681AA}"/>
              </c:ext>
            </c:extLst>
          </c:dPt>
          <c:dPt>
            <c:idx val="12"/>
            <c:invertIfNegative val="0"/>
            <c:bubble3D val="0"/>
            <c:spPr>
              <a:solidFill>
                <a:srgbClr val="FF0000"/>
              </a:solidFill>
              <a:ln>
                <a:solidFill>
                  <a:srgbClr val="FF0000"/>
                </a:solidFill>
              </a:ln>
              <a:effectLst/>
            </c:spPr>
            <c:extLst>
              <c:ext xmlns:c16="http://schemas.microsoft.com/office/drawing/2014/chart" uri="{C3380CC4-5D6E-409C-BE32-E72D297353CC}">
                <c16:uniqueId val="{00000015-6068-44B2-9EC4-2C29E26681AA}"/>
              </c:ext>
            </c:extLst>
          </c:dPt>
          <c:dPt>
            <c:idx val="13"/>
            <c:invertIfNegative val="0"/>
            <c:bubble3D val="0"/>
            <c:spPr>
              <a:solidFill>
                <a:srgbClr val="FF0000"/>
              </a:solidFill>
              <a:ln>
                <a:solidFill>
                  <a:srgbClr val="FF0000"/>
                </a:solidFill>
              </a:ln>
              <a:effectLst/>
            </c:spPr>
            <c:extLst>
              <c:ext xmlns:c16="http://schemas.microsoft.com/office/drawing/2014/chart" uri="{C3380CC4-5D6E-409C-BE32-E72D297353CC}">
                <c16:uniqueId val="{00000017-6068-44B2-9EC4-2C29E26681AA}"/>
              </c:ext>
            </c:extLst>
          </c:dPt>
          <c:dPt>
            <c:idx val="14"/>
            <c:invertIfNegative val="0"/>
            <c:bubble3D val="0"/>
            <c:spPr>
              <a:solidFill>
                <a:srgbClr val="FF0000"/>
              </a:solidFill>
              <a:ln>
                <a:solidFill>
                  <a:srgbClr val="FF0000"/>
                </a:solidFill>
              </a:ln>
              <a:effectLst/>
            </c:spPr>
            <c:extLst>
              <c:ext xmlns:c16="http://schemas.microsoft.com/office/drawing/2014/chart" uri="{C3380CC4-5D6E-409C-BE32-E72D297353CC}">
                <c16:uniqueId val="{00000019-6068-44B2-9EC4-2C29E26681AA}"/>
              </c:ext>
            </c:extLst>
          </c:dPt>
          <c:dPt>
            <c:idx val="15"/>
            <c:invertIfNegative val="0"/>
            <c:bubble3D val="0"/>
            <c:spPr>
              <a:solidFill>
                <a:srgbClr val="FF0000"/>
              </a:solidFill>
              <a:ln>
                <a:solidFill>
                  <a:srgbClr val="FF0000"/>
                </a:solidFill>
              </a:ln>
              <a:effectLst/>
            </c:spPr>
            <c:extLst>
              <c:ext xmlns:c16="http://schemas.microsoft.com/office/drawing/2014/chart" uri="{C3380CC4-5D6E-409C-BE32-E72D297353CC}">
                <c16:uniqueId val="{0000001B-6068-44B2-9EC4-2C29E26681AA}"/>
              </c:ext>
            </c:extLst>
          </c:dPt>
          <c:dPt>
            <c:idx val="16"/>
            <c:invertIfNegative val="0"/>
            <c:bubble3D val="0"/>
            <c:spPr>
              <a:solidFill>
                <a:srgbClr val="FF0000"/>
              </a:solidFill>
              <a:ln>
                <a:solidFill>
                  <a:srgbClr val="FF0000"/>
                </a:solidFill>
              </a:ln>
              <a:effectLst/>
            </c:spPr>
            <c:extLst>
              <c:ext xmlns:c16="http://schemas.microsoft.com/office/drawing/2014/chart" uri="{C3380CC4-5D6E-409C-BE32-E72D297353CC}">
                <c16:uniqueId val="{0000001D-6068-44B2-9EC4-2C29E26681AA}"/>
              </c:ext>
            </c:extLst>
          </c:dPt>
          <c:cat>
            <c:strRef>
              <c:f>List1!$C$3:$C$19</c:f>
              <c:strCache>
                <c:ptCount val="17"/>
                <c:pt idx="0">
                  <c:v>Denmark</c:v>
                </c:pt>
                <c:pt idx="1">
                  <c:v>Sweden</c:v>
                </c:pt>
                <c:pt idx="2">
                  <c:v>Austria</c:v>
                </c:pt>
                <c:pt idx="3">
                  <c:v>Belgium</c:v>
                </c:pt>
                <c:pt idx="4">
                  <c:v>France</c:v>
                </c:pt>
                <c:pt idx="5">
                  <c:v>Germany</c:v>
                </c:pt>
                <c:pt idx="6">
                  <c:v>Luxembourg</c:v>
                </c:pt>
                <c:pt idx="7">
                  <c:v>Switzerland</c:v>
                </c:pt>
                <c:pt idx="8">
                  <c:v>Greece</c:v>
                </c:pt>
                <c:pt idx="9">
                  <c:v>Italy</c:v>
                </c:pt>
                <c:pt idx="10">
                  <c:v>Portugal</c:v>
                </c:pt>
                <c:pt idx="11">
                  <c:v>Spain</c:v>
                </c:pt>
                <c:pt idx="12">
                  <c:v>Croatia</c:v>
                </c:pt>
                <c:pt idx="13">
                  <c:v>Czechia</c:v>
                </c:pt>
                <c:pt idx="14">
                  <c:v>Estonia</c:v>
                </c:pt>
                <c:pt idx="15">
                  <c:v>Poland</c:v>
                </c:pt>
                <c:pt idx="16">
                  <c:v>Slovenia</c:v>
                </c:pt>
              </c:strCache>
            </c:strRef>
          </c:cat>
          <c:val>
            <c:numRef>
              <c:f>List1!$D$3:$D$19</c:f>
              <c:numCache>
                <c:formatCode>General</c:formatCode>
                <c:ptCount val="17"/>
                <c:pt idx="0">
                  <c:v>40.700000000000003</c:v>
                </c:pt>
                <c:pt idx="1">
                  <c:v>42.2</c:v>
                </c:pt>
                <c:pt idx="2">
                  <c:v>41.3</c:v>
                </c:pt>
                <c:pt idx="3">
                  <c:v>39.1</c:v>
                </c:pt>
                <c:pt idx="4">
                  <c:v>39.200000000000003</c:v>
                </c:pt>
                <c:pt idx="5">
                  <c:v>39.799999999999997</c:v>
                </c:pt>
                <c:pt idx="6">
                  <c:v>40.200000000000003</c:v>
                </c:pt>
                <c:pt idx="7">
                  <c:v>41.3</c:v>
                </c:pt>
                <c:pt idx="8">
                  <c:v>33.299999999999997</c:v>
                </c:pt>
                <c:pt idx="9">
                  <c:v>35.9</c:v>
                </c:pt>
                <c:pt idx="10">
                  <c:v>34.5</c:v>
                </c:pt>
                <c:pt idx="11">
                  <c:v>38</c:v>
                </c:pt>
                <c:pt idx="12">
                  <c:v>37.6</c:v>
                </c:pt>
                <c:pt idx="13">
                  <c:v>36.4</c:v>
                </c:pt>
                <c:pt idx="14">
                  <c:v>37.1</c:v>
                </c:pt>
                <c:pt idx="15">
                  <c:v>37.9</c:v>
                </c:pt>
                <c:pt idx="16">
                  <c:v>39.799999999999997</c:v>
                </c:pt>
              </c:numCache>
            </c:numRef>
          </c:val>
          <c:extLst>
            <c:ext xmlns:c16="http://schemas.microsoft.com/office/drawing/2014/chart" uri="{C3380CC4-5D6E-409C-BE32-E72D297353CC}">
              <c16:uniqueId val="{0000001E-6068-44B2-9EC4-2C29E26681AA}"/>
            </c:ext>
          </c:extLst>
        </c:ser>
        <c:dLbls>
          <c:showLegendKey val="0"/>
          <c:showVal val="0"/>
          <c:showCatName val="0"/>
          <c:showSerName val="0"/>
          <c:showPercent val="0"/>
          <c:showBubbleSize val="0"/>
        </c:dLbls>
        <c:gapWidth val="219"/>
        <c:overlap val="-27"/>
        <c:axId val="465870640"/>
        <c:axId val="351732024"/>
      </c:barChart>
      <c:catAx>
        <c:axId val="46587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crossAx val="351732024"/>
        <c:crosses val="autoZero"/>
        <c:auto val="1"/>
        <c:lblAlgn val="ctr"/>
        <c:lblOffset val="100"/>
        <c:noMultiLvlLbl val="0"/>
      </c:catAx>
      <c:valAx>
        <c:axId val="351732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crossAx val="465870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graphs!$B$4</c:f>
              <c:strCache>
                <c:ptCount val="1"/>
                <c:pt idx="0">
                  <c:v>Austria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graphs!$C$3:$F$3</c:f>
              <c:numCache>
                <c:formatCode>General</c:formatCode>
                <c:ptCount val="4"/>
                <c:pt idx="0">
                  <c:v>2007</c:v>
                </c:pt>
                <c:pt idx="1">
                  <c:v>2011</c:v>
                </c:pt>
                <c:pt idx="2">
                  <c:v>2013</c:v>
                </c:pt>
                <c:pt idx="3">
                  <c:v>2015</c:v>
                </c:pt>
              </c:numCache>
            </c:numRef>
          </c:cat>
          <c:val>
            <c:numRef>
              <c:f>graphs!$C$4:$F$4</c:f>
              <c:numCache>
                <c:formatCode>General</c:formatCode>
                <c:ptCount val="4"/>
                <c:pt idx="0">
                  <c:v>27.9</c:v>
                </c:pt>
                <c:pt idx="1">
                  <c:v>37</c:v>
                </c:pt>
                <c:pt idx="2">
                  <c:v>41.9</c:v>
                </c:pt>
                <c:pt idx="3">
                  <c:v>41.4</c:v>
                </c:pt>
              </c:numCache>
            </c:numRef>
          </c:val>
          <c:smooth val="0"/>
          <c:extLst>
            <c:ext xmlns:c16="http://schemas.microsoft.com/office/drawing/2014/chart" uri="{C3380CC4-5D6E-409C-BE32-E72D297353CC}">
              <c16:uniqueId val="{00000000-BB09-4169-A082-3A49A498842D}"/>
            </c:ext>
          </c:extLst>
        </c:ser>
        <c:ser>
          <c:idx val="1"/>
          <c:order val="1"/>
          <c:tx>
            <c:strRef>
              <c:f>graphs!$B$5</c:f>
              <c:strCache>
                <c:ptCount val="1"/>
                <c:pt idx="0">
                  <c:v>Sweden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graphs!$C$3:$F$3</c:f>
              <c:numCache>
                <c:formatCode>General</c:formatCode>
                <c:ptCount val="4"/>
                <c:pt idx="0">
                  <c:v>2007</c:v>
                </c:pt>
                <c:pt idx="1">
                  <c:v>2011</c:v>
                </c:pt>
                <c:pt idx="2">
                  <c:v>2013</c:v>
                </c:pt>
                <c:pt idx="3">
                  <c:v>2015</c:v>
                </c:pt>
              </c:numCache>
            </c:numRef>
          </c:cat>
          <c:val>
            <c:numRef>
              <c:f>graphs!$C$5:$F$5</c:f>
              <c:numCache>
                <c:formatCode>General</c:formatCode>
                <c:ptCount val="4"/>
                <c:pt idx="0">
                  <c:v>47.1</c:v>
                </c:pt>
                <c:pt idx="1">
                  <c:v>46.2</c:v>
                </c:pt>
                <c:pt idx="2">
                  <c:v>50.3</c:v>
                </c:pt>
                <c:pt idx="3">
                  <c:v>56.6</c:v>
                </c:pt>
              </c:numCache>
            </c:numRef>
          </c:val>
          <c:smooth val="0"/>
          <c:extLst>
            <c:ext xmlns:c16="http://schemas.microsoft.com/office/drawing/2014/chart" uri="{C3380CC4-5D6E-409C-BE32-E72D297353CC}">
              <c16:uniqueId val="{00000001-BB09-4169-A082-3A49A498842D}"/>
            </c:ext>
          </c:extLst>
        </c:ser>
        <c:ser>
          <c:idx val="2"/>
          <c:order val="2"/>
          <c:tx>
            <c:strRef>
              <c:f>graphs!$B$6</c:f>
              <c:strCache>
                <c:ptCount val="1"/>
                <c:pt idx="0">
                  <c:v>Italy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graphs!$C$3:$F$3</c:f>
              <c:numCache>
                <c:formatCode>General</c:formatCode>
                <c:ptCount val="4"/>
                <c:pt idx="0">
                  <c:v>2007</c:v>
                </c:pt>
                <c:pt idx="1">
                  <c:v>2011</c:v>
                </c:pt>
                <c:pt idx="2">
                  <c:v>2013</c:v>
                </c:pt>
                <c:pt idx="3">
                  <c:v>2015</c:v>
                </c:pt>
              </c:numCache>
            </c:numRef>
          </c:cat>
          <c:val>
            <c:numRef>
              <c:f>graphs!$C$6:$F$6</c:f>
              <c:numCache>
                <c:formatCode>General</c:formatCode>
                <c:ptCount val="4"/>
                <c:pt idx="0">
                  <c:v>18.2</c:v>
                </c:pt>
                <c:pt idx="1">
                  <c:v>24.9</c:v>
                </c:pt>
                <c:pt idx="2">
                  <c:v>23.3</c:v>
                </c:pt>
                <c:pt idx="3">
                  <c:v>21.5</c:v>
                </c:pt>
              </c:numCache>
            </c:numRef>
          </c:val>
          <c:smooth val="0"/>
          <c:extLst>
            <c:ext xmlns:c16="http://schemas.microsoft.com/office/drawing/2014/chart" uri="{C3380CC4-5D6E-409C-BE32-E72D297353CC}">
              <c16:uniqueId val="{00000002-BB09-4169-A082-3A49A498842D}"/>
            </c:ext>
          </c:extLst>
        </c:ser>
        <c:ser>
          <c:idx val="3"/>
          <c:order val="3"/>
          <c:tx>
            <c:strRef>
              <c:f>graphs!$B$7</c:f>
              <c:strCache>
                <c:ptCount val="1"/>
                <c:pt idx="0">
                  <c:v>Switzerland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graphs!$C$3:$F$3</c:f>
              <c:numCache>
                <c:formatCode>General</c:formatCode>
                <c:ptCount val="4"/>
                <c:pt idx="0">
                  <c:v>2007</c:v>
                </c:pt>
                <c:pt idx="1">
                  <c:v>2011</c:v>
                </c:pt>
                <c:pt idx="2">
                  <c:v>2013</c:v>
                </c:pt>
                <c:pt idx="3">
                  <c:v>2015</c:v>
                </c:pt>
              </c:numCache>
            </c:numRef>
          </c:cat>
          <c:val>
            <c:numRef>
              <c:f>graphs!$C$7:$F$7</c:f>
              <c:numCache>
                <c:formatCode>General</c:formatCode>
                <c:ptCount val="4"/>
                <c:pt idx="0">
                  <c:v>43</c:v>
                </c:pt>
                <c:pt idx="1">
                  <c:v>47.5</c:v>
                </c:pt>
                <c:pt idx="2">
                  <c:v>48.6</c:v>
                </c:pt>
                <c:pt idx="3">
                  <c:v>46.8</c:v>
                </c:pt>
              </c:numCache>
            </c:numRef>
          </c:val>
          <c:smooth val="0"/>
          <c:extLst>
            <c:ext xmlns:c16="http://schemas.microsoft.com/office/drawing/2014/chart" uri="{C3380CC4-5D6E-409C-BE32-E72D297353CC}">
              <c16:uniqueId val="{00000003-BB09-4169-A082-3A49A498842D}"/>
            </c:ext>
          </c:extLst>
        </c:ser>
        <c:ser>
          <c:idx val="4"/>
          <c:order val="4"/>
          <c:tx>
            <c:strRef>
              <c:f>graphs!$B$8</c:f>
              <c:strCache>
                <c:ptCount val="1"/>
                <c:pt idx="0">
                  <c:v>Czechia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graphs!$C$3:$F$3</c:f>
              <c:numCache>
                <c:formatCode>General</c:formatCode>
                <c:ptCount val="4"/>
                <c:pt idx="0">
                  <c:v>2007</c:v>
                </c:pt>
                <c:pt idx="1">
                  <c:v>2011</c:v>
                </c:pt>
                <c:pt idx="2">
                  <c:v>2013</c:v>
                </c:pt>
                <c:pt idx="3">
                  <c:v>2015</c:v>
                </c:pt>
              </c:numCache>
            </c:numRef>
          </c:cat>
          <c:val>
            <c:numRef>
              <c:f>graphs!$C$8:$F$8</c:f>
              <c:numCache>
                <c:formatCode>General</c:formatCode>
                <c:ptCount val="4"/>
                <c:pt idx="0">
                  <c:v>15.1</c:v>
                </c:pt>
                <c:pt idx="1">
                  <c:v>23.1</c:v>
                </c:pt>
                <c:pt idx="2">
                  <c:v>23.4</c:v>
                </c:pt>
                <c:pt idx="3">
                  <c:v>24.9</c:v>
                </c:pt>
              </c:numCache>
            </c:numRef>
          </c:val>
          <c:smooth val="0"/>
          <c:extLst>
            <c:ext xmlns:c16="http://schemas.microsoft.com/office/drawing/2014/chart" uri="{C3380CC4-5D6E-409C-BE32-E72D297353CC}">
              <c16:uniqueId val="{00000004-BB09-4169-A082-3A49A498842D}"/>
            </c:ext>
          </c:extLst>
        </c:ser>
        <c:dLbls>
          <c:showLegendKey val="0"/>
          <c:showVal val="0"/>
          <c:showCatName val="0"/>
          <c:showSerName val="0"/>
          <c:showPercent val="0"/>
          <c:showBubbleSize val="0"/>
        </c:dLbls>
        <c:marker val="1"/>
        <c:smooth val="0"/>
        <c:axId val="290475288"/>
        <c:axId val="1"/>
      </c:lineChart>
      <c:catAx>
        <c:axId val="290475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0475288"/>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graphs!$B$11</c:f>
              <c:strCache>
                <c:ptCount val="1"/>
                <c:pt idx="0">
                  <c:v>Austria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graphs!$C$10:$F$10</c:f>
              <c:numCache>
                <c:formatCode>General</c:formatCode>
                <c:ptCount val="4"/>
                <c:pt idx="0">
                  <c:v>2007</c:v>
                </c:pt>
                <c:pt idx="1">
                  <c:v>2011</c:v>
                </c:pt>
                <c:pt idx="2">
                  <c:v>2013</c:v>
                </c:pt>
                <c:pt idx="3">
                  <c:v>2015</c:v>
                </c:pt>
              </c:numCache>
            </c:numRef>
          </c:cat>
          <c:val>
            <c:numRef>
              <c:f>graphs!$C$11:$F$11</c:f>
              <c:numCache>
                <c:formatCode>General</c:formatCode>
                <c:ptCount val="4"/>
                <c:pt idx="0">
                  <c:v>16.899999999999999</c:v>
                </c:pt>
                <c:pt idx="1">
                  <c:v>28.5</c:v>
                </c:pt>
                <c:pt idx="2">
                  <c:v>26.699999999999996</c:v>
                </c:pt>
                <c:pt idx="3">
                  <c:v>26.4</c:v>
                </c:pt>
              </c:numCache>
            </c:numRef>
          </c:val>
          <c:smooth val="0"/>
          <c:extLst>
            <c:ext xmlns:c16="http://schemas.microsoft.com/office/drawing/2014/chart" uri="{C3380CC4-5D6E-409C-BE32-E72D297353CC}">
              <c16:uniqueId val="{00000000-266D-4D59-BBDB-C0E00F0D5C65}"/>
            </c:ext>
          </c:extLst>
        </c:ser>
        <c:ser>
          <c:idx val="1"/>
          <c:order val="1"/>
          <c:tx>
            <c:strRef>
              <c:f>graphs!$B$12</c:f>
              <c:strCache>
                <c:ptCount val="1"/>
                <c:pt idx="0">
                  <c:v>Sweden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graphs!$C$10:$F$10</c:f>
              <c:numCache>
                <c:formatCode>General</c:formatCode>
                <c:ptCount val="4"/>
                <c:pt idx="0">
                  <c:v>2007</c:v>
                </c:pt>
                <c:pt idx="1">
                  <c:v>2011</c:v>
                </c:pt>
                <c:pt idx="2">
                  <c:v>2013</c:v>
                </c:pt>
                <c:pt idx="3">
                  <c:v>2015</c:v>
                </c:pt>
              </c:numCache>
            </c:numRef>
          </c:cat>
          <c:val>
            <c:numRef>
              <c:f>graphs!$C$12:$F$12</c:f>
              <c:numCache>
                <c:formatCode>General</c:formatCode>
                <c:ptCount val="4"/>
                <c:pt idx="0">
                  <c:v>26.000000000000007</c:v>
                </c:pt>
                <c:pt idx="1">
                  <c:v>20.6</c:v>
                </c:pt>
                <c:pt idx="2">
                  <c:v>21</c:v>
                </c:pt>
                <c:pt idx="3">
                  <c:v>20</c:v>
                </c:pt>
              </c:numCache>
            </c:numRef>
          </c:val>
          <c:smooth val="0"/>
          <c:extLst>
            <c:ext xmlns:c16="http://schemas.microsoft.com/office/drawing/2014/chart" uri="{C3380CC4-5D6E-409C-BE32-E72D297353CC}">
              <c16:uniqueId val="{00000001-266D-4D59-BBDB-C0E00F0D5C65}"/>
            </c:ext>
          </c:extLst>
        </c:ser>
        <c:ser>
          <c:idx val="2"/>
          <c:order val="2"/>
          <c:tx>
            <c:strRef>
              <c:f>graphs!$B$13</c:f>
              <c:strCache>
                <c:ptCount val="1"/>
                <c:pt idx="0">
                  <c:v>Italy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graphs!$C$10:$F$10</c:f>
              <c:numCache>
                <c:formatCode>General</c:formatCode>
                <c:ptCount val="4"/>
                <c:pt idx="0">
                  <c:v>2007</c:v>
                </c:pt>
                <c:pt idx="1">
                  <c:v>2011</c:v>
                </c:pt>
                <c:pt idx="2">
                  <c:v>2013</c:v>
                </c:pt>
                <c:pt idx="3">
                  <c:v>2015</c:v>
                </c:pt>
              </c:numCache>
            </c:numRef>
          </c:cat>
          <c:val>
            <c:numRef>
              <c:f>graphs!$C$13:$F$13</c:f>
              <c:numCache>
                <c:formatCode>General</c:formatCode>
                <c:ptCount val="4"/>
                <c:pt idx="0">
                  <c:v>24.200000000000003</c:v>
                </c:pt>
                <c:pt idx="1">
                  <c:v>35.4</c:v>
                </c:pt>
                <c:pt idx="2">
                  <c:v>23.499999999999996</c:v>
                </c:pt>
                <c:pt idx="3">
                  <c:v>20.9</c:v>
                </c:pt>
              </c:numCache>
            </c:numRef>
          </c:val>
          <c:smooth val="0"/>
          <c:extLst>
            <c:ext xmlns:c16="http://schemas.microsoft.com/office/drawing/2014/chart" uri="{C3380CC4-5D6E-409C-BE32-E72D297353CC}">
              <c16:uniqueId val="{00000002-266D-4D59-BBDB-C0E00F0D5C65}"/>
            </c:ext>
          </c:extLst>
        </c:ser>
        <c:ser>
          <c:idx val="3"/>
          <c:order val="3"/>
          <c:tx>
            <c:strRef>
              <c:f>graphs!$B$14</c:f>
              <c:strCache>
                <c:ptCount val="1"/>
                <c:pt idx="0">
                  <c:v>Switzerland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graphs!$C$10:$F$10</c:f>
              <c:numCache>
                <c:formatCode>General</c:formatCode>
                <c:ptCount val="4"/>
                <c:pt idx="0">
                  <c:v>2007</c:v>
                </c:pt>
                <c:pt idx="1">
                  <c:v>2011</c:v>
                </c:pt>
                <c:pt idx="2">
                  <c:v>2013</c:v>
                </c:pt>
                <c:pt idx="3">
                  <c:v>2015</c:v>
                </c:pt>
              </c:numCache>
            </c:numRef>
          </c:cat>
          <c:val>
            <c:numRef>
              <c:f>graphs!$C$14:$F$14</c:f>
              <c:numCache>
                <c:formatCode>General</c:formatCode>
                <c:ptCount val="4"/>
                <c:pt idx="0">
                  <c:v>20.8</c:v>
                </c:pt>
                <c:pt idx="1">
                  <c:v>35.6</c:v>
                </c:pt>
                <c:pt idx="2">
                  <c:v>32.299999999999997</c:v>
                </c:pt>
                <c:pt idx="3">
                  <c:v>31</c:v>
                </c:pt>
              </c:numCache>
            </c:numRef>
          </c:val>
          <c:smooth val="0"/>
          <c:extLst>
            <c:ext xmlns:c16="http://schemas.microsoft.com/office/drawing/2014/chart" uri="{C3380CC4-5D6E-409C-BE32-E72D297353CC}">
              <c16:uniqueId val="{00000003-266D-4D59-BBDB-C0E00F0D5C65}"/>
            </c:ext>
          </c:extLst>
        </c:ser>
        <c:ser>
          <c:idx val="4"/>
          <c:order val="4"/>
          <c:tx>
            <c:strRef>
              <c:f>graphs!$B$15</c:f>
              <c:strCache>
                <c:ptCount val="1"/>
                <c:pt idx="0">
                  <c:v>Czechia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graphs!$C$10:$F$10</c:f>
              <c:numCache>
                <c:formatCode>General</c:formatCode>
                <c:ptCount val="4"/>
                <c:pt idx="0">
                  <c:v>2007</c:v>
                </c:pt>
                <c:pt idx="1">
                  <c:v>2011</c:v>
                </c:pt>
                <c:pt idx="2">
                  <c:v>2013</c:v>
                </c:pt>
                <c:pt idx="3">
                  <c:v>2015</c:v>
                </c:pt>
              </c:numCache>
            </c:numRef>
          </c:cat>
          <c:val>
            <c:numRef>
              <c:f>graphs!$C$15:$F$15</c:f>
              <c:numCache>
                <c:formatCode>General</c:formatCode>
                <c:ptCount val="4"/>
                <c:pt idx="0">
                  <c:v>23.6</c:v>
                </c:pt>
                <c:pt idx="1">
                  <c:v>33.5</c:v>
                </c:pt>
                <c:pt idx="2">
                  <c:v>31.4</c:v>
                </c:pt>
                <c:pt idx="3">
                  <c:v>30.3</c:v>
                </c:pt>
              </c:numCache>
            </c:numRef>
          </c:val>
          <c:smooth val="0"/>
          <c:extLst>
            <c:ext xmlns:c16="http://schemas.microsoft.com/office/drawing/2014/chart" uri="{C3380CC4-5D6E-409C-BE32-E72D297353CC}">
              <c16:uniqueId val="{00000004-266D-4D59-BBDB-C0E00F0D5C65}"/>
            </c:ext>
          </c:extLst>
        </c:ser>
        <c:dLbls>
          <c:showLegendKey val="0"/>
          <c:showVal val="0"/>
          <c:showCatName val="0"/>
          <c:showSerName val="0"/>
          <c:showPercent val="0"/>
          <c:showBubbleSize val="0"/>
        </c:dLbls>
        <c:marker val="1"/>
        <c:smooth val="0"/>
        <c:axId val="290473320"/>
        <c:axId val="1"/>
      </c:lineChart>
      <c:catAx>
        <c:axId val="290473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0473320"/>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48975-16E8-44AA-B046-95D0A124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154</Pages>
  <Words>341408</Words>
  <Characters>1976758</Characters>
  <Application>Microsoft Office Word</Application>
  <DocSecurity>0</DocSecurity>
  <Lines>40342</Lines>
  <Paragraphs>18398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Lakomý</dc:creator>
  <cp:keywords/>
  <dc:description/>
  <cp:lastModifiedBy>Martin Lakomý</cp:lastModifiedBy>
  <cp:revision>3</cp:revision>
  <dcterms:created xsi:type="dcterms:W3CDTF">2018-04-28T12:13:00Z</dcterms:created>
  <dcterms:modified xsi:type="dcterms:W3CDTF">2018-04-28T14:44:00Z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b15dcc9b-5ea0-3441-90d1-49364429c5b8</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http://www.zotero.org/styles/european-journal-of-population</vt:lpwstr>
  </property>
  <property fmtid="{D5CDD505-2E9C-101B-9397-08002B2CF9AE}" pid="10" name="Mendeley Recent Style Name 2_1">
    <vt:lpwstr>European Journal of Population</vt:lpwstr>
  </property>
  <property fmtid="{D5CDD505-2E9C-101B-9397-08002B2CF9AE}" pid="11" name="Mendeley Recent Style Id 3_1">
    <vt:lpwstr>http://www.zotero.org/styles/harvard-cite-them-right</vt:lpwstr>
  </property>
  <property fmtid="{D5CDD505-2E9C-101B-9397-08002B2CF9AE}" pid="12" name="Mendeley Recent Style Name 3_1">
    <vt:lpwstr>Harvard - Cite Them Right 9th edition</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http://www.zotero.org/styles/taylor-and-francis-harvard-v</vt:lpwstr>
  </property>
  <property fmtid="{D5CDD505-2E9C-101B-9397-08002B2CF9AE}" pid="22" name="Mendeley Recent Style Name 8_1">
    <vt:lpwstr>Taylor &amp; Francis - Harvard V</vt:lpwstr>
  </property>
  <property fmtid="{D5CDD505-2E9C-101B-9397-08002B2CF9AE}" pid="23" name="Mendeley Recent Style Id 9_1">
    <vt:lpwstr>http://www.zotero.org/styles/taylor-and-francis-harvard-x</vt:lpwstr>
  </property>
  <property fmtid="{D5CDD505-2E9C-101B-9397-08002B2CF9AE}" pid="24" name="Mendeley Recent Style Name 9_1">
    <vt:lpwstr>Taylor &amp; Francis - Harvard X</vt:lpwstr>
  </property>
</Properties>
</file>