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8F9AC" w14:textId="22A251D3" w:rsidR="00651FD9" w:rsidRPr="007E5963" w:rsidRDefault="009640FA">
      <w:pPr>
        <w:rPr>
          <w:b/>
          <w:sz w:val="36"/>
          <w:szCs w:val="36"/>
        </w:rPr>
      </w:pPr>
      <w:r>
        <w:rPr>
          <w:b/>
          <w:sz w:val="36"/>
          <w:szCs w:val="36"/>
        </w:rPr>
        <w:t>Community Broadcasting: Publics, Participants and Policies</w:t>
      </w:r>
    </w:p>
    <w:p w14:paraId="3D2F15A0" w14:textId="77777777" w:rsidR="007E5963" w:rsidRDefault="007E5963"/>
    <w:p w14:paraId="525D624E" w14:textId="77777777" w:rsidR="007E5963" w:rsidRDefault="007E5963"/>
    <w:p w14:paraId="788D038A" w14:textId="77777777" w:rsidR="00FD72E4" w:rsidRDefault="00FD72E4">
      <w:pPr>
        <w:rPr>
          <w:b/>
          <w:sz w:val="32"/>
          <w:szCs w:val="32"/>
        </w:rPr>
      </w:pPr>
      <w:r>
        <w:rPr>
          <w:b/>
          <w:sz w:val="32"/>
          <w:szCs w:val="32"/>
        </w:rPr>
        <w:t>Henry Loeser PhD</w:t>
      </w:r>
    </w:p>
    <w:p w14:paraId="74940BEF" w14:textId="77777777" w:rsidR="00FD72E4" w:rsidRDefault="00FD72E4">
      <w:pPr>
        <w:rPr>
          <w:b/>
          <w:sz w:val="32"/>
          <w:szCs w:val="32"/>
        </w:rPr>
      </w:pPr>
    </w:p>
    <w:p w14:paraId="6E9AD44B" w14:textId="77777777" w:rsidR="00FD72E4" w:rsidRDefault="00FD72E4">
      <w:pPr>
        <w:rPr>
          <w:b/>
          <w:sz w:val="32"/>
          <w:szCs w:val="32"/>
        </w:rPr>
      </w:pPr>
    </w:p>
    <w:p w14:paraId="44CF46D8" w14:textId="77777777" w:rsidR="00FD72E4" w:rsidRDefault="00FD72E4">
      <w:pPr>
        <w:rPr>
          <w:b/>
          <w:sz w:val="32"/>
          <w:szCs w:val="32"/>
        </w:rPr>
      </w:pPr>
    </w:p>
    <w:p w14:paraId="555BBF08" w14:textId="5EDDA136" w:rsidR="007E5963" w:rsidRPr="00FD72E4" w:rsidRDefault="007F1126">
      <w:pPr>
        <w:rPr>
          <w:b/>
          <w:sz w:val="32"/>
          <w:szCs w:val="32"/>
        </w:rPr>
      </w:pPr>
      <w:r>
        <w:rPr>
          <w:b/>
          <w:sz w:val="32"/>
          <w:szCs w:val="32"/>
        </w:rPr>
        <w:t>Media Theory</w:t>
      </w:r>
    </w:p>
    <w:p w14:paraId="3BBC79F0" w14:textId="77777777" w:rsidR="007E5963" w:rsidRDefault="007E5963"/>
    <w:p w14:paraId="489EB278" w14:textId="77777777" w:rsidR="007E5963" w:rsidRPr="00E855E6" w:rsidRDefault="007E5963" w:rsidP="009566D9">
      <w:pPr>
        <w:spacing w:line="276" w:lineRule="auto"/>
        <w:rPr>
          <w:rFonts w:eastAsia="TimesNewRomanPSMT" w:cs="TimesNewRomanPSMT"/>
          <w:b/>
          <w:color w:val="000000"/>
          <w:sz w:val="26"/>
          <w:szCs w:val="26"/>
        </w:rPr>
      </w:pPr>
      <w:r w:rsidRPr="00E855E6">
        <w:rPr>
          <w:rFonts w:eastAsia="TimesNewRomanPSMT" w:cs="TimesNewRomanPSMT"/>
          <w:b/>
          <w:color w:val="000000"/>
          <w:sz w:val="26"/>
          <w:szCs w:val="26"/>
        </w:rPr>
        <w:t>Publics</w:t>
      </w:r>
    </w:p>
    <w:p w14:paraId="0B318DF9" w14:textId="0ED44801" w:rsidR="007E5963" w:rsidRPr="00206985" w:rsidRDefault="007E5963" w:rsidP="009566D9">
      <w:pPr>
        <w:spacing w:line="276" w:lineRule="auto"/>
        <w:rPr>
          <w:rFonts w:eastAsia="TimesNewRomanPSMT" w:cs="TimesNewRomanPSMT"/>
          <w:color w:val="000000"/>
        </w:rPr>
      </w:pPr>
      <w:r w:rsidRPr="00AA68D2">
        <w:rPr>
          <w:rFonts w:eastAsia="TimesNewRomanPSMT" w:cs="TimesNewRomanPSMT"/>
          <w:color w:val="000000"/>
        </w:rPr>
        <w:t>Perhaps because community broadcasting is a relatively new concept, with identifiable structures beginning only in the latter half of th</w:t>
      </w:r>
      <w:r>
        <w:rPr>
          <w:rFonts w:eastAsia="TimesNewRomanPSMT" w:cs="TimesNewRomanPSMT"/>
          <w:color w:val="000000"/>
        </w:rPr>
        <w:t>e twentieth century, there is a limited amount</w:t>
      </w:r>
      <w:r w:rsidRPr="00AA68D2">
        <w:rPr>
          <w:rFonts w:eastAsia="TimesNewRomanPSMT" w:cs="TimesNewRomanPSMT"/>
          <w:color w:val="000000"/>
        </w:rPr>
        <w:t xml:space="preserve"> of theory and applied research on the subject</w:t>
      </w:r>
      <w:r>
        <w:rPr>
          <w:rFonts w:eastAsia="TimesNewRomanPSMT" w:cs="TimesNewRomanPSMT"/>
          <w:color w:val="000000"/>
        </w:rPr>
        <w:t xml:space="preserve"> (O'Connor 2004)</w:t>
      </w:r>
      <w:r w:rsidRPr="00AA68D2">
        <w:rPr>
          <w:rFonts w:eastAsia="TimesNewRomanPSMT" w:cs="TimesNewRomanPSMT"/>
          <w:color w:val="000000"/>
        </w:rPr>
        <w:t xml:space="preserve">. In fact, a casual survey of some media studies texts would be hard pressed to even find a mention of community media (Demers 2005), much less a substantial investigation of the phenomenon. Nevertheless, the body of scientific knowledge regarding to community media is growing. Established media theorists as well as new scholars are taking up the challenge and offering their contributions to the field (Gordon 2009). Though </w:t>
      </w:r>
      <w:r w:rsidR="006A640A">
        <w:rPr>
          <w:rFonts w:eastAsia="TimesNewRomanPSMT" w:cs="TimesNewRomanPSMT"/>
          <w:color w:val="000000"/>
        </w:rPr>
        <w:t>currently limited, some</w:t>
      </w:r>
      <w:r w:rsidRPr="00AA68D2">
        <w:rPr>
          <w:rFonts w:eastAsia="TimesNewRomanPSMT" w:cs="TimesNewRomanPSMT"/>
          <w:color w:val="000000"/>
        </w:rPr>
        <w:t xml:space="preserve"> academic institutions are establishing community media courses, curricula, and in some cases bachelor and master degrees of study in the field.</w:t>
      </w:r>
      <w:r w:rsidR="0003469A">
        <w:rPr>
          <w:rStyle w:val="FootnoteReference"/>
          <w:rFonts w:eastAsia="TimesNewRomanPSMT" w:cs="TimesNewRomanPSMT"/>
          <w:color w:val="000000"/>
        </w:rPr>
        <w:footnoteReference w:id="1"/>
      </w:r>
      <w:r w:rsidRPr="00AA68D2">
        <w:rPr>
          <w:rFonts w:eastAsia="TimesNewRomanPSMT" w:cs="TimesNewRomanPSMT"/>
          <w:color w:val="000000"/>
        </w:rPr>
        <w:t xml:space="preserve"> Doctoral and post-doctoral research investi</w:t>
      </w:r>
      <w:r w:rsidR="00615699">
        <w:rPr>
          <w:rFonts w:eastAsia="TimesNewRomanPSMT" w:cs="TimesNewRomanPSMT"/>
          <w:color w:val="000000"/>
        </w:rPr>
        <w:t>gating community broadcasting</w:t>
      </w:r>
      <w:r w:rsidRPr="00AA68D2">
        <w:rPr>
          <w:rFonts w:eastAsia="TimesNewRomanPSMT" w:cs="TimesNewRomanPSMT"/>
          <w:color w:val="000000"/>
        </w:rPr>
        <w:t xml:space="preserve"> is </w:t>
      </w:r>
      <w:r>
        <w:rPr>
          <w:rFonts w:eastAsia="TimesNewRomanPSMT" w:cs="TimesNewRomanPSMT"/>
          <w:color w:val="000000"/>
        </w:rPr>
        <w:t xml:space="preserve">also </w:t>
      </w:r>
      <w:r w:rsidRPr="00AA68D2">
        <w:rPr>
          <w:rFonts w:eastAsia="TimesNewRomanPSMT" w:cs="TimesNewRomanPSMT"/>
          <w:color w:val="000000"/>
        </w:rPr>
        <w:t>adding valuable content to the body of work (Scifo 2012, Doliwa 2015</w:t>
      </w:r>
      <w:r>
        <w:rPr>
          <w:rFonts w:eastAsia="TimesNewRomanPSMT" w:cs="TimesNewRomanPSMT"/>
          <w:color w:val="000000"/>
        </w:rPr>
        <w:t>, Peters 2015</w:t>
      </w:r>
      <w:r w:rsidRPr="00AA68D2">
        <w:rPr>
          <w:rFonts w:eastAsia="TimesNewRomanPSMT" w:cs="TimesNewRomanPSMT"/>
          <w:color w:val="000000"/>
        </w:rPr>
        <w:t xml:space="preserve">). </w:t>
      </w:r>
      <w:r w:rsidR="0003469A">
        <w:rPr>
          <w:rFonts w:eastAsia="TimesNewRomanPSMT" w:cs="TimesNewRomanPSMT"/>
          <w:color w:val="000000"/>
        </w:rPr>
        <w:t>In addition, a UNESCO Chair for Community Media has been established.</w:t>
      </w:r>
      <w:r w:rsidR="0003469A">
        <w:rPr>
          <w:rStyle w:val="FootnoteReference"/>
          <w:rFonts w:eastAsia="TimesNewRomanPSMT" w:cs="TimesNewRomanPSMT"/>
          <w:color w:val="000000"/>
        </w:rPr>
        <w:footnoteReference w:id="2"/>
      </w:r>
      <w:r w:rsidR="0003469A">
        <w:rPr>
          <w:rFonts w:eastAsia="TimesNewRomanPSMT" w:cs="TimesNewRomanPSMT"/>
          <w:color w:val="000000"/>
        </w:rPr>
        <w:t xml:space="preserve"> </w:t>
      </w:r>
      <w:r w:rsidRPr="00AA68D2">
        <w:rPr>
          <w:rFonts w:eastAsia="TimesNewRomanPSMT" w:cs="TimesNewRomanPSMT"/>
          <w:color w:val="000000"/>
        </w:rPr>
        <w:t>These rising experts bring enthusiasm and fresh new perspectives to both academic and advocacy in</w:t>
      </w:r>
      <w:r>
        <w:rPr>
          <w:rFonts w:eastAsia="TimesNewRomanPSMT" w:cs="TimesNewRomanPSMT"/>
          <w:color w:val="000000"/>
        </w:rPr>
        <w:t>itiatives, and in the process inform the discussions centra</w:t>
      </w:r>
      <w:r w:rsidR="00A73C3D">
        <w:rPr>
          <w:rFonts w:eastAsia="TimesNewRomanPSMT" w:cs="TimesNewRomanPSMT"/>
          <w:color w:val="000000"/>
        </w:rPr>
        <w:t>l to the sector.</w:t>
      </w:r>
    </w:p>
    <w:p w14:paraId="07203DE9"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AF3CCD0"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Community media are often described in the context of their attributes and/or functions</w:t>
      </w:r>
      <w:r w:rsidRPr="00206985">
        <w:rPr>
          <w:rFonts w:eastAsia="TimesNewRomanPSMT" w:cs="TimesNewRomanPSMT"/>
          <w:color w:val="000000"/>
        </w:rPr>
        <w:t>, for example Melville (2007</w:t>
      </w:r>
      <w:r>
        <w:rPr>
          <w:rFonts w:eastAsia="TimesNewRomanPSMT" w:cs="TimesNewRomanPSMT"/>
          <w:color w:val="000000"/>
        </w:rPr>
        <w:t>, 16</w:t>
      </w:r>
      <w:r w:rsidRPr="00206985">
        <w:rPr>
          <w:rFonts w:eastAsia="TimesNewRomanPSMT" w:cs="TimesNewRomanPSMT"/>
          <w:color w:val="000000"/>
        </w:rPr>
        <w:t>) describes community broadcasting as being “sustained by the principles of access and participation, volunteerism, diversity</w:t>
      </w:r>
      <w:r>
        <w:rPr>
          <w:rFonts w:eastAsia="TimesNewRomanPSMT" w:cs="TimesNewRomanPSMT"/>
          <w:color w:val="000000"/>
        </w:rPr>
        <w:t>, independence and localism”</w:t>
      </w:r>
      <w:r w:rsidRPr="00206985">
        <w:rPr>
          <w:rFonts w:eastAsia="TimesNewRomanPSMT" w:cs="TimesNewRomanPSMT"/>
          <w:color w:val="000000"/>
        </w:rPr>
        <w:t xml:space="preserve">. </w:t>
      </w:r>
      <w:r>
        <w:rPr>
          <w:rFonts w:eastAsia="TimesNewRomanPSMT" w:cs="TimesNewRomanPSMT"/>
          <w:color w:val="000000"/>
        </w:rPr>
        <w:t xml:space="preserve">Numerous scholars have explored the multifaceted link to social movements as an important attribute of community media (Bob 2005, Juris 2008, Bimber 2015). </w:t>
      </w:r>
      <w:r w:rsidRPr="00206985">
        <w:rPr>
          <w:rFonts w:eastAsia="TimesNewRomanPSMT" w:cs="TimesNewRomanPSMT"/>
          <w:color w:val="000000"/>
        </w:rPr>
        <w:t>On community radio, Pavarala and Malik (2007</w:t>
      </w:r>
      <w:r>
        <w:rPr>
          <w:rFonts w:eastAsia="TimesNewRomanPSMT" w:cs="TimesNewRomanPSMT"/>
          <w:color w:val="000000"/>
        </w:rPr>
        <w:t>, 17</w:t>
      </w:r>
      <w:r w:rsidRPr="00206985">
        <w:rPr>
          <w:rFonts w:eastAsia="TimesNewRomanPSMT" w:cs="TimesNewRomanPSMT"/>
          <w:color w:val="000000"/>
        </w:rPr>
        <w:t xml:space="preserve">) assert: </w:t>
      </w:r>
      <w:r w:rsidRPr="00206985">
        <w:rPr>
          <w:rFonts w:eastAsia="TimesNewRomanPSMT" w:cs="TimesNewRomanPSMT"/>
          <w:iCs/>
          <w:color w:val="000000"/>
        </w:rPr>
        <w:t xml:space="preserve">“A community radio or television station may represent a </w:t>
      </w:r>
      <w:r w:rsidRPr="00206985">
        <w:rPr>
          <w:rFonts w:eastAsia="TimesNewRomanPSMT" w:cs="TimesNewRomanPSMT"/>
          <w:iCs/>
          <w:color w:val="000000"/>
        </w:rPr>
        <w:lastRenderedPageBreak/>
        <w:t>social group, or any combinati</w:t>
      </w:r>
      <w:r>
        <w:rPr>
          <w:rFonts w:eastAsia="TimesNewRomanPSMT" w:cs="TimesNewRomanPSMT"/>
          <w:iCs/>
          <w:color w:val="000000"/>
        </w:rPr>
        <w:t>on of groups, so long as it is 'of, by and for'</w:t>
      </w:r>
      <w:r w:rsidRPr="00206985">
        <w:rPr>
          <w:rFonts w:eastAsia="TimesNewRomanPSMT" w:cs="TimesNewRomanPSMT"/>
          <w:iCs/>
          <w:color w:val="000000"/>
        </w:rPr>
        <w:t xml:space="preserve"> its constituent groups”</w:t>
      </w:r>
      <w:r>
        <w:rPr>
          <w:rFonts w:eastAsia="TimesNewRomanPSMT" w:cs="TimesNewRomanPSMT"/>
          <w:color w:val="000000"/>
        </w:rPr>
        <w:t xml:space="preserve">. </w:t>
      </w:r>
      <w:r w:rsidRPr="00206985">
        <w:rPr>
          <w:rFonts w:eastAsia="TimesNewRomanPSMT" w:cs="TimesNewRomanPSMT"/>
          <w:color w:val="000000"/>
        </w:rPr>
        <w:t xml:space="preserve">South African community broadcasting pioneer Zane Ibrahim from Bush Radio in Cape Town described the phenomenon of community radio as: </w:t>
      </w:r>
      <w:r>
        <w:rPr>
          <w:rFonts w:eastAsia="TimesNewRomanPSMT" w:cs="TimesNewRomanPSMT"/>
          <w:iCs/>
          <w:color w:val="000000"/>
        </w:rPr>
        <w:t>'90% community and 10% radio'</w:t>
      </w:r>
      <w:r>
        <w:rPr>
          <w:rFonts w:eastAsia="TimesNewRomanPSMT" w:cs="TimesNewRomanPSMT"/>
          <w:color w:val="000000"/>
        </w:rPr>
        <w:t xml:space="preserve"> (Korbel and Fogg 2005, </w:t>
      </w:r>
      <w:r w:rsidRPr="00206985">
        <w:rPr>
          <w:rFonts w:eastAsia="TimesNewRomanPSMT" w:cs="TimesNewRomanPSMT"/>
          <w:color w:val="000000"/>
        </w:rPr>
        <w:t>12). His iconic remark reinforces the fundamental and perhaps most important aspect of community broadcasting: the inextricable link to community.</w:t>
      </w:r>
      <w:r>
        <w:rPr>
          <w:rFonts w:eastAsia="TimesNewRomanPSMT" w:cs="TimesNewRomanPSMT"/>
          <w:color w:val="000000"/>
        </w:rPr>
        <w:t xml:space="preserve"> Carpentier, Lie and </w:t>
      </w:r>
      <w:r w:rsidRPr="00206985">
        <w:rPr>
          <w:rFonts w:eastAsia="TimesNewRomanPSMT" w:cs="TimesNewRomanPSMT"/>
          <w:color w:val="000000"/>
        </w:rPr>
        <w:t>Servaes (2003)</w:t>
      </w:r>
      <w:r>
        <w:rPr>
          <w:rFonts w:eastAsia="TimesNewRomanPSMT" w:cs="TimesNewRomanPSMT"/>
          <w:color w:val="000000"/>
        </w:rPr>
        <w:t xml:space="preserve"> </w:t>
      </w:r>
      <w:r w:rsidRPr="00206985">
        <w:rPr>
          <w:rFonts w:eastAsia="TimesNewRomanPSMT" w:cs="TimesNewRomanPSMT"/>
          <w:color w:val="000000"/>
        </w:rPr>
        <w:t>suggest that community media is at once both specific and diverse, and these seemingly incongruous attributes contribute to its conceptual elusiveness. In addressing that elusiveness, they categorize community broadcasting environments and organizations according to a matrix of theoretical approaches, and their work has enabled subsequent researche</w:t>
      </w:r>
      <w:r>
        <w:rPr>
          <w:rFonts w:eastAsia="TimesNewRomanPSMT" w:cs="TimesNewRomanPSMT"/>
          <w:color w:val="000000"/>
        </w:rPr>
        <w:t>rs to examine community media within</w:t>
      </w:r>
      <w:r w:rsidRPr="00206985">
        <w:rPr>
          <w:rFonts w:eastAsia="TimesNewRomanPSMT" w:cs="TimesNewRomanPSMT"/>
          <w:color w:val="000000"/>
        </w:rPr>
        <w:t xml:space="preserve"> a participat</w:t>
      </w:r>
      <w:r>
        <w:rPr>
          <w:rFonts w:eastAsia="TimesNewRomanPSMT" w:cs="TimesNewRomanPSMT"/>
          <w:color w:val="000000"/>
        </w:rPr>
        <w:t>ory context.</w:t>
      </w:r>
    </w:p>
    <w:p w14:paraId="7605381A" w14:textId="77777777" w:rsidR="007E5963" w:rsidRPr="00EE4F07"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146370E" w14:textId="4AE15356" w:rsidR="007E5963" w:rsidRPr="009566D9" w:rsidRDefault="007E5963" w:rsidP="009566D9">
      <w:pPr>
        <w:spacing w:line="276" w:lineRule="auto"/>
      </w:pPr>
      <w:r w:rsidRPr="009566D9">
        <w:t>In their multi-theoretical approach, Carpentier</w:t>
      </w:r>
      <w:r w:rsidR="00A73C3D">
        <w:t>,</w:t>
      </w:r>
      <w:r w:rsidRPr="009566D9">
        <w:t xml:space="preserve"> et al present a mat</w:t>
      </w:r>
      <w:r w:rsidR="00FD72E4">
        <w:t xml:space="preserve">rix of motivations (see Figure </w:t>
      </w:r>
      <w:r w:rsidR="009566D9">
        <w:t>1</w:t>
      </w:r>
      <w:r w:rsidRPr="009566D9">
        <w:t>) that reflects firstly the source of identity for the broadcaster, and secondly the relational dynamic between the public sphere and civil society. In serving a community, the essentialist symbiotic relationship between community and community broadcaster is credited with validating the legitimacy of the medium, and empowers community members to participate. Community broadcasting in this frame can strengthen the identity of multiple constituent groups and facilitate their agency for effecting social change. The relationist orientation of alternative broadcasting, compared to the mainstream, positions community broadcasters as independent and local, with alternative output and funding sources. With these attributes, community broadcasters supplement mainstream media content, contest preconceived popular representations, and resist dominant paradigms (ibid).</w:t>
      </w:r>
    </w:p>
    <w:p w14:paraId="3DBAE66F" w14:textId="77777777" w:rsidR="007E5963" w:rsidRPr="00E855E6" w:rsidRDefault="007E5963" w:rsidP="009566D9">
      <w:pPr>
        <w:pStyle w:val="BodyText"/>
        <w:spacing w:line="276" w:lineRule="auto"/>
      </w:pPr>
    </w:p>
    <w:tbl>
      <w:tblPr>
        <w:tblW w:w="8967" w:type="dxa"/>
        <w:tblInd w:w="93" w:type="dxa"/>
        <w:tblLook w:val="04A0" w:firstRow="1" w:lastRow="0" w:firstColumn="1" w:lastColumn="0" w:noHBand="0" w:noVBand="1"/>
      </w:tblPr>
      <w:tblGrid>
        <w:gridCol w:w="2937"/>
        <w:gridCol w:w="2937"/>
        <w:gridCol w:w="3093"/>
      </w:tblGrid>
      <w:tr w:rsidR="007E5963" w:rsidRPr="002154F9" w14:paraId="10F6C74A" w14:textId="77777777" w:rsidTr="009566D9">
        <w:trPr>
          <w:trHeight w:val="403"/>
        </w:trPr>
        <w:tc>
          <w:tcPr>
            <w:tcW w:w="2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FBB4"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 </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14:paraId="6092F7E3" w14:textId="77777777" w:rsidR="007E5963" w:rsidRPr="002154F9" w:rsidRDefault="007E5963" w:rsidP="009566D9">
            <w:pPr>
              <w:spacing w:line="276" w:lineRule="auto"/>
              <w:jc w:val="center"/>
              <w:rPr>
                <w:rFonts w:ascii="Gill Sans" w:eastAsia="Times New Roman" w:hAnsi="Gill Sans" w:cs="Gill Sans"/>
                <w:b/>
                <w:bCs/>
                <w:color w:val="000000"/>
                <w:sz w:val="22"/>
                <w:szCs w:val="22"/>
              </w:rPr>
            </w:pPr>
            <w:r w:rsidRPr="002154F9">
              <w:rPr>
                <w:rFonts w:ascii="Gill Sans" w:eastAsia="Times New Roman" w:hAnsi="Gill Sans" w:cs="Gill Sans"/>
                <w:b/>
                <w:bCs/>
                <w:color w:val="000000"/>
                <w:sz w:val="22"/>
                <w:szCs w:val="22"/>
              </w:rPr>
              <w:t>Media centered</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013CB4F5" w14:textId="77777777" w:rsidR="007E5963" w:rsidRPr="002154F9" w:rsidRDefault="007E5963" w:rsidP="009566D9">
            <w:pPr>
              <w:spacing w:line="276" w:lineRule="auto"/>
              <w:jc w:val="center"/>
              <w:rPr>
                <w:rFonts w:ascii="Gill Sans" w:eastAsia="Times New Roman" w:hAnsi="Gill Sans" w:cs="Gill Sans"/>
                <w:b/>
                <w:bCs/>
                <w:color w:val="000000"/>
                <w:sz w:val="22"/>
                <w:szCs w:val="22"/>
              </w:rPr>
            </w:pPr>
            <w:r w:rsidRPr="002154F9">
              <w:rPr>
                <w:rFonts w:ascii="Gill Sans" w:eastAsia="Times New Roman" w:hAnsi="Gill Sans" w:cs="Gill Sans"/>
                <w:b/>
                <w:bCs/>
                <w:color w:val="000000"/>
                <w:sz w:val="22"/>
                <w:szCs w:val="22"/>
              </w:rPr>
              <w:t>Society centered</w:t>
            </w:r>
          </w:p>
        </w:tc>
      </w:tr>
      <w:tr w:rsidR="007E5963" w:rsidRPr="002154F9" w14:paraId="7EAF88D7" w14:textId="77777777" w:rsidTr="009566D9">
        <w:trPr>
          <w:trHeight w:val="1132"/>
        </w:trPr>
        <w:tc>
          <w:tcPr>
            <w:tcW w:w="2937" w:type="dxa"/>
            <w:tcBorders>
              <w:top w:val="nil"/>
              <w:left w:val="single" w:sz="4" w:space="0" w:color="auto"/>
              <w:bottom w:val="single" w:sz="4" w:space="0" w:color="auto"/>
              <w:right w:val="single" w:sz="4" w:space="0" w:color="auto"/>
            </w:tcBorders>
            <w:shd w:val="clear" w:color="auto" w:fill="auto"/>
            <w:vAlign w:val="center"/>
            <w:hideMark/>
          </w:tcPr>
          <w:p w14:paraId="664822C5"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Autonomous identity of Community Media (Essentialist)</w:t>
            </w:r>
          </w:p>
        </w:tc>
        <w:tc>
          <w:tcPr>
            <w:tcW w:w="2937" w:type="dxa"/>
            <w:tcBorders>
              <w:top w:val="nil"/>
              <w:left w:val="nil"/>
              <w:bottom w:val="single" w:sz="4" w:space="0" w:color="auto"/>
              <w:right w:val="single" w:sz="4" w:space="0" w:color="auto"/>
            </w:tcBorders>
            <w:shd w:val="clear" w:color="auto" w:fill="auto"/>
            <w:vAlign w:val="center"/>
            <w:hideMark/>
          </w:tcPr>
          <w:p w14:paraId="786AD071"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Serving the community</w:t>
            </w:r>
          </w:p>
        </w:tc>
        <w:tc>
          <w:tcPr>
            <w:tcW w:w="3093" w:type="dxa"/>
            <w:tcBorders>
              <w:top w:val="nil"/>
              <w:left w:val="nil"/>
              <w:bottom w:val="nil"/>
              <w:right w:val="single" w:sz="4" w:space="0" w:color="auto"/>
            </w:tcBorders>
            <w:shd w:val="clear" w:color="auto" w:fill="auto"/>
            <w:vAlign w:val="center"/>
            <w:hideMark/>
          </w:tcPr>
          <w:p w14:paraId="34CB84B9"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Part of civil society</w:t>
            </w:r>
          </w:p>
        </w:tc>
      </w:tr>
      <w:tr w:rsidR="007E5963" w:rsidRPr="002154F9" w14:paraId="30186822" w14:textId="77777777" w:rsidTr="009566D9">
        <w:trPr>
          <w:trHeight w:val="1132"/>
        </w:trPr>
        <w:tc>
          <w:tcPr>
            <w:tcW w:w="2937" w:type="dxa"/>
            <w:tcBorders>
              <w:top w:val="nil"/>
              <w:left w:val="single" w:sz="4" w:space="0" w:color="auto"/>
              <w:bottom w:val="single" w:sz="4" w:space="0" w:color="auto"/>
              <w:right w:val="single" w:sz="4" w:space="0" w:color="auto"/>
            </w:tcBorders>
            <w:shd w:val="clear" w:color="auto" w:fill="auto"/>
            <w:vAlign w:val="center"/>
            <w:hideMark/>
          </w:tcPr>
          <w:p w14:paraId="2F21A5EE"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Identity of Community Media in relation to other identities (Relationist)</w:t>
            </w:r>
          </w:p>
        </w:tc>
        <w:tc>
          <w:tcPr>
            <w:tcW w:w="2937" w:type="dxa"/>
            <w:tcBorders>
              <w:top w:val="nil"/>
              <w:left w:val="nil"/>
              <w:bottom w:val="single" w:sz="4" w:space="0" w:color="auto"/>
              <w:right w:val="single" w:sz="4" w:space="0" w:color="auto"/>
            </w:tcBorders>
            <w:shd w:val="clear" w:color="auto" w:fill="auto"/>
            <w:vAlign w:val="center"/>
            <w:hideMark/>
          </w:tcPr>
          <w:p w14:paraId="38E75ED2"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Alternative to the mainstream</w:t>
            </w:r>
          </w:p>
        </w:tc>
        <w:tc>
          <w:tcPr>
            <w:tcW w:w="3093" w:type="dxa"/>
            <w:tcBorders>
              <w:top w:val="dashed" w:sz="4" w:space="0" w:color="auto"/>
              <w:left w:val="nil"/>
              <w:bottom w:val="single" w:sz="4" w:space="0" w:color="auto"/>
              <w:right w:val="single" w:sz="4" w:space="0" w:color="auto"/>
            </w:tcBorders>
            <w:shd w:val="clear" w:color="auto" w:fill="auto"/>
            <w:vAlign w:val="center"/>
            <w:hideMark/>
          </w:tcPr>
          <w:p w14:paraId="1F2D8372" w14:textId="77777777" w:rsidR="007E5963" w:rsidRPr="002154F9" w:rsidRDefault="007E5963" w:rsidP="009566D9">
            <w:pPr>
              <w:spacing w:line="276" w:lineRule="auto"/>
              <w:jc w:val="center"/>
              <w:rPr>
                <w:rFonts w:ascii="Gill Sans" w:eastAsia="Times New Roman" w:hAnsi="Gill Sans" w:cs="Gill Sans"/>
                <w:color w:val="000000"/>
                <w:sz w:val="22"/>
                <w:szCs w:val="22"/>
              </w:rPr>
            </w:pPr>
            <w:r w:rsidRPr="002154F9">
              <w:rPr>
                <w:rFonts w:ascii="Gill Sans" w:eastAsia="Times New Roman" w:hAnsi="Gill Sans" w:cs="Gill Sans"/>
                <w:color w:val="000000"/>
                <w:sz w:val="22"/>
                <w:szCs w:val="22"/>
              </w:rPr>
              <w:t>Rhizome</w:t>
            </w:r>
          </w:p>
        </w:tc>
      </w:tr>
    </w:tbl>
    <w:p w14:paraId="335FB146" w14:textId="77777777" w:rsidR="007E5963" w:rsidRPr="001358DF" w:rsidRDefault="007E5963" w:rsidP="009566D9">
      <w:pPr>
        <w:pStyle w:val="BodyText"/>
        <w:spacing w:line="276" w:lineRule="auto"/>
        <w:rPr>
          <w:b/>
        </w:rPr>
      </w:pPr>
    </w:p>
    <w:p w14:paraId="7920AADC" w14:textId="4146E56E" w:rsidR="007E5963" w:rsidRPr="00536B98" w:rsidRDefault="007E5963" w:rsidP="009566D9">
      <w:pPr>
        <w:pStyle w:val="Caption"/>
        <w:spacing w:line="276" w:lineRule="auto"/>
        <w:rPr>
          <w:b w:val="0"/>
        </w:rPr>
      </w:pPr>
      <w:bookmarkStart w:id="0" w:name="_Toc290988075"/>
      <w:r w:rsidRPr="00536B98">
        <w:t xml:space="preserve">Figure </w:t>
      </w:r>
      <w:r w:rsidR="00F2076E">
        <w:fldChar w:fldCharType="begin"/>
      </w:r>
      <w:r w:rsidR="00F2076E">
        <w:instrText xml:space="preserve"> SEQ Figure \* ARABIC </w:instrText>
      </w:r>
      <w:r w:rsidR="00F2076E">
        <w:fldChar w:fldCharType="separate"/>
      </w:r>
      <w:r w:rsidR="00A73C3D">
        <w:rPr>
          <w:noProof/>
        </w:rPr>
        <w:t>1</w:t>
      </w:r>
      <w:r w:rsidR="00F2076E">
        <w:rPr>
          <w:noProof/>
        </w:rPr>
        <w:fldChar w:fldCharType="end"/>
      </w:r>
      <w:r w:rsidRPr="00536B98">
        <w:t>: Community Media Typologies</w:t>
      </w:r>
      <w:bookmarkEnd w:id="0"/>
      <w:r w:rsidRPr="00536B98">
        <w:t xml:space="preserve"> (Carpentier, Lie and Servaes 2003)</w:t>
      </w:r>
    </w:p>
    <w:p w14:paraId="7547B15B" w14:textId="77777777" w:rsidR="007E5963" w:rsidRPr="009E5AB0" w:rsidRDefault="007E5963" w:rsidP="009566D9">
      <w:pPr>
        <w:pStyle w:val="BodyText"/>
        <w:spacing w:line="276" w:lineRule="auto"/>
      </w:pPr>
    </w:p>
    <w:p w14:paraId="5A6BDE94" w14:textId="77777777" w:rsidR="007E5963" w:rsidRPr="009E5AB0"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9E5AB0">
        <w:rPr>
          <w:rFonts w:eastAsia="TimesNewRomanPSMT"/>
          <w:color w:val="000000"/>
        </w:rPr>
        <w:t>Where alternative media struct</w:t>
      </w:r>
      <w:bookmarkStart w:id="1" w:name="_GoBack"/>
      <w:bookmarkEnd w:id="1"/>
      <w:r w:rsidRPr="009E5AB0">
        <w:rPr>
          <w:rFonts w:eastAsia="TimesNewRomanPSMT"/>
          <w:color w:val="000000"/>
        </w:rPr>
        <w:t xml:space="preserve">ures exist as a component of civil society, they both reflect and promote their community values internally as an organization, and externally into the societal realm. </w:t>
      </w:r>
      <w:r>
        <w:rPr>
          <w:lang w:val="en-GB"/>
        </w:rPr>
        <w:t xml:space="preserve">Further identifying community broadcasting with civil society, </w:t>
      </w:r>
      <w:r w:rsidRPr="009E5AB0">
        <w:rPr>
          <w:rFonts w:eastAsia="TimesNewRomanPSMT"/>
          <w:color w:val="000000"/>
        </w:rPr>
        <w:t xml:space="preserve">the Irish community media activist Jack Byrne </w:t>
      </w:r>
      <w:r>
        <w:rPr>
          <w:rFonts w:eastAsia="TimesNewRomanPSMT"/>
          <w:color w:val="000000"/>
        </w:rPr>
        <w:t xml:space="preserve">(2006, 34) </w:t>
      </w:r>
      <w:r w:rsidRPr="009E5AB0">
        <w:rPr>
          <w:rFonts w:eastAsia="TimesNewRomanPSMT"/>
          <w:color w:val="000000"/>
        </w:rPr>
        <w:t xml:space="preserve">suggests: </w:t>
      </w:r>
      <w:r w:rsidRPr="009E5AB0">
        <w:rPr>
          <w:rFonts w:eastAsia="TimesNewRomanPSMT"/>
          <w:iCs/>
          <w:color w:val="000000"/>
        </w:rPr>
        <w:t>“Democratic media can develop a specific strategy to become the voice of this emerging civil society, enlarging this network tendency and linking non-profit organizations for greater awareness and strength”.</w:t>
      </w:r>
      <w:r w:rsidRPr="009E5AB0">
        <w:rPr>
          <w:rFonts w:eastAsia="TimesNewRomanPS-BoldMT"/>
          <w:color w:val="000000"/>
        </w:rPr>
        <w:t xml:space="preserve"> </w:t>
      </w:r>
    </w:p>
    <w:p w14:paraId="7746AA9B" w14:textId="77777777" w:rsidR="007E5963" w:rsidRDefault="007E5963" w:rsidP="009566D9">
      <w:pPr>
        <w:spacing w:line="276" w:lineRule="auto"/>
        <w:rPr>
          <w:rFonts w:eastAsia="TimesNewRomanPSMT" w:cs="TimesNewRomanPSMT"/>
          <w:color w:val="000000"/>
        </w:rPr>
      </w:pPr>
    </w:p>
    <w:p w14:paraId="6D0BEA27" w14:textId="2A3BA523" w:rsidR="007E5963" w:rsidRPr="009E5AB0" w:rsidRDefault="007E5963" w:rsidP="009566D9">
      <w:pPr>
        <w:spacing w:line="276" w:lineRule="auto"/>
        <w:rPr>
          <w:rFonts w:eastAsia="TimesNewRomanPSMT" w:cs="TimesNewRomanPSMT"/>
          <w:color w:val="000000"/>
        </w:rPr>
      </w:pPr>
      <w:r>
        <w:rPr>
          <w:rFonts w:eastAsia="TimesNewRomanPSMT" w:cs="TimesNewRomanPSMT"/>
          <w:color w:val="000000"/>
        </w:rPr>
        <w:t>Frances Berrigan (1979, 14) defines</w:t>
      </w:r>
      <w:r w:rsidRPr="009E5AB0">
        <w:rPr>
          <w:rFonts w:eastAsia="TimesNewRomanPSMT" w:cs="TimesNewRomanPSMT"/>
          <w:color w:val="000000"/>
        </w:rPr>
        <w:t xml:space="preserve"> community media as: </w:t>
      </w:r>
      <w:r w:rsidRPr="009E5AB0">
        <w:rPr>
          <w:rFonts w:eastAsia="TimesNewRomanPSMT" w:cs="TimesNewRomanPSMT"/>
          <w:iCs/>
          <w:color w:val="000000"/>
        </w:rPr>
        <w:t>“Adaptations of media for use by the community for whatever purpose the community decides”</w:t>
      </w:r>
      <w:r>
        <w:rPr>
          <w:rFonts w:eastAsia="TimesNewRomanPSMT" w:cs="TimesNewRomanPSMT"/>
          <w:iCs/>
          <w:color w:val="000000"/>
        </w:rPr>
        <w:t>.</w:t>
      </w:r>
      <w:r w:rsidRPr="009E5AB0">
        <w:rPr>
          <w:rFonts w:eastAsia="TimesNewRomanPSMT" w:cs="TimesNewRomanPSMT"/>
          <w:color w:val="000000"/>
        </w:rPr>
        <w:t xml:space="preserve"> </w:t>
      </w:r>
      <w:r>
        <w:rPr>
          <w:rFonts w:eastAsia="TimesNewRomanPSMT" w:cs="TimesNewRomanPSMT"/>
          <w:color w:val="000000"/>
        </w:rPr>
        <w:t xml:space="preserve">Kevin </w:t>
      </w:r>
      <w:r w:rsidRPr="009E5AB0">
        <w:rPr>
          <w:rFonts w:eastAsia="TimesNewRomanPSMT" w:cs="TimesNewRomanPSMT"/>
          <w:color w:val="000000"/>
        </w:rPr>
        <w:t xml:space="preserve">Howley </w:t>
      </w:r>
      <w:r>
        <w:rPr>
          <w:rFonts w:eastAsia="TimesNewRomanPSMT" w:cs="TimesNewRomanPSMT"/>
          <w:color w:val="000000"/>
        </w:rPr>
        <w:t>(2010, 7) states</w:t>
      </w:r>
      <w:r w:rsidRPr="009E5AB0">
        <w:rPr>
          <w:rFonts w:eastAsia="TimesNewRomanPSMT" w:cs="TimesNewRomanPSMT"/>
          <w:color w:val="000000"/>
        </w:rPr>
        <w:t xml:space="preserve"> </w:t>
      </w:r>
      <w:r w:rsidRPr="009E5AB0">
        <w:rPr>
          <w:rFonts w:eastAsia="TimesNewRomanPSMT" w:cs="TimesNewRomanPSMT"/>
          <w:iCs/>
          <w:color w:val="000000"/>
        </w:rPr>
        <w:t>“While dominant media tend to conceal the interconnected and mutually dependent character of social relations, community media work to reveal this fundamental aspect of human communities”</w:t>
      </w:r>
      <w:r w:rsidRPr="009E5AB0">
        <w:rPr>
          <w:rFonts w:eastAsia="TimesNewRomanPSMT" w:cs="TimesNewRomanPSMT"/>
          <w:color w:val="000000"/>
        </w:rPr>
        <w:t>.</w:t>
      </w:r>
      <w:r>
        <w:rPr>
          <w:rFonts w:eastAsia="TimesNewRomanPSMT" w:cs="TimesNewRomanPSMT"/>
          <w:color w:val="000000"/>
        </w:rPr>
        <w:t xml:space="preserve"> </w:t>
      </w:r>
      <w:r w:rsidRPr="009E5AB0">
        <w:rPr>
          <w:rFonts w:eastAsia="TimesNewRomanPSMT" w:cs="TimesNewRomanPSMT"/>
          <w:color w:val="000000"/>
        </w:rPr>
        <w:t>Media scholars have built upon the descriptions of community to examine the corresponding ethos of community media, b</w:t>
      </w:r>
      <w:r w:rsidR="00417ABB">
        <w:rPr>
          <w:rFonts w:eastAsia="TimesNewRomanPSMT" w:cs="TimesNewRomanPSMT"/>
          <w:color w:val="000000"/>
        </w:rPr>
        <w:t>ut may understate</w:t>
      </w:r>
      <w:r>
        <w:rPr>
          <w:rFonts w:eastAsia="TimesNewRomanPSMT" w:cs="TimesNewRomanPSMT"/>
          <w:color w:val="000000"/>
        </w:rPr>
        <w:t xml:space="preserve"> the role of individuals in</w:t>
      </w:r>
      <w:r w:rsidRPr="009E5AB0">
        <w:rPr>
          <w:rFonts w:eastAsia="TimesNewRomanPSMT" w:cs="TimesNewRomanPSMT"/>
          <w:color w:val="000000"/>
        </w:rPr>
        <w:t xml:space="preserve"> deli</w:t>
      </w:r>
      <w:r>
        <w:rPr>
          <w:rFonts w:eastAsia="TimesNewRomanPSMT" w:cs="TimesNewRomanPSMT"/>
          <w:color w:val="000000"/>
        </w:rPr>
        <w:t>berative democracy and the development of the</w:t>
      </w:r>
      <w:r w:rsidRPr="009E5AB0">
        <w:rPr>
          <w:rFonts w:eastAsia="TimesNewRomanPSMT" w:cs="TimesNewRomanPSMT"/>
          <w:color w:val="000000"/>
        </w:rPr>
        <w:t xml:space="preserve"> sector. (Carpentier 2003) suggests that communities are indeed made up of individuals and their agency, which grow lik</w:t>
      </w:r>
      <w:r>
        <w:rPr>
          <w:rFonts w:eastAsia="TimesNewRomanPSMT" w:cs="TimesNewRomanPSMT"/>
          <w:color w:val="000000"/>
        </w:rPr>
        <w:t>e crystals to form a bottom-up</w:t>
      </w:r>
      <w:r w:rsidRPr="009E5AB0">
        <w:rPr>
          <w:rFonts w:eastAsia="TimesNewRomanPSMT" w:cs="TimesNewRomanPSMT"/>
          <w:color w:val="000000"/>
        </w:rPr>
        <w:t xml:space="preserve"> structure of groups and organizations in opposition to the</w:t>
      </w:r>
      <w:r>
        <w:rPr>
          <w:rFonts w:eastAsia="TimesNewRomanPSMT" w:cs="TimesNewRomanPSMT"/>
          <w:color w:val="000000"/>
        </w:rPr>
        <w:t xml:space="preserve"> traditional forces that dominate</w:t>
      </w:r>
      <w:r w:rsidRPr="009E5AB0">
        <w:rPr>
          <w:rFonts w:eastAsia="TimesNewRomanPSMT" w:cs="TimesNewRomanPSMT"/>
          <w:color w:val="000000"/>
        </w:rPr>
        <w:t xml:space="preserve"> commercial and public</w:t>
      </w:r>
      <w:r>
        <w:rPr>
          <w:rFonts w:eastAsia="TimesNewRomanPSMT" w:cs="TimesNewRomanPSMT"/>
          <w:color w:val="000000"/>
        </w:rPr>
        <w:t xml:space="preserve"> service mass media</w:t>
      </w:r>
      <w:r w:rsidRPr="009E5AB0">
        <w:rPr>
          <w:rFonts w:eastAsia="TimesNewRomanPSMT" w:cs="TimesNewRomanPSMT"/>
          <w:color w:val="000000"/>
        </w:rPr>
        <w:t xml:space="preserve"> in much of the world today.</w:t>
      </w:r>
      <w:r>
        <w:rPr>
          <w:rFonts w:eastAsia="TimesNewRomanPSMT" w:cs="TimesNewRomanPSMT"/>
          <w:color w:val="000000"/>
        </w:rPr>
        <w:t xml:space="preserve"> </w:t>
      </w:r>
    </w:p>
    <w:p w14:paraId="7D22BF18" w14:textId="77777777" w:rsidR="007E5963" w:rsidRPr="009566D9" w:rsidRDefault="007E5963" w:rsidP="009566D9">
      <w:pPr>
        <w:spacing w:line="276" w:lineRule="auto"/>
      </w:pPr>
    </w:p>
    <w:p w14:paraId="3909EF55" w14:textId="77777777" w:rsidR="007E5963" w:rsidRPr="009566D9" w:rsidRDefault="007E5963" w:rsidP="009566D9">
      <w:pPr>
        <w:spacing w:line="276" w:lineRule="auto"/>
      </w:pPr>
      <w:r w:rsidRPr="009566D9">
        <w:t>This rhizome effect describes the society-centered role of community media as a connecting hub combining social groups and interests, both internally and externally. Community media and the communities they serve utilize civil society as the site of their sociopolitical activities, firmly situated between the government and commercial sectors in the standard western democratic model. Through their participation in civil society, individuals and groups exercise their human rights of free expression, assembling in public spaces, and communicating through mass media platforms. This phenomenon is exemplified by the ability of a local community broadcaster to link participants to other sectors and institutions, and is especially valuable to promote the communication, cooperation and collaboration that facilitate the development of effective policies and environments for community broadcasting (Carpentier, Lie and Servaes 2003).</w:t>
      </w:r>
    </w:p>
    <w:p w14:paraId="4D2F7435" w14:textId="77777777" w:rsidR="007E5963" w:rsidRDefault="007E5963" w:rsidP="009566D9">
      <w:pPr>
        <w:pStyle w:val="BodyText"/>
        <w:spacing w:line="276" w:lineRule="auto"/>
      </w:pPr>
    </w:p>
    <w:p w14:paraId="3089F769" w14:textId="1BAE30A8" w:rsidR="007E5963" w:rsidRPr="006961E8"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olor w:val="000000"/>
        </w:rPr>
      </w:pPr>
      <w:r>
        <w:rPr>
          <w:rFonts w:eastAsia="TimesNewRomanPSMT" w:cs="TimesNewRomanPSMT"/>
        </w:rPr>
        <w:t xml:space="preserve">While </w:t>
      </w:r>
      <w:r w:rsidRPr="009E5AB0">
        <w:rPr>
          <w:rFonts w:eastAsia="TimesNewRomanPSMT" w:cs="TimesNewRomanPSMT"/>
        </w:rPr>
        <w:t xml:space="preserve">Harcup </w:t>
      </w:r>
      <w:r>
        <w:rPr>
          <w:rFonts w:eastAsia="TimesNewRomanPSMT" w:cs="TimesNewRomanPSMT"/>
        </w:rPr>
        <w:t xml:space="preserve">(2005, 361) </w:t>
      </w:r>
      <w:r w:rsidRPr="009E5AB0">
        <w:rPr>
          <w:rFonts w:eastAsia="TimesNewRomanPSMT" w:cs="TimesNewRomanPSMT"/>
        </w:rPr>
        <w:t>suggests that “</w:t>
      </w:r>
      <w:r w:rsidRPr="009E5AB0">
        <w:rPr>
          <w:rFonts w:eastAsia="TimesNewRomanPSMT" w:cs="TimesNewRomanPSMT"/>
          <w:iCs/>
        </w:rPr>
        <w:t>definitions of alternative media are not fixed or universally accepted”</w:t>
      </w:r>
      <w:r>
        <w:rPr>
          <w:rFonts w:eastAsia="TimesNewRomanPSMT" w:cs="TimesNewRomanPSMT"/>
        </w:rPr>
        <w:t>, c</w:t>
      </w:r>
      <w:r w:rsidRPr="009E5AB0">
        <w:rPr>
          <w:rFonts w:eastAsia="TimesNewRomanPSMT" w:cs="TimesNewRomanPSMT"/>
        </w:rPr>
        <w:t xml:space="preserve">ommunity broadcasting is often </w:t>
      </w:r>
      <w:r w:rsidRPr="009E5AB0">
        <w:rPr>
          <w:rFonts w:eastAsia="TimesNewRomanPSMT" w:cs="TimesNewRomanPSMT"/>
          <w:color w:val="000000"/>
        </w:rPr>
        <w:t xml:space="preserve">defined in opposition to the philosophies and functions of mainstream media that comprise the first two sectors of broadcasting. </w:t>
      </w:r>
      <w:r>
        <w:rPr>
          <w:rFonts w:eastAsia="TimesNewRomanPSMT" w:cs="TimesNewRomanPSMT"/>
          <w:color w:val="000000"/>
        </w:rPr>
        <w:t>Those functions include</w:t>
      </w:r>
      <w:r w:rsidRPr="005C0672">
        <w:rPr>
          <w:rFonts w:eastAsia="TimesNewRomanPSMT" w:cs="TimesNewRomanPSMT"/>
          <w:color w:val="000000"/>
        </w:rPr>
        <w:t xml:space="preserve"> propagating mainstream political views, mainstream culture, and mainstream values (Elghul-Bebawi 2009). </w:t>
      </w:r>
      <w:r w:rsidRPr="005C0672">
        <w:rPr>
          <w:rFonts w:eastAsia="TimesNewRomanPSMT"/>
          <w:color w:val="000000"/>
        </w:rPr>
        <w:t>Public service media are often too closely controlled by political interests, and commercial me</w:t>
      </w:r>
      <w:r>
        <w:rPr>
          <w:rFonts w:eastAsia="TimesNewRomanPSMT"/>
          <w:color w:val="000000"/>
        </w:rPr>
        <w:t xml:space="preserve">dia carry the burden of profit, leading scholars </w:t>
      </w:r>
      <w:r w:rsidRPr="005C0672">
        <w:rPr>
          <w:rFonts w:eastAsia="TimesNewRomanPSMT"/>
          <w:color w:val="000000"/>
        </w:rPr>
        <w:t xml:space="preserve">such as Hollander and Strappers (1992) </w:t>
      </w:r>
      <w:r>
        <w:rPr>
          <w:rFonts w:eastAsia="TimesNewRomanPSMT"/>
          <w:color w:val="000000"/>
        </w:rPr>
        <w:t xml:space="preserve">to </w:t>
      </w:r>
      <w:r w:rsidRPr="005C0672">
        <w:rPr>
          <w:rFonts w:eastAsia="TimesNewRomanPSMT"/>
          <w:color w:val="000000"/>
        </w:rPr>
        <w:t xml:space="preserve">suggest that dominant media have compromised their legitimacy as genuine components of a true public sphere, whereas community broadcasters are free from such constraints. </w:t>
      </w:r>
      <w:r w:rsidRPr="005C0672">
        <w:rPr>
          <w:rFonts w:eastAsia="TimesNewRomanPSMT" w:cs="TimesNewRomanPSMT"/>
          <w:color w:val="000000"/>
        </w:rPr>
        <w:t>Commercial and public service broadcasters offer content comprised of dominant representations designed to attract and se</w:t>
      </w:r>
      <w:r>
        <w:rPr>
          <w:rFonts w:eastAsia="TimesNewRomanPSMT" w:cs="TimesNewRomanPSMT"/>
          <w:color w:val="000000"/>
        </w:rPr>
        <w:t>rve large homogeneous audiences that serve the interests of c</w:t>
      </w:r>
      <w:r w:rsidRPr="005C0672">
        <w:rPr>
          <w:rFonts w:eastAsia="TimesNewRomanPSMT" w:cs="TimesNewRomanPSMT"/>
          <w:color w:val="000000"/>
        </w:rPr>
        <w:t>ommercial corporations, stat</w:t>
      </w:r>
      <w:r>
        <w:rPr>
          <w:rFonts w:eastAsia="TimesNewRomanPSMT" w:cs="TimesNewRomanPSMT"/>
          <w:color w:val="000000"/>
        </w:rPr>
        <w:t>e government, and power elites (Taghizadeh 2012)</w:t>
      </w:r>
      <w:r w:rsidRPr="005C0672">
        <w:rPr>
          <w:rFonts w:eastAsia="TimesNewRomanPSMT" w:cs="TimesNewRomanPSMT"/>
          <w:color w:val="000000"/>
        </w:rPr>
        <w:t>. Many commercial operators do exist in the smaller, local spaces of terrestrial broadcasting, however the consolidation of commercial broadcasting continues unabated, as smaller operators are co-opted by larger groups seeking economies of scale</w:t>
      </w:r>
      <w:r>
        <w:rPr>
          <w:rFonts w:eastAsia="TimesNewRomanPSMT" w:cs="TimesNewRomanPSMT"/>
          <w:color w:val="000000"/>
        </w:rPr>
        <w:t xml:space="preserve"> (Wright 2013, Barnett 2010)</w:t>
      </w:r>
      <w:r w:rsidRPr="005C0672">
        <w:rPr>
          <w:rFonts w:eastAsia="TimesNewRomanPSMT" w:cs="TimesNewRomanPSMT"/>
          <w:color w:val="000000"/>
        </w:rPr>
        <w:t xml:space="preserve">. A similar trend also exists in the public service sector, as shrinking government budgets and competing technologies put stress on public service broadcasters to reduce expenses by cutting local services (Humphreys 2012). </w:t>
      </w:r>
    </w:p>
    <w:p w14:paraId="37E54F09" w14:textId="77777777" w:rsidR="007E5963" w:rsidRPr="005C0672"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315E894"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 New Roman"/>
          <w:spacing w:val="-3"/>
        </w:rPr>
      </w:pPr>
      <w:r w:rsidRPr="005C0672">
        <w:rPr>
          <w:rFonts w:eastAsia="TimesNewRomanPSMT"/>
          <w:color w:val="000000"/>
        </w:rPr>
        <w:t>Some scholars see community broadcasting, juxtaposed against commercial and public service models, as a more appropriate public sp</w:t>
      </w:r>
      <w:r>
        <w:rPr>
          <w:rFonts w:eastAsia="TimesNewRomanPSMT"/>
          <w:color w:val="000000"/>
        </w:rPr>
        <w:t xml:space="preserve">here. </w:t>
      </w:r>
      <w:r w:rsidRPr="005C0672">
        <w:rPr>
          <w:rFonts w:eastAsia="TimesNewRomanPSMT"/>
          <w:color w:val="000000"/>
        </w:rPr>
        <w:t xml:space="preserve">Fairchild </w:t>
      </w:r>
      <w:r>
        <w:rPr>
          <w:rFonts w:eastAsia="TimesNewRomanPSMT"/>
          <w:color w:val="000000"/>
        </w:rPr>
        <w:t xml:space="preserve">(2001:93) notes </w:t>
      </w:r>
      <w:r w:rsidRPr="005C0672">
        <w:rPr>
          <w:rFonts w:eastAsia="TimesNewRomanPSMT"/>
          <w:color w:val="000000"/>
        </w:rPr>
        <w:t>"the nature of the power relations formed between an institution and its constituency are what distinguishes community radio most clearly from public and commercial broadcasting"</w:t>
      </w:r>
      <w:r>
        <w:rPr>
          <w:rFonts w:eastAsia="TimesNewRomanPSMT"/>
          <w:color w:val="000000"/>
        </w:rPr>
        <w:t>, and</w:t>
      </w:r>
      <w:r w:rsidRPr="005C0672">
        <w:rPr>
          <w:rFonts w:eastAsia="TimesNewRomanPSMT"/>
          <w:color w:val="000000"/>
        </w:rPr>
        <w:t xml:space="preserve"> Lewis and Booth </w:t>
      </w:r>
      <w:r>
        <w:rPr>
          <w:rFonts w:eastAsia="TimesNewRomanPSMT"/>
          <w:color w:val="000000"/>
        </w:rPr>
        <w:t xml:space="preserve">(1989) </w:t>
      </w:r>
      <w:r w:rsidRPr="005C0672">
        <w:rPr>
          <w:rFonts w:eastAsia="TimesNewRomanPSMT"/>
          <w:color w:val="000000"/>
        </w:rPr>
        <w:t xml:space="preserve">position community radio </w:t>
      </w:r>
      <w:r>
        <w:rPr>
          <w:rFonts w:eastAsia="TimesNewRomanPSMT"/>
          <w:color w:val="000000"/>
        </w:rPr>
        <w:t xml:space="preserve">versus mainstream commercial and public service </w:t>
      </w:r>
      <w:r w:rsidRPr="005C0672">
        <w:rPr>
          <w:rFonts w:eastAsia="TimesNewRomanPSMT"/>
          <w:color w:val="000000"/>
        </w:rPr>
        <w:t>as "an open or implied criticism of mainstream radio in</w:t>
      </w:r>
      <w:r>
        <w:rPr>
          <w:rFonts w:eastAsia="TimesNewRomanPSMT"/>
          <w:color w:val="000000"/>
        </w:rPr>
        <w:t xml:space="preserve"> either of its two models" (9)</w:t>
      </w:r>
      <w:r w:rsidRPr="005C0672">
        <w:rPr>
          <w:rFonts w:eastAsia="TimesNewRomanPSMT"/>
          <w:color w:val="000000"/>
        </w:rPr>
        <w:t xml:space="preserve">. </w:t>
      </w:r>
      <w:r>
        <w:rPr>
          <w:rFonts w:eastAsia="Times New Roman"/>
          <w:spacing w:val="-3"/>
        </w:rPr>
        <w:t xml:space="preserve">The </w:t>
      </w:r>
      <w:r>
        <w:rPr>
          <w:rFonts w:eastAsia="TimesNewRomanPSMT"/>
          <w:color w:val="000000"/>
        </w:rPr>
        <w:t>degradation of Habermas'</w:t>
      </w:r>
      <w:r w:rsidRPr="005C0672">
        <w:rPr>
          <w:rFonts w:eastAsia="TimesNewRomanPSMT"/>
          <w:color w:val="000000"/>
        </w:rPr>
        <w:t xml:space="preserve"> public sphere by these dominant media result</w:t>
      </w:r>
      <w:r>
        <w:rPr>
          <w:rFonts w:eastAsia="TimesNewRomanPSMT"/>
          <w:color w:val="000000"/>
        </w:rPr>
        <w:t>s</w:t>
      </w:r>
      <w:r w:rsidRPr="005C0672">
        <w:rPr>
          <w:rFonts w:eastAsia="TimesNewRomanPSMT"/>
          <w:color w:val="000000"/>
        </w:rPr>
        <w:t xml:space="preserve"> in what </w:t>
      </w:r>
      <w:r w:rsidRPr="005C0672">
        <w:rPr>
          <w:rFonts w:eastAsia="Times New Roman"/>
          <w:spacing w:val="-3"/>
        </w:rPr>
        <w:t>Hardt (2001</w:t>
      </w:r>
      <w:r>
        <w:rPr>
          <w:rFonts w:eastAsia="Times New Roman"/>
          <w:spacing w:val="-3"/>
        </w:rPr>
        <w:t>, 43</w:t>
      </w:r>
      <w:r w:rsidRPr="005C0672">
        <w:rPr>
          <w:rFonts w:eastAsia="Times New Roman"/>
          <w:spacing w:val="-3"/>
        </w:rPr>
        <w:t>) describes as: "a flat, shallow mass production of symbols, denying the individual access to the real dep</w:t>
      </w:r>
      <w:r>
        <w:rPr>
          <w:rFonts w:eastAsia="Times New Roman"/>
          <w:spacing w:val="-3"/>
        </w:rPr>
        <w:t>th and understanding of life"</w:t>
      </w:r>
      <w:r w:rsidRPr="005C0672">
        <w:rPr>
          <w:rFonts w:eastAsia="Times New Roman"/>
          <w:spacing w:val="-3"/>
        </w:rPr>
        <w:t xml:space="preserve">. </w:t>
      </w:r>
      <w:r>
        <w:rPr>
          <w:rFonts w:eastAsia="Times New Roman"/>
          <w:spacing w:val="-3"/>
        </w:rPr>
        <w:t xml:space="preserve"> </w:t>
      </w:r>
    </w:p>
    <w:p w14:paraId="2A886D94"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 New Roman"/>
          <w:spacing w:val="-3"/>
        </w:rPr>
      </w:pPr>
    </w:p>
    <w:p w14:paraId="4EE08B53"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rPr>
      </w:pPr>
      <w:r w:rsidRPr="009E5AB0">
        <w:rPr>
          <w:rFonts w:eastAsia="TimesNewRomanPSMT" w:cs="TimesNewRomanPSMT"/>
          <w:color w:val="000000"/>
        </w:rPr>
        <w:t xml:space="preserve">Herman and McChesney </w:t>
      </w:r>
      <w:r>
        <w:rPr>
          <w:rFonts w:eastAsia="TimesNewRomanPSMT" w:cs="TimesNewRomanPSMT"/>
          <w:color w:val="000000"/>
        </w:rPr>
        <w:t xml:space="preserve">(1998) see mainstream media as </w:t>
      </w:r>
      <w:r w:rsidRPr="009E5AB0">
        <w:rPr>
          <w:rFonts w:eastAsia="TimesNewRomanPSMT" w:cs="TimesNewRomanPSMT"/>
          <w:color w:val="000000"/>
        </w:rPr>
        <w:t>becoming even more national and homogenous in content, while becoming less diverse and less responsive to the needs and interests of local communities</w:t>
      </w:r>
      <w:r>
        <w:rPr>
          <w:rFonts w:eastAsia="TimesNewRomanPSMT" w:cs="TimesNewRomanPSMT"/>
          <w:color w:val="000000"/>
        </w:rPr>
        <w:t>.</w:t>
      </w:r>
      <w:r w:rsidRPr="009E5AB0">
        <w:rPr>
          <w:rFonts w:eastAsia="TimesNewRomanPSMT" w:cs="TimesNewRomanPSMT"/>
          <w:color w:val="000000"/>
        </w:rPr>
        <w:t xml:space="preserve"> </w:t>
      </w:r>
      <w:r>
        <w:rPr>
          <w:rFonts w:eastAsia="TimesNewRomanPSMT" w:cs="TimesNewRomanPSMT"/>
        </w:rPr>
        <w:t>The rise of community broadcasting on local FM radio and cable television since the 1990s has subsequently created viable alternative broadcasting in societies across the world (Rennie 2006, Downing 2011). In the United States, the Low Power FM (LPFM) role in providing alternative output was revealed in a 2015 report from the media regulator Federal Communications Commission (FCC). The commission noted the important diversity of output exhibited by the LPFMs in comparison to commercial radios, with 32% of LPFM formats reported as "miscellaneous", compared to 1% of their commercial FM counterparts.</w:t>
      </w:r>
      <w:r>
        <w:rPr>
          <w:rStyle w:val="FootnoteReference"/>
          <w:rFonts w:eastAsia="TimesNewRomanPSMT" w:cs="TimesNewRomanPSMT"/>
        </w:rPr>
        <w:footnoteReference w:id="3"/>
      </w:r>
    </w:p>
    <w:p w14:paraId="174DD0B6" w14:textId="77777777" w:rsidR="007E5963" w:rsidRDefault="007E5963" w:rsidP="009566D9">
      <w:pPr>
        <w:pStyle w:val="BodyText"/>
        <w:spacing w:line="276" w:lineRule="auto"/>
      </w:pPr>
    </w:p>
    <w:p w14:paraId="1F4C9CA1" w14:textId="77777777" w:rsidR="007E5963" w:rsidRDefault="007E5963" w:rsidP="009566D9">
      <w:pPr>
        <w:spacing w:line="276" w:lineRule="auto"/>
      </w:pPr>
      <w:r w:rsidRPr="00A71132">
        <w:t>In his</w:t>
      </w:r>
      <w:r>
        <w:t xml:space="preserve"> study</w:t>
      </w:r>
      <w:r w:rsidRPr="00A71132">
        <w:rPr>
          <w:rFonts w:eastAsia="TimesNewRomanPSMT" w:cs="TimesNewRomanPSMT"/>
          <w:color w:val="000000"/>
        </w:rPr>
        <w:t xml:space="preserve"> “Empowering Radio: Good Practices in Development and Operation of Community Radio in Five Nations” the community radio researcher and advocate Bruce Girard (2007) of Fondacion Comunica authored a comprehensive account of community radio in five nations across both Latin America and Europe, positioning the sector in larger societal socio-political contexts. Based on available information without any new empirical research, Mr. Girard made note of the dearth of new research carried out in the community broadcasting sphere. The report provides a good foundation for comparative analyses with regard to policy, sustainability, and social/cultural representations by community radio and its participants.</w:t>
      </w:r>
    </w:p>
    <w:p w14:paraId="59217D0A" w14:textId="77777777" w:rsidR="007E5963" w:rsidRPr="009E5AB0" w:rsidRDefault="007E5963" w:rsidP="009566D9">
      <w:pPr>
        <w:pStyle w:val="BodyText"/>
        <w:spacing w:line="276" w:lineRule="auto"/>
      </w:pPr>
    </w:p>
    <w:p w14:paraId="0E800632" w14:textId="77777777" w:rsidR="00DD4520" w:rsidRDefault="00DD4520"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p>
    <w:p w14:paraId="607A6362" w14:textId="77777777" w:rsidR="00DD4520" w:rsidRDefault="00DD4520"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p>
    <w:p w14:paraId="74C6DD71" w14:textId="77777777" w:rsidR="007E5963" w:rsidRP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r w:rsidRPr="007E5963">
        <w:rPr>
          <w:rFonts w:eastAsia="TimesNewRomanPSMT" w:cs="TimesNewRomanPSMT"/>
          <w:b/>
          <w:color w:val="000000"/>
          <w:sz w:val="28"/>
          <w:szCs w:val="28"/>
        </w:rPr>
        <w:t>Participants</w:t>
      </w:r>
    </w:p>
    <w:p w14:paraId="0C2A3F13" w14:textId="41C6AA68" w:rsidR="007E5963" w:rsidRDefault="00170445" w:rsidP="009566D9">
      <w:pPr>
        <w:spacing w:line="276" w:lineRule="auto"/>
        <w:rPr>
          <w:rFonts w:eastAsia="TimesNewRomanPSMT" w:cs="TimesNewRomanPSMT"/>
          <w:color w:val="000000"/>
        </w:rPr>
      </w:pPr>
      <w:r>
        <w:rPr>
          <w:rFonts w:eastAsia="TimesNewRomanPSMT" w:cs="TimesNewRomanPSMT"/>
          <w:color w:val="000000"/>
        </w:rPr>
        <w:t>So what are the</w:t>
      </w:r>
      <w:r w:rsidR="007E5963" w:rsidRPr="009E5AB0">
        <w:rPr>
          <w:rFonts w:eastAsia="TimesNewRomanPSMT" w:cs="TimesNewRomanPSMT"/>
          <w:color w:val="000000"/>
        </w:rPr>
        <w:t xml:space="preserve"> expectations, roles, rights and responsibilities </w:t>
      </w:r>
      <w:r>
        <w:rPr>
          <w:rFonts w:eastAsia="TimesNewRomanPSMT" w:cs="TimesNewRomanPSMT"/>
          <w:color w:val="000000"/>
        </w:rPr>
        <w:t xml:space="preserve">of participants </w:t>
      </w:r>
      <w:r w:rsidR="007E5963" w:rsidRPr="009E5AB0">
        <w:rPr>
          <w:rFonts w:eastAsia="TimesNewRomanPSMT" w:cs="TimesNewRomanPSMT"/>
          <w:color w:val="000000"/>
        </w:rPr>
        <w:t>as they actively participate in commu</w:t>
      </w:r>
      <w:r>
        <w:rPr>
          <w:rFonts w:eastAsia="TimesNewRomanPSMT" w:cs="TimesNewRomanPSMT"/>
          <w:color w:val="000000"/>
        </w:rPr>
        <w:t>nity broadcasting organizations?</w:t>
      </w:r>
      <w:r w:rsidR="007E5963">
        <w:rPr>
          <w:rFonts w:eastAsia="TimesNewRomanPSMT" w:cs="TimesNewRomanPSMT"/>
          <w:color w:val="000000"/>
        </w:rPr>
        <w:t xml:space="preserve"> </w:t>
      </w:r>
      <w:r w:rsidR="00BC7CAC" w:rsidRPr="009E5AB0">
        <w:rPr>
          <w:rFonts w:eastAsia="TimesNewRomanPSMT" w:cs="TimesNewRomanPSMT"/>
          <w:color w:val="000000"/>
        </w:rPr>
        <w:t xml:space="preserve">As is the case with many concepts related to community broadcasting, the notion/s of access and participation is at once complex and multifaceted, overlapping in its components and explanations. </w:t>
      </w:r>
      <w:r w:rsidR="00BC7CAC">
        <w:rPr>
          <w:rFonts w:eastAsia="TimesNewRomanPSMT" w:cs="TimesNewRomanPSMT"/>
          <w:color w:val="000000"/>
        </w:rPr>
        <w:t>F</w:t>
      </w:r>
      <w:r w:rsidR="00BC7CAC" w:rsidRPr="009E5AB0">
        <w:rPr>
          <w:rFonts w:eastAsia="TimesNewRomanPSMT" w:cs="TimesNewRomanPSMT"/>
          <w:color w:val="000000"/>
        </w:rPr>
        <w:t xml:space="preserve">or </w:t>
      </w:r>
      <w:r w:rsidR="00BC7CAC">
        <w:rPr>
          <w:rFonts w:eastAsia="TimesNewRomanPSMT" w:cs="TimesNewRomanPSMT"/>
          <w:color w:val="000000"/>
        </w:rPr>
        <w:t>the purposes of this text</w:t>
      </w:r>
      <w:r w:rsidR="00BC7CAC" w:rsidRPr="009E5AB0">
        <w:rPr>
          <w:rFonts w:eastAsia="TimesNewRomanPSMT" w:cs="TimesNewRomanPSMT"/>
          <w:color w:val="000000"/>
        </w:rPr>
        <w:t>, the term “participation” relates not to receiving or consuming media output, but rather the participation in the production and delivery of content.</w:t>
      </w:r>
      <w:r w:rsidR="00BC7CAC">
        <w:rPr>
          <w:rFonts w:eastAsia="TimesNewRomanPSMT" w:cs="TimesNewRomanPSMT"/>
          <w:color w:val="000000"/>
        </w:rPr>
        <w:t xml:space="preserve"> </w:t>
      </w:r>
      <w:r w:rsidR="00BC7CAC" w:rsidRPr="009E5AB0">
        <w:rPr>
          <w:rFonts w:eastAsia="TimesNewRomanPSMT" w:cs="TimesNewRomanPSMT"/>
          <w:color w:val="000000"/>
        </w:rPr>
        <w:t>Access for an individual or group of individuals with a common free speech agenda in today's world often involves having access to mass media structures, which can include the microphone, camera and transmission facilities of a community broadcaster</w:t>
      </w:r>
      <w:r w:rsidR="00BC7CAC">
        <w:rPr>
          <w:rFonts w:eastAsia="TimesNewRomanPSMT" w:cs="TimesNewRomanPSMT"/>
          <w:color w:val="000000"/>
        </w:rPr>
        <w:t xml:space="preserve">. </w:t>
      </w:r>
      <w:r w:rsidR="00B645D0" w:rsidRPr="00E959A3">
        <w:rPr>
          <w:rFonts w:eastAsia="TimesNewRomanPSMT" w:cs="TimesNewRomanPSMT"/>
          <w:color w:val="000000"/>
        </w:rPr>
        <w:t>The legitimacy of participation in media is a right and responsibility of citizens in pluralistic democratic societies (Rodriguez 2001)</w:t>
      </w:r>
      <w:r w:rsidR="00B645D0">
        <w:rPr>
          <w:rFonts w:eastAsia="TimesNewRomanPSMT" w:cs="TimesNewRomanPSMT"/>
          <w:color w:val="000000"/>
        </w:rPr>
        <w:t xml:space="preserve">, </w:t>
      </w:r>
      <w:r w:rsidR="00B645D0">
        <w:rPr>
          <w:rFonts w:eastAsia="TimesNewRomanPSMT" w:cs="TimesNewRomanPSMT"/>
        </w:rPr>
        <w:t>and b</w:t>
      </w:r>
      <w:r w:rsidR="00B645D0" w:rsidRPr="00E959A3">
        <w:rPr>
          <w:rFonts w:eastAsia="TimesNewRomanPSMT" w:cs="TimesNewRomanPSMT"/>
          <w:color w:val="000000"/>
        </w:rPr>
        <w:t>ecause community media are highly democratic in philosophy and structure</w:t>
      </w:r>
      <w:r w:rsidR="00B645D0">
        <w:rPr>
          <w:rFonts w:eastAsia="TimesNewRomanPSMT" w:cs="TimesNewRomanPSMT"/>
          <w:color w:val="000000"/>
        </w:rPr>
        <w:t>,</w:t>
      </w:r>
      <w:r w:rsidR="00B645D0" w:rsidRPr="00E959A3">
        <w:rPr>
          <w:rFonts w:eastAsia="TimesNewRomanPSMT" w:cs="TimesNewRomanPSMT"/>
          <w:color w:val="000000"/>
        </w:rPr>
        <w:t xml:space="preserve"> they can be seen as legitimate and productive contributors to a public sphere of participation and discourse (</w:t>
      </w:r>
      <w:r w:rsidR="00B645D0">
        <w:rPr>
          <w:rFonts w:eastAsia="TimesNewRomanPSMT" w:cs="TimesNewRomanPSMT"/>
          <w:color w:val="000000"/>
        </w:rPr>
        <w:t>Melody 1990, Devereux 2007). P</w:t>
      </w:r>
      <w:r w:rsidR="00B645D0" w:rsidRPr="009E5AB0">
        <w:rPr>
          <w:rFonts w:eastAsia="TimesNewRomanPSMT" w:cs="TimesNewRomanPSMT"/>
          <w:color w:val="000000"/>
        </w:rPr>
        <w:t xml:space="preserve">articipation in the </w:t>
      </w:r>
      <w:r w:rsidR="00B645D0">
        <w:rPr>
          <w:rFonts w:eastAsia="TimesNewRomanPSMT" w:cs="TimesNewRomanPSMT"/>
          <w:color w:val="000000"/>
        </w:rPr>
        <w:t>democratic public sphere depends</w:t>
      </w:r>
      <w:r w:rsidR="00B645D0" w:rsidRPr="009E5AB0">
        <w:rPr>
          <w:rFonts w:eastAsia="TimesNewRomanPSMT" w:cs="TimesNewRomanPSMT"/>
          <w:color w:val="000000"/>
        </w:rPr>
        <w:t xml:space="preserve"> on the r</w:t>
      </w:r>
      <w:r w:rsidR="00B645D0">
        <w:rPr>
          <w:rFonts w:eastAsia="TimesNewRomanPSMT" w:cs="TimesNewRomanPSMT"/>
          <w:color w:val="000000"/>
        </w:rPr>
        <w:t xml:space="preserve">ight to communicate for actors </w:t>
      </w:r>
      <w:r w:rsidR="00B645D0" w:rsidRPr="009E5AB0">
        <w:rPr>
          <w:rFonts w:eastAsia="TimesNewRomanPSMT" w:cs="TimesNewRomanPSMT"/>
          <w:color w:val="000000"/>
        </w:rPr>
        <w:t>of all types by accessing media platforms for their individual and community productions (Fisher and Harms 1982).</w:t>
      </w:r>
      <w:r w:rsidR="00B645D0">
        <w:rPr>
          <w:rFonts w:eastAsia="TimesNewRomanPSMT" w:cs="TimesNewRomanPSMT"/>
          <w:color w:val="000000"/>
        </w:rPr>
        <w:t xml:space="preserve"> </w:t>
      </w:r>
      <w:r w:rsidR="007E5963" w:rsidRPr="00206985">
        <w:rPr>
          <w:rFonts w:eastAsia="TimesNewRomanPSMT" w:cs="TimesNewRomanPSMT"/>
          <w:color w:val="000000"/>
        </w:rPr>
        <w:t xml:space="preserve">Carpentier </w:t>
      </w:r>
      <w:r w:rsidR="007E5963">
        <w:rPr>
          <w:rFonts w:eastAsia="TimesNewRomanPSMT" w:cs="TimesNewRomanPSMT"/>
          <w:color w:val="000000"/>
        </w:rPr>
        <w:t>(2011, 179) describes participation in community broadcasting as</w:t>
      </w:r>
      <w:r w:rsidR="007E5963" w:rsidRPr="00206985">
        <w:rPr>
          <w:rFonts w:eastAsia="TimesNewRomanPSMT" w:cs="TimesNewRomanPSMT"/>
          <w:color w:val="000000"/>
        </w:rPr>
        <w:t xml:space="preserve"> </w:t>
      </w:r>
      <w:r w:rsidR="007E5963">
        <w:rPr>
          <w:rFonts w:eastAsia="TimesNewRomanPSMT" w:cs="TimesNewRomanPSMT"/>
          <w:iCs/>
          <w:color w:val="000000"/>
        </w:rPr>
        <w:t>“t</w:t>
      </w:r>
      <w:r w:rsidR="007E5963" w:rsidRPr="00206985">
        <w:rPr>
          <w:rFonts w:eastAsia="TimesNewRomanPSMT" w:cs="TimesNewRomanPSMT"/>
          <w:iCs/>
          <w:color w:val="000000"/>
        </w:rPr>
        <w:t xml:space="preserve">he articulation of the concept of ordinary people – for instance as an active, relevant social group with valuable opinions and knowledges, or as a passive mass – contributes to (pre)structuring the positions people can take in society, and may enable or limit their </w:t>
      </w:r>
      <w:r w:rsidR="007E5963">
        <w:rPr>
          <w:rFonts w:eastAsia="TimesNewRomanPSMT" w:cs="TimesNewRomanPSMT"/>
          <w:iCs/>
          <w:color w:val="000000"/>
        </w:rPr>
        <w:t>role in participatory processes</w:t>
      </w:r>
      <w:r w:rsidR="007E5963" w:rsidRPr="00206985">
        <w:rPr>
          <w:rFonts w:eastAsia="TimesNewRomanPSMT" w:cs="TimesNewRomanPSMT"/>
          <w:iCs/>
          <w:color w:val="000000"/>
        </w:rPr>
        <w:t>”</w:t>
      </w:r>
      <w:r w:rsidR="007E5963" w:rsidRPr="00206985">
        <w:rPr>
          <w:rFonts w:eastAsia="TimesNewRomanPSMT" w:cs="TimesNewRomanPSMT"/>
          <w:color w:val="000000"/>
        </w:rPr>
        <w:t>.</w:t>
      </w:r>
      <w:r w:rsidR="007E5963">
        <w:rPr>
          <w:rFonts w:eastAsia="TimesNewRomanPSMT" w:cs="TimesNewRomanPSMT"/>
          <w:color w:val="000000"/>
        </w:rPr>
        <w:t xml:space="preserve"> </w:t>
      </w:r>
      <w:r w:rsidR="007E5963">
        <w:rPr>
          <w:rFonts w:eastAsia="Times New Roman"/>
        </w:rPr>
        <w:t xml:space="preserve">Melucci (1989, 174) suggests that participation has a double meaning: “It means both taking part, that is, acting so as to promote the interests and the needs of an actor as well as belonging to a system, identifying with the ‘general interests’ of the community.” </w:t>
      </w:r>
    </w:p>
    <w:p w14:paraId="4BC27BAA" w14:textId="77777777" w:rsidR="007E5963" w:rsidRPr="009E5AB0" w:rsidRDefault="007E5963" w:rsidP="009566D9">
      <w:pPr>
        <w:spacing w:line="276" w:lineRule="auto"/>
        <w:rPr>
          <w:rFonts w:eastAsia="TimesNewRomanPSMT" w:cs="TimesNewRomanPSMT"/>
          <w:color w:val="000000"/>
        </w:rPr>
      </w:pPr>
    </w:p>
    <w:p w14:paraId="7F0F18B2" w14:textId="768BCD5D" w:rsidR="007E5963" w:rsidRPr="00D7266F"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9E5AB0">
        <w:rPr>
          <w:rFonts w:eastAsia="TimesNewRomanPSMT" w:cs="TimesNewRomanPSMT"/>
          <w:color w:val="000000"/>
        </w:rPr>
        <w:t>Access is a bedrock component of the community broadcasting paradigm according to Berrigan (1979</w:t>
      </w:r>
      <w:r>
        <w:rPr>
          <w:rFonts w:eastAsia="TimesNewRomanPSMT" w:cs="TimesNewRomanPSMT"/>
          <w:color w:val="000000"/>
        </w:rPr>
        <w:t>, 8</w:t>
      </w:r>
      <w:r w:rsidRPr="009E5AB0">
        <w:rPr>
          <w:rFonts w:eastAsia="TimesNewRomanPSMT" w:cs="TimesNewRomanPSMT"/>
          <w:color w:val="000000"/>
        </w:rPr>
        <w:t xml:space="preserve">): </w:t>
      </w:r>
      <w:r w:rsidRPr="009E5AB0">
        <w:rPr>
          <w:rFonts w:eastAsia="TimesNewRomanPSMT" w:cs="TimesNewRomanPSMT"/>
          <w:iCs/>
          <w:color w:val="000000"/>
        </w:rPr>
        <w:t>“Community media are media to which members of the community have access for information, education, and entertainment when they want it. They are the means of expression of the community, rather than for the community”</w:t>
      </w:r>
      <w:r w:rsidRPr="009E5AB0">
        <w:rPr>
          <w:rFonts w:eastAsia="TimesNewRomanPSMT" w:cs="TimesNewRomanPSMT"/>
          <w:color w:val="000000"/>
        </w:rPr>
        <w:t xml:space="preserve">. </w:t>
      </w:r>
      <w:r w:rsidRPr="009E5AB0">
        <w:t>Access-driven participants in this alternative public sphere seek, first and foremost, the right to communicate, and with that they expect the freedom to</w:t>
      </w:r>
      <w:r>
        <w:t xml:space="preserve"> produce content they so choose. </w:t>
      </w:r>
      <w:r w:rsidRPr="009E5AB0">
        <w:t>Peter Lewis (1993</w:t>
      </w:r>
      <w:r>
        <w:t>, 12</w:t>
      </w:r>
      <w:r w:rsidRPr="009E5AB0">
        <w:t>)</w:t>
      </w:r>
      <w:r>
        <w:t xml:space="preserve"> suggests</w:t>
      </w:r>
      <w:r w:rsidRPr="009E5AB0">
        <w:t xml:space="preserve"> </w:t>
      </w:r>
      <w:r w:rsidRPr="009E5AB0">
        <w:rPr>
          <w:rFonts w:eastAsia="TimesNewRomanPSMT" w:cs="TimesNewRomanPSMT"/>
          <w:iCs/>
          <w:color w:val="000000"/>
        </w:rPr>
        <w:t>“Access is the processes that permit users to provide relatively open and unedited input to the mass media”</w:t>
      </w:r>
      <w:r w:rsidRPr="009E5AB0">
        <w:rPr>
          <w:rFonts w:eastAsia="TimesNewRomanPSMT" w:cs="TimesNewRomanPSMT"/>
          <w:color w:val="000000"/>
        </w:rPr>
        <w:t xml:space="preserve">.. </w:t>
      </w:r>
      <w:r w:rsidRPr="009E5AB0">
        <w:t>James Curran (1998</w:t>
      </w:r>
      <w:r>
        <w:t>, 196</w:t>
      </w:r>
      <w:r w:rsidRPr="009E5AB0">
        <w:t>) speaks of a movement for changing priorities in the broadcasting paradigm “which is intent upon extending social access and expanding the range of</w:t>
      </w:r>
      <w:r>
        <w:t xml:space="preserve"> voices and views on air”</w:t>
      </w:r>
      <w:r w:rsidRPr="009E5AB0">
        <w:t xml:space="preserve">.  </w:t>
      </w:r>
    </w:p>
    <w:p w14:paraId="0133731B" w14:textId="77777777" w:rsidR="007E5963" w:rsidRPr="009E5AB0"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iCs/>
          <w:color w:val="000000"/>
        </w:rPr>
      </w:pPr>
    </w:p>
    <w:p w14:paraId="14045E67" w14:textId="04DD5F1E" w:rsidR="007E5963" w:rsidRDefault="00C94027"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9E5AB0">
        <w:rPr>
          <w:rFonts w:eastAsia="TimesNewRomanPSMT" w:cs="TimesNewRomanPSMT"/>
          <w:color w:val="000000"/>
        </w:rPr>
        <w:t xml:space="preserve">Ultimately, access is an important function of community broadcasting, but as is the case </w:t>
      </w:r>
      <w:r>
        <w:rPr>
          <w:rFonts w:eastAsia="TimesNewRomanPSMT" w:cs="TimesNewRomanPSMT"/>
          <w:color w:val="000000"/>
        </w:rPr>
        <w:t>in many mixed-model</w:t>
      </w:r>
      <w:r w:rsidRPr="009E5AB0">
        <w:rPr>
          <w:rFonts w:eastAsia="TimesNewRomanPSMT" w:cs="TimesNewRomanPSMT"/>
          <w:color w:val="000000"/>
        </w:rPr>
        <w:t xml:space="preserve"> broadcasting environments and organizations, it is symbiotically related to other functions and phenomena. </w:t>
      </w:r>
      <w:r w:rsidR="007E5963" w:rsidRPr="009E5AB0">
        <w:rPr>
          <w:rFonts w:eastAsia="TimesNewRomanPSMT" w:cs="TimesNewRomanPSMT"/>
          <w:color w:val="000000"/>
        </w:rPr>
        <w:t>The access seekers may be exercising their democratic right and duty to participate in civil society, but access by definition do</w:t>
      </w:r>
      <w:r w:rsidR="007E5963">
        <w:rPr>
          <w:rFonts w:eastAsia="TimesNewRomanPSMT" w:cs="TimesNewRomanPSMT"/>
          <w:color w:val="000000"/>
        </w:rPr>
        <w:t>es not require such an identity;</w:t>
      </w:r>
      <w:r w:rsidR="007E5963" w:rsidRPr="009E5AB0">
        <w:rPr>
          <w:rFonts w:eastAsia="TimesNewRomanPSMT" w:cs="TimesNewRomanPSMT"/>
          <w:color w:val="000000"/>
        </w:rPr>
        <w:t xml:space="preserve"> it only presumes that a person or group </w:t>
      </w:r>
      <w:r w:rsidR="007E5963">
        <w:rPr>
          <w:rFonts w:eastAsia="TimesNewRomanPSMT" w:cs="TimesNewRomanPSMT"/>
          <w:color w:val="000000"/>
        </w:rPr>
        <w:t xml:space="preserve">of producers </w:t>
      </w:r>
      <w:r w:rsidR="007E5963" w:rsidRPr="009E5AB0">
        <w:rPr>
          <w:rFonts w:eastAsia="TimesNewRomanPSMT" w:cs="TimesNewRomanPSMT"/>
          <w:color w:val="000000"/>
        </w:rPr>
        <w:t xml:space="preserve">utilizes the media form in some manner (Higgins 2007). </w:t>
      </w:r>
    </w:p>
    <w:p w14:paraId="3B96A6FD" w14:textId="77777777" w:rsidR="00C93589" w:rsidRPr="00C93589" w:rsidRDefault="00C93589"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06A65C61"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rPr>
      </w:pPr>
      <w:r w:rsidRPr="009935D2">
        <w:rPr>
          <w:rFonts w:eastAsia="TimesNewRomanPSMT" w:cs="TimesNewRomanPSMT"/>
        </w:rPr>
        <w:t>Communities constituted of ethnically diverse citizens are historically active in dev</w:t>
      </w:r>
      <w:r>
        <w:rPr>
          <w:rFonts w:eastAsia="TimesNewRomanPSMT" w:cs="TimesNewRomanPSMT"/>
        </w:rPr>
        <w:t>eloping alternative media forms, and</w:t>
      </w:r>
      <w:r w:rsidRPr="009935D2">
        <w:rPr>
          <w:rFonts w:eastAsia="TimesNewRomanPSMT" w:cs="TimesNewRomanPSMT"/>
        </w:rPr>
        <w:t xml:space="preserve"> are often tasked by mandates from policy guidelines to ameliorate institutionalized lack of ethnic diversity in s</w:t>
      </w:r>
      <w:r>
        <w:rPr>
          <w:rFonts w:eastAsia="TimesNewRomanPSMT" w:cs="TimesNewRomanPSMT"/>
        </w:rPr>
        <w:t>ociety</w:t>
      </w:r>
      <w:r w:rsidRPr="009935D2">
        <w:rPr>
          <w:rFonts w:eastAsia="TimesNewRomanPSMT" w:cs="TimesNewRomanPSMT"/>
        </w:rPr>
        <w:t xml:space="preserve"> </w:t>
      </w:r>
      <w:r>
        <w:rPr>
          <w:rFonts w:eastAsia="TimesNewRomanPSMT" w:cs="TimesNewRomanPSMT"/>
        </w:rPr>
        <w:t xml:space="preserve">(Downing and Husband 2005). </w:t>
      </w:r>
      <w:r w:rsidRPr="009935D2">
        <w:rPr>
          <w:rFonts w:eastAsia="TimesNewRomanPSMT" w:cs="TimesNewRomanPSMT"/>
        </w:rPr>
        <w:t>Citing the role of community radio in the United Kingdom, Guy Starkey (2011</w:t>
      </w:r>
      <w:r>
        <w:rPr>
          <w:rFonts w:eastAsia="TimesNewRomanPSMT" w:cs="TimesNewRomanPSMT"/>
        </w:rPr>
        <w:t>, 14</w:t>
      </w:r>
      <w:r w:rsidRPr="009935D2">
        <w:rPr>
          <w:rFonts w:eastAsia="TimesNewRomanPSMT" w:cs="TimesNewRomanPSMT"/>
        </w:rPr>
        <w:t>) asserts: “</w:t>
      </w:r>
      <w:r w:rsidRPr="009935D2">
        <w:rPr>
          <w:rFonts w:eastAsia="TimesNewRomanPSMT" w:cs="TimesNewRomanPSMT"/>
          <w:iCs/>
        </w:rPr>
        <w:t>Local media (including local radio) can reflect and encourage cultural diversity within small and large populations.”</w:t>
      </w:r>
      <w:r w:rsidRPr="009935D2">
        <w:rPr>
          <w:rFonts w:eastAsia="TimesNewRomanPSMT" w:cs="TimesNewRomanPSMT"/>
        </w:rPr>
        <w:t>. For example, in the UK more than 30 licensed community radios are owned and operated by ethnic community groups, and hundreds more broadcast some ethnic programming.</w:t>
      </w:r>
      <w:r w:rsidRPr="009935D2">
        <w:rPr>
          <w:rFonts w:eastAsia="TimesNewRomanPSMT" w:cs="TimesNewRomanPSMT"/>
          <w:vertAlign w:val="superscript"/>
        </w:rPr>
        <w:footnoteReference w:id="4"/>
      </w:r>
      <w:r>
        <w:rPr>
          <w:rFonts w:eastAsia="TimesNewRomanPSMT" w:cs="TimesNewRomanPSMT"/>
        </w:rPr>
        <w:t xml:space="preserve"> </w:t>
      </w:r>
      <w:r w:rsidRPr="009935D2">
        <w:rPr>
          <w:rFonts w:eastAsia="TimesNewRomanPSMT" w:cs="TimesNewRomanPSMT"/>
        </w:rPr>
        <w:t>Mainstream media tend to under represent and/or erroneously represent ethnic and minority groups, marginalizing them in comparison to more popular not</w:t>
      </w:r>
      <w:r>
        <w:rPr>
          <w:rFonts w:eastAsia="TimesNewRomanPSMT" w:cs="TimesNewRomanPSMT"/>
        </w:rPr>
        <w:t>ions of their role in society, whereas alternative</w:t>
      </w:r>
      <w:r w:rsidRPr="009935D2">
        <w:rPr>
          <w:rFonts w:eastAsia="TimesNewRomanPSMT" w:cs="TimesNewRomanPSMT"/>
        </w:rPr>
        <w:t xml:space="preserve"> media can do the opposite by illuminating and educating minority as well as majority population audiences (Matsaganis, Katz and Ball- Rokeach 2011). “Multiethnic” and “non-discrimin</w:t>
      </w:r>
      <w:r>
        <w:rPr>
          <w:rFonts w:eastAsia="TimesNewRomanPSMT" w:cs="TimesNewRomanPSMT"/>
        </w:rPr>
        <w:t xml:space="preserve">atory” are terms that exhibit </w:t>
      </w:r>
      <w:r w:rsidRPr="009935D2">
        <w:rPr>
          <w:rFonts w:eastAsia="TimesNewRomanPSMT" w:cs="TimesNewRomanPSMT"/>
        </w:rPr>
        <w:t>the philosophy of diversity in the personnel makeup of community broadcastin</w:t>
      </w:r>
      <w:r>
        <w:rPr>
          <w:rFonts w:eastAsia="TimesNewRomanPSMT" w:cs="TimesNewRomanPSMT"/>
        </w:rPr>
        <w:t>g organizations (Mitchell 2011). U</w:t>
      </w:r>
      <w:r w:rsidRPr="009935D2">
        <w:rPr>
          <w:rFonts w:eastAsia="TimesNewRomanPSMT" w:cs="TimesNewRomanPSMT"/>
        </w:rPr>
        <w:t xml:space="preserve">nderserved minority groups in </w:t>
      </w:r>
      <w:r>
        <w:rPr>
          <w:rFonts w:eastAsia="TimesNewRomanPSMT" w:cs="TimesNewRomanPSMT"/>
        </w:rPr>
        <w:t xml:space="preserve">such organizations </w:t>
      </w:r>
      <w:r w:rsidRPr="009935D2">
        <w:rPr>
          <w:rFonts w:eastAsia="TimesNewRomanPSMT" w:cs="TimesNewRomanPSMT"/>
        </w:rPr>
        <w:t>have the opportunity to develop their social and political capacities</w:t>
      </w:r>
      <w:r>
        <w:rPr>
          <w:rFonts w:eastAsia="TimesNewRomanPSMT" w:cs="TimesNewRomanPSMT"/>
        </w:rPr>
        <w:t xml:space="preserve"> through participation as producers, managers, and even owners</w:t>
      </w:r>
      <w:r w:rsidRPr="009935D2">
        <w:rPr>
          <w:rFonts w:eastAsia="TimesNewRomanPSMT" w:cs="TimesNewRomanPSMT"/>
        </w:rPr>
        <w:t xml:space="preserve"> (Borger and Bellardi 2010). </w:t>
      </w:r>
    </w:p>
    <w:p w14:paraId="3732A93D"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p>
    <w:p w14:paraId="2D936540"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p>
    <w:p w14:paraId="0AA004CC"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p>
    <w:p w14:paraId="37E4B098" w14:textId="77777777" w:rsidR="007E5963" w:rsidRP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r w:rsidRPr="007E5963">
        <w:rPr>
          <w:rFonts w:eastAsia="TimesNewRomanPSMT" w:cs="TimesNewRomanPSMT"/>
          <w:b/>
          <w:color w:val="000000"/>
          <w:sz w:val="28"/>
          <w:szCs w:val="28"/>
        </w:rPr>
        <w:t xml:space="preserve">Policy </w:t>
      </w:r>
    </w:p>
    <w:p w14:paraId="5B5790AF" w14:textId="5417EEE3"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rPr>
      </w:pPr>
      <w:r>
        <w:rPr>
          <w:rFonts w:eastAsia="TimesNewRomanPSMT" w:cs="TimesNewRomanPSMT"/>
        </w:rPr>
        <w:t>Media policy is</w:t>
      </w:r>
      <w:r w:rsidRPr="00E959A3">
        <w:rPr>
          <w:rFonts w:eastAsia="TimesNewRomanPSMT" w:cs="TimesNewRomanPSMT"/>
        </w:rPr>
        <w:t xml:space="preserve"> rooted in the social, economic and political governance of the</w:t>
      </w:r>
      <w:r>
        <w:rPr>
          <w:rFonts w:eastAsia="TimesNewRomanPSMT" w:cs="TimesNewRomanPSMT"/>
        </w:rPr>
        <w:t xml:space="preserve"> society in which it is situated (Golding and Murdoch 1991), and the </w:t>
      </w:r>
      <w:r w:rsidRPr="009935D2">
        <w:rPr>
          <w:rFonts w:eastAsia="TimesNewRomanPSMT" w:cs="TimesNewRomanPSMT"/>
        </w:rPr>
        <w:t>articulation of cultural policy in many western democrac</w:t>
      </w:r>
      <w:r>
        <w:rPr>
          <w:rFonts w:eastAsia="TimesNewRomanPSMT" w:cs="TimesNewRomanPSMT"/>
        </w:rPr>
        <w:t>ies is often influenced by the policies enabling pluralism</w:t>
      </w:r>
      <w:r w:rsidRPr="009935D2">
        <w:rPr>
          <w:rFonts w:eastAsia="TimesNewRomanPSMT" w:cs="TimesNewRomanPSMT"/>
        </w:rPr>
        <w:t xml:space="preserve"> in media (Ellmeier and Ratzenbock 2001).</w:t>
      </w:r>
      <w:r>
        <w:rPr>
          <w:rFonts w:eastAsia="TimesNewRomanPSMT" w:cs="TimesNewRomanPSMT"/>
          <w:color w:val="000000"/>
        </w:rPr>
        <w:t xml:space="preserve"> Community broadcasters</w:t>
      </w:r>
      <w:r w:rsidRPr="00E959A3">
        <w:rPr>
          <w:rFonts w:eastAsia="TimesNewRomanPSMT" w:cs="TimesNewRomanPSMT"/>
          <w:color w:val="000000"/>
        </w:rPr>
        <w:t xml:space="preserve"> rely upon policy and regulation to facilitate the successful operation of radio and television platforms through which they access</w:t>
      </w:r>
      <w:r w:rsidR="0004540E">
        <w:rPr>
          <w:rFonts w:eastAsia="TimesNewRomanPSMT" w:cs="TimesNewRomanPSMT"/>
          <w:color w:val="000000"/>
        </w:rPr>
        <w:t xml:space="preserve"> the public sphere, and scholars have argued that the regulatory environment can have a profound effect on the behavior of community broadcasting participants and their organizations (Rennie 2006, Howley 2010, Buckley 2008, Gosztonyi 2013). </w:t>
      </w:r>
      <w:r>
        <w:rPr>
          <w:rFonts w:eastAsia="TimesNewRomanPSMT" w:cs="TimesNewRomanPSMT"/>
          <w:color w:val="000000"/>
        </w:rPr>
        <w:t>The Council of Europe</w:t>
      </w:r>
      <w:r>
        <w:rPr>
          <w:rStyle w:val="FootnoteReference"/>
          <w:rFonts w:eastAsia="TimesNewRomanPSMT" w:cs="TimesNewRomanPSMT"/>
          <w:color w:val="000000"/>
        </w:rPr>
        <w:footnoteReference w:id="5"/>
      </w:r>
      <w:r>
        <w:rPr>
          <w:rFonts w:eastAsia="TimesNewRomanPSMT" w:cs="TimesNewRomanPSMT"/>
          <w:color w:val="000000"/>
        </w:rPr>
        <w:t xml:space="preserve">  has recognized the importance of policy to third sector media by proclaiming </w:t>
      </w:r>
      <w:r w:rsidRPr="00B20F4C">
        <w:rPr>
          <w:rFonts w:eastAsia="TimesNewRomanPSMT" w:cs="TimesNewRomanPSMT"/>
          <w:color w:val="000000"/>
        </w:rPr>
        <w:t xml:space="preserve">“Member states should encourage the development of other media capable of making a contribution to pluralism and diversity and providing a space for dialogue. These media could, for example, take the form of community, </w:t>
      </w:r>
      <w:r>
        <w:rPr>
          <w:rFonts w:eastAsia="TimesNewRomanPSMT" w:cs="TimesNewRomanPSMT"/>
          <w:color w:val="000000"/>
        </w:rPr>
        <w:t>local, minority or social media</w:t>
      </w:r>
      <w:r w:rsidRPr="00B20F4C">
        <w:rPr>
          <w:rFonts w:eastAsia="TimesNewRomanPSMT" w:cs="TimesNewRomanPSMT"/>
          <w:color w:val="000000"/>
        </w:rPr>
        <w:t>”</w:t>
      </w:r>
      <w:r>
        <w:rPr>
          <w:rFonts w:eastAsia="TimesNewRomanPSMT" w:cs="TimesNewRomanPSMT"/>
          <w:color w:val="000000"/>
        </w:rPr>
        <w:t xml:space="preserve">. Buckley (2008, 3) argues that policy considerations for community broadcasting should </w:t>
      </w:r>
      <w:r>
        <w:rPr>
          <w:rFonts w:eastAsia="Times New Roman"/>
        </w:rPr>
        <w:t>be "fair, open, transparent, and clearly defined by law, with criteria developed in consultation with civil society".</w:t>
      </w:r>
    </w:p>
    <w:p w14:paraId="49565EC4"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rPr>
      </w:pPr>
    </w:p>
    <w:p w14:paraId="117E7333"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rPr>
        <w:t xml:space="preserve">The policy development process is also informed and influenced by actors in government, business and civil society (Powell 2013) in what Hogwood and Gunn (1984, 24) understand as a "process involving many sub-processes" of discussion and debate. </w:t>
      </w:r>
      <w:r>
        <w:rPr>
          <w:rFonts w:eastAsia="TimesNewRomanPSMT" w:cs="TimesNewRomanPSMT"/>
          <w:color w:val="000000"/>
        </w:rPr>
        <w:t>These processes could be seen as the actualization of an</w:t>
      </w:r>
      <w:r w:rsidRPr="008276B2">
        <w:rPr>
          <w:rFonts w:eastAsia="TimesNewRomanPSMT" w:cs="TimesNewRomanPSMT"/>
          <w:color w:val="000000"/>
        </w:rPr>
        <w:t xml:space="preserve"> idea</w:t>
      </w:r>
      <w:r>
        <w:rPr>
          <w:rFonts w:eastAsia="TimesNewRomanPSMT" w:cs="TimesNewRomanPSMT"/>
          <w:color w:val="000000"/>
        </w:rPr>
        <w:t>,</w:t>
      </w:r>
      <w:r w:rsidRPr="008276B2">
        <w:rPr>
          <w:rFonts w:eastAsia="TimesNewRomanPSMT" w:cs="TimesNewRomanPSMT"/>
          <w:color w:val="000000"/>
        </w:rPr>
        <w:t xml:space="preserve"> </w:t>
      </w:r>
      <w:r>
        <w:rPr>
          <w:rFonts w:eastAsia="TimesNewRomanPSMT" w:cs="TimesNewRomanPSMT"/>
          <w:color w:val="000000"/>
        </w:rPr>
        <w:t>facilitated by the system of policy development.</w:t>
      </w:r>
      <w:r w:rsidRPr="008276B2">
        <w:rPr>
          <w:rFonts w:eastAsia="TimesNewRomanPSMT" w:cs="TimesNewRomanPSMT"/>
          <w:color w:val="000000"/>
        </w:rPr>
        <w:t xml:space="preserve"> </w:t>
      </w:r>
      <w:r>
        <w:rPr>
          <w:rFonts w:eastAsia="TimesNewRomanPSMT" w:cs="TimesNewRomanPSMT"/>
          <w:color w:val="000000"/>
        </w:rPr>
        <w:t>Harold Lasswell (1971, 28)</w:t>
      </w:r>
      <w:r w:rsidRPr="008276B2">
        <w:rPr>
          <w:rFonts w:eastAsia="TimesNewRomanPSMT" w:cs="TimesNewRomanPSMT"/>
          <w:color w:val="000000"/>
        </w:rPr>
        <w:t xml:space="preserve"> identified a number of distinct stages of</w:t>
      </w:r>
      <w:r>
        <w:rPr>
          <w:rFonts w:eastAsia="TimesNewRomanPSMT" w:cs="TimesNewRomanPSMT"/>
          <w:color w:val="000000"/>
        </w:rPr>
        <w:t xml:space="preserve"> policy creation:</w:t>
      </w:r>
    </w:p>
    <w:p w14:paraId="3B1637E1"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E6A9019"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1. Agenda</w:t>
      </w:r>
    </w:p>
    <w:p w14:paraId="3926F55C"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2. Policy Formulation</w:t>
      </w:r>
    </w:p>
    <w:p w14:paraId="269FA1F1"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3. Decision-Making</w:t>
      </w:r>
    </w:p>
    <w:p w14:paraId="55145405"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4. Implementation</w:t>
      </w:r>
    </w:p>
    <w:p w14:paraId="07E829DF"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5. Evaluation</w:t>
      </w:r>
    </w:p>
    <w:p w14:paraId="709B129F"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rPr>
      </w:pPr>
    </w:p>
    <w:p w14:paraId="082649F6" w14:textId="34146030" w:rsidR="007E5963" w:rsidRPr="00D86668"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rPr>
        <w:t>In democratic societies, the policy development process ostensibly takes place in a complex system of public-private interaction of actors and institutions cooperating to achieve policies deemed equitable to all sectors (Kingdon 1984). However, tensions among these informants can lead to conflict and policy destabilization, and increase the need for public intervention in defense of a democratic public sphere (Mansell and Raboy 2011).</w:t>
      </w:r>
      <w:r w:rsidRPr="00B20F4C">
        <w:rPr>
          <w:rFonts w:eastAsia="TimesNewRomanPSMT" w:cs="TimesNewRomanPSMT"/>
          <w:color w:val="000000"/>
        </w:rPr>
        <w:t xml:space="preserve"> </w:t>
      </w:r>
      <w:r>
        <w:rPr>
          <w:rFonts w:eastAsia="TimesNewRomanPSMT" w:cs="TimesNewRomanPSMT"/>
          <w:color w:val="000000"/>
        </w:rPr>
        <w:t>Coyer</w:t>
      </w:r>
      <w:r w:rsidR="0004540E">
        <w:rPr>
          <w:rFonts w:eastAsia="TimesNewRomanPSMT" w:cs="TimesNewRomanPSMT"/>
          <w:color w:val="000000"/>
        </w:rPr>
        <w:t xml:space="preserve"> and Hintz (2010, 275) observe that:</w:t>
      </w:r>
      <w:r>
        <w:rPr>
          <w:rFonts w:eastAsia="TimesNewRomanPSMT" w:cs="TimesNewRomanPSMT"/>
          <w:color w:val="000000"/>
        </w:rPr>
        <w:t xml:space="preserve"> "</w:t>
      </w:r>
      <w:r w:rsidRPr="00B20F4C">
        <w:rPr>
          <w:rFonts w:eastAsia="TimesNewRomanPSMT" w:cs="TimesNewRomanPSMT"/>
          <w:color w:val="000000"/>
        </w:rPr>
        <w:t>Community media advocates are emerging as significant actors in media reform movements and efforts to orient policy environments towards more democratic normative and legal frameworks</w:t>
      </w:r>
      <w:r>
        <w:rPr>
          <w:rFonts w:eastAsia="TimesNewRomanPSMT" w:cs="TimesNewRomanPSMT"/>
          <w:color w:val="000000"/>
        </w:rPr>
        <w:t>"</w:t>
      </w:r>
      <w:r w:rsidRPr="00B20F4C">
        <w:rPr>
          <w:rFonts w:eastAsia="TimesNewRomanPSMT" w:cs="TimesNewRomanPSMT"/>
          <w:color w:val="000000"/>
        </w:rPr>
        <w:t>.</w:t>
      </w:r>
    </w:p>
    <w:p w14:paraId="3FF020EF" w14:textId="77777777" w:rsidR="007E5963" w:rsidRPr="00E959A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0E53634A"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014C6E8"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t xml:space="preserve">The </w:t>
      </w:r>
      <w:r w:rsidRPr="00E959A3">
        <w:t xml:space="preserve">relationship between </w:t>
      </w:r>
      <w:r>
        <w:t>the efficacy of media and the</w:t>
      </w:r>
      <w:r w:rsidRPr="00E959A3">
        <w:t xml:space="preserve"> media policy </w:t>
      </w:r>
      <w:r>
        <w:t xml:space="preserve">that governs them </w:t>
      </w:r>
      <w:r w:rsidRPr="00E959A3">
        <w:t>serv</w:t>
      </w:r>
      <w:r>
        <w:t xml:space="preserve">es to define and categorize </w:t>
      </w:r>
      <w:r w:rsidRPr="00E959A3">
        <w:t xml:space="preserve">nations and their community media environments (Price-Davies and Tacchi 2001). </w:t>
      </w:r>
      <w:r w:rsidRPr="00E959A3">
        <w:rPr>
          <w:rFonts w:eastAsia="TimesNewRomanPSMT" w:cs="TimesNewRomanPSMT"/>
          <w:color w:val="000000"/>
        </w:rPr>
        <w:t xml:space="preserve">Regulation is a key dimension of the overall construction of any media environment, and a model from which to compare systems. In their comparative media systems analysis, Hallin and Mancini (2004) argue that media governance and regulation are a product of the larger political paradigm in which they are situated. </w:t>
      </w:r>
      <w:r>
        <w:rPr>
          <w:rFonts w:eastAsia="TimesNewRomanPSMT" w:cs="TimesNewRomanPSMT"/>
          <w:color w:val="000000"/>
        </w:rPr>
        <w:t xml:space="preserve">The authors </w:t>
      </w:r>
      <w:r w:rsidRPr="00E959A3">
        <w:rPr>
          <w:rFonts w:eastAsia="TimesNewRomanPSMT" w:cs="TimesNewRomanPSMT"/>
          <w:color w:val="000000"/>
        </w:rPr>
        <w:t xml:space="preserve">created a composite of variables essential to understanding Western media systems in the frame of three models that reflect the socio-political environment that media operate in, and the subsequent forms of media organisms which evolve within those environments. The </w:t>
      </w:r>
      <w:r>
        <w:rPr>
          <w:rFonts w:eastAsia="TimesNewRomanPSMT" w:cs="TimesNewRomanPSMT"/>
          <w:color w:val="000000"/>
        </w:rPr>
        <w:t>three environments are</w:t>
      </w:r>
    </w:p>
    <w:p w14:paraId="281F6E86"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8DFE604"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1. Mediterranean Polarized Pluralist: minimal civil society - government cooperation, dysfunctional media legislation and regulation, over-commercialization, and restricted access to the broadcasting public sphere for alternative media (Spain, Italy, Greece)</w:t>
      </w:r>
    </w:p>
    <w:p w14:paraId="20881167"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F10701D"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2. North Atlantic Liberal: minimal civil society - government cooperation, powerful commercial sector, functional public service sector, functional media legislation and regulation, limited access to broadcasting public sphere for alternative media (USA, UK, Ireland)</w:t>
      </w:r>
    </w:p>
    <w:p w14:paraId="54A9DE41"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3C035AA"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3. North Central European Democratic Corporatist: extensive civil society - government cooperation, functional media legislation and regulation, limited commercialization, strong public service sector, extensive access to broadcast public sphere for alternative media (Denmark, Netherlands, Germany)</w:t>
      </w:r>
    </w:p>
    <w:p w14:paraId="4FD76A43"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6146C53"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Hallin and Mancini's original work has generated scholarly debates, some raised by the authors in a subsequent text, related to assumptions about the universality of the models (Hallin and Mancini 2012), the lack of consideration for cultural influences Jakubowicz (2010), and the authors predictions on the effects of globalization in transforming media systems</w:t>
      </w:r>
      <w:r w:rsidRPr="00F51E2F">
        <w:rPr>
          <w:rFonts w:eastAsia="TimesNewRomanPSMT" w:cs="TimesNewRomanPSMT"/>
          <w:color w:val="000000"/>
        </w:rPr>
        <w:t xml:space="preserve"> </w:t>
      </w:r>
      <w:r>
        <w:rPr>
          <w:rFonts w:eastAsia="TimesNewRomanPSMT" w:cs="TimesNewRomanPSMT"/>
          <w:color w:val="000000"/>
        </w:rPr>
        <w:t xml:space="preserve">Hardy (2008). Other scholars have built upon the Hallin and Mancini composite to produce subsequent research. Dobek-Ostrowska </w:t>
      </w:r>
      <w:r w:rsidRPr="0064328B">
        <w:rPr>
          <w:rFonts w:eastAsia="TimesNewRomanPSMT" w:cs="TimesNewRomanPSMT"/>
          <w:i/>
          <w:color w:val="000000"/>
        </w:rPr>
        <w:t>et al</w:t>
      </w:r>
      <w:r>
        <w:rPr>
          <w:rFonts w:eastAsia="TimesNewRomanPSMT" w:cs="TimesNewRomanPSMT"/>
          <w:color w:val="000000"/>
        </w:rPr>
        <w:t xml:space="preserve"> (2010) published their edited volume of media systems in Central and Eastern Europe, while Blum (2005),</w:t>
      </w:r>
      <w:r w:rsidRPr="00772F65">
        <w:rPr>
          <w:rFonts w:eastAsia="TimesNewRomanPSMT" w:cs="TimesNewRomanPSMT"/>
          <w:color w:val="000000"/>
        </w:rPr>
        <w:t xml:space="preserve"> </w:t>
      </w:r>
      <w:r>
        <w:rPr>
          <w:rFonts w:eastAsia="TimesNewRomanPSMT" w:cs="TimesNewRomanPSMT"/>
          <w:color w:val="000000"/>
        </w:rPr>
        <w:t xml:space="preserve">and Curran </w:t>
      </w:r>
      <w:r w:rsidRPr="0064328B">
        <w:rPr>
          <w:rFonts w:eastAsia="TimesNewRomanPSMT" w:cs="TimesNewRomanPSMT"/>
          <w:i/>
          <w:color w:val="000000"/>
        </w:rPr>
        <w:t>et al</w:t>
      </w:r>
      <w:r>
        <w:rPr>
          <w:rFonts w:eastAsia="TimesNewRomanPSMT" w:cs="TimesNewRomanPSMT"/>
          <w:color w:val="000000"/>
        </w:rPr>
        <w:t xml:space="preserve"> (2009) conducted studies that further explored the relationship between media and political environments. </w:t>
      </w:r>
    </w:p>
    <w:p w14:paraId="288C79C8"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028A807"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iCs/>
          <w:color w:val="000000"/>
        </w:rPr>
      </w:pPr>
      <w:r>
        <w:rPr>
          <w:rFonts w:eastAsia="TimesNewRomanPSMT" w:cs="TimesNewRomanPSMT"/>
          <w:color w:val="000000"/>
        </w:rPr>
        <w:t xml:space="preserve">In an initiative to assess media policy, </w:t>
      </w:r>
      <w:r w:rsidRPr="00973D20">
        <w:rPr>
          <w:rFonts w:eastAsia="TimesNewRomanPSMT" w:cs="TimesNewRomanPSMT"/>
          <w:color w:val="000000"/>
        </w:rPr>
        <w:t>Th</w:t>
      </w:r>
      <w:r>
        <w:rPr>
          <w:rFonts w:eastAsia="TimesNewRomanPSMT" w:cs="TimesNewRomanPSMT"/>
          <w:color w:val="000000"/>
        </w:rPr>
        <w:t>e European Commission</w:t>
      </w:r>
      <w:r>
        <w:rPr>
          <w:rStyle w:val="FootnoteReference"/>
          <w:rFonts w:eastAsia="TimesNewRomanPSMT" w:cs="TimesNewRomanPSMT"/>
          <w:color w:val="000000"/>
        </w:rPr>
        <w:footnoteReference w:id="6"/>
      </w:r>
      <w:r>
        <w:rPr>
          <w:rFonts w:eastAsia="TimesNewRomanPSMT" w:cs="TimesNewRomanPSMT"/>
          <w:color w:val="000000"/>
        </w:rPr>
        <w:t xml:space="preserve"> financed a 2009 </w:t>
      </w:r>
      <w:r w:rsidRPr="00F775D1">
        <w:rPr>
          <w:rFonts w:eastAsia="TimesNewRomanPSMT" w:cs="TimesNewRomanPSMT"/>
          <w:color w:val="000000"/>
        </w:rPr>
        <w:t xml:space="preserve">research project identifying indicators of media </w:t>
      </w:r>
      <w:r>
        <w:rPr>
          <w:rFonts w:eastAsia="TimesNewRomanPSMT" w:cs="TimesNewRomanPSMT"/>
          <w:color w:val="000000"/>
        </w:rPr>
        <w:t xml:space="preserve">pluralism in member states that </w:t>
      </w:r>
      <w:r w:rsidRPr="00F775D1">
        <w:rPr>
          <w:rFonts w:eastAsia="TimesNewRomanPSMT" w:cs="TimesNewRomanPSMT"/>
          <w:color w:val="000000"/>
        </w:rPr>
        <w:t>created a media pluralism monitoring tool for identifying threats based on legal, economic and/or socio-cultural consideration. The contributors included several recognized community media experts such as Josef Trappel of Austria and the late Karol Jakub</w:t>
      </w:r>
      <w:r>
        <w:rPr>
          <w:rFonts w:eastAsia="TimesNewRomanPSMT" w:cs="TimesNewRomanPSMT"/>
          <w:color w:val="000000"/>
        </w:rPr>
        <w:t>owicz of Poland who</w:t>
      </w:r>
      <w:r w:rsidRPr="00F775D1">
        <w:rPr>
          <w:rFonts w:eastAsia="TimesNewRomanPSMT" w:cs="TimesNewRomanPSMT"/>
          <w:color w:val="000000"/>
        </w:rPr>
        <w:t xml:space="preserve"> created legal, socio-demographic and economic indicators of media pluralism in a model as evidence for ev</w:t>
      </w:r>
      <w:r>
        <w:rPr>
          <w:rFonts w:eastAsia="TimesNewRomanPSMT" w:cs="TimesNewRomanPSMT"/>
          <w:color w:val="000000"/>
        </w:rPr>
        <w:t xml:space="preserve">aluating media policy. The authors beta tested the model </w:t>
      </w:r>
      <w:r w:rsidRPr="00F775D1">
        <w:rPr>
          <w:rFonts w:eastAsia="TimesNewRomanPSMT" w:cs="TimesNewRomanPSMT"/>
          <w:color w:val="000000"/>
        </w:rPr>
        <w:t>in group interviews with media trade associations before asse</w:t>
      </w:r>
      <w:r>
        <w:rPr>
          <w:rFonts w:eastAsia="TimesNewRomanPSMT" w:cs="TimesNewRomanPSMT"/>
          <w:color w:val="000000"/>
        </w:rPr>
        <w:t xml:space="preserve">ssing it themselves as </w:t>
      </w:r>
      <w:r w:rsidRPr="00F775D1">
        <w:rPr>
          <w:rFonts w:eastAsia="TimesNewRomanPSMT" w:cs="TimesNewRomanPSMT"/>
          <w:color w:val="000000"/>
        </w:rPr>
        <w:t xml:space="preserve">evaluators. </w:t>
      </w:r>
      <w:r>
        <w:rPr>
          <w:rFonts w:eastAsia="TimesNewRomanPSMT" w:cs="TimesNewRomanPSMT"/>
          <w:color w:val="000000"/>
        </w:rPr>
        <w:t>The project then deployed</w:t>
      </w:r>
      <w:r w:rsidRPr="00F775D1">
        <w:rPr>
          <w:rFonts w:eastAsia="TimesNewRomanPSMT" w:cs="TimesNewRomanPSMT"/>
          <w:color w:val="000000"/>
        </w:rPr>
        <w:t xml:space="preserve"> a Likert scale-based survey of stakeholders to evaluate the usefulness of the monitoring tool (Trappel and Maniglio 2009)</w:t>
      </w:r>
      <w:r>
        <w:rPr>
          <w:rFonts w:eastAsia="TimesNewRomanPSMT" w:cs="TimesNewRomanPSMT"/>
          <w:color w:val="000000"/>
        </w:rPr>
        <w:t>.</w:t>
      </w:r>
      <w:r w:rsidRPr="002D32DE">
        <w:rPr>
          <w:rFonts w:eastAsia="TimesNewRomanPSMT" w:cs="TimesNewRomanPSMT"/>
          <w:color w:val="000000"/>
        </w:rPr>
        <w:t xml:space="preserve"> </w:t>
      </w:r>
      <w:r w:rsidRPr="00F775D1">
        <w:rPr>
          <w:rFonts w:eastAsia="TimesNewRomanPSMT" w:cs="TimesNewRomanPSMT"/>
          <w:color w:val="000000"/>
        </w:rPr>
        <w:t xml:space="preserve">Though primarily focused on policy issues, it did not </w:t>
      </w:r>
      <w:r>
        <w:rPr>
          <w:rFonts w:eastAsia="TimesNewRomanPSMT" w:cs="TimesNewRomanPSMT"/>
          <w:color w:val="000000"/>
        </w:rPr>
        <w:t xml:space="preserve">initially </w:t>
      </w:r>
      <w:r w:rsidRPr="00F775D1">
        <w:rPr>
          <w:rFonts w:eastAsia="TimesNewRomanPSMT" w:cs="TimesNewRomanPSMT"/>
          <w:color w:val="000000"/>
        </w:rPr>
        <w:t xml:space="preserve">make any policy recommendations, but </w:t>
      </w:r>
      <w:r>
        <w:rPr>
          <w:rFonts w:eastAsia="TimesNewRomanPSMT" w:cs="TimesNewRomanPSMT"/>
          <w:color w:val="000000"/>
        </w:rPr>
        <w:t>co-author Peggy Valcke</w:t>
      </w:r>
      <w:r w:rsidRPr="00F775D1">
        <w:rPr>
          <w:rFonts w:eastAsia="TimesNewRomanPSMT" w:cs="TimesNewRomanPSMT"/>
          <w:color w:val="000000"/>
        </w:rPr>
        <w:t xml:space="preserve"> </w:t>
      </w:r>
      <w:r>
        <w:rPr>
          <w:rFonts w:eastAsia="TimesNewRomanPSMT" w:cs="TimesNewRomanPSMT"/>
          <w:color w:val="000000"/>
        </w:rPr>
        <w:t xml:space="preserve">(2009, </w:t>
      </w:r>
      <w:r w:rsidRPr="00F775D1">
        <w:rPr>
          <w:rFonts w:eastAsia="TimesNewRomanPSMT" w:cs="TimesNewRomanPSMT"/>
          <w:color w:val="000000"/>
        </w:rPr>
        <w:t>149)</w:t>
      </w:r>
      <w:r>
        <w:rPr>
          <w:rFonts w:eastAsia="TimesNewRomanPSMT" w:cs="TimesNewRomanPSMT"/>
          <w:iCs/>
          <w:color w:val="000000"/>
        </w:rPr>
        <w:t xml:space="preserve"> </w:t>
      </w:r>
      <w:r w:rsidRPr="00F775D1">
        <w:rPr>
          <w:rFonts w:eastAsia="TimesNewRomanPSMT" w:cs="TimesNewRomanPSMT"/>
          <w:color w:val="000000"/>
        </w:rPr>
        <w:t>noted: “</w:t>
      </w:r>
      <w:r w:rsidRPr="00F775D1">
        <w:rPr>
          <w:rFonts w:eastAsia="TimesNewRomanPSMT" w:cs="TimesNewRomanPSMT"/>
          <w:iCs/>
          <w:color w:val="000000"/>
        </w:rPr>
        <w:t>It recognizes that all types of media – public service, commercial and community media – play important roles in creating pluralism and that a wide range of media types and channels/titles are im</w:t>
      </w:r>
      <w:r>
        <w:rPr>
          <w:rFonts w:eastAsia="TimesNewRomanPSMT" w:cs="TimesNewRomanPSMT"/>
          <w:iCs/>
          <w:color w:val="000000"/>
        </w:rPr>
        <w:t>portant for providing pluralism</w:t>
      </w:r>
      <w:r w:rsidRPr="00F775D1">
        <w:rPr>
          <w:rFonts w:eastAsia="TimesNewRomanPSMT" w:cs="TimesNewRomanPSMT"/>
          <w:iCs/>
          <w:color w:val="000000"/>
        </w:rPr>
        <w:t>”</w:t>
      </w:r>
      <w:r>
        <w:rPr>
          <w:rFonts w:eastAsia="TimesNewRomanPSMT" w:cs="TimesNewRomanPSMT"/>
          <w:iCs/>
          <w:color w:val="000000"/>
        </w:rPr>
        <w:t xml:space="preserve"> The </w:t>
      </w:r>
      <w:r>
        <w:rPr>
          <w:rFonts w:eastAsia="TimesNewRomanPSMT" w:cs="TimesNewRomanPSMT"/>
          <w:color w:val="000000"/>
        </w:rPr>
        <w:t>Centre for Media Pluralism and Media Freedom</w:t>
      </w:r>
      <w:r w:rsidRPr="00F775D1">
        <w:rPr>
          <w:rFonts w:eastAsia="TimesNewRomanPSMT" w:cs="TimesNewRomanPSMT"/>
          <w:color w:val="000000"/>
        </w:rPr>
        <w:t xml:space="preserve"> </w:t>
      </w:r>
      <w:r>
        <w:rPr>
          <w:rFonts w:eastAsia="TimesNewRomanPSMT" w:cs="TimesNewRomanPSMT"/>
          <w:iCs/>
          <w:color w:val="000000"/>
        </w:rPr>
        <w:t>project continues to inform European policy debates, as evidenced by a presentation of the Media Pluralism Monitor</w:t>
      </w:r>
      <w:r>
        <w:rPr>
          <w:rStyle w:val="FootnoteReference"/>
          <w:rFonts w:eastAsia="TimesNewRomanPSMT" w:cs="TimesNewRomanPSMT"/>
          <w:iCs/>
          <w:color w:val="000000"/>
        </w:rPr>
        <w:footnoteReference w:id="7"/>
      </w:r>
      <w:r>
        <w:rPr>
          <w:rFonts w:eastAsia="TimesNewRomanPSMT" w:cs="TimesNewRomanPSMT"/>
          <w:iCs/>
          <w:color w:val="000000"/>
        </w:rPr>
        <w:t xml:space="preserve"> results for the Czech Republic by the scholar Vaclav Stetka to a meeting of a Czech parliamentary committee in 2016.</w:t>
      </w:r>
    </w:p>
    <w:p w14:paraId="22C2DB21" w14:textId="77777777" w:rsidR="007E5963" w:rsidRPr="00F775D1"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285D3883" w14:textId="77777777" w:rsidR="007E5963" w:rsidRPr="009566D9"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While neither the Hallin and Mancini nor the Media Pluralism Monitor models directly address community broadcasting in their research, other scholars have. </w:t>
      </w:r>
      <w:r>
        <w:t>Price-Davies and Tacchi (2001) examined</w:t>
      </w:r>
      <w:r w:rsidRPr="00E959A3">
        <w:t xml:space="preserve"> </w:t>
      </w:r>
      <w:r>
        <w:t xml:space="preserve">the </w:t>
      </w:r>
      <w:r w:rsidRPr="00E959A3">
        <w:t xml:space="preserve">relationship between </w:t>
      </w:r>
      <w:r>
        <w:t xml:space="preserve">the efficacy of community media and the </w:t>
      </w:r>
      <w:r w:rsidRPr="00E959A3">
        <w:t xml:space="preserve">policy </w:t>
      </w:r>
      <w:r>
        <w:t>that governs it</w:t>
      </w:r>
      <w:r w:rsidRPr="00E959A3">
        <w:t xml:space="preserve"> </w:t>
      </w:r>
      <w:r>
        <w:t xml:space="preserve">in their study of Australia, Canada, Ireland, Holland and South Africa. </w:t>
      </w:r>
      <w:r>
        <w:rPr>
          <w:rFonts w:eastAsia="TimesNewRomanPSMT" w:cs="TimesNewRomanPSMT"/>
          <w:color w:val="000000"/>
        </w:rPr>
        <w:t xml:space="preserve">In a report similar to the work of Hallin and Mancini, community media scholars Coyer and </w:t>
      </w:r>
      <w:r w:rsidRPr="00973D20">
        <w:rPr>
          <w:rFonts w:eastAsia="TimesNewRomanPSMT" w:cs="TimesNewRomanPSMT"/>
          <w:color w:val="000000"/>
        </w:rPr>
        <w:t xml:space="preserve">Hintz </w:t>
      </w:r>
      <w:r>
        <w:rPr>
          <w:rFonts w:eastAsia="TimesNewRomanPSMT" w:cs="TimesNewRomanPSMT"/>
          <w:color w:val="000000"/>
        </w:rPr>
        <w:t xml:space="preserve">(2010) </w:t>
      </w:r>
      <w:r w:rsidRPr="00973D20">
        <w:rPr>
          <w:rFonts w:eastAsia="TimesNewRomanPSMT" w:cs="TimesNewRomanPSMT"/>
          <w:color w:val="000000"/>
        </w:rPr>
        <w:t>also constructed a theoretical modeling framework for measuring the enviro</w:t>
      </w:r>
      <w:r>
        <w:rPr>
          <w:rFonts w:eastAsia="TimesNewRomanPSMT" w:cs="TimesNewRomanPSMT"/>
          <w:color w:val="000000"/>
        </w:rPr>
        <w:t xml:space="preserve">nments for </w:t>
      </w:r>
      <w:r w:rsidRPr="00973D20">
        <w:rPr>
          <w:rFonts w:eastAsia="TimesNewRomanPSMT" w:cs="TimesNewRomanPSMT"/>
          <w:color w:val="000000"/>
        </w:rPr>
        <w:t>community bro</w:t>
      </w:r>
      <w:r>
        <w:rPr>
          <w:rFonts w:eastAsia="TimesNewRomanPSMT" w:cs="TimesNewRomanPSMT"/>
          <w:color w:val="000000"/>
        </w:rPr>
        <w:t>adcasting</w:t>
      </w:r>
      <w:r w:rsidRPr="00973D20">
        <w:rPr>
          <w:rFonts w:eastAsia="TimesNewRomanPSMT" w:cs="TimesNewRomanPSMT"/>
          <w:color w:val="000000"/>
        </w:rPr>
        <w:t xml:space="preserve">. The researchers identified two factors for their model: supportive </w:t>
      </w:r>
      <w:r w:rsidRPr="009566D9">
        <w:rPr>
          <w:rFonts w:eastAsia="TimesNewRomanPSMT" w:cs="TimesNewRomanPSMT"/>
          <w:color w:val="000000"/>
        </w:rPr>
        <w:t>policies (from which well-established sectors result) and state financial support (from which sustainable organizations result). They state that across Europe, community radio stations fall roughly under one of the four following frames:</w:t>
      </w:r>
    </w:p>
    <w:p w14:paraId="1B4DC3EC" w14:textId="77777777" w:rsidR="007E5963" w:rsidRPr="009566D9" w:rsidRDefault="007E5963" w:rsidP="009566D9">
      <w:pPr>
        <w:spacing w:line="276" w:lineRule="auto"/>
        <w:rPr>
          <w:rFonts w:ascii="Calibri" w:hAnsi="Calibri"/>
        </w:rPr>
      </w:pPr>
    </w:p>
    <w:p w14:paraId="1161EF68" w14:textId="42E5188A" w:rsidR="007E5963" w:rsidRPr="009566D9" w:rsidRDefault="007E5963" w:rsidP="009566D9">
      <w:pPr>
        <w:pStyle w:val="ListParagraph"/>
        <w:numPr>
          <w:ilvl w:val="0"/>
          <w:numId w:val="3"/>
        </w:numPr>
        <w:spacing w:line="276" w:lineRule="auto"/>
        <w:rPr>
          <w:rFonts w:ascii="Calibri" w:hAnsi="Calibri"/>
        </w:rPr>
      </w:pPr>
      <w:r w:rsidRPr="009566D9">
        <w:rPr>
          <w:rFonts w:ascii="Calibri" w:hAnsi="Calibri"/>
        </w:rPr>
        <w:t xml:space="preserve">well-established sectors with supportive policies, sustainable models that include strong state financial support (France, Netherlands); </w:t>
      </w:r>
    </w:p>
    <w:p w14:paraId="752A24DF" w14:textId="5F8790DD" w:rsidR="007E5963" w:rsidRPr="009566D9" w:rsidRDefault="007E5963" w:rsidP="009566D9">
      <w:pPr>
        <w:pStyle w:val="ListParagraph"/>
        <w:numPr>
          <w:ilvl w:val="0"/>
          <w:numId w:val="3"/>
        </w:numPr>
        <w:spacing w:line="276" w:lineRule="auto"/>
        <w:rPr>
          <w:rFonts w:ascii="Calibri" w:hAnsi="Calibri"/>
        </w:rPr>
      </w:pPr>
      <w:r w:rsidRPr="009566D9">
        <w:rPr>
          <w:rFonts w:ascii="Calibri" w:hAnsi="Calibri"/>
        </w:rPr>
        <w:t xml:space="preserve">well-established sectors with supportive policies, but minimal state financial support (United Kingdom, Ireland, Hungary); </w:t>
      </w:r>
    </w:p>
    <w:p w14:paraId="6CD572C6" w14:textId="75B7699A" w:rsidR="007E5963" w:rsidRPr="009566D9" w:rsidRDefault="007E5963" w:rsidP="009566D9">
      <w:pPr>
        <w:pStyle w:val="ListParagraph"/>
        <w:numPr>
          <w:ilvl w:val="0"/>
          <w:numId w:val="3"/>
        </w:numPr>
        <w:spacing w:line="276" w:lineRule="auto"/>
        <w:rPr>
          <w:rFonts w:ascii="Calibri" w:hAnsi="Calibri"/>
        </w:rPr>
      </w:pPr>
      <w:r w:rsidRPr="009566D9">
        <w:rPr>
          <w:rFonts w:ascii="Calibri" w:hAnsi="Calibri"/>
        </w:rPr>
        <w:t xml:space="preserve">medium-developed sectors with some supportive policies but no state financing (Italy, Spain, Sweden); </w:t>
      </w:r>
    </w:p>
    <w:p w14:paraId="53A10832" w14:textId="171394D5" w:rsidR="007E5963" w:rsidRPr="009566D9" w:rsidRDefault="007E5963" w:rsidP="009566D9">
      <w:pPr>
        <w:pStyle w:val="ListParagraph"/>
        <w:numPr>
          <w:ilvl w:val="0"/>
          <w:numId w:val="3"/>
        </w:numPr>
        <w:spacing w:line="276" w:lineRule="auto"/>
        <w:rPr>
          <w:rFonts w:ascii="Calibri" w:hAnsi="Calibri"/>
        </w:rPr>
      </w:pPr>
      <w:r w:rsidRPr="009566D9">
        <w:rPr>
          <w:rFonts w:ascii="Calibri" w:hAnsi="Calibri"/>
        </w:rPr>
        <w:t>under-or undeveloped sectors</w:t>
      </w:r>
      <w:r w:rsidR="001C6C41">
        <w:rPr>
          <w:rFonts w:ascii="Calibri" w:hAnsi="Calibri"/>
        </w:rPr>
        <w:t xml:space="preserve"> where there are limited or non-</w:t>
      </w:r>
      <w:r w:rsidRPr="009566D9">
        <w:rPr>
          <w:rFonts w:ascii="Calibri" w:hAnsi="Calibri"/>
        </w:rPr>
        <w:t>supportive policies and funding (Czech Republic, Croatia, Slovakia, Greece).</w:t>
      </w:r>
    </w:p>
    <w:p w14:paraId="63C44027" w14:textId="77777777" w:rsidR="007E5963" w:rsidRPr="009566D9" w:rsidRDefault="007E5963" w:rsidP="009566D9">
      <w:pPr>
        <w:spacing w:line="276" w:lineRule="auto"/>
      </w:pPr>
    </w:p>
    <w:p w14:paraId="3F4D9F0D" w14:textId="77777777" w:rsidR="0004540E" w:rsidRDefault="0004540E" w:rsidP="000454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ADDF7C6" w14:textId="77777777" w:rsidR="007E5963" w:rsidRPr="009566D9" w:rsidRDefault="007E5963" w:rsidP="009566D9">
      <w:pPr>
        <w:spacing w:line="276" w:lineRule="auto"/>
      </w:pPr>
      <w:r w:rsidRPr="009566D9">
        <w:t xml:space="preserve">A research study by Johnson and Menichelli (2007) combined academic theory with empirical research to present a snapshot of the community broadcasting environment in the United States. The study titled “What's Going On in Community Media” was a collaboration between the University of Massachusetts and the Benton Foundation. Arising from an initial project examining the role of community broadcasting in community health projects, it produced a report on community media practices, primarily focused on issues related to sustainability and adoption of new technologies. The authors conducted a series of small group semi-structured discussions and individual interviews with a selection of community media participants across the US. The study also addressed questions of community media identity in the context of public service and commercial models, community participation, and the engagement of various marginalized groups. The research report presented an overview of the community broadcasting paradigm in the USA, profiling 42 broadcasting organizations and 28 aggregating organizations that support the development of community broadcasting. The authors concluded that improved cooperation among government and civil society in policy development was needed, and they noted that: "policies and regulations that exist for community media represent hard-won political victories, but they do not address the needs of community media in a holistic way." (ibid, 26). </w:t>
      </w:r>
    </w:p>
    <w:p w14:paraId="30775E71" w14:textId="77777777" w:rsidR="007E5963" w:rsidRDefault="007E5963" w:rsidP="009566D9">
      <w:pPr>
        <w:pStyle w:val="BodyText"/>
        <w:spacing w:line="276" w:lineRule="auto"/>
      </w:pPr>
    </w:p>
    <w:p w14:paraId="220EFF21" w14:textId="7BC7F0C9" w:rsidR="007E5963" w:rsidRDefault="0004540E" w:rsidP="009566D9">
      <w:pPr>
        <w:spacing w:line="276" w:lineRule="auto"/>
      </w:pPr>
      <w:r>
        <w:rPr>
          <w:rFonts w:eastAsia="TimesNewRomanPSMT" w:cs="TimesNewRomanPSMT"/>
          <w:color w:val="000000"/>
        </w:rPr>
        <w:t xml:space="preserve">Another valuable tool for referencing and examining media policies is </w:t>
      </w:r>
      <w:r w:rsidRPr="008276B2">
        <w:rPr>
          <w:rFonts w:eastAsia="TimesNewRomanPSMT" w:cs="TimesNewRomanPSMT"/>
          <w:color w:val="000000"/>
        </w:rPr>
        <w:t xml:space="preserve">provided by the Global Media Policy Group </w:t>
      </w:r>
      <w:r>
        <w:rPr>
          <w:rFonts w:eastAsia="TimesNewRomanPSMT" w:cs="TimesNewRomanPSMT"/>
          <w:color w:val="000000"/>
        </w:rPr>
        <w:t xml:space="preserve">(GMPG) </w:t>
      </w:r>
      <w:r w:rsidRPr="008276B2">
        <w:rPr>
          <w:rFonts w:eastAsia="TimesNewRomanPSMT" w:cs="TimesNewRomanPSMT"/>
          <w:color w:val="000000"/>
        </w:rPr>
        <w:t>– a subgroup of media scholars organized within the International Association for Media and Communication Research (IAMCR) (Cola 2013). The section on community broadcasting policy contains a substantial array of institutions and act</w:t>
      </w:r>
      <w:r>
        <w:rPr>
          <w:rFonts w:eastAsia="TimesNewRomanPSMT" w:cs="TimesNewRomanPSMT"/>
          <w:color w:val="000000"/>
        </w:rPr>
        <w:t>ors from around the world.</w:t>
      </w:r>
      <w:r>
        <w:t xml:space="preserve"> </w:t>
      </w:r>
      <w:r>
        <w:rPr>
          <w:rFonts w:eastAsia="TimesNewRomanPSMT" w:cs="TimesNewRomanPSMT"/>
          <w:color w:val="000000"/>
        </w:rPr>
        <w:t>It</w:t>
      </w:r>
      <w:r w:rsidRPr="008276B2">
        <w:rPr>
          <w:rFonts w:eastAsia="TimesNewRomanPSMT" w:cs="TimesNewRomanPSMT"/>
          <w:color w:val="000000"/>
        </w:rPr>
        <w:t xml:space="preserve"> facilitates the research of processes and actors in the development and</w:t>
      </w:r>
      <w:r>
        <w:rPr>
          <w:rFonts w:eastAsia="TimesNewRomanPSMT" w:cs="TimesNewRomanPSMT"/>
          <w:color w:val="000000"/>
        </w:rPr>
        <w:t xml:space="preserve"> implementation of media policy using </w:t>
      </w:r>
      <w:r w:rsidRPr="008276B2">
        <w:rPr>
          <w:rFonts w:eastAsia="TimesNewRomanPSMT" w:cs="TimesNewRomanPSMT"/>
          <w:color w:val="000000"/>
        </w:rPr>
        <w:t>an online tool for mapping media policy around the world, including a database, website and interactive archive tool for accessing and rese</w:t>
      </w:r>
      <w:r>
        <w:rPr>
          <w:rFonts w:eastAsia="TimesNewRomanPSMT" w:cs="TimesNewRomanPSMT"/>
          <w:color w:val="000000"/>
        </w:rPr>
        <w:t>arching media policy. The GMPG</w:t>
      </w:r>
      <w:r>
        <w:rPr>
          <w:rStyle w:val="FootnoteReference"/>
          <w:rFonts w:eastAsia="TimesNewRomanPSMT" w:cs="TimesNewRomanPSMT"/>
          <w:color w:val="000000"/>
        </w:rPr>
        <w:footnoteReference w:id="8"/>
      </w:r>
      <w:r w:rsidRPr="008276B2">
        <w:rPr>
          <w:rFonts w:eastAsia="TimesNewRomanPSMT" w:cs="TimesNewRomanPSMT"/>
          <w:color w:val="000000"/>
        </w:rPr>
        <w:t xml:space="preserve"> text states that the tool: “</w:t>
      </w:r>
      <w:r w:rsidRPr="008276B2">
        <w:rPr>
          <w:rFonts w:eastAsia="TimesNewRomanPSMT" w:cs="TimesNewRomanPSMT"/>
          <w:iCs/>
          <w:color w:val="000000"/>
        </w:rPr>
        <w:t>serves to identify actors, processes, outcomes and resources; foster access to relevant information; build and share new and existing knowledge; and enhance actors' capacities to intervene in policy setting</w:t>
      </w:r>
      <w:r>
        <w:rPr>
          <w:rFonts w:eastAsia="TimesNewRomanPSMT" w:cs="TimesNewRomanPSMT"/>
          <w:iCs/>
          <w:color w:val="000000"/>
        </w:rPr>
        <w:t>.</w:t>
      </w:r>
      <w:r w:rsidRPr="008276B2">
        <w:rPr>
          <w:rFonts w:eastAsia="TimesNewRomanPSMT" w:cs="TimesNewRomanPSMT"/>
          <w:iCs/>
          <w:color w:val="000000"/>
        </w:rPr>
        <w:t xml:space="preserve">” </w:t>
      </w:r>
    </w:p>
    <w:p w14:paraId="524CA445" w14:textId="77777777" w:rsidR="000A5D0D" w:rsidRDefault="000A5D0D" w:rsidP="009566D9">
      <w:pPr>
        <w:spacing w:line="276" w:lineRule="auto"/>
      </w:pPr>
    </w:p>
    <w:p w14:paraId="6146CD39" w14:textId="77777777" w:rsidR="000A5D0D" w:rsidRDefault="000A5D0D" w:rsidP="009566D9">
      <w:pPr>
        <w:spacing w:line="276" w:lineRule="auto"/>
      </w:pPr>
    </w:p>
    <w:p w14:paraId="345E5354" w14:textId="77777777" w:rsidR="007E5963" w:rsidRPr="00E959A3" w:rsidRDefault="007E5963" w:rsidP="009566D9">
      <w:pPr>
        <w:spacing w:line="276" w:lineRule="auto"/>
      </w:pPr>
    </w:p>
    <w:p w14:paraId="21AF9C27" w14:textId="77777777" w:rsidR="007E5963" w:rsidRDefault="007E5963" w:rsidP="009566D9">
      <w:pPr>
        <w:spacing w:line="276" w:lineRule="auto"/>
      </w:pPr>
      <w:r>
        <w:t xml:space="preserve">Barnett, S. (2010). "What's Wrong with Media Monopolies? A Lesson from History and a New Approach to Media Ownership Policy". In R. Mansell and B. Cammaerts (eds.). MEDIA@LSE Working Papers. No. 18. </w:t>
      </w:r>
      <w:hyperlink r:id="rId7" w:history="1">
        <w:r w:rsidRPr="00C177B5">
          <w:rPr>
            <w:rStyle w:val="Hyperlink"/>
          </w:rPr>
          <w:t>http://www.lse.ac.uk/media@lse/research/mediaWorkingPapers/pdf/EWP18.pdf</w:t>
        </w:r>
      </w:hyperlink>
      <w:r>
        <w:t xml:space="preserve"> Accessed 2.2.2016</w:t>
      </w:r>
    </w:p>
    <w:p w14:paraId="69064774" w14:textId="77777777" w:rsidR="007E5963" w:rsidRDefault="007E5963" w:rsidP="009566D9">
      <w:pPr>
        <w:spacing w:line="276" w:lineRule="auto"/>
      </w:pPr>
    </w:p>
    <w:p w14:paraId="30F00B54" w14:textId="77777777" w:rsidR="007E5963" w:rsidRDefault="007E5963" w:rsidP="009566D9">
      <w:pPr>
        <w:spacing w:line="276" w:lineRule="auto"/>
      </w:pPr>
      <w:r>
        <w:t xml:space="preserve">Bimber, B. </w:t>
      </w:r>
      <w:r w:rsidRPr="00F24113">
        <w:rPr>
          <w:i/>
        </w:rPr>
        <w:t>et al</w:t>
      </w:r>
      <w:r>
        <w:t xml:space="preserve">. (2005). “Reconceptualizing Collective Action in the Contemporary Media Environment”. </w:t>
      </w:r>
      <w:r w:rsidRPr="00891165">
        <w:rPr>
          <w:i/>
        </w:rPr>
        <w:t>Communication Theory 15</w:t>
      </w:r>
      <w:r>
        <w:t>(4), pp. 365-388.</w:t>
      </w:r>
    </w:p>
    <w:p w14:paraId="03EF555C" w14:textId="77777777" w:rsidR="007E5963" w:rsidRDefault="007E5963" w:rsidP="009566D9">
      <w:pPr>
        <w:spacing w:line="276" w:lineRule="auto"/>
      </w:pPr>
    </w:p>
    <w:p w14:paraId="0FAA549C" w14:textId="77777777" w:rsidR="007E5963" w:rsidRDefault="007E5963" w:rsidP="009566D9">
      <w:pPr>
        <w:spacing w:line="276" w:lineRule="auto"/>
      </w:pPr>
      <w:r w:rsidRPr="0064328B">
        <w:t xml:space="preserve">Blum, R. (2005). </w:t>
      </w:r>
      <w:r>
        <w:t>“</w:t>
      </w:r>
      <w:r>
        <w:rPr>
          <w:iCs/>
        </w:rPr>
        <w:t>Bausteine zu Einer Theorie der M</w:t>
      </w:r>
      <w:r w:rsidRPr="0064328B">
        <w:rPr>
          <w:iCs/>
        </w:rPr>
        <w:t>ediensysteme</w:t>
      </w:r>
      <w:r>
        <w:rPr>
          <w:iCs/>
        </w:rPr>
        <w:t>”</w:t>
      </w:r>
      <w:r w:rsidRPr="0064328B">
        <w:rPr>
          <w:i/>
          <w:iCs/>
        </w:rPr>
        <w:t>. Medienwissenschaft Schweiz, 2</w:t>
      </w:r>
      <w:r w:rsidRPr="0064328B">
        <w:t>, 5-11.</w:t>
      </w:r>
    </w:p>
    <w:p w14:paraId="147CA244" w14:textId="77777777" w:rsidR="007E5963" w:rsidRDefault="007E5963" w:rsidP="009566D9">
      <w:pPr>
        <w:spacing w:line="276" w:lineRule="auto"/>
      </w:pPr>
    </w:p>
    <w:p w14:paraId="0C69CA05" w14:textId="77777777" w:rsidR="007E5963" w:rsidRPr="0063513A" w:rsidRDefault="007E5963" w:rsidP="009566D9">
      <w:pPr>
        <w:spacing w:line="276" w:lineRule="auto"/>
      </w:pPr>
      <w:r w:rsidRPr="0063513A">
        <w:t xml:space="preserve">Bob, C. (2005). </w:t>
      </w:r>
      <w:r>
        <w:rPr>
          <w:i/>
        </w:rPr>
        <w:t>The Marketing of Rebellion: Insurgents, Media, and International A</w:t>
      </w:r>
      <w:r w:rsidRPr="0063513A">
        <w:rPr>
          <w:i/>
        </w:rPr>
        <w:t>ctivism</w:t>
      </w:r>
      <w:r w:rsidRPr="0063513A">
        <w:t>. Cambridge, UK: Cambridge University Press.</w:t>
      </w:r>
    </w:p>
    <w:p w14:paraId="5177E7F3" w14:textId="77777777" w:rsidR="007E5963" w:rsidRDefault="007E5963" w:rsidP="009566D9">
      <w:pPr>
        <w:spacing w:line="276" w:lineRule="auto"/>
      </w:pPr>
    </w:p>
    <w:p w14:paraId="000A2FB8" w14:textId="77777777" w:rsidR="007E5963" w:rsidRDefault="007E5963" w:rsidP="009566D9">
      <w:pPr>
        <w:spacing w:line="276" w:lineRule="auto"/>
      </w:pPr>
      <w:r>
        <w:t xml:space="preserve">Buckley, S. (2008). </w:t>
      </w:r>
      <w:r w:rsidRPr="0013337F">
        <w:rPr>
          <w:i/>
        </w:rPr>
        <w:t>“Community Broadcasting: Good Practice in Policy, Law and Regulation”</w:t>
      </w:r>
      <w:r>
        <w:t xml:space="preserve">. UNESCO. </w:t>
      </w:r>
      <w:hyperlink r:id="rId8" w:history="1">
        <w:r w:rsidRPr="00182C6C">
          <w:rPr>
            <w:rStyle w:val="Hyperlink"/>
          </w:rPr>
          <w:t>http://www.unesco.org/new/fileadmin/MULTIMEDIA/HQ/CI/WPFD2009/pdf/wpfd2008_steve+buckley+community+media+-+maputo+wpfd.pdf</w:t>
        </w:r>
      </w:hyperlink>
      <w:r>
        <w:t xml:space="preserve"> Accessed 3.2.2016</w:t>
      </w:r>
    </w:p>
    <w:p w14:paraId="21D5628A" w14:textId="77777777" w:rsidR="007E5963" w:rsidRDefault="007E5963" w:rsidP="009566D9">
      <w:pPr>
        <w:spacing w:line="276" w:lineRule="auto"/>
      </w:pPr>
    </w:p>
    <w:p w14:paraId="1232008F" w14:textId="77777777" w:rsidR="007E5963" w:rsidRPr="00C2518B" w:rsidRDefault="007E5963" w:rsidP="009566D9">
      <w:pPr>
        <w:spacing w:line="276" w:lineRule="auto"/>
      </w:pPr>
      <w:r>
        <w:t>Buckley, S. (2010). “Third Pillar of Media P</w:t>
      </w:r>
      <w:r w:rsidRPr="00C2518B">
        <w:t>luralism:</w:t>
      </w:r>
      <w:r>
        <w:t xml:space="preserve"> Community B</w:t>
      </w:r>
      <w:r w:rsidRPr="00C2518B">
        <w:t>roadcasting in the UK and Europe</w:t>
      </w:r>
      <w:r>
        <w:t xml:space="preserve">”. London School of Economics. </w:t>
      </w:r>
      <w:hyperlink r:id="rId9" w:history="1">
        <w:r w:rsidRPr="00C2518B">
          <w:rPr>
            <w:rStyle w:val="Hyperlink"/>
          </w:rPr>
          <w:t>http://www.lse.ac.uk/media@lse/events/MeCCSA/pdf/papers/SteveBuckley.pdf</w:t>
        </w:r>
      </w:hyperlink>
      <w:r>
        <w:t xml:space="preserve"> Accessed 18.1.2016</w:t>
      </w:r>
    </w:p>
    <w:p w14:paraId="234C2672" w14:textId="77777777" w:rsidR="007E5963" w:rsidRDefault="007E5963" w:rsidP="009566D9">
      <w:pPr>
        <w:spacing w:line="276" w:lineRule="auto"/>
      </w:pPr>
    </w:p>
    <w:p w14:paraId="3B6BBB9B" w14:textId="77777777" w:rsidR="007E5963" w:rsidRPr="0013337F" w:rsidRDefault="007E5963" w:rsidP="009566D9">
      <w:pPr>
        <w:spacing w:line="276" w:lineRule="auto"/>
      </w:pPr>
      <w:r>
        <w:t xml:space="preserve">Coyer, K. and A. Hintz. (2010). “Developing the Third Sector: Community Media Policies in Europe”. </w:t>
      </w:r>
      <w:r w:rsidRPr="0013337F">
        <w:t>I</w:t>
      </w:r>
      <w:r>
        <w:t>n B. Klimkiewicz. (ed.).</w:t>
      </w:r>
      <w:r w:rsidRPr="0013337F">
        <w:t xml:space="preserve"> </w:t>
      </w:r>
      <w:r w:rsidRPr="0013337F">
        <w:rPr>
          <w:i/>
        </w:rPr>
        <w:t>Media Freedom and Pluralism</w:t>
      </w:r>
      <w:r w:rsidRPr="0013337F">
        <w:t>. Budapest: Central European University Press.</w:t>
      </w:r>
    </w:p>
    <w:p w14:paraId="2F08FB22" w14:textId="77777777" w:rsidR="007E5963" w:rsidRDefault="007E5963" w:rsidP="009566D9">
      <w:pPr>
        <w:spacing w:line="276" w:lineRule="auto"/>
      </w:pPr>
    </w:p>
    <w:p w14:paraId="06970851" w14:textId="77777777" w:rsidR="007E5963" w:rsidRDefault="007E5963" w:rsidP="009566D9">
      <w:pPr>
        <w:spacing w:line="276" w:lineRule="auto"/>
      </w:pPr>
      <w:r w:rsidRPr="00C51F8F">
        <w:t xml:space="preserve">Curran, J. (1998). "Crisis of Public Communication: A Reappraisal." In T. Liebes and J. Curran (Eds.), </w:t>
      </w:r>
      <w:r w:rsidRPr="00C51F8F">
        <w:rPr>
          <w:i/>
        </w:rPr>
        <w:t>Media, Ritual and Identity</w:t>
      </w:r>
      <w:r w:rsidRPr="00C51F8F">
        <w:t>. London: Routledge.</w:t>
      </w:r>
    </w:p>
    <w:p w14:paraId="6B26D168" w14:textId="77777777" w:rsidR="007E5963" w:rsidRDefault="007E5963" w:rsidP="009566D9">
      <w:pPr>
        <w:spacing w:line="276" w:lineRule="auto"/>
      </w:pPr>
    </w:p>
    <w:p w14:paraId="4B3C75A5" w14:textId="77777777" w:rsidR="007E5963" w:rsidRDefault="007E5963" w:rsidP="009566D9">
      <w:pPr>
        <w:spacing w:line="276" w:lineRule="auto"/>
        <w:rPr>
          <w:rFonts w:eastAsia="TimesNewRomanPSMT" w:cs="TimesNewRomanPSMT"/>
          <w:color w:val="000000"/>
        </w:rPr>
      </w:pPr>
      <w:r w:rsidRPr="0064328B">
        <w:rPr>
          <w:rFonts w:eastAsia="TimesNewRomanPSMT" w:cs="TimesNewRomanPSMT"/>
          <w:color w:val="000000"/>
        </w:rPr>
        <w:t xml:space="preserve">Curran, J., </w:t>
      </w:r>
      <w:r>
        <w:rPr>
          <w:rFonts w:eastAsia="TimesNewRomanPSMT" w:cs="TimesNewRomanPSMT"/>
          <w:color w:val="000000"/>
        </w:rPr>
        <w:t xml:space="preserve">et al. </w:t>
      </w:r>
      <w:r w:rsidRPr="0064328B">
        <w:rPr>
          <w:rFonts w:eastAsia="TimesNewRomanPSMT" w:cs="TimesNewRomanPSMT"/>
          <w:color w:val="000000"/>
        </w:rPr>
        <w:t xml:space="preserve">(2009). </w:t>
      </w:r>
      <w:r>
        <w:rPr>
          <w:rFonts w:eastAsia="TimesNewRomanPSMT" w:cs="TimesNewRomanPSMT"/>
          <w:color w:val="000000"/>
        </w:rPr>
        <w:t>“</w:t>
      </w:r>
      <w:r w:rsidRPr="0064328B">
        <w:rPr>
          <w:rFonts w:eastAsia="TimesNewRomanPSMT" w:cs="TimesNewRomanPSMT"/>
          <w:color w:val="000000"/>
        </w:rPr>
        <w:t>Media System, Public Knowledge and Democracy: A Comparative Study</w:t>
      </w:r>
      <w:r>
        <w:rPr>
          <w:rFonts w:eastAsia="TimesNewRomanPSMT" w:cs="TimesNewRomanPSMT"/>
          <w:color w:val="000000"/>
        </w:rPr>
        <w:t>”</w:t>
      </w:r>
      <w:r w:rsidRPr="0064328B">
        <w:rPr>
          <w:rFonts w:eastAsia="TimesNewRomanPSMT" w:cs="TimesNewRomanPSMT"/>
          <w:color w:val="000000"/>
        </w:rPr>
        <w:t xml:space="preserve">. </w:t>
      </w:r>
      <w:r w:rsidRPr="0064328B">
        <w:rPr>
          <w:rFonts w:eastAsia="TimesNewRomanPSMT" w:cs="TimesNewRomanPSMT"/>
          <w:i/>
          <w:iCs/>
          <w:color w:val="000000"/>
        </w:rPr>
        <w:t>European Journal of Communication, 24</w:t>
      </w:r>
      <w:r w:rsidRPr="0064328B">
        <w:rPr>
          <w:rFonts w:eastAsia="TimesNewRomanPSMT" w:cs="TimesNewRomanPSMT"/>
          <w:color w:val="000000"/>
        </w:rPr>
        <w:t>(5), 5-26</w:t>
      </w:r>
    </w:p>
    <w:p w14:paraId="697A2650" w14:textId="77777777" w:rsidR="007E5963" w:rsidRDefault="007E5963" w:rsidP="009566D9">
      <w:pPr>
        <w:spacing w:line="276" w:lineRule="auto"/>
        <w:rPr>
          <w:rFonts w:eastAsia="TimesNewRomanPSMT" w:cs="TimesNewRomanPSMT"/>
          <w:color w:val="000000"/>
        </w:rPr>
      </w:pPr>
    </w:p>
    <w:p w14:paraId="0E1CB012" w14:textId="77777777" w:rsidR="007E5963" w:rsidRDefault="007E5963" w:rsidP="009566D9">
      <w:pPr>
        <w:spacing w:line="276" w:lineRule="auto"/>
        <w:rPr>
          <w:rFonts w:eastAsia="TimesNewRomanPSMT" w:cs="TimesNewRomanPSMT"/>
          <w:color w:val="000000"/>
        </w:rPr>
      </w:pPr>
      <w:r w:rsidRPr="0064328B">
        <w:rPr>
          <w:rFonts w:eastAsia="TimesNewRomanPSMT" w:cs="TimesNewRomanPSMT"/>
          <w:color w:val="000000"/>
        </w:rPr>
        <w:t xml:space="preserve">Dobek-Ostrowska, B., </w:t>
      </w:r>
      <w:r>
        <w:rPr>
          <w:rFonts w:eastAsia="TimesNewRomanPSMT" w:cs="TimesNewRomanPSMT"/>
          <w:color w:val="000000"/>
        </w:rPr>
        <w:t>et al.</w:t>
      </w:r>
      <w:r w:rsidRPr="0064328B">
        <w:rPr>
          <w:rFonts w:eastAsia="TimesNewRomanPSMT" w:cs="TimesNewRomanPSMT"/>
          <w:color w:val="000000"/>
        </w:rPr>
        <w:t xml:space="preserve"> (2010). </w:t>
      </w:r>
      <w:r w:rsidRPr="0064328B">
        <w:rPr>
          <w:rFonts w:eastAsia="TimesNewRomanPSMT" w:cs="TimesNewRomanPSMT"/>
          <w:i/>
          <w:iCs/>
          <w:color w:val="000000"/>
        </w:rPr>
        <w:t>Comparative Media Systems. European and Global Perspective</w:t>
      </w:r>
      <w:r w:rsidRPr="0064328B">
        <w:rPr>
          <w:rFonts w:eastAsia="TimesNewRomanPSMT" w:cs="TimesNewRomanPSMT"/>
          <w:color w:val="000000"/>
        </w:rPr>
        <w:t>. Budapest: CEU Press</w:t>
      </w:r>
    </w:p>
    <w:p w14:paraId="7D9B5051" w14:textId="77777777" w:rsidR="007E5963" w:rsidRDefault="007E5963" w:rsidP="009566D9">
      <w:pPr>
        <w:spacing w:line="276" w:lineRule="auto"/>
        <w:rPr>
          <w:rFonts w:eastAsia="TimesNewRomanPSMT" w:cs="TimesNewRomanPSMT"/>
          <w:color w:val="000000"/>
        </w:rPr>
      </w:pPr>
    </w:p>
    <w:p w14:paraId="4A6532F4" w14:textId="77777777" w:rsidR="007E5963" w:rsidRPr="00150B17" w:rsidRDefault="007E5963" w:rsidP="009566D9">
      <w:pPr>
        <w:spacing w:line="276" w:lineRule="auto"/>
        <w:rPr>
          <w:rFonts w:eastAsia="TimesNewRomanPSMT" w:cs="TimesNewRomanPSMT"/>
          <w:color w:val="000000"/>
        </w:rPr>
      </w:pPr>
      <w:r w:rsidRPr="000F7104">
        <w:rPr>
          <w:rFonts w:eastAsia="TimesNewRomanPSMT" w:cs="TimesNewRomanPSMT"/>
          <w:color w:val="000000"/>
        </w:rPr>
        <w:t xml:space="preserve">Downing, J. (ed.) (2011). </w:t>
      </w:r>
      <w:r w:rsidRPr="000F7104">
        <w:rPr>
          <w:rFonts w:eastAsia="TimesNewRomanPSMT" w:cs="TimesNewRomanPSMT"/>
          <w:i/>
          <w:iCs/>
          <w:color w:val="000000"/>
        </w:rPr>
        <w:t>Encyclopedia of Social Movement Media</w:t>
      </w:r>
      <w:r w:rsidRPr="000F7104">
        <w:rPr>
          <w:rFonts w:eastAsia="TimesNewRomanPSMT" w:cs="TimesNewRomanPSMT"/>
          <w:color w:val="000000"/>
        </w:rPr>
        <w:t>. London: Sage.</w:t>
      </w:r>
    </w:p>
    <w:p w14:paraId="27609A7A" w14:textId="77777777" w:rsidR="007E5963" w:rsidRDefault="007E5963" w:rsidP="009566D9">
      <w:pPr>
        <w:spacing w:line="276" w:lineRule="auto"/>
      </w:pPr>
    </w:p>
    <w:p w14:paraId="4012FA02" w14:textId="77777777" w:rsidR="007E5963" w:rsidRDefault="007E5963" w:rsidP="009566D9">
      <w:pPr>
        <w:spacing w:line="276" w:lineRule="auto"/>
      </w:pPr>
      <w:r>
        <w:t xml:space="preserve">Dunbar-Hester, C. (2014). </w:t>
      </w:r>
      <w:r w:rsidRPr="00E1515E">
        <w:rPr>
          <w:i/>
        </w:rPr>
        <w:t>Low Power to the People: Pirates, Protest, and Politics in FM Radio Activism</w:t>
      </w:r>
      <w:r>
        <w:t>. Cambridge, MA.: MIT Press.</w:t>
      </w:r>
    </w:p>
    <w:p w14:paraId="330E07B4" w14:textId="77777777" w:rsidR="007E5963" w:rsidRDefault="007E5963" w:rsidP="009566D9">
      <w:pPr>
        <w:spacing w:line="276" w:lineRule="auto"/>
      </w:pPr>
    </w:p>
    <w:p w14:paraId="3C4A4A39" w14:textId="77777777" w:rsidR="007E5963" w:rsidRPr="00C71F32" w:rsidRDefault="007E5963" w:rsidP="009566D9">
      <w:pPr>
        <w:spacing w:line="276" w:lineRule="auto"/>
        <w:rPr>
          <w:iCs/>
        </w:rPr>
      </w:pPr>
      <w:r w:rsidRPr="00C71F32">
        <w:rPr>
          <w:iCs/>
        </w:rPr>
        <w:t xml:space="preserve">Ellmeier, A. and V. Ratzenbock. (2001). </w:t>
      </w:r>
      <w:r>
        <w:rPr>
          <w:iCs/>
        </w:rPr>
        <w:t>“</w:t>
      </w:r>
      <w:r w:rsidRPr="00C71F32">
        <w:rPr>
          <w:iCs/>
        </w:rPr>
        <w:t>Council of Europe Transversal Study of Cultural Policy and Cultural Diversity: National Report for Austria</w:t>
      </w:r>
      <w:r>
        <w:rPr>
          <w:iCs/>
        </w:rPr>
        <w:t>”</w:t>
      </w:r>
      <w:r w:rsidRPr="00C71F32">
        <w:rPr>
          <w:iCs/>
        </w:rPr>
        <w:t xml:space="preserve">. </w:t>
      </w:r>
      <w:hyperlink r:id="rId10" w:history="1">
        <w:r w:rsidRPr="00C71F32">
          <w:rPr>
            <w:rStyle w:val="Hyperlink"/>
            <w:iCs/>
          </w:rPr>
          <w:t>https://www.coe.int/t/dg4/cultureheritage/culture/Completed/Diversity/CCCULT_2001_2_EN.PDF</w:t>
        </w:r>
      </w:hyperlink>
      <w:r w:rsidRPr="00C71F32">
        <w:rPr>
          <w:iCs/>
        </w:rPr>
        <w:t xml:space="preserve"> Accessed 31.1.2016</w:t>
      </w:r>
    </w:p>
    <w:p w14:paraId="090E51A4" w14:textId="77777777" w:rsidR="007E5963" w:rsidRDefault="007E5963" w:rsidP="009566D9">
      <w:pPr>
        <w:spacing w:line="276" w:lineRule="auto"/>
      </w:pPr>
    </w:p>
    <w:p w14:paraId="055EA765" w14:textId="77777777" w:rsidR="007E5963" w:rsidRDefault="007E5963" w:rsidP="009566D9">
      <w:pPr>
        <w:spacing w:line="276" w:lineRule="auto"/>
      </w:pPr>
    </w:p>
    <w:p w14:paraId="1B48849E" w14:textId="77777777" w:rsidR="007E5963" w:rsidRPr="00CA22AF" w:rsidRDefault="007E5963" w:rsidP="009566D9">
      <w:pPr>
        <w:spacing w:line="276" w:lineRule="auto"/>
      </w:pPr>
      <w:r>
        <w:t xml:space="preserve">Foucault, M. (1980). </w:t>
      </w:r>
      <w:r>
        <w:rPr>
          <w:i/>
        </w:rPr>
        <w:t>Power/K</w:t>
      </w:r>
      <w:r w:rsidRPr="00834E95">
        <w:rPr>
          <w:i/>
        </w:rPr>
        <w:t>nowledge: Selected Interviews and Other Writings, 1972-1977</w:t>
      </w:r>
      <w:r>
        <w:t>. C. Gordon. (ed.). New York: Pantheon.</w:t>
      </w:r>
    </w:p>
    <w:p w14:paraId="48145A58"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FDABD9B"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Golding, P. and G. Murdoch. (1991). "Culture, Communication and Political Economy". In J. Curran and M. Gurevitch (eds.). </w:t>
      </w:r>
      <w:r w:rsidRPr="00D85216">
        <w:rPr>
          <w:rFonts w:eastAsia="TimesNewRomanPSMT" w:cs="TimesNewRomanPSMT"/>
          <w:i/>
          <w:color w:val="000000"/>
        </w:rPr>
        <w:t>Mass Media and Society</w:t>
      </w:r>
      <w:r>
        <w:rPr>
          <w:rFonts w:eastAsia="TimesNewRomanPSMT" w:cs="TimesNewRomanPSMT"/>
          <w:color w:val="000000"/>
        </w:rPr>
        <w:t>. New York: Oxford University Press.</w:t>
      </w:r>
    </w:p>
    <w:p w14:paraId="15A8C2C5"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0644C2C8" w14:textId="77777777" w:rsidR="007E5963" w:rsidRPr="00484F94"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484F94">
        <w:rPr>
          <w:rFonts w:eastAsia="TimesNewRomanPSMT" w:cs="TimesNewRomanPSMT"/>
          <w:color w:val="000000"/>
        </w:rPr>
        <w:t xml:space="preserve">Gosztonyi, G. (2013). </w:t>
      </w:r>
      <w:r>
        <w:rPr>
          <w:rFonts w:eastAsia="TimesNewRomanPSMT" w:cs="TimesNewRomanPSMT"/>
          <w:color w:val="000000"/>
        </w:rPr>
        <w:t>“</w:t>
      </w:r>
      <w:r w:rsidRPr="0013337F">
        <w:rPr>
          <w:rFonts w:eastAsia="TimesNewRomanPSMT" w:cs="TimesNewRomanPSMT"/>
          <w:iCs/>
          <w:color w:val="000000"/>
        </w:rPr>
        <w:t>Alternative Media: Aspects of the Legal Regulation of Community Media</w:t>
      </w:r>
      <w:r>
        <w:rPr>
          <w:rFonts w:eastAsia="TimesNewRomanPSMT" w:cs="TimesNewRomanPSMT"/>
          <w:iCs/>
          <w:color w:val="000000"/>
        </w:rPr>
        <w:t>”</w:t>
      </w:r>
      <w:r w:rsidRPr="0013337F">
        <w:rPr>
          <w:rFonts w:eastAsia="TimesNewRomanPSMT" w:cs="TimesNewRomanPSMT"/>
          <w:color w:val="000000"/>
        </w:rPr>
        <w:t>.</w:t>
      </w:r>
      <w:r w:rsidRPr="00484F94">
        <w:rPr>
          <w:rFonts w:eastAsia="TimesNewRomanPSMT" w:cs="TimesNewRomanPSMT"/>
          <w:color w:val="000000"/>
        </w:rPr>
        <w:t xml:space="preserve">  PhD Thesis at Eotvos Lorand University Faculty of Law and Political Science. Budapest, Hungary.</w:t>
      </w:r>
    </w:p>
    <w:p w14:paraId="16F12383"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BEC1C8D"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 New Roman"/>
        </w:rPr>
        <w:t xml:space="preserve">Hallin, D., and P. Mancini. (2012). “Introduction”. In D. C. Hallin &amp; P. Mancini (Eds.), </w:t>
      </w:r>
      <w:r>
        <w:rPr>
          <w:rFonts w:eastAsia="Times New Roman"/>
          <w:i/>
          <w:iCs/>
        </w:rPr>
        <w:t>Comparing Media Systems Beyond the Western World</w:t>
      </w:r>
      <w:r>
        <w:rPr>
          <w:rFonts w:eastAsia="Times New Roman"/>
        </w:rPr>
        <w:t xml:space="preserve"> (pp. 1–7). Cambridge: Cambridge University Press</w:t>
      </w:r>
    </w:p>
    <w:p w14:paraId="6C101D65"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144932B"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 New Roman"/>
        </w:rPr>
        <w:t xml:space="preserve">Hardy, J. (2008). </w:t>
      </w:r>
      <w:r>
        <w:rPr>
          <w:rFonts w:eastAsia="Times New Roman"/>
          <w:i/>
          <w:iCs/>
        </w:rPr>
        <w:t>Western Media Systems</w:t>
      </w:r>
      <w:r>
        <w:rPr>
          <w:rFonts w:eastAsia="Times New Roman"/>
        </w:rPr>
        <w:t>. London: Routledge.</w:t>
      </w:r>
    </w:p>
    <w:p w14:paraId="7ECEAC9D"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9C0F4A0"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Hogwood, B., and L. Gunn</w:t>
      </w:r>
      <w:r w:rsidRPr="006B45B3">
        <w:rPr>
          <w:rFonts w:eastAsia="TimesNewRomanPSMT" w:cs="TimesNewRomanPSMT"/>
          <w:color w:val="000000"/>
        </w:rPr>
        <w:t>. (1984)</w:t>
      </w:r>
      <w:r>
        <w:rPr>
          <w:rFonts w:eastAsia="TimesNewRomanPSMT" w:cs="TimesNewRomanPSMT"/>
          <w:color w:val="000000"/>
        </w:rPr>
        <w:t>.</w:t>
      </w:r>
      <w:r w:rsidRPr="006B45B3">
        <w:rPr>
          <w:rFonts w:eastAsia="TimesNewRomanPSMT" w:cs="TimesNewRomanPSMT"/>
          <w:color w:val="000000"/>
        </w:rPr>
        <w:t xml:space="preserve"> </w:t>
      </w:r>
      <w:r w:rsidRPr="0009722B">
        <w:rPr>
          <w:rFonts w:eastAsia="TimesNewRomanPSMT" w:cs="TimesNewRomanPSMT"/>
          <w:i/>
          <w:color w:val="000000"/>
        </w:rPr>
        <w:t>Policy Analysis for the Real World</w:t>
      </w:r>
      <w:r w:rsidRPr="006B45B3">
        <w:rPr>
          <w:rFonts w:eastAsia="TimesNewRomanPSMT" w:cs="TimesNewRomanPSMT"/>
          <w:color w:val="000000"/>
        </w:rPr>
        <w:t>. Oxford: Oxford University</w:t>
      </w:r>
      <w:r>
        <w:rPr>
          <w:rFonts w:eastAsia="TimesNewRomanPSMT" w:cs="TimesNewRomanPSMT"/>
          <w:color w:val="000000"/>
        </w:rPr>
        <w:t xml:space="preserve"> </w:t>
      </w:r>
      <w:r w:rsidRPr="006B45B3">
        <w:rPr>
          <w:rFonts w:eastAsia="TimesNewRomanPSMT" w:cs="TimesNewRomanPSMT"/>
          <w:color w:val="000000"/>
        </w:rPr>
        <w:t>Press.</w:t>
      </w:r>
    </w:p>
    <w:p w14:paraId="5A75860D" w14:textId="77777777" w:rsidR="007E5963"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9A47816" w14:textId="77777777" w:rsidR="007E5963" w:rsidRPr="000D312B" w:rsidRDefault="007E5963" w:rsidP="00956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0D312B">
        <w:rPr>
          <w:rFonts w:eastAsia="TimesNewRomanPSMT" w:cs="TimesNewRomanPSMT"/>
          <w:color w:val="000000"/>
        </w:rPr>
        <w:t xml:space="preserve">Howley, K. (2010). </w:t>
      </w:r>
      <w:r w:rsidRPr="000D312B">
        <w:rPr>
          <w:rFonts w:eastAsia="TimesNewRomanPSMT" w:cs="TimesNewRomanPSMT"/>
          <w:i/>
          <w:iCs/>
          <w:color w:val="000000"/>
        </w:rPr>
        <w:t>Understanding Community Media</w:t>
      </w:r>
      <w:r w:rsidRPr="000D312B">
        <w:rPr>
          <w:rFonts w:eastAsia="TimesNewRomanPSMT" w:cs="TimesNewRomanPSMT"/>
          <w:color w:val="000000"/>
        </w:rPr>
        <w:t>. London: Sage Publications.</w:t>
      </w:r>
    </w:p>
    <w:p w14:paraId="659FDC40" w14:textId="77777777" w:rsidR="007E5963" w:rsidRDefault="007E5963" w:rsidP="009566D9">
      <w:pPr>
        <w:spacing w:line="276" w:lineRule="auto"/>
      </w:pPr>
    </w:p>
    <w:p w14:paraId="40D1718B" w14:textId="77777777" w:rsidR="007E5963" w:rsidRDefault="007E5963" w:rsidP="009566D9">
      <w:pPr>
        <w:spacing w:line="276" w:lineRule="auto"/>
      </w:pPr>
      <w:r w:rsidRPr="00F51E2F">
        <w:t>Jakub</w:t>
      </w:r>
      <w:r>
        <w:t>owicz, K. (2010). “</w:t>
      </w:r>
      <w:r w:rsidRPr="00F51E2F">
        <w:t>Media Systems Research: An Overview</w:t>
      </w:r>
      <w:r>
        <w:t>”</w:t>
      </w:r>
      <w:r w:rsidRPr="00F51E2F">
        <w:t>. In B. Dobek-Ostrowska, M. Glowack</w:t>
      </w:r>
      <w:r>
        <w:t>i, K. Jakubowicz, &amp; M. Sükösd (e</w:t>
      </w:r>
      <w:r w:rsidRPr="00F51E2F">
        <w:t xml:space="preserve">ds.), </w:t>
      </w:r>
      <w:r w:rsidRPr="00F51E2F">
        <w:rPr>
          <w:i/>
          <w:iCs/>
        </w:rPr>
        <w:t>Comparative Media Systems. European and Global Perspective</w:t>
      </w:r>
      <w:r w:rsidRPr="00F51E2F">
        <w:t xml:space="preserve"> (pp. 1–21). Budapest: CEU Press.</w:t>
      </w:r>
    </w:p>
    <w:p w14:paraId="3DFDC9B9" w14:textId="77777777" w:rsidR="007E5963" w:rsidRDefault="007E5963" w:rsidP="009566D9">
      <w:pPr>
        <w:spacing w:line="276" w:lineRule="auto"/>
      </w:pPr>
    </w:p>
    <w:p w14:paraId="4C308B15" w14:textId="77777777" w:rsidR="007E5963" w:rsidRPr="00891165" w:rsidRDefault="007E5963" w:rsidP="009566D9">
      <w:pPr>
        <w:spacing w:line="276" w:lineRule="auto"/>
      </w:pPr>
      <w:r w:rsidRPr="00891165">
        <w:t xml:space="preserve">Juris, J. S. (2008). </w:t>
      </w:r>
      <w:r>
        <w:rPr>
          <w:i/>
        </w:rPr>
        <w:t>Networking F</w:t>
      </w:r>
      <w:r w:rsidRPr="00891165">
        <w:rPr>
          <w:i/>
        </w:rPr>
        <w:t>utures: The Movements Against Corporate Globalization.</w:t>
      </w:r>
      <w:r w:rsidRPr="00891165">
        <w:t xml:space="preserve"> </w:t>
      </w:r>
      <w:r>
        <w:t xml:space="preserve">Durham, NC.: </w:t>
      </w:r>
      <w:r w:rsidRPr="00891165">
        <w:t>Duke University Press</w:t>
      </w:r>
      <w:r>
        <w:t>.</w:t>
      </w:r>
    </w:p>
    <w:p w14:paraId="7D548C67" w14:textId="77777777" w:rsidR="007E5963" w:rsidRDefault="007E5963" w:rsidP="009566D9">
      <w:pPr>
        <w:spacing w:line="276" w:lineRule="auto"/>
      </w:pPr>
    </w:p>
    <w:p w14:paraId="2F9B3B36" w14:textId="77777777" w:rsidR="007E5963" w:rsidRDefault="007E5963" w:rsidP="009566D9">
      <w:pPr>
        <w:spacing w:line="276" w:lineRule="auto"/>
      </w:pPr>
      <w:r w:rsidRPr="0009722B">
        <w:t>Kingdon, J. (1984)</w:t>
      </w:r>
      <w:r>
        <w:t>.</w:t>
      </w:r>
      <w:r w:rsidRPr="0009722B">
        <w:t xml:space="preserve"> </w:t>
      </w:r>
      <w:r w:rsidRPr="0009722B">
        <w:rPr>
          <w:i/>
        </w:rPr>
        <w:t>Agendas, Alternatives and Public Policies</w:t>
      </w:r>
      <w:r w:rsidRPr="0009722B">
        <w:t>.</w:t>
      </w:r>
      <w:r>
        <w:t xml:space="preserve"> </w:t>
      </w:r>
      <w:r w:rsidRPr="0009722B">
        <w:t>New York: HarperCollins Press.</w:t>
      </w:r>
    </w:p>
    <w:p w14:paraId="713B60C1" w14:textId="77777777" w:rsidR="007E5963" w:rsidRDefault="007E5963" w:rsidP="009566D9">
      <w:pPr>
        <w:spacing w:line="276" w:lineRule="auto"/>
      </w:pPr>
    </w:p>
    <w:p w14:paraId="0DFBB9A9" w14:textId="77777777" w:rsidR="007E5963" w:rsidRPr="00E4390E" w:rsidRDefault="007E5963" w:rsidP="009566D9">
      <w:pPr>
        <w:spacing w:line="276" w:lineRule="auto"/>
        <w:rPr>
          <w:i/>
        </w:rPr>
      </w:pPr>
      <w:r>
        <w:t>Melody, W.</w:t>
      </w:r>
      <w:r w:rsidRPr="00E4390E">
        <w:t xml:space="preserve"> (1990)</w:t>
      </w:r>
      <w:r>
        <w:t>. “Communication Policy in the G</w:t>
      </w:r>
      <w:r w:rsidRPr="00E4390E">
        <w:t>lobal</w:t>
      </w:r>
      <w:r>
        <w:t xml:space="preserve"> Information Economy: Whither the Public I</w:t>
      </w:r>
      <w:r w:rsidRPr="00E4390E">
        <w:t>nterest?”</w:t>
      </w:r>
      <w:r>
        <w:t>.</w:t>
      </w:r>
      <w:r w:rsidRPr="00E4390E">
        <w:t xml:space="preserve"> M. Ferguson (ed</w:t>
      </w:r>
      <w:r>
        <w:t>.</w:t>
      </w:r>
      <w:r w:rsidRPr="00E4390E">
        <w:t>)</w:t>
      </w:r>
      <w:r>
        <w:t>.</w:t>
      </w:r>
      <w:r w:rsidRPr="00E4390E">
        <w:t xml:space="preserve"> </w:t>
      </w:r>
      <w:r w:rsidRPr="00E4390E">
        <w:rPr>
          <w:i/>
        </w:rPr>
        <w:t>Public Communication: The New</w:t>
      </w:r>
    </w:p>
    <w:p w14:paraId="0D0E5174" w14:textId="77777777" w:rsidR="007E5963" w:rsidRDefault="007E5963" w:rsidP="009566D9">
      <w:pPr>
        <w:spacing w:line="276" w:lineRule="auto"/>
      </w:pPr>
      <w:r w:rsidRPr="00E4390E">
        <w:rPr>
          <w:i/>
        </w:rPr>
        <w:t>Imperatives</w:t>
      </w:r>
      <w:r w:rsidRPr="00E4390E">
        <w:t>. London: Sage Publications, pp. 16–39.</w:t>
      </w:r>
    </w:p>
    <w:p w14:paraId="7957866F" w14:textId="77777777" w:rsidR="007E5963" w:rsidRDefault="007E5963" w:rsidP="009566D9">
      <w:pPr>
        <w:spacing w:line="276" w:lineRule="auto"/>
      </w:pPr>
    </w:p>
    <w:p w14:paraId="2DCD527A" w14:textId="77777777" w:rsidR="007E5963" w:rsidRDefault="007E5963" w:rsidP="009566D9">
      <w:pPr>
        <w:spacing w:line="276" w:lineRule="auto"/>
      </w:pPr>
      <w:r w:rsidRPr="00310E48">
        <w:t xml:space="preserve">Melucci, A. (1989). </w:t>
      </w:r>
      <w:r>
        <w:rPr>
          <w:i/>
          <w:iCs/>
        </w:rPr>
        <w:t>Nomads of the P</w:t>
      </w:r>
      <w:r w:rsidRPr="00310E48">
        <w:rPr>
          <w:i/>
          <w:iCs/>
        </w:rPr>
        <w:t>resent. Socia</w:t>
      </w:r>
      <w:r>
        <w:rPr>
          <w:i/>
          <w:iCs/>
        </w:rPr>
        <w:t>l Movements and Individual Needs in Contemporary S</w:t>
      </w:r>
      <w:r w:rsidRPr="00310E48">
        <w:rPr>
          <w:i/>
          <w:iCs/>
        </w:rPr>
        <w:t>ociety.</w:t>
      </w:r>
      <w:r w:rsidRPr="00310E48">
        <w:t xml:space="preserve"> Philadelphia: Temple University Press.</w:t>
      </w:r>
    </w:p>
    <w:p w14:paraId="38E1D96E" w14:textId="77777777" w:rsidR="007E5963" w:rsidRDefault="007E5963" w:rsidP="009566D9">
      <w:pPr>
        <w:spacing w:line="276" w:lineRule="auto"/>
      </w:pPr>
    </w:p>
    <w:p w14:paraId="4B5F12E6" w14:textId="77777777" w:rsidR="007E5963" w:rsidRPr="002F1B40" w:rsidRDefault="007E5963" w:rsidP="009566D9">
      <w:pPr>
        <w:spacing w:line="276" w:lineRule="auto"/>
      </w:pPr>
      <w:r w:rsidRPr="002F1B40">
        <w:t xml:space="preserve">Price-Davies, E., and J. Tacchi (2001). </w:t>
      </w:r>
      <w:r>
        <w:rPr>
          <w:i/>
        </w:rPr>
        <w:t>Community Radio in a Global Context: An Overview of Community R</w:t>
      </w:r>
      <w:r w:rsidRPr="002F1B40">
        <w:rPr>
          <w:i/>
        </w:rPr>
        <w:t>adio in Australia, Canada, France, Holland, Ireland and South Africa.</w:t>
      </w:r>
      <w:r w:rsidRPr="002F1B40">
        <w:t xml:space="preserve"> Sheffield, UK.: Community Media Association.</w:t>
      </w:r>
    </w:p>
    <w:p w14:paraId="1964D567" w14:textId="77777777" w:rsidR="007E5963" w:rsidRDefault="007E5963" w:rsidP="009566D9">
      <w:pPr>
        <w:spacing w:line="276" w:lineRule="auto"/>
      </w:pPr>
    </w:p>
    <w:p w14:paraId="4C5B8DB5" w14:textId="77777777" w:rsidR="007E5963" w:rsidRDefault="007E5963" w:rsidP="009566D9">
      <w:pPr>
        <w:spacing w:line="276" w:lineRule="auto"/>
      </w:pPr>
      <w:r>
        <w:t>Prometheus Radio Project. (2010). “</w:t>
      </w:r>
      <w:r w:rsidRPr="00585FAB">
        <w:t>Obama Signs into Law the Local Community R</w:t>
      </w:r>
      <w:r>
        <w:t xml:space="preserve">adio Act: FCC Chairman Pledges </w:t>
      </w:r>
      <w:r w:rsidRPr="00585FAB">
        <w:t>Swift Action to Open the Dial”</w:t>
      </w:r>
      <w:r>
        <w:t xml:space="preserve">. </w:t>
      </w:r>
      <w:hyperlink r:id="rId11" w:history="1">
        <w:r w:rsidRPr="00585FAB">
          <w:rPr>
            <w:rStyle w:val="Hyperlink"/>
          </w:rPr>
          <w:t>http://www.prometheusradio.org/content/obama-signs-law-local-community-radio-act-fcc-chairman-pledges-“swift-action-open-dial”</w:t>
        </w:r>
      </w:hyperlink>
      <w:r>
        <w:t xml:space="preserve"> Accessed 21.1.2016</w:t>
      </w:r>
    </w:p>
    <w:p w14:paraId="6F5848EB" w14:textId="77777777" w:rsidR="007E5963" w:rsidRDefault="007E5963" w:rsidP="009566D9">
      <w:pPr>
        <w:spacing w:line="276" w:lineRule="auto"/>
      </w:pPr>
    </w:p>
    <w:p w14:paraId="28F25C5A" w14:textId="77777777" w:rsidR="007E5963" w:rsidRPr="00891165" w:rsidRDefault="007E5963" w:rsidP="009566D9">
      <w:pPr>
        <w:spacing w:line="276" w:lineRule="auto"/>
        <w:rPr>
          <w:rFonts w:eastAsia="TimesNewRomanPSMT" w:cs="TimesNewRomanPSMT"/>
          <w:color w:val="000000"/>
        </w:rPr>
      </w:pPr>
      <w:r w:rsidRPr="004A04C4">
        <w:rPr>
          <w:rFonts w:eastAsia="TimesNewRomanPSMT" w:cs="TimesNewRomanPSMT"/>
          <w:color w:val="000000"/>
        </w:rPr>
        <w:t xml:space="preserve">Rennie, E. (2006). </w:t>
      </w:r>
      <w:r w:rsidRPr="004A04C4">
        <w:rPr>
          <w:rFonts w:eastAsia="TimesNewRomanPSMT" w:cs="TimesNewRomanPSMT"/>
          <w:i/>
          <w:color w:val="000000"/>
        </w:rPr>
        <w:t>Community Media: A Global Introduction</w:t>
      </w:r>
      <w:r w:rsidRPr="004A04C4">
        <w:rPr>
          <w:rFonts w:eastAsia="TimesNewRomanPSMT" w:cs="TimesNewRomanPSMT"/>
          <w:color w:val="000000"/>
        </w:rPr>
        <w:t>. Oxford, UK.: Rowman &amp; Littlefield.</w:t>
      </w:r>
    </w:p>
    <w:p w14:paraId="74CDC1A2" w14:textId="77777777" w:rsidR="007E5963" w:rsidRDefault="007E5963" w:rsidP="009566D9">
      <w:pPr>
        <w:spacing w:line="276" w:lineRule="auto"/>
      </w:pPr>
    </w:p>
    <w:p w14:paraId="148A54FF" w14:textId="77777777" w:rsidR="007E5963" w:rsidRDefault="007E5963" w:rsidP="009566D9">
      <w:pPr>
        <w:spacing w:line="276" w:lineRule="auto"/>
      </w:pPr>
      <w:r>
        <w:t xml:space="preserve">Steen, T. (2015). “40 years’ history of Ethnic Community Broadcasting”. NEMBCA. </w:t>
      </w:r>
      <w:hyperlink r:id="rId12" w:history="1">
        <w:r w:rsidRPr="008B5FF9">
          <w:rPr>
            <w:rStyle w:val="Hyperlink"/>
          </w:rPr>
          <w:t>http://www.nembc.org.au/wp-content/uploads/2015/06/NEMBC-EB-Spring-2015.pdf</w:t>
        </w:r>
      </w:hyperlink>
      <w:r>
        <w:t xml:space="preserve"> Accessed 21.1.2016</w:t>
      </w:r>
    </w:p>
    <w:p w14:paraId="19EB78E8" w14:textId="77777777" w:rsidR="007E5963" w:rsidRPr="00783933" w:rsidRDefault="007E5963" w:rsidP="009566D9">
      <w:pPr>
        <w:spacing w:line="276" w:lineRule="auto"/>
      </w:pPr>
      <w:r>
        <w:t xml:space="preserve">  </w:t>
      </w:r>
    </w:p>
    <w:p w14:paraId="798A0D95" w14:textId="77777777" w:rsidR="007E5963" w:rsidRPr="00783933" w:rsidRDefault="007E5963" w:rsidP="009566D9">
      <w:pPr>
        <w:spacing w:line="276" w:lineRule="auto"/>
        <w:rPr>
          <w:bCs/>
        </w:rPr>
      </w:pPr>
      <w:r w:rsidRPr="00783933">
        <w:t xml:space="preserve">Wright, K. (2013). </w:t>
      </w:r>
      <w:r>
        <w:t>“</w:t>
      </w:r>
      <w:r>
        <w:rPr>
          <w:bCs/>
        </w:rPr>
        <w:t>Media Consolidation Threatens our D</w:t>
      </w:r>
      <w:r w:rsidRPr="00783933">
        <w:rPr>
          <w:bCs/>
        </w:rPr>
        <w:t>emocracy</w:t>
      </w:r>
      <w:r>
        <w:rPr>
          <w:bCs/>
        </w:rPr>
        <w:t xml:space="preserve">”. Rogue Valley Community Press. </w:t>
      </w:r>
      <w:hyperlink r:id="rId13" w:history="1">
        <w:r w:rsidRPr="00783933">
          <w:rPr>
            <w:rStyle w:val="Hyperlink"/>
            <w:bCs/>
          </w:rPr>
          <w:t>http://rvcommunitypress.com/2013/04/media-consolidation-threatens-our-democracy/</w:t>
        </w:r>
      </w:hyperlink>
      <w:r>
        <w:rPr>
          <w:bCs/>
        </w:rPr>
        <w:t xml:space="preserve"> Accessed 2.2.2016</w:t>
      </w:r>
    </w:p>
    <w:p w14:paraId="4037FAE6" w14:textId="77777777" w:rsidR="007E5963" w:rsidRDefault="007E5963" w:rsidP="009566D9">
      <w:pPr>
        <w:spacing w:line="276" w:lineRule="auto"/>
      </w:pPr>
    </w:p>
    <w:sectPr w:rsidR="007E5963" w:rsidSect="00973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44119" w14:textId="77777777" w:rsidR="00F2076E" w:rsidRDefault="00F2076E" w:rsidP="007E5963">
      <w:r>
        <w:separator/>
      </w:r>
    </w:p>
  </w:endnote>
  <w:endnote w:type="continuationSeparator" w:id="0">
    <w:p w14:paraId="43B5C138" w14:textId="77777777" w:rsidR="00F2076E" w:rsidRDefault="00F2076E" w:rsidP="007E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NewRomanPSMT">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TimesNewRomanPS-BoldMT">
    <w:altName w:val="Times New Roman"/>
    <w:charset w:val="EE"/>
    <w:family w:val="roman"/>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86BF" w14:textId="77777777" w:rsidR="00F2076E" w:rsidRDefault="00F2076E" w:rsidP="007E5963">
      <w:r>
        <w:separator/>
      </w:r>
    </w:p>
  </w:footnote>
  <w:footnote w:type="continuationSeparator" w:id="0">
    <w:p w14:paraId="34438B7D" w14:textId="77777777" w:rsidR="00F2076E" w:rsidRDefault="00F2076E" w:rsidP="007E5963">
      <w:r>
        <w:continuationSeparator/>
      </w:r>
    </w:p>
  </w:footnote>
  <w:footnote w:id="1">
    <w:p w14:paraId="1B7E0B52" w14:textId="3C4447B3" w:rsidR="0003469A" w:rsidRDefault="0003469A">
      <w:pPr>
        <w:pStyle w:val="FootnoteText"/>
      </w:pPr>
      <w:r>
        <w:rPr>
          <w:rStyle w:val="FootnoteReference"/>
        </w:rPr>
        <w:footnoteRef/>
      </w:r>
      <w:r>
        <w:t xml:space="preserve"> See the program </w:t>
      </w:r>
      <w:r w:rsidRPr="00CC7CDD">
        <w:t>details of University of Lincoln</w:t>
      </w:r>
      <w:r w:rsidRPr="00CC7CDD">
        <w:rPr>
          <w:iCs/>
        </w:rPr>
        <w:t xml:space="preserve"> MA Community Radio</w:t>
      </w:r>
      <w:r w:rsidRPr="00CC7CDD">
        <w:t xml:space="preserve"> at</w:t>
      </w:r>
      <w:r>
        <w:t xml:space="preserve">: </w:t>
      </w:r>
      <w:hyperlink r:id="rId1" w:history="1">
        <w:r>
          <w:rPr>
            <w:rStyle w:val="Hyperlink"/>
          </w:rPr>
          <w:t>http://www.lincoln.ac.uk/home/course/mhmacrs/</w:t>
        </w:r>
      </w:hyperlink>
      <w:r>
        <w:t>.</w:t>
      </w:r>
    </w:p>
  </w:footnote>
  <w:footnote w:id="2">
    <w:p w14:paraId="4FBDD6CE" w14:textId="48DF5C6C" w:rsidR="0003469A" w:rsidRDefault="0003469A">
      <w:pPr>
        <w:pStyle w:val="FootnoteText"/>
      </w:pPr>
      <w:r>
        <w:rPr>
          <w:rStyle w:val="FootnoteReference"/>
        </w:rPr>
        <w:footnoteRef/>
      </w:r>
      <w:r>
        <w:t xml:space="preserve"> The UNESCO Chair in Community Media is here: </w:t>
      </w:r>
      <w:hyperlink r:id="rId2" w:history="1">
        <w:r w:rsidRPr="00934F48">
          <w:rPr>
            <w:rStyle w:val="Hyperlink"/>
          </w:rPr>
          <w:t>http://uccommedia.in/about-us/vinodpavarala/</w:t>
        </w:r>
      </w:hyperlink>
      <w:r>
        <w:t>.</w:t>
      </w:r>
    </w:p>
    <w:p w14:paraId="051669FA" w14:textId="77777777" w:rsidR="0003469A" w:rsidRDefault="0003469A">
      <w:pPr>
        <w:pStyle w:val="FootnoteText"/>
      </w:pPr>
    </w:p>
  </w:footnote>
  <w:footnote w:id="3">
    <w:p w14:paraId="6AF6D1B6" w14:textId="77777777" w:rsidR="007E5963" w:rsidRDefault="007E5963" w:rsidP="007E5963">
      <w:pPr>
        <w:pStyle w:val="FootnoteText"/>
      </w:pPr>
      <w:r>
        <w:rPr>
          <w:rStyle w:val="FootnoteReference"/>
        </w:rPr>
        <w:footnoteRef/>
      </w:r>
      <w:r>
        <w:t xml:space="preserve"> The US FCC report on LPFM is here: </w:t>
      </w:r>
      <w:hyperlink r:id="rId3" w:history="1">
        <w:r w:rsidRPr="006961E8">
          <w:rPr>
            <w:rStyle w:val="Hyperlink"/>
          </w:rPr>
          <w:t>https://www.fcc.gov/document/lpfm-economic-study-and-report-congress</w:t>
        </w:r>
      </w:hyperlink>
      <w:r>
        <w:t>.</w:t>
      </w:r>
    </w:p>
  </w:footnote>
  <w:footnote w:id="4">
    <w:p w14:paraId="46D71CFD" w14:textId="77777777" w:rsidR="007E5963" w:rsidRDefault="007E5963" w:rsidP="007E5963">
      <w:pPr>
        <w:pStyle w:val="FootnoteText"/>
        <w:ind w:left="0" w:firstLine="0"/>
      </w:pPr>
    </w:p>
  </w:footnote>
  <w:footnote w:id="5">
    <w:p w14:paraId="457FE69C" w14:textId="77777777" w:rsidR="007E5963" w:rsidRDefault="007E5963" w:rsidP="007E5963">
      <w:pPr>
        <w:pStyle w:val="FootnoteText"/>
        <w:rPr>
          <w:rFonts w:eastAsia="Times New Roman"/>
        </w:rPr>
      </w:pPr>
      <w:r>
        <w:rPr>
          <w:rStyle w:val="FootnoteReference"/>
        </w:rPr>
        <w:footnoteRef/>
      </w:r>
      <w:r>
        <w:t xml:space="preserve"> </w:t>
      </w:r>
      <w:r>
        <w:rPr>
          <w:rFonts w:eastAsia="Times New Roman"/>
        </w:rPr>
        <w:t xml:space="preserve">See the Council of Europe recommendation 173 (2005) on regional media: </w:t>
      </w:r>
      <w:hyperlink r:id="rId4" w:history="1">
        <w:r w:rsidRPr="0045198B">
          <w:rPr>
            <w:rStyle w:val="Hyperlink"/>
            <w:rFonts w:eastAsia="Times New Roman"/>
          </w:rPr>
          <w:t>https://wcd.coe.int/ViewDoc.jsp?id=866605&amp;Site=COE</w:t>
        </w:r>
      </w:hyperlink>
      <w:r>
        <w:rPr>
          <w:rFonts w:eastAsia="Times New Roman"/>
        </w:rPr>
        <w:t xml:space="preserve">, and recommendation Rec (2007)2 of the COE Committee of Ministers: </w:t>
      </w:r>
      <w:hyperlink r:id="rId5" w:history="1">
        <w:r w:rsidRPr="0045198B">
          <w:rPr>
            <w:rStyle w:val="Hyperlink"/>
            <w:rFonts w:eastAsia="Times New Roman"/>
          </w:rPr>
          <w:t>https://wcd.coe.int/ViewDoc.jsp?id=1089699</w:t>
        </w:r>
      </w:hyperlink>
      <w:r>
        <w:rPr>
          <w:rFonts w:eastAsia="Times New Roman"/>
        </w:rPr>
        <w:t>.</w:t>
      </w:r>
    </w:p>
    <w:p w14:paraId="56BEBA33" w14:textId="77777777" w:rsidR="007E5963" w:rsidRDefault="007E5963" w:rsidP="007E5963">
      <w:pPr>
        <w:pStyle w:val="FootnoteText"/>
      </w:pPr>
    </w:p>
  </w:footnote>
  <w:footnote w:id="6">
    <w:p w14:paraId="2DDCB19D" w14:textId="77777777" w:rsidR="007E5963" w:rsidRDefault="007E5963" w:rsidP="007E5963">
      <w:pPr>
        <w:pStyle w:val="FootnoteText"/>
      </w:pPr>
      <w:r>
        <w:rPr>
          <w:rStyle w:val="FootnoteReference"/>
        </w:rPr>
        <w:footnoteRef/>
      </w:r>
      <w:r>
        <w:t xml:space="preserve"> The EU Media Pluralism Monitor is still active and can be seen here: </w:t>
      </w:r>
      <w:hyperlink r:id="rId6" w:history="1">
        <w:r w:rsidRPr="000B4351">
          <w:rPr>
            <w:rStyle w:val="Hyperlink"/>
          </w:rPr>
          <w:t>http://monitor.cmpf.eui.eu/results-2014/</w:t>
        </w:r>
      </w:hyperlink>
      <w:r>
        <w:t>.</w:t>
      </w:r>
    </w:p>
  </w:footnote>
  <w:footnote w:id="7">
    <w:p w14:paraId="0696A796" w14:textId="77777777" w:rsidR="007E5963" w:rsidRPr="00396634" w:rsidRDefault="007E5963" w:rsidP="007E5963">
      <w:pPr>
        <w:pStyle w:val="FootnoteText"/>
        <w:rPr>
          <w:bCs/>
        </w:rPr>
      </w:pPr>
      <w:r w:rsidRPr="00396634">
        <w:rPr>
          <w:rStyle w:val="FootnoteReference"/>
        </w:rPr>
        <w:footnoteRef/>
      </w:r>
      <w:r w:rsidRPr="00396634">
        <w:t xml:space="preserve"> </w:t>
      </w:r>
      <w:r>
        <w:t>More information about t</w:t>
      </w:r>
      <w:r w:rsidRPr="00396634">
        <w:t xml:space="preserve">he </w:t>
      </w:r>
      <w:r>
        <w:rPr>
          <w:bCs/>
        </w:rPr>
        <w:t>Media Pluralism Monitor 2015 stakeholders m</w:t>
      </w:r>
      <w:r w:rsidRPr="00396634">
        <w:rPr>
          <w:bCs/>
        </w:rPr>
        <w:t xml:space="preserve">eeting - Czech Republic </w:t>
      </w:r>
      <w:r>
        <w:rPr>
          <w:bCs/>
        </w:rPr>
        <w:t xml:space="preserve">is available here: </w:t>
      </w:r>
      <w:hyperlink r:id="rId7" w:history="1">
        <w:r w:rsidRPr="00396634">
          <w:rPr>
            <w:rStyle w:val="Hyperlink"/>
            <w:bCs/>
          </w:rPr>
          <w:t>http://cmpf.eui.eu/News/All/160105MPM15CzechMeeting.aspx</w:t>
        </w:r>
      </w:hyperlink>
      <w:r>
        <w:rPr>
          <w:bCs/>
        </w:rPr>
        <w:t>.</w:t>
      </w:r>
    </w:p>
    <w:p w14:paraId="5CA7C6E9" w14:textId="77777777" w:rsidR="007E5963" w:rsidRDefault="007E5963" w:rsidP="007E5963">
      <w:pPr>
        <w:pStyle w:val="FootnoteText"/>
      </w:pPr>
    </w:p>
  </w:footnote>
  <w:footnote w:id="8">
    <w:p w14:paraId="23444764" w14:textId="77777777" w:rsidR="0004540E" w:rsidRDefault="0004540E" w:rsidP="0004540E">
      <w:pPr>
        <w:pStyle w:val="FootnoteText"/>
      </w:pPr>
      <w:r>
        <w:rPr>
          <w:rStyle w:val="FootnoteReference"/>
        </w:rPr>
        <w:footnoteRef/>
      </w:r>
      <w:r>
        <w:t xml:space="preserve"> The Global Media Policy mapping Tool can be viewed here: </w:t>
      </w:r>
      <w:hyperlink r:id="rId8" w:history="1">
        <w:r w:rsidRPr="00B410C0">
          <w:rPr>
            <w:rStyle w:val="Hyperlink"/>
          </w:rPr>
          <w:t>http://www.globalmediapolicy.net/</w:t>
        </w:r>
      </w:hyperlink>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5DC005E"/>
    <w:lvl w:ilvl="0">
      <w:start w:val="1"/>
      <w:numFmt w:val="bullet"/>
      <w:lvlText w:val=""/>
      <w:lvlJc w:val="left"/>
      <w:pPr>
        <w:ind w:left="360" w:hanging="360"/>
      </w:pPr>
      <w:rPr>
        <w:rFonts w:ascii="Symbol" w:hAnsi="Symbol" w:hint="default"/>
      </w:r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CB84585"/>
    <w:multiLevelType w:val="hybridMultilevel"/>
    <w:tmpl w:val="7100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A0294"/>
    <w:multiLevelType w:val="hybridMultilevel"/>
    <w:tmpl w:val="BBD80322"/>
    <w:lvl w:ilvl="0" w:tplc="676CFD7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63"/>
    <w:rsid w:val="0003469A"/>
    <w:rsid w:val="0004540E"/>
    <w:rsid w:val="000A5D0D"/>
    <w:rsid w:val="00101501"/>
    <w:rsid w:val="00170445"/>
    <w:rsid w:val="001C6C41"/>
    <w:rsid w:val="002551C5"/>
    <w:rsid w:val="002E6279"/>
    <w:rsid w:val="00362C8C"/>
    <w:rsid w:val="004124E2"/>
    <w:rsid w:val="00417ABB"/>
    <w:rsid w:val="004212A0"/>
    <w:rsid w:val="00426275"/>
    <w:rsid w:val="00536FBF"/>
    <w:rsid w:val="00615699"/>
    <w:rsid w:val="006A640A"/>
    <w:rsid w:val="007E5963"/>
    <w:rsid w:val="007F1043"/>
    <w:rsid w:val="007F1126"/>
    <w:rsid w:val="0081363F"/>
    <w:rsid w:val="009566D9"/>
    <w:rsid w:val="009640FA"/>
    <w:rsid w:val="00973DAC"/>
    <w:rsid w:val="009E64C2"/>
    <w:rsid w:val="00A54BEE"/>
    <w:rsid w:val="00A73C3D"/>
    <w:rsid w:val="00B645D0"/>
    <w:rsid w:val="00BC7CAC"/>
    <w:rsid w:val="00BD49AC"/>
    <w:rsid w:val="00C93589"/>
    <w:rsid w:val="00C94027"/>
    <w:rsid w:val="00DD4520"/>
    <w:rsid w:val="00E551AA"/>
    <w:rsid w:val="00E60687"/>
    <w:rsid w:val="00F2076E"/>
    <w:rsid w:val="00FD72E4"/>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FC1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963"/>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BodyText"/>
    <w:link w:val="Heading2Char"/>
    <w:autoRedefine/>
    <w:qFormat/>
    <w:rsid w:val="007E5963"/>
    <w:pPr>
      <w:keepNext/>
      <w:numPr>
        <w:ilvl w:val="1"/>
        <w:numId w:val="1"/>
      </w:numPr>
      <w:spacing w:before="480" w:after="120" w:line="360" w:lineRule="auto"/>
      <w:ind w:left="578" w:hanging="578"/>
      <w:jc w:val="both"/>
      <w:outlineLvl w:val="1"/>
    </w:pPr>
    <w:rPr>
      <w:rFonts w:ascii="Times New Roman" w:eastAsia="TimesNewRomanPSMT" w:hAnsi="Times New Roman" w:cs="Times New Roman"/>
      <w:bCs/>
      <w:iCs/>
      <w:color w:val="000000"/>
      <w:sz w:val="28"/>
      <w:szCs w:val="28"/>
    </w:rPr>
  </w:style>
  <w:style w:type="paragraph" w:styleId="Heading3">
    <w:name w:val="heading 3"/>
    <w:basedOn w:val="Normal"/>
    <w:next w:val="BodyText"/>
    <w:link w:val="Heading3Char"/>
    <w:qFormat/>
    <w:rsid w:val="007E5963"/>
    <w:pPr>
      <w:keepNext/>
      <w:numPr>
        <w:ilvl w:val="2"/>
        <w:numId w:val="1"/>
      </w:numPr>
      <w:spacing w:before="240" w:after="120"/>
      <w:jc w:val="both"/>
      <w:outlineLvl w:val="2"/>
    </w:pPr>
    <w:rPr>
      <w:rFonts w:ascii="Georgia" w:eastAsia="Arial" w:hAnsi="Georgia" w:cs="Tahoma"/>
      <w:bCs/>
      <w:kern w:val="1"/>
      <w:sz w:val="28"/>
      <w:szCs w:val="28"/>
    </w:rPr>
  </w:style>
  <w:style w:type="paragraph" w:styleId="Heading4">
    <w:name w:val="heading 4"/>
    <w:basedOn w:val="Normal"/>
    <w:next w:val="BodyText"/>
    <w:link w:val="Heading4Char"/>
    <w:qFormat/>
    <w:rsid w:val="007E5963"/>
    <w:pPr>
      <w:keepNext/>
      <w:numPr>
        <w:ilvl w:val="3"/>
        <w:numId w:val="1"/>
      </w:numPr>
      <w:spacing w:before="240" w:after="120" w:line="360" w:lineRule="auto"/>
      <w:jc w:val="both"/>
      <w:outlineLvl w:val="3"/>
    </w:pPr>
    <w:rPr>
      <w:rFonts w:ascii="Georgia" w:eastAsia="Arial" w:hAnsi="Georgia" w:cs="Tahoma"/>
      <w:bCs/>
      <w:iCs/>
      <w:kern w:val="1"/>
      <w:sz w:val="26"/>
    </w:rPr>
  </w:style>
  <w:style w:type="paragraph" w:styleId="Heading5">
    <w:name w:val="heading 5"/>
    <w:basedOn w:val="Normal"/>
    <w:next w:val="BodyText"/>
    <w:link w:val="Heading5Char"/>
    <w:qFormat/>
    <w:rsid w:val="007E5963"/>
    <w:pPr>
      <w:keepNext/>
      <w:numPr>
        <w:ilvl w:val="4"/>
        <w:numId w:val="1"/>
      </w:numPr>
      <w:spacing w:before="240" w:after="120" w:line="360" w:lineRule="auto"/>
      <w:jc w:val="both"/>
      <w:outlineLvl w:val="4"/>
    </w:pPr>
    <w:rPr>
      <w:rFonts w:ascii="Georgia" w:eastAsia="Arial" w:hAnsi="Georgia" w:cs="Tahoma"/>
      <w:bCs/>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63"/>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7E5963"/>
    <w:rPr>
      <w:rFonts w:ascii="Times New Roman" w:eastAsia="TimesNewRomanPSMT" w:hAnsi="Times New Roman" w:cs="Times New Roman"/>
      <w:bCs/>
      <w:iCs/>
      <w:color w:val="000000"/>
      <w:sz w:val="28"/>
      <w:szCs w:val="28"/>
    </w:rPr>
  </w:style>
  <w:style w:type="character" w:customStyle="1" w:styleId="Heading3Char">
    <w:name w:val="Heading 3 Char"/>
    <w:basedOn w:val="DefaultParagraphFont"/>
    <w:link w:val="Heading3"/>
    <w:rsid w:val="007E5963"/>
    <w:rPr>
      <w:rFonts w:ascii="Georgia" w:eastAsia="Arial" w:hAnsi="Georgia" w:cs="Tahoma"/>
      <w:bCs/>
      <w:kern w:val="1"/>
      <w:sz w:val="28"/>
      <w:szCs w:val="28"/>
    </w:rPr>
  </w:style>
  <w:style w:type="character" w:customStyle="1" w:styleId="Heading4Char">
    <w:name w:val="Heading 4 Char"/>
    <w:basedOn w:val="DefaultParagraphFont"/>
    <w:link w:val="Heading4"/>
    <w:rsid w:val="007E5963"/>
    <w:rPr>
      <w:rFonts w:ascii="Georgia" w:eastAsia="Arial" w:hAnsi="Georgia" w:cs="Tahoma"/>
      <w:bCs/>
      <w:iCs/>
      <w:kern w:val="1"/>
      <w:sz w:val="26"/>
    </w:rPr>
  </w:style>
  <w:style w:type="character" w:customStyle="1" w:styleId="Heading5Char">
    <w:name w:val="Heading 5 Char"/>
    <w:basedOn w:val="DefaultParagraphFont"/>
    <w:link w:val="Heading5"/>
    <w:rsid w:val="007E5963"/>
    <w:rPr>
      <w:rFonts w:ascii="Georgia" w:eastAsia="Arial" w:hAnsi="Georgia" w:cs="Tahoma"/>
      <w:bCs/>
      <w:kern w:val="1"/>
    </w:rPr>
  </w:style>
  <w:style w:type="paragraph" w:styleId="List">
    <w:name w:val="List"/>
    <w:basedOn w:val="BodyText"/>
    <w:rsid w:val="007E5963"/>
    <w:pPr>
      <w:widowControl w:val="0"/>
      <w:suppressAutoHyphens/>
    </w:pPr>
    <w:rPr>
      <w:rFonts w:eastAsia="Arial" w:cs="Tahoma"/>
      <w:kern w:val="1"/>
    </w:rPr>
  </w:style>
  <w:style w:type="paragraph" w:styleId="BodyText">
    <w:name w:val="Body Text"/>
    <w:basedOn w:val="Normal"/>
    <w:link w:val="BodyTextChar"/>
    <w:unhideWhenUsed/>
    <w:rsid w:val="007E5963"/>
    <w:pPr>
      <w:spacing w:after="120"/>
    </w:pPr>
    <w:rPr>
      <w:rFonts w:ascii="Times New Roman" w:eastAsiaTheme="minorEastAsia" w:hAnsi="Times New Roman" w:cs="Times New Roman"/>
    </w:rPr>
  </w:style>
  <w:style w:type="character" w:customStyle="1" w:styleId="BodyTextChar">
    <w:name w:val="Body Text Char"/>
    <w:basedOn w:val="DefaultParagraphFont"/>
    <w:link w:val="BodyText"/>
    <w:rsid w:val="007E5963"/>
    <w:rPr>
      <w:rFonts w:ascii="Times New Roman" w:eastAsiaTheme="minorEastAsia" w:hAnsi="Times New Roman" w:cs="Times New Roman"/>
    </w:rPr>
  </w:style>
  <w:style w:type="character" w:styleId="Hyperlink">
    <w:name w:val="Hyperlink"/>
    <w:rsid w:val="007E5963"/>
    <w:rPr>
      <w:color w:val="000080"/>
      <w:u w:val="single"/>
    </w:rPr>
  </w:style>
  <w:style w:type="character" w:customStyle="1" w:styleId="FootnoteCharacters">
    <w:name w:val="Footnote Characters"/>
    <w:rsid w:val="007E5963"/>
  </w:style>
  <w:style w:type="character" w:styleId="FootnoteReference">
    <w:name w:val="footnote reference"/>
    <w:rsid w:val="007E5963"/>
    <w:rPr>
      <w:vertAlign w:val="superscript"/>
    </w:rPr>
  </w:style>
  <w:style w:type="paragraph" w:styleId="FootnoteText">
    <w:name w:val="footnote text"/>
    <w:basedOn w:val="Normal"/>
    <w:link w:val="FootnoteTextChar"/>
    <w:rsid w:val="007E5963"/>
    <w:pPr>
      <w:suppressLineNumbers/>
      <w:spacing w:after="120" w:line="360" w:lineRule="auto"/>
      <w:ind w:left="283" w:hanging="283"/>
    </w:pPr>
    <w:rPr>
      <w:rFonts w:ascii="Times New Roman" w:eastAsia="Arial" w:hAnsi="Times New Roman" w:cs="Times New Roman"/>
      <w:kern w:val="1"/>
      <w:sz w:val="20"/>
      <w:szCs w:val="20"/>
    </w:rPr>
  </w:style>
  <w:style w:type="character" w:customStyle="1" w:styleId="FootnoteTextChar">
    <w:name w:val="Footnote Text Char"/>
    <w:basedOn w:val="DefaultParagraphFont"/>
    <w:link w:val="FootnoteText"/>
    <w:rsid w:val="007E5963"/>
    <w:rPr>
      <w:rFonts w:ascii="Times New Roman" w:eastAsia="Arial" w:hAnsi="Times New Roman" w:cs="Times New Roman"/>
      <w:kern w:val="1"/>
      <w:sz w:val="20"/>
      <w:szCs w:val="20"/>
    </w:rPr>
  </w:style>
  <w:style w:type="paragraph" w:styleId="Caption">
    <w:name w:val="caption"/>
    <w:basedOn w:val="Normal"/>
    <w:next w:val="Normal"/>
    <w:autoRedefine/>
    <w:uiPriority w:val="35"/>
    <w:unhideWhenUsed/>
    <w:qFormat/>
    <w:rsid w:val="007E5963"/>
    <w:pPr>
      <w:spacing w:after="200" w:line="360" w:lineRule="auto"/>
      <w:jc w:val="center"/>
    </w:pPr>
    <w:rPr>
      <w:rFonts w:ascii="Times New Roman" w:eastAsia="Arial" w:hAnsi="Times New Roman" w:cs="Times New Roman"/>
      <w:b/>
      <w:bCs/>
      <w:kern w:val="1"/>
      <w:sz w:val="22"/>
      <w:szCs w:val="22"/>
    </w:rPr>
  </w:style>
  <w:style w:type="paragraph" w:styleId="ListParagraph">
    <w:name w:val="List Paragraph"/>
    <w:basedOn w:val="Normal"/>
    <w:uiPriority w:val="34"/>
    <w:qFormat/>
    <w:rsid w:val="007E5963"/>
    <w:pPr>
      <w:ind w:left="720"/>
      <w:contextualSpacing/>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7E596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E5963"/>
    <w:rPr>
      <w:rFonts w:ascii="Lucida Grande" w:eastAsiaTheme="minorEastAsia" w:hAnsi="Lucida Grande" w:cs="Lucida Grande"/>
      <w:sz w:val="18"/>
      <w:szCs w:val="18"/>
    </w:rPr>
  </w:style>
  <w:style w:type="character" w:styleId="FollowedHyperlink">
    <w:name w:val="FollowedHyperlink"/>
    <w:basedOn w:val="DefaultParagraphFont"/>
    <w:uiPriority w:val="99"/>
    <w:semiHidden/>
    <w:unhideWhenUsed/>
    <w:rsid w:val="007E5963"/>
    <w:rPr>
      <w:color w:val="954F72" w:themeColor="followedHyperlink"/>
      <w:u w:val="single"/>
    </w:rPr>
  </w:style>
  <w:style w:type="table" w:styleId="TableGrid">
    <w:name w:val="Table Grid"/>
    <w:basedOn w:val="TableNormal"/>
    <w:uiPriority w:val="59"/>
    <w:rsid w:val="007E5963"/>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5963"/>
    <w:pPr>
      <w:tabs>
        <w:tab w:val="center" w:pos="4320"/>
        <w:tab w:val="right" w:pos="8640"/>
      </w:tabs>
    </w:pPr>
    <w:rPr>
      <w:rFonts w:ascii="Times New Roman" w:eastAsiaTheme="minorEastAsia" w:hAnsi="Times New Roman" w:cs="Times New Roman"/>
    </w:rPr>
  </w:style>
  <w:style w:type="character" w:customStyle="1" w:styleId="FooterChar">
    <w:name w:val="Footer Char"/>
    <w:basedOn w:val="DefaultParagraphFont"/>
    <w:link w:val="Footer"/>
    <w:uiPriority w:val="99"/>
    <w:rsid w:val="007E5963"/>
    <w:rPr>
      <w:rFonts w:ascii="Times New Roman" w:eastAsiaTheme="minorEastAsia" w:hAnsi="Times New Roman" w:cs="Times New Roman"/>
    </w:rPr>
  </w:style>
  <w:style w:type="character" w:styleId="PageNumber">
    <w:name w:val="page number"/>
    <w:basedOn w:val="DefaultParagraphFont"/>
    <w:uiPriority w:val="99"/>
    <w:semiHidden/>
    <w:unhideWhenUsed/>
    <w:rsid w:val="007E5963"/>
  </w:style>
  <w:style w:type="character" w:customStyle="1" w:styleId="a">
    <w:name w:val="a"/>
    <w:basedOn w:val="DefaultParagraphFont"/>
    <w:rsid w:val="007E5963"/>
  </w:style>
  <w:style w:type="paragraph" w:styleId="Header">
    <w:name w:val="header"/>
    <w:basedOn w:val="Normal"/>
    <w:link w:val="HeaderChar"/>
    <w:uiPriority w:val="99"/>
    <w:unhideWhenUsed/>
    <w:rsid w:val="007E5963"/>
    <w:pPr>
      <w:tabs>
        <w:tab w:val="center" w:pos="4680"/>
        <w:tab w:val="right" w:pos="9360"/>
      </w:tabs>
    </w:pPr>
    <w:rPr>
      <w:rFonts w:ascii="Times New Roman" w:eastAsiaTheme="minorEastAsia" w:hAnsi="Times New Roman" w:cs="Times New Roman"/>
    </w:rPr>
  </w:style>
  <w:style w:type="character" w:customStyle="1" w:styleId="HeaderChar">
    <w:name w:val="Header Char"/>
    <w:basedOn w:val="DefaultParagraphFont"/>
    <w:link w:val="Header"/>
    <w:uiPriority w:val="99"/>
    <w:rsid w:val="007E5963"/>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rometheusradio.org/content/obama-signs-law-local-community-radio-act-fcc-chairman-pledges-%E2%80%9Cswift-action-open-dial%E2%80%9D" TargetMode="External"/><Relationship Id="rId12" Type="http://schemas.openxmlformats.org/officeDocument/2006/relationships/hyperlink" Target="http://www.nembc.org.au/wp-content/uploads/2015/06/NEMBC-EB-Spring-2015.pdf" TargetMode="External"/><Relationship Id="rId13" Type="http://schemas.openxmlformats.org/officeDocument/2006/relationships/hyperlink" Target="http://rvcommunitypress.com/2013/04/media-consolidation-threatens-our-democrac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se.ac.uk/media@lse/research/mediaWorkingPapers/pdf/EWP18.pdf" TargetMode="External"/><Relationship Id="rId8" Type="http://schemas.openxmlformats.org/officeDocument/2006/relationships/hyperlink" Target="http://www.unesco.org/new/fileadmin/MULTIMEDIA/HQ/CI/WPFD2009/pdf/wpfd2008_steve+buckley+community+media+-+maputo+wpfd.pdf" TargetMode="External"/><Relationship Id="rId9" Type="http://schemas.openxmlformats.org/officeDocument/2006/relationships/hyperlink" Target="http://www.lse.ac.uk/media@lse/events/MeCCSA/pdf/papers/SteveBuckley.pdf" TargetMode="External"/><Relationship Id="rId10" Type="http://schemas.openxmlformats.org/officeDocument/2006/relationships/hyperlink" Target="https://www.coe.int/t/dg4/cultureheritage/culture/Completed/Diversity/CCCULT_2001_2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lpfm-economic-study-and-report-congress" TargetMode="External"/><Relationship Id="rId4" Type="http://schemas.openxmlformats.org/officeDocument/2006/relationships/hyperlink" Target="https://wcd.coe.int/ViewDoc.jsp?id=866605&amp;Site=COE" TargetMode="External"/><Relationship Id="rId5" Type="http://schemas.openxmlformats.org/officeDocument/2006/relationships/hyperlink" Target="https://wcd.coe.int/ViewDoc.jsp?id=1089699" TargetMode="External"/><Relationship Id="rId6" Type="http://schemas.openxmlformats.org/officeDocument/2006/relationships/hyperlink" Target="http://monitor.cmpf.eui.eu/results-2014/" TargetMode="External"/><Relationship Id="rId7" Type="http://schemas.openxmlformats.org/officeDocument/2006/relationships/hyperlink" Target="http://cmpf.eui.eu/News/All/160105MPM15CzechMeeting.aspx" TargetMode="External"/><Relationship Id="rId8" Type="http://schemas.openxmlformats.org/officeDocument/2006/relationships/hyperlink" Target="http://www.globalmediapolicy.net/" TargetMode="External"/><Relationship Id="rId1" Type="http://schemas.openxmlformats.org/officeDocument/2006/relationships/hyperlink" Target="http://www.lincoln.ac.uk/home/course/mhmacrs/" TargetMode="External"/><Relationship Id="rId2" Type="http://schemas.openxmlformats.org/officeDocument/2006/relationships/hyperlink" Target="http://uccommedia.in/about-us/vinodpavar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4596</Words>
  <Characters>26202</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Tallinn University</Company>
  <LinksUpToDate>false</LinksUpToDate>
  <CharactersWithSpaces>30737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Humpolík</dc:creator>
  <cp:keywords/>
  <dc:description/>
  <cp:lastModifiedBy>Henry Loeser</cp:lastModifiedBy>
  <cp:revision>12</cp:revision>
  <cp:lastPrinted>2016-11-09T10:50:00Z</cp:lastPrinted>
  <dcterms:created xsi:type="dcterms:W3CDTF">2016-02-18T10:02:00Z</dcterms:created>
  <dcterms:modified xsi:type="dcterms:W3CDTF">2018-03-30T11:47:00Z</dcterms:modified>
</cp:coreProperties>
</file>