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06" w:rsidRPr="00B77E06" w:rsidRDefault="00B77E06" w:rsidP="00B77E06">
      <w:pPr>
        <w:spacing w:after="0" w:line="240" w:lineRule="auto"/>
        <w:rPr>
          <w:rFonts w:ascii="Times New Roman" w:eastAsia="Times New Roman" w:hAnsi="Times New Roman" w:cs="Times New Roman"/>
          <w:sz w:val="24"/>
          <w:szCs w:val="24"/>
        </w:rPr>
      </w:pPr>
      <w:r w:rsidRPr="00B77E06">
        <w:rPr>
          <w:rFonts w:ascii="Times New Roman" w:eastAsia="Times New Roman" w:hAnsi="Times New Roman" w:cs="Times New Roman"/>
          <w:sz w:val="24"/>
          <w:szCs w:val="24"/>
        </w:rPr>
        <w:pict>
          <v:rect id="_x0000_i1025" style="width:564pt;height:.75pt" o:hrpct="0" o:hralign="center" o:hrstd="t" o:hrnoshade="t" o:hr="t" fillcolor="#9e9e9e" stroked="f"/>
        </w:pict>
      </w:r>
    </w:p>
    <w:p w:rsidR="00B77E06" w:rsidRPr="00B77E06" w:rsidRDefault="00B77E06" w:rsidP="00B77E06">
      <w:pPr>
        <w:spacing w:before="100" w:beforeAutospacing="1" w:after="100" w:afterAutospacing="1" w:line="240" w:lineRule="auto"/>
        <w:outlineLvl w:val="1"/>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 xml:space="preserve">New-paradigm </w:t>
      </w:r>
      <w:proofErr w:type="spellStart"/>
      <w:r w:rsidRPr="00B77E06">
        <w:rPr>
          <w:rFonts w:ascii="Arial" w:eastAsia="Times New Roman" w:hAnsi="Arial" w:cs="Arial"/>
          <w:b/>
          <w:bCs/>
          <w:color w:val="000000"/>
          <w:kern w:val="36"/>
          <w:sz w:val="48"/>
          <w:szCs w:val="48"/>
        </w:rPr>
        <w:t>globalisation</w:t>
      </w:r>
      <w:proofErr w:type="spellEnd"/>
      <w:r w:rsidRPr="00B77E06">
        <w:rPr>
          <w:rFonts w:ascii="Arial" w:eastAsia="Times New Roman" w:hAnsi="Arial" w:cs="Arial"/>
          <w:b/>
          <w:bCs/>
          <w:color w:val="000000"/>
          <w:kern w:val="36"/>
          <w:sz w:val="48"/>
          <w:szCs w:val="48"/>
        </w:rPr>
        <w:t xml:space="preserve"> and networked FDI: Evidence from Japan </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b/>
          <w:bCs/>
          <w:color w:val="000000"/>
          <w:sz w:val="24"/>
          <w:szCs w:val="24"/>
        </w:rPr>
        <w:t>Richard Baldwin, Toshihiro Okubo</w:t>
      </w:r>
      <w:r w:rsidRPr="00B77E06">
        <w:rPr>
          <w:rFonts w:ascii="Arial" w:eastAsia="Times New Roman" w:hAnsi="Arial" w:cs="Arial"/>
          <w:color w:val="000000"/>
          <w:sz w:val="24"/>
          <w:szCs w:val="24"/>
        </w:rPr>
        <w:t xml:space="preserve"> 24 May 2012 </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New-paradigm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xml:space="preserve"> – driven by lower coordination costs rather than trade costs </w:t>
      </w:r>
      <w:bookmarkStart w:id="0" w:name="_GoBack"/>
      <w:bookmarkEnd w:id="0"/>
      <w:r w:rsidRPr="00B77E06">
        <w:rPr>
          <w:rFonts w:ascii="Arial" w:eastAsia="Times New Roman" w:hAnsi="Arial" w:cs="Arial"/>
          <w:color w:val="000000"/>
          <w:sz w:val="24"/>
          <w:szCs w:val="24"/>
        </w:rPr>
        <w:t xml:space="preserve">– is changing the nature of international commerce, the political economy of trade </w:t>
      </w:r>
      <w:proofErr w:type="spellStart"/>
      <w:r w:rsidRPr="00B77E06">
        <w:rPr>
          <w:rFonts w:ascii="Arial" w:eastAsia="Times New Roman" w:hAnsi="Arial" w:cs="Arial"/>
          <w:color w:val="000000"/>
          <w:sz w:val="24"/>
          <w:szCs w:val="24"/>
        </w:rPr>
        <w:t>liberalisation</w:t>
      </w:r>
      <w:proofErr w:type="spellEnd"/>
      <w:r w:rsidRPr="00B77E06">
        <w:rPr>
          <w:rFonts w:ascii="Arial" w:eastAsia="Times New Roman" w:hAnsi="Arial" w:cs="Arial"/>
          <w:color w:val="000000"/>
          <w:sz w:val="24"/>
          <w:szCs w:val="24"/>
        </w:rPr>
        <w:t xml:space="preserve">, the nature of trade agreements and much more. This column, using data on Japanese </w:t>
      </w:r>
      <w:proofErr w:type="spellStart"/>
      <w:r w:rsidRPr="00B77E06">
        <w:rPr>
          <w:rFonts w:ascii="Arial" w:eastAsia="Times New Roman" w:hAnsi="Arial" w:cs="Arial"/>
          <w:color w:val="000000"/>
          <w:sz w:val="24"/>
          <w:szCs w:val="24"/>
        </w:rPr>
        <w:t>multinationls</w:t>
      </w:r>
      <w:proofErr w:type="spellEnd"/>
      <w:r w:rsidRPr="00B77E06">
        <w:rPr>
          <w:rFonts w:ascii="Arial" w:eastAsia="Times New Roman" w:hAnsi="Arial" w:cs="Arial"/>
          <w:color w:val="000000"/>
          <w:sz w:val="24"/>
          <w:szCs w:val="24"/>
        </w:rPr>
        <w:t xml:space="preserve">, presents evidence that the nature of FDI is also changing away from the traditional classification of ‘horizontal’ or ‘vertical’. </w:t>
      </w:r>
    </w:p>
    <w:p w:rsidR="00B77E06" w:rsidRPr="00B77E06" w:rsidRDefault="00B77E06" w:rsidP="00B77E06">
      <w:pPr>
        <w:spacing w:after="0" w:line="240" w:lineRule="auto"/>
        <w:rPr>
          <w:rFonts w:ascii="Arial" w:eastAsia="Times New Roman" w:hAnsi="Arial" w:cs="Arial"/>
          <w:color w:val="000000"/>
          <w:sz w:val="24"/>
          <w:szCs w:val="24"/>
        </w:rPr>
      </w:pPr>
      <w:hyperlink r:id="rId5" w:tgtFrame="_blank" w:tooltip="More" w:history="1">
        <w:r w:rsidRPr="00B77E06">
          <w:rPr>
            <w:rFonts w:ascii="Arial" w:eastAsia="Times New Roman" w:hAnsi="Arial" w:cs="Arial"/>
            <w:b/>
            <w:bCs/>
            <w:color w:val="333333"/>
            <w:sz w:val="24"/>
            <w:szCs w:val="24"/>
            <w:bdr w:val="none" w:sz="0" w:space="0" w:color="auto" w:frame="1"/>
          </w:rPr>
          <w:t>0</w:t>
        </w:r>
      </w:hyperlink>
      <w:r w:rsidRPr="00B77E06">
        <w:rPr>
          <w:rFonts w:ascii="Arial" w:eastAsia="Times New Roman" w:hAnsi="Arial" w:cs="Arial"/>
          <w:color w:val="000000"/>
          <w:sz w:val="24"/>
          <w:szCs w:val="24"/>
        </w:rPr>
        <w:t xml:space="preserve"> </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hyperlink r:id="rId6" w:tooltip="Decrease the article font size" w:history="1">
        <w:proofErr w:type="gramStart"/>
        <w:r w:rsidRPr="00B77E06">
          <w:rPr>
            <w:rFonts w:ascii="Arial" w:eastAsia="Times New Roman" w:hAnsi="Arial" w:cs="Arial"/>
            <w:color w:val="000000"/>
            <w:sz w:val="24"/>
            <w:szCs w:val="24"/>
            <w:u w:val="single"/>
          </w:rPr>
          <w:t>a</w:t>
        </w:r>
        <w:proofErr w:type="gramEnd"/>
      </w:hyperlink>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hyperlink r:id="rId7" w:tooltip="Increase the article font size" w:history="1">
        <w:r w:rsidRPr="00B77E06">
          <w:rPr>
            <w:rFonts w:ascii="Arial" w:eastAsia="Times New Roman" w:hAnsi="Arial" w:cs="Arial"/>
            <w:color w:val="000000"/>
            <w:sz w:val="24"/>
            <w:szCs w:val="24"/>
            <w:u w:val="single"/>
          </w:rPr>
          <w:t>A</w:t>
        </w:r>
      </w:hyperlink>
    </w:p>
    <w:p w:rsidR="00B77E06" w:rsidRPr="00B77E06" w:rsidRDefault="00B77E06" w:rsidP="00B77E06">
      <w:pPr>
        <w:spacing w:before="100" w:beforeAutospacing="1" w:after="100" w:afterAutospacing="1" w:line="240" w:lineRule="auto"/>
        <w:outlineLvl w:val="3"/>
        <w:rPr>
          <w:rFonts w:ascii="Arial" w:eastAsia="Times New Roman" w:hAnsi="Arial" w:cs="Arial"/>
          <w:b/>
          <w:bCs/>
          <w:color w:val="000000"/>
          <w:sz w:val="24"/>
          <w:szCs w:val="24"/>
        </w:rPr>
      </w:pPr>
      <w:r w:rsidRPr="00B77E06">
        <w:rPr>
          <w:rFonts w:ascii="Arial" w:eastAsia="Times New Roman" w:hAnsi="Arial" w:cs="Arial"/>
          <w:b/>
          <w:bCs/>
          <w:color w:val="000000"/>
          <w:sz w:val="24"/>
          <w:szCs w:val="24"/>
        </w:rPr>
        <w:t>Related</w:t>
      </w:r>
    </w:p>
    <w:p w:rsidR="00B77E06" w:rsidRPr="00B77E06" w:rsidRDefault="00B77E06" w:rsidP="00B77E06">
      <w:pPr>
        <w:numPr>
          <w:ilvl w:val="0"/>
          <w:numId w:val="1"/>
        </w:numPr>
        <w:spacing w:before="100" w:beforeAutospacing="1" w:after="100" w:afterAutospacing="1" w:line="240" w:lineRule="auto"/>
        <w:rPr>
          <w:rFonts w:ascii="Arial" w:eastAsia="Times New Roman" w:hAnsi="Arial" w:cs="Arial"/>
          <w:color w:val="000000"/>
          <w:sz w:val="24"/>
          <w:szCs w:val="24"/>
        </w:rPr>
      </w:pPr>
      <w:hyperlink r:id="rId8" w:history="1">
        <w:r w:rsidRPr="00B77E06">
          <w:rPr>
            <w:rFonts w:ascii="Arial" w:eastAsia="Times New Roman" w:hAnsi="Arial" w:cs="Arial"/>
            <w:color w:val="000000"/>
            <w:sz w:val="24"/>
            <w:szCs w:val="24"/>
            <w:u w:val="single"/>
          </w:rPr>
          <w:t>A proposal for rethinking the euro-area entry criteria</w:t>
        </w:r>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[1]</w:t>
      </w:r>
      <w:r w:rsidRPr="00B77E06">
        <w:rPr>
          <w:rFonts w:ascii="Arial" w:eastAsia="Times New Roman" w:hAnsi="Arial" w:cs="Arial"/>
          <w:color w:val="000000"/>
          <w:sz w:val="24"/>
          <w:szCs w:val="24"/>
        </w:rPr>
        <w:t xml:space="preserve"> </w:t>
      </w:r>
    </w:p>
    <w:p w:rsidR="00B77E06" w:rsidRPr="00B77E06" w:rsidRDefault="00B77E06" w:rsidP="00B77E06">
      <w:pPr>
        <w:spacing w:before="100" w:beforeAutospacing="1" w:after="100" w:afterAutospacing="1" w:line="240" w:lineRule="auto"/>
        <w:ind w:left="720"/>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Zsolt</w:t>
      </w:r>
      <w:proofErr w:type="spellEnd"/>
      <w:r w:rsidRPr="00B77E06">
        <w:rPr>
          <w:rFonts w:ascii="Arial" w:eastAsia="Times New Roman" w:hAnsi="Arial" w:cs="Arial"/>
          <w:color w:val="000000"/>
          <w:sz w:val="24"/>
          <w:szCs w:val="24"/>
        </w:rPr>
        <w:t xml:space="preserve"> </w:t>
      </w:r>
      <w:proofErr w:type="spellStart"/>
      <w:r w:rsidRPr="00B77E06">
        <w:rPr>
          <w:rFonts w:ascii="Arial" w:eastAsia="Times New Roman" w:hAnsi="Arial" w:cs="Arial"/>
          <w:color w:val="000000"/>
          <w:sz w:val="24"/>
          <w:szCs w:val="24"/>
        </w:rPr>
        <w:t>Darvas</w:t>
      </w:r>
      <w:proofErr w:type="spellEnd"/>
    </w:p>
    <w:p w:rsidR="00B77E06" w:rsidRPr="00B77E06" w:rsidRDefault="00B77E06" w:rsidP="00B77E06">
      <w:pPr>
        <w:numPr>
          <w:ilvl w:val="0"/>
          <w:numId w:val="1"/>
        </w:numPr>
        <w:spacing w:before="100" w:beforeAutospacing="1" w:after="100" w:afterAutospacing="1" w:line="240" w:lineRule="auto"/>
        <w:rPr>
          <w:rFonts w:ascii="Arial" w:eastAsia="Times New Roman" w:hAnsi="Arial" w:cs="Arial"/>
          <w:color w:val="000000"/>
          <w:sz w:val="24"/>
          <w:szCs w:val="24"/>
        </w:rPr>
      </w:pPr>
      <w:hyperlink r:id="rId9" w:history="1">
        <w:r w:rsidRPr="00B77E06">
          <w:rPr>
            <w:rFonts w:ascii="Arial" w:eastAsia="Times New Roman" w:hAnsi="Arial" w:cs="Arial"/>
            <w:color w:val="000000"/>
            <w:sz w:val="24"/>
            <w:szCs w:val="24"/>
            <w:u w:val="single"/>
          </w:rPr>
          <w:t>A Financial Perspective on Exchange Rates</w:t>
        </w:r>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[2]</w:t>
      </w:r>
      <w:r w:rsidRPr="00B77E06">
        <w:rPr>
          <w:rFonts w:ascii="Arial" w:eastAsia="Times New Roman" w:hAnsi="Arial" w:cs="Arial"/>
          <w:color w:val="000000"/>
          <w:sz w:val="24"/>
          <w:szCs w:val="24"/>
        </w:rPr>
        <w:t xml:space="preserve"> </w:t>
      </w:r>
    </w:p>
    <w:p w:rsidR="00B77E06" w:rsidRPr="00B77E06" w:rsidRDefault="00B77E06" w:rsidP="00B77E06">
      <w:pPr>
        <w:spacing w:before="100" w:beforeAutospacing="1" w:after="100" w:afterAutospacing="1" w:line="240" w:lineRule="auto"/>
        <w:ind w:left="720"/>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Philip Lane, Jay </w:t>
      </w:r>
      <w:proofErr w:type="spellStart"/>
      <w:r w:rsidRPr="00B77E06">
        <w:rPr>
          <w:rFonts w:ascii="Arial" w:eastAsia="Times New Roman" w:hAnsi="Arial" w:cs="Arial"/>
          <w:color w:val="000000"/>
          <w:sz w:val="24"/>
          <w:szCs w:val="24"/>
        </w:rPr>
        <w:t>Shambaugh</w:t>
      </w:r>
      <w:proofErr w:type="spellEnd"/>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International trade theory is going through another revolution – the third in three decades. The first came in the 1980s ( ‘new trade theory’) when </w:t>
      </w:r>
      <w:hyperlink r:id="rId10" w:history="1">
        <w:r w:rsidRPr="00B77E06">
          <w:rPr>
            <w:rFonts w:ascii="Arial" w:eastAsia="Times New Roman" w:hAnsi="Arial" w:cs="Arial"/>
            <w:color w:val="000000"/>
            <w:sz w:val="24"/>
            <w:szCs w:val="24"/>
            <w:u w:val="single"/>
          </w:rPr>
          <w:t>Paul Krugman</w:t>
        </w:r>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[3]</w:t>
      </w:r>
      <w:r w:rsidRPr="00B77E06">
        <w:rPr>
          <w:rFonts w:ascii="Arial" w:eastAsia="Times New Roman" w:hAnsi="Arial" w:cs="Arial"/>
          <w:color w:val="000000"/>
          <w:sz w:val="24"/>
          <w:szCs w:val="24"/>
        </w:rPr>
        <w:t xml:space="preserve">, </w:t>
      </w:r>
      <w:hyperlink r:id="rId11" w:history="1">
        <w:r w:rsidRPr="00B77E06">
          <w:rPr>
            <w:rFonts w:ascii="Arial" w:eastAsia="Times New Roman" w:hAnsi="Arial" w:cs="Arial"/>
            <w:color w:val="000000"/>
            <w:sz w:val="24"/>
            <w:szCs w:val="24"/>
            <w:u w:val="single"/>
          </w:rPr>
          <w:t xml:space="preserve">Elhanan </w:t>
        </w:r>
        <w:proofErr w:type="spellStart"/>
        <w:r w:rsidRPr="00B77E06">
          <w:rPr>
            <w:rFonts w:ascii="Arial" w:eastAsia="Times New Roman" w:hAnsi="Arial" w:cs="Arial"/>
            <w:color w:val="000000"/>
            <w:sz w:val="24"/>
            <w:szCs w:val="24"/>
            <w:u w:val="single"/>
          </w:rPr>
          <w:t>Helpman</w:t>
        </w:r>
        <w:proofErr w:type="spellEnd"/>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[4]</w:t>
      </w:r>
      <w:r w:rsidRPr="00B77E06">
        <w:rPr>
          <w:rFonts w:ascii="Arial" w:eastAsia="Times New Roman" w:hAnsi="Arial" w:cs="Arial"/>
          <w:color w:val="000000"/>
          <w:sz w:val="24"/>
          <w:szCs w:val="24"/>
        </w:rPr>
        <w:t xml:space="preserve">, Victor Norman, </w:t>
      </w:r>
      <w:hyperlink r:id="rId12" w:history="1">
        <w:r w:rsidRPr="00B77E06">
          <w:rPr>
            <w:rFonts w:ascii="Arial" w:eastAsia="Times New Roman" w:hAnsi="Arial" w:cs="Arial"/>
            <w:color w:val="000000"/>
            <w:sz w:val="24"/>
            <w:szCs w:val="24"/>
            <w:u w:val="single"/>
          </w:rPr>
          <w:t xml:space="preserve">Tony </w:t>
        </w:r>
        <w:proofErr w:type="spellStart"/>
        <w:r w:rsidRPr="00B77E06">
          <w:rPr>
            <w:rFonts w:ascii="Arial" w:eastAsia="Times New Roman" w:hAnsi="Arial" w:cs="Arial"/>
            <w:color w:val="000000"/>
            <w:sz w:val="24"/>
            <w:szCs w:val="24"/>
            <w:u w:val="single"/>
          </w:rPr>
          <w:t>Venables</w:t>
        </w:r>
        <w:proofErr w:type="spellEnd"/>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[5]</w:t>
      </w:r>
      <w:r w:rsidRPr="00B77E06">
        <w:rPr>
          <w:rFonts w:ascii="Arial" w:eastAsia="Times New Roman" w:hAnsi="Arial" w:cs="Arial"/>
          <w:color w:val="000000"/>
          <w:sz w:val="24"/>
          <w:szCs w:val="24"/>
        </w:rPr>
        <w:t xml:space="preserve"> and Jim Brander opened the black box of the production possibility frontier. They allow for firms and increasing returns to scale; this massively extended the real-world relevance of trade theory.</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The second revolution (‘new </w:t>
      </w:r>
      <w:proofErr w:type="spellStart"/>
      <w:r w:rsidRPr="00B77E06">
        <w:rPr>
          <w:rFonts w:ascii="Arial" w:eastAsia="Times New Roman" w:hAnsi="Arial" w:cs="Arial"/>
          <w:color w:val="000000"/>
          <w:sz w:val="24"/>
          <w:szCs w:val="24"/>
        </w:rPr>
        <w:t>new</w:t>
      </w:r>
      <w:proofErr w:type="spellEnd"/>
      <w:r w:rsidRPr="00B77E06">
        <w:rPr>
          <w:rFonts w:ascii="Arial" w:eastAsia="Times New Roman" w:hAnsi="Arial" w:cs="Arial"/>
          <w:color w:val="000000"/>
          <w:sz w:val="24"/>
          <w:szCs w:val="24"/>
        </w:rPr>
        <w:t xml:space="preserve"> trade theory’) came when Marc Melitz (2003) opened the black box further by allowing for firm-level productivity differences. </w:t>
      </w:r>
      <w:hyperlink r:id="rId13" w:history="1">
        <w:proofErr w:type="spellStart"/>
        <w:r w:rsidRPr="00B77E06">
          <w:rPr>
            <w:rFonts w:ascii="Arial" w:eastAsia="Times New Roman" w:hAnsi="Arial" w:cs="Arial"/>
            <w:color w:val="000000"/>
            <w:sz w:val="24"/>
            <w:szCs w:val="24"/>
            <w:u w:val="single"/>
          </w:rPr>
          <w:t>Antràs</w:t>
        </w:r>
        <w:proofErr w:type="spellEnd"/>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[6]</w:t>
      </w:r>
      <w:r w:rsidRPr="00B77E06">
        <w:rPr>
          <w:rFonts w:ascii="Arial" w:eastAsia="Times New Roman" w:hAnsi="Arial" w:cs="Arial"/>
          <w:color w:val="000000"/>
          <w:sz w:val="24"/>
          <w:szCs w:val="24"/>
        </w:rPr>
        <w:t xml:space="preserve"> (2003) contributed to this by opening up the black box of firm </w:t>
      </w:r>
      <w:proofErr w:type="spellStart"/>
      <w:r w:rsidRPr="00B77E06">
        <w:rPr>
          <w:rFonts w:ascii="Arial" w:eastAsia="Times New Roman" w:hAnsi="Arial" w:cs="Arial"/>
          <w:color w:val="000000"/>
          <w:sz w:val="24"/>
          <w:szCs w:val="24"/>
        </w:rPr>
        <w:t>organisation</w:t>
      </w:r>
      <w:proofErr w:type="spellEnd"/>
      <w:r w:rsidRPr="00B77E06">
        <w:rPr>
          <w:rFonts w:ascii="Arial" w:eastAsia="Times New Roman" w:hAnsi="Arial" w:cs="Arial"/>
          <w:color w:val="000000"/>
          <w:sz w:val="24"/>
          <w:szCs w:val="24"/>
        </w:rPr>
        <w:t xml:space="preserve">. Again, these developments tremendously boosted the ability of theory to address important aspects of reality. </w:t>
      </w:r>
      <w:r w:rsidRPr="00B77E06">
        <w:rPr>
          <w:rFonts w:ascii="Arial" w:eastAsia="Times New Roman" w:hAnsi="Arial" w:cs="Arial"/>
          <w:color w:val="000000"/>
          <w:sz w:val="24"/>
          <w:szCs w:val="24"/>
        </w:rPr>
        <w:br/>
        <w:t xml:space="preserve">More recently, a new theoretical innovation (dare one call it new-trade cubed?) did it once again. The new perspective – </w:t>
      </w:r>
      <w:proofErr w:type="gramStart"/>
      <w:r w:rsidRPr="00B77E06">
        <w:rPr>
          <w:rFonts w:ascii="Arial" w:eastAsia="Times New Roman" w:hAnsi="Arial" w:cs="Arial"/>
          <w:color w:val="000000"/>
          <w:sz w:val="24"/>
          <w:szCs w:val="24"/>
        </w:rPr>
        <w:t>sometimes called</w:t>
      </w:r>
      <w:proofErr w:type="gramEnd"/>
      <w:r w:rsidRPr="00B77E06">
        <w:rPr>
          <w:rFonts w:ascii="Arial" w:eastAsia="Times New Roman" w:hAnsi="Arial" w:cs="Arial"/>
          <w:color w:val="000000"/>
          <w:sz w:val="24"/>
          <w:szCs w:val="24"/>
        </w:rPr>
        <w:t xml:space="preserve"> new-paradigm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xml:space="preserve"> – opens up the black box of production function, allowing for potentially </w:t>
      </w:r>
      <w:proofErr w:type="spellStart"/>
      <w:r w:rsidRPr="00B77E06">
        <w:rPr>
          <w:rFonts w:ascii="Arial" w:eastAsia="Times New Roman" w:hAnsi="Arial" w:cs="Arial"/>
          <w:color w:val="000000"/>
          <w:sz w:val="24"/>
          <w:szCs w:val="24"/>
        </w:rPr>
        <w:t>internationalised</w:t>
      </w:r>
      <w:proofErr w:type="spellEnd"/>
      <w:r w:rsidRPr="00B77E06">
        <w:rPr>
          <w:rFonts w:ascii="Arial" w:eastAsia="Times New Roman" w:hAnsi="Arial" w:cs="Arial"/>
          <w:color w:val="000000"/>
          <w:sz w:val="24"/>
          <w:szCs w:val="24"/>
        </w:rPr>
        <w:t xml:space="preserve"> supply chains. While this perspective goes </w:t>
      </w:r>
      <w:proofErr w:type="gramStart"/>
      <w:r w:rsidRPr="00B77E06">
        <w:rPr>
          <w:rFonts w:ascii="Arial" w:eastAsia="Times New Roman" w:hAnsi="Arial" w:cs="Arial"/>
          <w:color w:val="000000"/>
          <w:sz w:val="24"/>
          <w:szCs w:val="24"/>
        </w:rPr>
        <w:t>way back</w:t>
      </w:r>
      <w:proofErr w:type="gramEnd"/>
      <w:r w:rsidRPr="00B77E06">
        <w:rPr>
          <w:rFonts w:ascii="Arial" w:eastAsia="Times New Roman" w:hAnsi="Arial" w:cs="Arial"/>
          <w:color w:val="000000"/>
          <w:sz w:val="24"/>
          <w:szCs w:val="24"/>
        </w:rPr>
        <w:t xml:space="preserve">, a recent rash of theory and </w:t>
      </w:r>
      <w:r w:rsidRPr="00B77E06">
        <w:rPr>
          <w:rFonts w:ascii="Arial" w:eastAsia="Times New Roman" w:hAnsi="Arial" w:cs="Arial"/>
          <w:color w:val="000000"/>
          <w:sz w:val="24"/>
          <w:szCs w:val="24"/>
        </w:rPr>
        <w:lastRenderedPageBreak/>
        <w:t xml:space="preserve">empirical work shows that this ‘new-paradigm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has incredibly important implications for policy and empirics.</w:t>
      </w:r>
      <w:hyperlink r:id="rId14" w:anchor="fn" w:history="1">
        <w:r w:rsidRPr="00B77E06">
          <w:rPr>
            <w:rFonts w:ascii="Arial" w:eastAsia="Times New Roman" w:hAnsi="Arial" w:cs="Arial"/>
            <w:color w:val="000000"/>
            <w:sz w:val="24"/>
            <w:szCs w:val="24"/>
            <w:u w:val="single"/>
            <w:vertAlign w:val="superscript"/>
          </w:rPr>
          <w:t>1</w:t>
        </w:r>
      </w:hyperlink>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A few years ago, one of us argued that the big difference between old and new paradigm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xml:space="preserve"> was the driving force (Baldwin 2006). Old-paradigm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xml:space="preserve"> focuses on lower trade costs; the new paradigm focuses on coordination costs – the information and communication technology (ICT) revolution in particular. Lower coordination costs made it feasible to geographically unbundle production stages and wage differences made it profitable. This ‘second unbundling’ transformed international commerce as the sorts of flows that used to be contained inside factories now became international. Many US-based scholars have focused on wage implications most notably Grossman and Rossi-</w:t>
      </w:r>
      <w:proofErr w:type="spellStart"/>
      <w:r w:rsidRPr="00B77E06">
        <w:rPr>
          <w:rFonts w:ascii="Arial" w:eastAsia="Times New Roman" w:hAnsi="Arial" w:cs="Arial"/>
          <w:color w:val="000000"/>
          <w:sz w:val="24"/>
          <w:szCs w:val="24"/>
        </w:rPr>
        <w:t>Hansberg</w:t>
      </w:r>
      <w:proofErr w:type="spellEnd"/>
      <w:r w:rsidRPr="00B77E06">
        <w:rPr>
          <w:rFonts w:ascii="Arial" w:eastAsia="Times New Roman" w:hAnsi="Arial" w:cs="Arial"/>
          <w:color w:val="000000"/>
          <w:sz w:val="24"/>
          <w:szCs w:val="24"/>
        </w:rPr>
        <w:t xml:space="preserve"> (2008). </w:t>
      </w:r>
      <w:proofErr w:type="gramStart"/>
      <w:r w:rsidRPr="00B77E06">
        <w:rPr>
          <w:rFonts w:ascii="Arial" w:eastAsia="Times New Roman" w:hAnsi="Arial" w:cs="Arial"/>
          <w:color w:val="000000"/>
          <w:sz w:val="24"/>
          <w:szCs w:val="24"/>
        </w:rPr>
        <w:t>But</w:t>
      </w:r>
      <w:proofErr w:type="gramEnd"/>
      <w:r w:rsidRPr="00B77E06">
        <w:rPr>
          <w:rFonts w:ascii="Arial" w:eastAsia="Times New Roman" w:hAnsi="Arial" w:cs="Arial"/>
          <w:color w:val="000000"/>
          <w:sz w:val="24"/>
          <w:szCs w:val="24"/>
        </w:rPr>
        <w:t xml:space="preserve"> the second unbundling – variously known as offshoring, vertical </w:t>
      </w:r>
      <w:proofErr w:type="spellStart"/>
      <w:r w:rsidRPr="00B77E06">
        <w:rPr>
          <w:rFonts w:ascii="Arial" w:eastAsia="Times New Roman" w:hAnsi="Arial" w:cs="Arial"/>
          <w:color w:val="000000"/>
          <w:sz w:val="24"/>
          <w:szCs w:val="24"/>
        </w:rPr>
        <w:t>specialisation</w:t>
      </w:r>
      <w:proofErr w:type="spellEnd"/>
      <w:r w:rsidRPr="00B77E06">
        <w:rPr>
          <w:rFonts w:ascii="Arial" w:eastAsia="Times New Roman" w:hAnsi="Arial" w:cs="Arial"/>
          <w:color w:val="000000"/>
          <w:sz w:val="24"/>
          <w:szCs w:val="24"/>
        </w:rPr>
        <w:t>, fragmentation, etc. – has many other implications for empirical work and policy making.</w:t>
      </w:r>
    </w:p>
    <w:p w:rsidR="00B77E06" w:rsidRPr="00B77E06" w:rsidRDefault="00B77E06" w:rsidP="00B77E06">
      <w:pPr>
        <w:spacing w:before="100" w:beforeAutospacing="1" w:after="100" w:afterAutospacing="1" w:line="240" w:lineRule="auto"/>
        <w:outlineLvl w:val="0"/>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 xml:space="preserve">New trade theory </w:t>
      </w:r>
      <w:proofErr w:type="gramStart"/>
      <w:r w:rsidRPr="00B77E06">
        <w:rPr>
          <w:rFonts w:ascii="Arial" w:eastAsia="Times New Roman" w:hAnsi="Arial" w:cs="Arial"/>
          <w:b/>
          <w:bCs/>
          <w:color w:val="000000"/>
          <w:kern w:val="36"/>
          <w:sz w:val="48"/>
          <w:szCs w:val="48"/>
        </w:rPr>
        <w:t>cubed:</w:t>
      </w:r>
      <w:proofErr w:type="gramEnd"/>
      <w:r w:rsidRPr="00B77E06">
        <w:rPr>
          <w:rFonts w:ascii="Arial" w:eastAsia="Times New Roman" w:hAnsi="Arial" w:cs="Arial"/>
          <w:b/>
          <w:bCs/>
          <w:color w:val="000000"/>
          <w:kern w:val="36"/>
          <w:sz w:val="48"/>
          <w:szCs w:val="48"/>
        </w:rPr>
        <w:t xml:space="preserve"> Implications for FDI theory</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In a recent paper, we turn the new-paradigm focus to FDI theory (Baldwin and Okubo 2012). Canonical thinking about FDI distinguishes two main types: horizontal and vertical (</w:t>
      </w:r>
      <w:proofErr w:type="spellStart"/>
      <w:r w:rsidRPr="00B77E06">
        <w:rPr>
          <w:rFonts w:ascii="Arial" w:eastAsia="Times New Roman" w:hAnsi="Arial" w:cs="Arial"/>
          <w:color w:val="000000"/>
          <w:sz w:val="24"/>
          <w:szCs w:val="24"/>
        </w:rPr>
        <w:t>Markusen</w:t>
      </w:r>
      <w:proofErr w:type="spellEnd"/>
      <w:r w:rsidRPr="00B77E06">
        <w:rPr>
          <w:rFonts w:ascii="Arial" w:eastAsia="Times New Roman" w:hAnsi="Arial" w:cs="Arial"/>
          <w:color w:val="000000"/>
          <w:sz w:val="24"/>
          <w:szCs w:val="24"/>
        </w:rPr>
        <w:t xml:space="preserve"> 1984 and </w:t>
      </w:r>
      <w:proofErr w:type="spellStart"/>
      <w:r w:rsidRPr="00B77E06">
        <w:rPr>
          <w:rFonts w:ascii="Arial" w:eastAsia="Times New Roman" w:hAnsi="Arial" w:cs="Arial"/>
          <w:color w:val="000000"/>
          <w:sz w:val="24"/>
          <w:szCs w:val="24"/>
        </w:rPr>
        <w:t>Helpman</w:t>
      </w:r>
      <w:proofErr w:type="spellEnd"/>
      <w:r w:rsidRPr="00B77E06">
        <w:rPr>
          <w:rFonts w:ascii="Arial" w:eastAsia="Times New Roman" w:hAnsi="Arial" w:cs="Arial"/>
          <w:color w:val="000000"/>
          <w:sz w:val="24"/>
          <w:szCs w:val="24"/>
        </w:rPr>
        <w:t xml:space="preserve"> 1984).</w:t>
      </w:r>
    </w:p>
    <w:p w:rsidR="00B77E06" w:rsidRPr="00B77E06" w:rsidRDefault="00B77E06" w:rsidP="00B77E06">
      <w:pPr>
        <w:numPr>
          <w:ilvl w:val="0"/>
          <w:numId w:val="2"/>
        </w:num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Horizontal FDI in the former is said to be ‘market seeking’;</w:t>
      </w:r>
    </w:p>
    <w:p w:rsidR="00B77E06" w:rsidRPr="00B77E06" w:rsidRDefault="00B77E06" w:rsidP="00B77E06">
      <w:pPr>
        <w:numPr>
          <w:ilvl w:val="0"/>
          <w:numId w:val="2"/>
        </w:num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Vertical FDI is ‘efficiency seeking’.</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Empirical tests typically search for FDI motives by considering whether FDI activity is greatest between large nations (market seeking), or nations with big endowment and/or factor prices differences (efficiency seeking) (</w:t>
      </w:r>
      <w:proofErr w:type="spellStart"/>
      <w:r w:rsidRPr="00B77E06">
        <w:rPr>
          <w:rFonts w:ascii="Arial" w:eastAsia="Times New Roman" w:hAnsi="Arial" w:cs="Arial"/>
          <w:color w:val="000000"/>
          <w:sz w:val="24"/>
          <w:szCs w:val="24"/>
        </w:rPr>
        <w:t>Carr</w:t>
      </w:r>
      <w:proofErr w:type="spellEnd"/>
      <w:r w:rsidRPr="00B77E06">
        <w:rPr>
          <w:rFonts w:ascii="Arial" w:eastAsia="Times New Roman" w:hAnsi="Arial" w:cs="Arial"/>
          <w:color w:val="000000"/>
          <w:sz w:val="24"/>
          <w:szCs w:val="24"/>
        </w:rPr>
        <w:t xml:space="preserve"> et al. 2001, </w:t>
      </w:r>
      <w:proofErr w:type="spellStart"/>
      <w:r w:rsidRPr="00B77E06">
        <w:rPr>
          <w:rFonts w:ascii="Arial" w:eastAsia="Times New Roman" w:hAnsi="Arial" w:cs="Arial"/>
          <w:color w:val="000000"/>
          <w:sz w:val="24"/>
          <w:szCs w:val="24"/>
        </w:rPr>
        <w:t>Blonigen</w:t>
      </w:r>
      <w:proofErr w:type="spellEnd"/>
      <w:r w:rsidRPr="00B77E06">
        <w:rPr>
          <w:rFonts w:ascii="Arial" w:eastAsia="Times New Roman" w:hAnsi="Arial" w:cs="Arial"/>
          <w:color w:val="000000"/>
          <w:sz w:val="24"/>
          <w:szCs w:val="24"/>
        </w:rPr>
        <w:t xml:space="preserve"> et al. 2003). The two have been </w:t>
      </w:r>
      <w:proofErr w:type="spellStart"/>
      <w:r w:rsidRPr="00B77E06">
        <w:rPr>
          <w:rFonts w:ascii="Arial" w:eastAsia="Times New Roman" w:hAnsi="Arial" w:cs="Arial"/>
          <w:color w:val="000000"/>
          <w:sz w:val="24"/>
          <w:szCs w:val="24"/>
        </w:rPr>
        <w:t>synthesised</w:t>
      </w:r>
      <w:proofErr w:type="spellEnd"/>
      <w:r w:rsidRPr="00B77E06">
        <w:rPr>
          <w:rFonts w:ascii="Arial" w:eastAsia="Times New Roman" w:hAnsi="Arial" w:cs="Arial"/>
          <w:color w:val="000000"/>
          <w:sz w:val="24"/>
          <w:szCs w:val="24"/>
        </w:rPr>
        <w:t xml:space="preserve"> and enriched to include export platform FDI (</w:t>
      </w:r>
      <w:proofErr w:type="spellStart"/>
      <w:r w:rsidRPr="00B77E06">
        <w:rPr>
          <w:rFonts w:ascii="Arial" w:eastAsia="Times New Roman" w:hAnsi="Arial" w:cs="Arial"/>
          <w:color w:val="000000"/>
          <w:sz w:val="24"/>
          <w:szCs w:val="24"/>
        </w:rPr>
        <w:t>Markusen</w:t>
      </w:r>
      <w:proofErr w:type="spellEnd"/>
      <w:r w:rsidRPr="00B77E06">
        <w:rPr>
          <w:rFonts w:ascii="Arial" w:eastAsia="Times New Roman" w:hAnsi="Arial" w:cs="Arial"/>
          <w:color w:val="000000"/>
          <w:sz w:val="24"/>
          <w:szCs w:val="24"/>
        </w:rPr>
        <w:t xml:space="preserve"> and </w:t>
      </w:r>
      <w:proofErr w:type="spellStart"/>
      <w:r w:rsidRPr="00B77E06">
        <w:rPr>
          <w:rFonts w:ascii="Arial" w:eastAsia="Times New Roman" w:hAnsi="Arial" w:cs="Arial"/>
          <w:color w:val="000000"/>
          <w:sz w:val="24"/>
          <w:szCs w:val="24"/>
        </w:rPr>
        <w:t>Venables</w:t>
      </w:r>
      <w:proofErr w:type="spellEnd"/>
      <w:r w:rsidRPr="00B77E06">
        <w:rPr>
          <w:rFonts w:ascii="Arial" w:eastAsia="Times New Roman" w:hAnsi="Arial" w:cs="Arial"/>
          <w:color w:val="000000"/>
          <w:sz w:val="24"/>
          <w:szCs w:val="24"/>
        </w:rPr>
        <w:t xml:space="preserve"> 2000, </w:t>
      </w:r>
      <w:proofErr w:type="spellStart"/>
      <w:r w:rsidRPr="00B77E06">
        <w:rPr>
          <w:rFonts w:ascii="Arial" w:eastAsia="Times New Roman" w:hAnsi="Arial" w:cs="Arial"/>
          <w:color w:val="000000"/>
          <w:sz w:val="24"/>
          <w:szCs w:val="24"/>
        </w:rPr>
        <w:t>Yeaple</w:t>
      </w:r>
      <w:proofErr w:type="spellEnd"/>
      <w:r w:rsidRPr="00B77E06">
        <w:rPr>
          <w:rFonts w:ascii="Arial" w:eastAsia="Times New Roman" w:hAnsi="Arial" w:cs="Arial"/>
          <w:color w:val="000000"/>
          <w:sz w:val="24"/>
          <w:szCs w:val="24"/>
        </w:rPr>
        <w:t xml:space="preserve"> 2003, </w:t>
      </w:r>
      <w:proofErr w:type="spellStart"/>
      <w:r w:rsidRPr="00B77E06">
        <w:rPr>
          <w:rFonts w:ascii="Arial" w:eastAsia="Times New Roman" w:hAnsi="Arial" w:cs="Arial"/>
          <w:color w:val="000000"/>
          <w:sz w:val="24"/>
          <w:szCs w:val="24"/>
        </w:rPr>
        <w:t>Ekholm</w:t>
      </w:r>
      <w:proofErr w:type="spellEnd"/>
      <w:r w:rsidRPr="00B77E06">
        <w:rPr>
          <w:rFonts w:ascii="Arial" w:eastAsia="Times New Roman" w:hAnsi="Arial" w:cs="Arial"/>
          <w:color w:val="000000"/>
          <w:sz w:val="24"/>
          <w:szCs w:val="24"/>
        </w:rPr>
        <w:t xml:space="preserve"> et al. 2007). Grossman, </w:t>
      </w:r>
      <w:proofErr w:type="spellStart"/>
      <w:r w:rsidRPr="00B77E06">
        <w:rPr>
          <w:rFonts w:ascii="Arial" w:eastAsia="Times New Roman" w:hAnsi="Arial" w:cs="Arial"/>
          <w:color w:val="000000"/>
          <w:sz w:val="24"/>
          <w:szCs w:val="24"/>
        </w:rPr>
        <w:t>Helpman</w:t>
      </w:r>
      <w:proofErr w:type="spellEnd"/>
      <w:r w:rsidRPr="00B77E06">
        <w:rPr>
          <w:rFonts w:ascii="Arial" w:eastAsia="Times New Roman" w:hAnsi="Arial" w:cs="Arial"/>
          <w:color w:val="000000"/>
          <w:sz w:val="24"/>
          <w:szCs w:val="24"/>
        </w:rPr>
        <w:t xml:space="preserve"> and </w:t>
      </w:r>
      <w:proofErr w:type="spellStart"/>
      <w:r w:rsidRPr="00B77E06">
        <w:rPr>
          <w:rFonts w:ascii="Arial" w:eastAsia="Times New Roman" w:hAnsi="Arial" w:cs="Arial"/>
          <w:color w:val="000000"/>
          <w:sz w:val="24"/>
          <w:szCs w:val="24"/>
        </w:rPr>
        <w:t>Szeidle</w:t>
      </w:r>
      <w:proofErr w:type="spellEnd"/>
      <w:r w:rsidRPr="00B77E06">
        <w:rPr>
          <w:rFonts w:ascii="Arial" w:eastAsia="Times New Roman" w:hAnsi="Arial" w:cs="Arial"/>
          <w:color w:val="000000"/>
          <w:sz w:val="24"/>
          <w:szCs w:val="24"/>
        </w:rPr>
        <w:t xml:space="preserve"> (2006) </w:t>
      </w:r>
      <w:proofErr w:type="spellStart"/>
      <w:r w:rsidRPr="00B77E06">
        <w:rPr>
          <w:rFonts w:ascii="Arial" w:eastAsia="Times New Roman" w:hAnsi="Arial" w:cs="Arial"/>
          <w:color w:val="000000"/>
          <w:sz w:val="24"/>
          <w:szCs w:val="24"/>
        </w:rPr>
        <w:t>generalise</w:t>
      </w:r>
      <w:proofErr w:type="spellEnd"/>
      <w:r w:rsidRPr="00B77E06">
        <w:rPr>
          <w:rFonts w:ascii="Arial" w:eastAsia="Times New Roman" w:hAnsi="Arial" w:cs="Arial"/>
          <w:color w:val="000000"/>
          <w:sz w:val="24"/>
          <w:szCs w:val="24"/>
        </w:rPr>
        <w:t xml:space="preserve"> these results by allowing a richer range of multinational activities that </w:t>
      </w:r>
      <w:proofErr w:type="gramStart"/>
      <w:r w:rsidRPr="00B77E06">
        <w:rPr>
          <w:rFonts w:ascii="Arial" w:eastAsia="Times New Roman" w:hAnsi="Arial" w:cs="Arial"/>
          <w:color w:val="000000"/>
          <w:sz w:val="24"/>
          <w:szCs w:val="24"/>
        </w:rPr>
        <w:t>can be called</w:t>
      </w:r>
      <w:proofErr w:type="gramEnd"/>
      <w:r w:rsidRPr="00B77E06">
        <w:rPr>
          <w:rFonts w:ascii="Arial" w:eastAsia="Times New Roman" w:hAnsi="Arial" w:cs="Arial"/>
          <w:color w:val="000000"/>
          <w:sz w:val="24"/>
          <w:szCs w:val="24"/>
        </w:rPr>
        <w:t xml:space="preserve"> complex FDI.</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Our paper contributes to this by using firm-level data on the sales and sourcing patterns of Japanese affiliates in all industries in all nations to suggests that very little FDI falls neatly into any of the standard bins, i.e. horizontal, vertical or export platform. We find that most affiliates are buying some, but not all, of their intermediates from abroad and selling some, but not all of their output abroad. We refer to this FDI as ‘networked FDI’ since the evidence is that these affiliates are operating as nodes in regional production networks. Moreover, we show that this aspect of the data became much stronger from 1996 to 2005.</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We suggest that a very natural way to test FDI theories is to use the sales and sourcing patterns of affiliates. We also argue that the location and nature of FDI activity depends </w:t>
      </w:r>
      <w:r w:rsidRPr="00B77E06">
        <w:rPr>
          <w:rFonts w:ascii="Arial" w:eastAsia="Times New Roman" w:hAnsi="Arial" w:cs="Arial"/>
          <w:color w:val="000000"/>
          <w:sz w:val="24"/>
          <w:szCs w:val="24"/>
        </w:rPr>
        <w:lastRenderedPageBreak/>
        <w:t xml:space="preserve">upon third-country effects of two types </w:t>
      </w:r>
      <w:proofErr w:type="gramStart"/>
      <w:r w:rsidRPr="00B77E06">
        <w:rPr>
          <w:rFonts w:ascii="Arial" w:eastAsia="Times New Roman" w:hAnsi="Arial" w:cs="Arial"/>
          <w:color w:val="000000"/>
          <w:sz w:val="24"/>
          <w:szCs w:val="24"/>
        </w:rPr>
        <w:t>– basically</w:t>
      </w:r>
      <w:proofErr w:type="gramEnd"/>
      <w:r w:rsidRPr="00B77E06">
        <w:rPr>
          <w:rFonts w:ascii="Arial" w:eastAsia="Times New Roman" w:hAnsi="Arial" w:cs="Arial"/>
          <w:color w:val="000000"/>
          <w:sz w:val="24"/>
          <w:szCs w:val="24"/>
        </w:rPr>
        <w:t xml:space="preserve"> the international equivalent of backward and forward linkages. The first, forward linkages, suggests that FDI production is </w:t>
      </w:r>
      <w:proofErr w:type="spellStart"/>
      <w:r w:rsidRPr="00B77E06">
        <w:rPr>
          <w:rFonts w:ascii="Arial" w:eastAsia="Times New Roman" w:hAnsi="Arial" w:cs="Arial"/>
          <w:color w:val="000000"/>
          <w:sz w:val="24"/>
          <w:szCs w:val="24"/>
        </w:rPr>
        <w:t>favoured</w:t>
      </w:r>
      <w:proofErr w:type="spellEnd"/>
      <w:r w:rsidRPr="00B77E06">
        <w:rPr>
          <w:rFonts w:ascii="Arial" w:eastAsia="Times New Roman" w:hAnsi="Arial" w:cs="Arial"/>
          <w:color w:val="000000"/>
          <w:sz w:val="24"/>
          <w:szCs w:val="24"/>
        </w:rPr>
        <w:t xml:space="preserve"> by locations near many large markets – perhaps measured by some sort of market potential index for the host nation (</w:t>
      </w:r>
      <w:proofErr w:type="spellStart"/>
      <w:r w:rsidRPr="00B77E06">
        <w:rPr>
          <w:rFonts w:ascii="Arial" w:eastAsia="Times New Roman" w:hAnsi="Arial" w:cs="Arial"/>
          <w:color w:val="000000"/>
          <w:sz w:val="24"/>
          <w:szCs w:val="24"/>
        </w:rPr>
        <w:t>Baltagi</w:t>
      </w:r>
      <w:proofErr w:type="spellEnd"/>
      <w:r w:rsidRPr="00B77E06">
        <w:rPr>
          <w:rFonts w:ascii="Arial" w:eastAsia="Times New Roman" w:hAnsi="Arial" w:cs="Arial"/>
          <w:color w:val="000000"/>
          <w:sz w:val="24"/>
          <w:szCs w:val="24"/>
        </w:rPr>
        <w:t xml:space="preserve"> et al. 2005). The second, backward linkages, suggest that FDI production </w:t>
      </w:r>
      <w:proofErr w:type="gramStart"/>
      <w:r w:rsidRPr="00B77E06">
        <w:rPr>
          <w:rFonts w:ascii="Arial" w:eastAsia="Times New Roman" w:hAnsi="Arial" w:cs="Arial"/>
          <w:color w:val="000000"/>
          <w:sz w:val="24"/>
          <w:szCs w:val="24"/>
        </w:rPr>
        <w:t xml:space="preserve">is </w:t>
      </w:r>
      <w:proofErr w:type="spellStart"/>
      <w:r w:rsidRPr="00B77E06">
        <w:rPr>
          <w:rFonts w:ascii="Arial" w:eastAsia="Times New Roman" w:hAnsi="Arial" w:cs="Arial"/>
          <w:color w:val="000000"/>
          <w:sz w:val="24"/>
          <w:szCs w:val="24"/>
        </w:rPr>
        <w:t>favoured</w:t>
      </w:r>
      <w:proofErr w:type="spellEnd"/>
      <w:proofErr w:type="gramEnd"/>
      <w:r w:rsidRPr="00B77E06">
        <w:rPr>
          <w:rFonts w:ascii="Arial" w:eastAsia="Times New Roman" w:hAnsi="Arial" w:cs="Arial"/>
          <w:color w:val="000000"/>
          <w:sz w:val="24"/>
          <w:szCs w:val="24"/>
        </w:rPr>
        <w:t xml:space="preserve"> by proximity to masses of similar activity in both the host nation and nearby nations. </w:t>
      </w:r>
      <w:proofErr w:type="gramStart"/>
      <w:r w:rsidRPr="00B77E06">
        <w:rPr>
          <w:rFonts w:ascii="Arial" w:eastAsia="Times New Roman" w:hAnsi="Arial" w:cs="Arial"/>
          <w:color w:val="000000"/>
          <w:sz w:val="24"/>
          <w:szCs w:val="24"/>
        </w:rPr>
        <w:t>This might be measured by some sort of host-nation-specific price index for intermediates</w:t>
      </w:r>
      <w:proofErr w:type="gramEnd"/>
      <w:r w:rsidRPr="00B77E06">
        <w:rPr>
          <w:rFonts w:ascii="Arial" w:eastAsia="Times New Roman" w:hAnsi="Arial" w:cs="Arial"/>
          <w:color w:val="000000"/>
          <w:sz w:val="24"/>
          <w:szCs w:val="24"/>
        </w:rPr>
        <w:t xml:space="preserve"> and they have not, to our knowledge, been explored empirically or theoretically.</w:t>
      </w:r>
    </w:p>
    <w:p w:rsidR="00B77E06" w:rsidRPr="00B77E06" w:rsidRDefault="00B77E06" w:rsidP="00B77E06">
      <w:pPr>
        <w:spacing w:before="100" w:beforeAutospacing="1" w:after="100" w:afterAutospacing="1" w:line="240" w:lineRule="auto"/>
        <w:outlineLvl w:val="0"/>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FDI and regional comparative advantage</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Taken together, the two third-nation effects suggest that the location and nature of FDI activity </w:t>
      </w:r>
      <w:proofErr w:type="gramStart"/>
      <w:r w:rsidRPr="00B77E06">
        <w:rPr>
          <w:rFonts w:ascii="Arial" w:eastAsia="Times New Roman" w:hAnsi="Arial" w:cs="Arial"/>
          <w:color w:val="000000"/>
          <w:sz w:val="24"/>
          <w:szCs w:val="24"/>
        </w:rPr>
        <w:t>is influenced</w:t>
      </w:r>
      <w:proofErr w:type="gramEnd"/>
      <w:r w:rsidRPr="00B77E06">
        <w:rPr>
          <w:rFonts w:ascii="Arial" w:eastAsia="Times New Roman" w:hAnsi="Arial" w:cs="Arial"/>
          <w:color w:val="000000"/>
          <w:sz w:val="24"/>
          <w:szCs w:val="24"/>
        </w:rPr>
        <w:t xml:space="preserve"> by something that might be called ‘regional comparative advantage’. For example, even if Cambodia and Uganda had identical national policies, endowments, and market size, Cambodia’s proximity to massive manufacturing activity creates backward and forward linkages that make FDI more attractive in Cambodia than in Uganda. The policy implications of these observations are clear. Policies that worked in East Asia </w:t>
      </w:r>
      <w:proofErr w:type="gramStart"/>
      <w:r w:rsidRPr="00B77E06">
        <w:rPr>
          <w:rFonts w:ascii="Arial" w:eastAsia="Times New Roman" w:hAnsi="Arial" w:cs="Arial"/>
          <w:color w:val="000000"/>
          <w:sz w:val="24"/>
          <w:szCs w:val="24"/>
        </w:rPr>
        <w:t>must be rethought</w:t>
      </w:r>
      <w:proofErr w:type="gramEnd"/>
      <w:r w:rsidRPr="00B77E06">
        <w:rPr>
          <w:rFonts w:ascii="Arial" w:eastAsia="Times New Roman" w:hAnsi="Arial" w:cs="Arial"/>
          <w:color w:val="000000"/>
          <w:sz w:val="24"/>
          <w:szCs w:val="24"/>
        </w:rPr>
        <w:t xml:space="preserve"> before applying them to very different regions such as Latin America, Central Asia, and Africa.</w:t>
      </w:r>
    </w:p>
    <w:p w:rsidR="00B77E06" w:rsidRPr="00B77E06" w:rsidRDefault="00B77E06" w:rsidP="00B77E06">
      <w:pPr>
        <w:spacing w:before="100" w:beforeAutospacing="1" w:after="100" w:afterAutospacing="1" w:line="240" w:lineRule="auto"/>
        <w:outlineLvl w:val="0"/>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The sales-sourcing box</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New-paradigm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xml:space="preserve"> suggests that we view FDI as part of the second unbundling. This, in turn, suggests a perspective that focuses on each affiliate’s sales and sourcing pattern (Figure 1). The existing classifications are corner solutions: Pure horizontal FDI is the northeast corner; pure vertical FDI is the eastern border; pure export platform FDI is the southwest corner.</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b/>
          <w:bCs/>
          <w:color w:val="000000"/>
          <w:sz w:val="24"/>
          <w:szCs w:val="24"/>
        </w:rPr>
        <w:t>Figure 1</w:t>
      </w:r>
      <w:r w:rsidRPr="00B77E06">
        <w:rPr>
          <w:rFonts w:ascii="Arial" w:eastAsia="Times New Roman" w:hAnsi="Arial" w:cs="Arial"/>
          <w:color w:val="000000"/>
          <w:sz w:val="24"/>
          <w:szCs w:val="24"/>
        </w:rPr>
        <w:t>. The sales-sourcing box diagram</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noProof/>
          <w:color w:val="000000"/>
          <w:sz w:val="24"/>
          <w:szCs w:val="24"/>
        </w:rPr>
        <w:lastRenderedPageBreak/>
        <w:drawing>
          <wp:inline distT="0" distB="0" distL="0" distR="0">
            <wp:extent cx="5888355" cy="4464685"/>
            <wp:effectExtent l="0" t="0" r="0" b="0"/>
            <wp:docPr id="4" name="Picture 4" descr="https://voxeu.org/sites/default/files/image/FromApr2012/Baldwin%20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xeu.org/sites/default/files/image/FromApr2012/Baldwin%20fig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8355" cy="4464685"/>
                    </a:xfrm>
                    <a:prstGeom prst="rect">
                      <a:avLst/>
                    </a:prstGeom>
                    <a:noFill/>
                    <a:ln>
                      <a:noFill/>
                    </a:ln>
                  </pic:spPr>
                </pic:pic>
              </a:graphicData>
            </a:graphic>
          </wp:inline>
        </w:drawing>
      </w:r>
    </w:p>
    <w:p w:rsidR="00B77E06" w:rsidRPr="00B77E06" w:rsidRDefault="00B77E06" w:rsidP="00B77E06">
      <w:pPr>
        <w:spacing w:before="100" w:beforeAutospacing="1" w:after="100" w:afterAutospacing="1" w:line="240" w:lineRule="auto"/>
        <w:outlineLvl w:val="0"/>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Japanese evidence</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Using an aggregated version of Japan’s firm-level data, we plot the Japanese affiliates in the sales-sourcing box diagram (sub-sector averages). We do this for 1996 (Figure 2) and 2005 (Figure 3). Plainly, three categories </w:t>
      </w:r>
      <w:proofErr w:type="gramStart"/>
      <w:r w:rsidRPr="00B77E06">
        <w:rPr>
          <w:rFonts w:ascii="Arial" w:eastAsia="Times New Roman" w:hAnsi="Arial" w:cs="Arial"/>
          <w:color w:val="000000"/>
          <w:sz w:val="24"/>
          <w:szCs w:val="24"/>
        </w:rPr>
        <w:t>can’t</w:t>
      </w:r>
      <w:proofErr w:type="gramEnd"/>
      <w:r w:rsidRPr="00B77E06">
        <w:rPr>
          <w:rFonts w:ascii="Arial" w:eastAsia="Times New Roman" w:hAnsi="Arial" w:cs="Arial"/>
          <w:color w:val="000000"/>
          <w:sz w:val="24"/>
          <w:szCs w:val="24"/>
        </w:rPr>
        <w:t xml:space="preserve"> cover the full range of reality.</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b/>
          <w:bCs/>
          <w:color w:val="000000"/>
          <w:sz w:val="24"/>
          <w:szCs w:val="24"/>
        </w:rPr>
        <w:t>Figure 2</w:t>
      </w:r>
      <w:r w:rsidRPr="00B77E06">
        <w:rPr>
          <w:rFonts w:ascii="Arial" w:eastAsia="Times New Roman" w:hAnsi="Arial" w:cs="Arial"/>
          <w:color w:val="000000"/>
          <w:sz w:val="24"/>
          <w:szCs w:val="24"/>
        </w:rPr>
        <w:t>. Sales and sourcing by sector, 1996</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noProof/>
          <w:color w:val="000000"/>
          <w:sz w:val="24"/>
          <w:szCs w:val="24"/>
        </w:rPr>
        <w:lastRenderedPageBreak/>
        <w:drawing>
          <wp:inline distT="0" distB="0" distL="0" distR="0">
            <wp:extent cx="5771515" cy="5875655"/>
            <wp:effectExtent l="0" t="0" r="635" b="0"/>
            <wp:docPr id="3" name="Picture 3" descr="https://voxeu.org/sites/default/files/image/FromApr2012/Baldwin%20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oxeu.org/sites/default/files/image/FromApr2012/Baldwin%20fig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1515" cy="5875655"/>
                    </a:xfrm>
                    <a:prstGeom prst="rect">
                      <a:avLst/>
                    </a:prstGeom>
                    <a:noFill/>
                    <a:ln>
                      <a:noFill/>
                    </a:ln>
                  </pic:spPr>
                </pic:pic>
              </a:graphicData>
            </a:graphic>
          </wp:inline>
        </w:drawing>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As production unbundling advanced, the sales-sourcing pattern of Japanese FDI changes dramatically, as the comparison between 1996 and 2005 shows. Although the sector classifications changed between the two years, the broad picture is clear – most sectors saw a decrease in the local sourcing of intermediates.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b/>
          <w:bCs/>
          <w:color w:val="000000"/>
          <w:sz w:val="24"/>
          <w:szCs w:val="24"/>
        </w:rPr>
        <w:t>Figure 3</w:t>
      </w:r>
      <w:r w:rsidRPr="00B77E06">
        <w:rPr>
          <w:rFonts w:ascii="Arial" w:eastAsia="Times New Roman" w:hAnsi="Arial" w:cs="Arial"/>
          <w:color w:val="000000"/>
          <w:sz w:val="24"/>
          <w:szCs w:val="24"/>
        </w:rPr>
        <w:t>. Sales and sourcing Japanese affiliates, all host nations, 2005</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noProof/>
          <w:color w:val="000000"/>
          <w:sz w:val="24"/>
          <w:szCs w:val="24"/>
        </w:rPr>
        <w:lastRenderedPageBreak/>
        <w:drawing>
          <wp:inline distT="0" distB="0" distL="0" distR="0">
            <wp:extent cx="5706745" cy="5791200"/>
            <wp:effectExtent l="0" t="0" r="8255" b="0"/>
            <wp:docPr id="2" name="Picture 2" descr="https://voxeu.org/sites/default/files/image/FromApr2012/Baldwin%20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oxeu.org/sites/default/files/image/FromApr2012/Baldwin%20fig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6745" cy="5791200"/>
                    </a:xfrm>
                    <a:prstGeom prst="rect">
                      <a:avLst/>
                    </a:prstGeom>
                    <a:noFill/>
                    <a:ln>
                      <a:noFill/>
                    </a:ln>
                  </pic:spPr>
                </pic:pic>
              </a:graphicData>
            </a:graphic>
          </wp:inline>
        </w:drawing>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In particular, Figure 3 shows the emergence of what we called ‘networked FDI’ – i.e. FDI where the affiliates import substantial shares of their intermediates and export substantial shares of their output. In this sense, trade and investment </w:t>
      </w:r>
      <w:proofErr w:type="gramStart"/>
      <w:r w:rsidRPr="00B77E06">
        <w:rPr>
          <w:rFonts w:ascii="Arial" w:eastAsia="Times New Roman" w:hAnsi="Arial" w:cs="Arial"/>
          <w:color w:val="000000"/>
          <w:sz w:val="24"/>
          <w:szCs w:val="24"/>
        </w:rPr>
        <w:t>became far more entwined</w:t>
      </w:r>
      <w:proofErr w:type="gramEnd"/>
      <w:r w:rsidRPr="00B77E06">
        <w:rPr>
          <w:rFonts w:ascii="Arial" w:eastAsia="Times New Roman" w:hAnsi="Arial" w:cs="Arial"/>
          <w:color w:val="000000"/>
          <w:sz w:val="24"/>
          <w:szCs w:val="24"/>
        </w:rPr>
        <w:t xml:space="preserve"> between 1996 and 2005. Figure 4 – taken from the recent METI White Paper (2012) – shows the evolution over time for three important sectors.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b/>
          <w:bCs/>
          <w:color w:val="000000"/>
          <w:sz w:val="24"/>
          <w:szCs w:val="24"/>
        </w:rPr>
        <w:t>Figure 4</w:t>
      </w:r>
      <w:r w:rsidRPr="00B77E06">
        <w:rPr>
          <w:rFonts w:ascii="Arial" w:eastAsia="Times New Roman" w:hAnsi="Arial" w:cs="Arial"/>
          <w:color w:val="000000"/>
          <w:sz w:val="24"/>
          <w:szCs w:val="24"/>
        </w:rPr>
        <w:t>. Evolution of sales and sourcing in Asian affiliates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noProof/>
          <w:color w:val="000000"/>
          <w:sz w:val="24"/>
          <w:szCs w:val="24"/>
        </w:rPr>
        <w:lastRenderedPageBreak/>
        <w:drawing>
          <wp:inline distT="0" distB="0" distL="0" distR="0">
            <wp:extent cx="5658485" cy="3602355"/>
            <wp:effectExtent l="0" t="0" r="0" b="0"/>
            <wp:docPr id="1" name="Picture 1" descr="https://voxeu.org/sites/default/files/image/FromApr2012/Baldwin%20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oxeu.org/sites/default/files/image/FromApr2012/Baldwin%20fig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8485" cy="3602355"/>
                    </a:xfrm>
                    <a:prstGeom prst="rect">
                      <a:avLst/>
                    </a:prstGeom>
                    <a:noFill/>
                    <a:ln>
                      <a:noFill/>
                    </a:ln>
                  </pic:spPr>
                </pic:pic>
              </a:graphicData>
            </a:graphic>
          </wp:inline>
        </w:drawing>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Of course, this is a very rough classification and many nuances </w:t>
      </w:r>
      <w:proofErr w:type="gramStart"/>
      <w:r w:rsidRPr="00B77E06">
        <w:rPr>
          <w:rFonts w:ascii="Arial" w:eastAsia="Times New Roman" w:hAnsi="Arial" w:cs="Arial"/>
          <w:color w:val="000000"/>
          <w:sz w:val="24"/>
          <w:szCs w:val="24"/>
        </w:rPr>
        <w:t>are hidden</w:t>
      </w:r>
      <w:proofErr w:type="gramEnd"/>
      <w:r w:rsidRPr="00B77E06">
        <w:rPr>
          <w:rFonts w:ascii="Arial" w:eastAsia="Times New Roman" w:hAnsi="Arial" w:cs="Arial"/>
          <w:color w:val="000000"/>
          <w:sz w:val="24"/>
          <w:szCs w:val="24"/>
        </w:rPr>
        <w:t xml:space="preserve"> by this presentation, but it does serve to illustrate the point – first made by Hanson et al. (2001) – that the standard horizontal or vertical thinking is inadequate for understanding the </w:t>
      </w:r>
      <w:proofErr w:type="spellStart"/>
      <w:r w:rsidRPr="00B77E06">
        <w:rPr>
          <w:rFonts w:ascii="Arial" w:eastAsia="Times New Roman" w:hAnsi="Arial" w:cs="Arial"/>
          <w:color w:val="000000"/>
          <w:sz w:val="24"/>
          <w:szCs w:val="24"/>
        </w:rPr>
        <w:t>behaviour</w:t>
      </w:r>
      <w:proofErr w:type="spellEnd"/>
      <w:r w:rsidRPr="00B77E06">
        <w:rPr>
          <w:rFonts w:ascii="Arial" w:eastAsia="Times New Roman" w:hAnsi="Arial" w:cs="Arial"/>
          <w:color w:val="000000"/>
          <w:sz w:val="24"/>
          <w:szCs w:val="24"/>
        </w:rPr>
        <w:t xml:space="preserve"> of FDI.</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In our paper, we find large regional variations among the three major host regions – Asia, North America and the EU. The North American sales-sourcing patterns are strikingly different in terms of the dominance of local sales.</w:t>
      </w:r>
    </w:p>
    <w:p w:rsidR="00B77E06" w:rsidRPr="00B77E06" w:rsidRDefault="00B77E06" w:rsidP="00B77E06">
      <w:pPr>
        <w:spacing w:before="100" w:beforeAutospacing="1" w:after="100" w:afterAutospacing="1" w:line="240" w:lineRule="auto"/>
        <w:outlineLvl w:val="0"/>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Concluding remarks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The dominance on the theory side of North-American inspired modelling and on the empirical side by US multinationals data has resulted in a belief that FDI </w:t>
      </w:r>
      <w:proofErr w:type="gramStart"/>
      <w:r w:rsidRPr="00B77E06">
        <w:rPr>
          <w:rFonts w:ascii="Arial" w:eastAsia="Times New Roman" w:hAnsi="Arial" w:cs="Arial"/>
          <w:color w:val="000000"/>
          <w:sz w:val="24"/>
          <w:szCs w:val="24"/>
        </w:rPr>
        <w:t>is mostly motivated</w:t>
      </w:r>
      <w:proofErr w:type="gramEnd"/>
      <w:r w:rsidRPr="00B77E06">
        <w:rPr>
          <w:rFonts w:ascii="Arial" w:eastAsia="Times New Roman" w:hAnsi="Arial" w:cs="Arial"/>
          <w:color w:val="000000"/>
          <w:sz w:val="24"/>
          <w:szCs w:val="24"/>
        </w:rPr>
        <w:t xml:space="preserve"> by ‘horizontal’ or market-seeking goals. Our research suggests that this is almost exactly wrong in the Japanese data.</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Our divergent conclusions stem from two key differences. First, we note that the standard view </w:t>
      </w:r>
      <w:proofErr w:type="gramStart"/>
      <w:r w:rsidRPr="00B77E06">
        <w:rPr>
          <w:rFonts w:ascii="Arial" w:eastAsia="Times New Roman" w:hAnsi="Arial" w:cs="Arial"/>
          <w:color w:val="000000"/>
          <w:sz w:val="24"/>
          <w:szCs w:val="24"/>
        </w:rPr>
        <w:t>is based</w:t>
      </w:r>
      <w:proofErr w:type="gramEnd"/>
      <w:r w:rsidRPr="00B77E06">
        <w:rPr>
          <w:rFonts w:ascii="Arial" w:eastAsia="Times New Roman" w:hAnsi="Arial" w:cs="Arial"/>
          <w:color w:val="000000"/>
          <w:sz w:val="24"/>
          <w:szCs w:val="24"/>
        </w:rPr>
        <w:t xml:space="preserve"> on a rather indirect empirical strategy when it comes to testing FDI theories. Most papers seek to determine whether FDI activity (typically affiliate sales) are stimulated by market-seeking motives (horizontal) or </w:t>
      </w:r>
      <w:proofErr w:type="gramStart"/>
      <w:r w:rsidRPr="00B77E06">
        <w:rPr>
          <w:rFonts w:ascii="Arial" w:eastAsia="Times New Roman" w:hAnsi="Arial" w:cs="Arial"/>
          <w:color w:val="000000"/>
          <w:sz w:val="24"/>
          <w:szCs w:val="24"/>
        </w:rPr>
        <w:t>efficiency-seeking</w:t>
      </w:r>
      <w:proofErr w:type="gramEnd"/>
      <w:r w:rsidRPr="00B77E06">
        <w:rPr>
          <w:rFonts w:ascii="Arial" w:eastAsia="Times New Roman" w:hAnsi="Arial" w:cs="Arial"/>
          <w:color w:val="000000"/>
          <w:sz w:val="24"/>
          <w:szCs w:val="24"/>
        </w:rPr>
        <w:t xml:space="preserve"> motives (vertical), or a combination of the two (complex FDI) using macro data (GDP, endowments, </w:t>
      </w:r>
      <w:proofErr w:type="spellStart"/>
      <w:r w:rsidRPr="00B77E06">
        <w:rPr>
          <w:rFonts w:ascii="Arial" w:eastAsia="Times New Roman" w:hAnsi="Arial" w:cs="Arial"/>
          <w:color w:val="000000"/>
          <w:sz w:val="24"/>
          <w:szCs w:val="24"/>
        </w:rPr>
        <w:t>etc</w:t>
      </w:r>
      <w:proofErr w:type="spellEnd"/>
      <w:r w:rsidRPr="00B77E06">
        <w:rPr>
          <w:rFonts w:ascii="Arial" w:eastAsia="Times New Roman" w:hAnsi="Arial" w:cs="Arial"/>
          <w:color w:val="000000"/>
          <w:sz w:val="24"/>
          <w:szCs w:val="24"/>
        </w:rPr>
        <w:t xml:space="preserve">) not micro data. We suggest that a very literal reading of the theory points to a very different empirical levers for distinguishing horizontal and vertical FDI, namely the sales and sourcing patterns of affiliates. We argue that affiliates’ purchases </w:t>
      </w:r>
      <w:r w:rsidRPr="00B77E06">
        <w:rPr>
          <w:rFonts w:ascii="Arial" w:eastAsia="Times New Roman" w:hAnsi="Arial" w:cs="Arial"/>
          <w:color w:val="000000"/>
          <w:sz w:val="24"/>
          <w:szCs w:val="24"/>
        </w:rPr>
        <w:lastRenderedPageBreak/>
        <w:t>of non-local intermediate goods (despite positive trade costs) indicates that it is cheaper to undertake some but not all production stages in the host nation. Likewise, exports back to the home country despite trade costs suggest that separating manufacturing stages lowers the cost of production. Likewise, the share of affiliate sales to the local market are perhaps the most natural indicator of horizontal FDI, with pure horizontal FDI requiring 100% local sales.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Using these levers, we find three key findings.</w:t>
      </w:r>
    </w:p>
    <w:p w:rsidR="00B77E06" w:rsidRPr="00B77E06" w:rsidRDefault="00B77E06" w:rsidP="00B77E06">
      <w:pPr>
        <w:numPr>
          <w:ilvl w:val="0"/>
          <w:numId w:val="3"/>
        </w:num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FDI in almost all sectors and almost all nations involves some ‘vertical-ness’, and some ‘horizontal-ness’.</w:t>
      </w:r>
    </w:p>
    <w:p w:rsidR="00B77E06" w:rsidRPr="00B77E06" w:rsidRDefault="00B77E06" w:rsidP="00B77E06">
      <w:pPr>
        <w:numPr>
          <w:ilvl w:val="0"/>
          <w:numId w:val="3"/>
        </w:num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In many nations and many sectors, the Japanese affiliates have sales and sourcing patterns that suggest that individual affiliates are part of a production network.</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This ‘networked FDI’ may be a very interesting phenomenon to study from a theory, empirical and policy point of view since it suggests that ‘regional comparative advantage’ (basically third-nation effects on the supply and demand sides) may be an important consideration in crafting and evaluating national FDI policies.</w:t>
      </w:r>
    </w:p>
    <w:p w:rsidR="00B77E06" w:rsidRPr="00B77E06" w:rsidRDefault="00B77E06" w:rsidP="00B77E06">
      <w:pPr>
        <w:numPr>
          <w:ilvl w:val="0"/>
          <w:numId w:val="4"/>
        </w:num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Our data systematically show affiliates in North American have quite different sales-sourcing patterns compared to those in Asia and Europe.</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Specifically affiliates in North American have sales-sourcing patterns that are far more in line with horizontal FDI than those in Asia and </w:t>
      </w:r>
      <w:proofErr w:type="gramStart"/>
      <w:r w:rsidRPr="00B77E06">
        <w:rPr>
          <w:rFonts w:ascii="Arial" w:eastAsia="Times New Roman" w:hAnsi="Arial" w:cs="Arial"/>
          <w:color w:val="000000"/>
          <w:sz w:val="24"/>
          <w:szCs w:val="24"/>
        </w:rPr>
        <w:t>Europe</w:t>
      </w:r>
      <w:proofErr w:type="gramEnd"/>
      <w:r w:rsidRPr="00B77E06">
        <w:rPr>
          <w:rFonts w:ascii="Arial" w:eastAsia="Times New Roman" w:hAnsi="Arial" w:cs="Arial"/>
          <w:color w:val="000000"/>
          <w:sz w:val="24"/>
          <w:szCs w:val="24"/>
        </w:rPr>
        <w:t xml:space="preserve">. This suggests that strong conclusions from US data may have to </w:t>
      </w:r>
      <w:proofErr w:type="gramStart"/>
      <w:r w:rsidRPr="00B77E06">
        <w:rPr>
          <w:rFonts w:ascii="Arial" w:eastAsia="Times New Roman" w:hAnsi="Arial" w:cs="Arial"/>
          <w:color w:val="000000"/>
          <w:sz w:val="24"/>
          <w:szCs w:val="24"/>
        </w:rPr>
        <w:t>be tempered</w:t>
      </w:r>
      <w:proofErr w:type="gramEnd"/>
      <w:r w:rsidRPr="00B77E06">
        <w:rPr>
          <w:rFonts w:ascii="Arial" w:eastAsia="Times New Roman" w:hAnsi="Arial" w:cs="Arial"/>
          <w:color w:val="000000"/>
          <w:sz w:val="24"/>
          <w:szCs w:val="24"/>
        </w:rPr>
        <w:t xml:space="preserve"> before they are applied to the rest of the world – especially developing nations.</w:t>
      </w:r>
    </w:p>
    <w:p w:rsidR="00B77E06" w:rsidRPr="00B77E06" w:rsidRDefault="00B77E06" w:rsidP="00B77E06">
      <w:pPr>
        <w:spacing w:before="100" w:beforeAutospacing="1" w:after="100" w:afterAutospacing="1" w:line="240" w:lineRule="auto"/>
        <w:outlineLvl w:val="0"/>
        <w:rPr>
          <w:rFonts w:ascii="Arial" w:eastAsia="Times New Roman" w:hAnsi="Arial" w:cs="Arial"/>
          <w:b/>
          <w:bCs/>
          <w:color w:val="000000"/>
          <w:kern w:val="36"/>
          <w:sz w:val="48"/>
          <w:szCs w:val="48"/>
        </w:rPr>
      </w:pPr>
      <w:r w:rsidRPr="00B77E06">
        <w:rPr>
          <w:rFonts w:ascii="Arial" w:eastAsia="Times New Roman" w:hAnsi="Arial" w:cs="Arial"/>
          <w:b/>
          <w:bCs/>
          <w:color w:val="000000"/>
          <w:kern w:val="36"/>
          <w:sz w:val="48"/>
          <w:szCs w:val="48"/>
        </w:rPr>
        <w:t>References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Antras</w:t>
      </w:r>
      <w:proofErr w:type="spellEnd"/>
      <w:r w:rsidRPr="00B77E06">
        <w:rPr>
          <w:rFonts w:ascii="Arial" w:eastAsia="Times New Roman" w:hAnsi="Arial" w:cs="Arial"/>
          <w:color w:val="000000"/>
          <w:sz w:val="24"/>
          <w:szCs w:val="24"/>
        </w:rPr>
        <w:t>, Pol (2003). "Firms, Contracts, and Trade Structure", </w:t>
      </w:r>
      <w:r w:rsidRPr="00B77E06">
        <w:rPr>
          <w:rFonts w:ascii="Arial" w:eastAsia="Times New Roman" w:hAnsi="Arial" w:cs="Arial"/>
          <w:i/>
          <w:iCs/>
          <w:color w:val="000000"/>
          <w:sz w:val="24"/>
          <w:szCs w:val="24"/>
        </w:rPr>
        <w:t>Quarterly Journal of Economics</w:t>
      </w:r>
      <w:r w:rsidRPr="00B77E06">
        <w:rPr>
          <w:rFonts w:ascii="Arial" w:eastAsia="Times New Roman" w:hAnsi="Arial" w:cs="Arial"/>
          <w:color w:val="000000"/>
          <w:sz w:val="24"/>
          <w:szCs w:val="24"/>
        </w:rPr>
        <w:t>, Vol. 118, No. 4, November 2003, pp. 1375-1418.</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Baldwin, Richard &amp; Robert-</w:t>
      </w:r>
      <w:proofErr w:type="spellStart"/>
      <w:r w:rsidRPr="00B77E06">
        <w:rPr>
          <w:rFonts w:ascii="Arial" w:eastAsia="Times New Roman" w:hAnsi="Arial" w:cs="Arial"/>
          <w:color w:val="000000"/>
          <w:sz w:val="24"/>
          <w:szCs w:val="24"/>
        </w:rPr>
        <w:t>Nicoud</w:t>
      </w:r>
      <w:proofErr w:type="spellEnd"/>
      <w:r w:rsidRPr="00B77E06">
        <w:rPr>
          <w:rFonts w:ascii="Arial" w:eastAsia="Times New Roman" w:hAnsi="Arial" w:cs="Arial"/>
          <w:color w:val="000000"/>
          <w:sz w:val="24"/>
          <w:szCs w:val="24"/>
        </w:rPr>
        <w:t xml:space="preserve">, </w:t>
      </w:r>
      <w:proofErr w:type="spellStart"/>
      <w:r w:rsidRPr="00B77E06">
        <w:rPr>
          <w:rFonts w:ascii="Arial" w:eastAsia="Times New Roman" w:hAnsi="Arial" w:cs="Arial"/>
          <w:color w:val="000000"/>
          <w:sz w:val="24"/>
          <w:szCs w:val="24"/>
        </w:rPr>
        <w:t>Frédéric</w:t>
      </w:r>
      <w:proofErr w:type="spellEnd"/>
      <w:r w:rsidRPr="00B77E06">
        <w:rPr>
          <w:rFonts w:ascii="Arial" w:eastAsia="Times New Roman" w:hAnsi="Arial" w:cs="Arial"/>
          <w:color w:val="000000"/>
          <w:sz w:val="24"/>
          <w:szCs w:val="24"/>
        </w:rPr>
        <w:t>, 2010. "Trade-in-goods and trade-in-tasks: An Integrating Framework", CEPR Discussion Paper 7775.</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Baldwin, Richard (2006). “</w:t>
      </w:r>
      <w:proofErr w:type="spellStart"/>
      <w:r w:rsidRPr="00B77E06">
        <w:rPr>
          <w:rFonts w:ascii="Arial" w:eastAsia="Times New Roman" w:hAnsi="Arial" w:cs="Arial"/>
          <w:color w:val="000000"/>
          <w:sz w:val="24"/>
          <w:szCs w:val="24"/>
        </w:rPr>
        <w:fldChar w:fldCharType="begin"/>
      </w:r>
      <w:r w:rsidRPr="00B77E06">
        <w:rPr>
          <w:rFonts w:ascii="Arial" w:eastAsia="Times New Roman" w:hAnsi="Arial" w:cs="Arial"/>
          <w:color w:val="000000"/>
          <w:sz w:val="24"/>
          <w:szCs w:val="24"/>
        </w:rPr>
        <w:instrText xml:space="preserve"> HYPERLINK "http://www.graduateinstitute.ch/webdav/site/ctei/shared/CTEI/Baldwin/Publications/Chapters/Globalization/Baldwin_06-09-20.pdf" </w:instrText>
      </w:r>
      <w:r w:rsidRPr="00B77E06">
        <w:rPr>
          <w:rFonts w:ascii="Arial" w:eastAsia="Times New Roman" w:hAnsi="Arial" w:cs="Arial"/>
          <w:color w:val="000000"/>
          <w:sz w:val="24"/>
          <w:szCs w:val="24"/>
        </w:rPr>
        <w:fldChar w:fldCharType="separate"/>
      </w:r>
      <w:r w:rsidRPr="00B77E06">
        <w:rPr>
          <w:rFonts w:ascii="Arial" w:eastAsia="Times New Roman" w:hAnsi="Arial" w:cs="Arial"/>
          <w:color w:val="000000"/>
          <w:sz w:val="24"/>
          <w:szCs w:val="24"/>
          <w:u w:val="single"/>
        </w:rPr>
        <w:t>Globalisation</w:t>
      </w:r>
      <w:proofErr w:type="spellEnd"/>
      <w:r w:rsidRPr="00B77E06">
        <w:rPr>
          <w:rFonts w:ascii="Arial" w:eastAsia="Times New Roman" w:hAnsi="Arial" w:cs="Arial"/>
          <w:color w:val="000000"/>
          <w:sz w:val="24"/>
          <w:szCs w:val="24"/>
          <w:u w:val="single"/>
        </w:rPr>
        <w:t>: the great unbundling(s)</w:t>
      </w:r>
      <w:r w:rsidRPr="00B77E06">
        <w:rPr>
          <w:rFonts w:ascii="Arial" w:eastAsia="Times New Roman" w:hAnsi="Arial" w:cs="Arial"/>
          <w:color w:val="000000"/>
          <w:sz w:val="24"/>
          <w:szCs w:val="24"/>
        </w:rPr>
        <w:fldChar w:fldCharType="end"/>
      </w:r>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[7]</w:t>
      </w:r>
      <w:r w:rsidRPr="00B77E06">
        <w:rPr>
          <w:rFonts w:ascii="Arial" w:eastAsia="Times New Roman" w:hAnsi="Arial" w:cs="Arial"/>
          <w:color w:val="000000"/>
          <w:sz w:val="24"/>
          <w:szCs w:val="24"/>
        </w:rPr>
        <w:t xml:space="preserve">”, in </w:t>
      </w:r>
      <w:proofErr w:type="spellStart"/>
      <w:r w:rsidRPr="00B77E06">
        <w:rPr>
          <w:rFonts w:ascii="Arial" w:eastAsia="Times New Roman" w:hAnsi="Arial" w:cs="Arial"/>
          <w:color w:val="000000"/>
          <w:sz w:val="24"/>
          <w:szCs w:val="24"/>
        </w:rPr>
        <w:t>Globalisation</w:t>
      </w:r>
      <w:proofErr w:type="spellEnd"/>
      <w:r w:rsidRPr="00B77E06">
        <w:rPr>
          <w:rFonts w:ascii="Arial" w:eastAsia="Times New Roman" w:hAnsi="Arial" w:cs="Arial"/>
          <w:color w:val="000000"/>
          <w:sz w:val="24"/>
          <w:szCs w:val="24"/>
        </w:rPr>
        <w:t xml:space="preserve"> challenges for Europe, Secretariat of the Economic Council, Finnish Prime Minister’s Office, Helsinki, 2006, pp 5-47.</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Baltagi</w:t>
      </w:r>
      <w:proofErr w:type="spellEnd"/>
      <w:r w:rsidRPr="00B77E06">
        <w:rPr>
          <w:rFonts w:ascii="Arial" w:eastAsia="Times New Roman" w:hAnsi="Arial" w:cs="Arial"/>
          <w:color w:val="000000"/>
          <w:sz w:val="24"/>
          <w:szCs w:val="24"/>
        </w:rPr>
        <w:t xml:space="preserve">, </w:t>
      </w:r>
      <w:proofErr w:type="spellStart"/>
      <w:r w:rsidRPr="00B77E06">
        <w:rPr>
          <w:rFonts w:ascii="Arial" w:eastAsia="Times New Roman" w:hAnsi="Arial" w:cs="Arial"/>
          <w:color w:val="000000"/>
          <w:sz w:val="24"/>
          <w:szCs w:val="24"/>
        </w:rPr>
        <w:t>Badi</w:t>
      </w:r>
      <w:proofErr w:type="spellEnd"/>
      <w:r w:rsidRPr="00B77E06">
        <w:rPr>
          <w:rFonts w:ascii="Arial" w:eastAsia="Times New Roman" w:hAnsi="Arial" w:cs="Arial"/>
          <w:color w:val="000000"/>
          <w:sz w:val="24"/>
          <w:szCs w:val="24"/>
        </w:rPr>
        <w:t xml:space="preserve">, Peter Egger, and Michael </w:t>
      </w:r>
      <w:proofErr w:type="spellStart"/>
      <w:r w:rsidRPr="00B77E06">
        <w:rPr>
          <w:rFonts w:ascii="Arial" w:eastAsia="Times New Roman" w:hAnsi="Arial" w:cs="Arial"/>
          <w:color w:val="000000"/>
          <w:sz w:val="24"/>
          <w:szCs w:val="24"/>
        </w:rPr>
        <w:t>Pfaffermayr</w:t>
      </w:r>
      <w:proofErr w:type="spellEnd"/>
      <w:r w:rsidRPr="00B77E06">
        <w:rPr>
          <w:rFonts w:ascii="Arial" w:eastAsia="Times New Roman" w:hAnsi="Arial" w:cs="Arial"/>
          <w:color w:val="000000"/>
          <w:sz w:val="24"/>
          <w:szCs w:val="24"/>
        </w:rPr>
        <w:t xml:space="preserve"> (2005). “Estimating models of complex FDI: Are there third-country effects?</w:t>
      </w:r>
      <w:proofErr w:type="gramStart"/>
      <w:r w:rsidRPr="00B77E06">
        <w:rPr>
          <w:rFonts w:ascii="Arial" w:eastAsia="Times New Roman" w:hAnsi="Arial" w:cs="Arial"/>
          <w:color w:val="000000"/>
          <w:sz w:val="24"/>
          <w:szCs w:val="24"/>
        </w:rPr>
        <w:t>”,</w:t>
      </w:r>
      <w:proofErr w:type="gramEnd"/>
      <w:r w:rsidRPr="00B77E06">
        <w:rPr>
          <w:rFonts w:ascii="Arial" w:eastAsia="Times New Roman" w:hAnsi="Arial" w:cs="Arial"/>
          <w:color w:val="000000"/>
          <w:sz w:val="24"/>
          <w:szCs w:val="24"/>
        </w:rPr>
        <w:t xml:space="preserve"> Center for Policy Research working paper 1525-3066, Syracuse University.</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lastRenderedPageBreak/>
        <w:t>Carr</w:t>
      </w:r>
      <w:proofErr w:type="spellEnd"/>
      <w:r w:rsidRPr="00B77E06">
        <w:rPr>
          <w:rFonts w:ascii="Arial" w:eastAsia="Times New Roman" w:hAnsi="Arial" w:cs="Arial"/>
          <w:color w:val="000000"/>
          <w:sz w:val="24"/>
          <w:szCs w:val="24"/>
        </w:rPr>
        <w:t xml:space="preserve">, David L., James R. </w:t>
      </w:r>
      <w:proofErr w:type="spellStart"/>
      <w:r w:rsidRPr="00B77E06">
        <w:rPr>
          <w:rFonts w:ascii="Arial" w:eastAsia="Times New Roman" w:hAnsi="Arial" w:cs="Arial"/>
          <w:color w:val="000000"/>
          <w:sz w:val="24"/>
          <w:szCs w:val="24"/>
        </w:rPr>
        <w:t>Markusen</w:t>
      </w:r>
      <w:proofErr w:type="spellEnd"/>
      <w:r w:rsidRPr="00B77E06">
        <w:rPr>
          <w:rFonts w:ascii="Arial" w:eastAsia="Times New Roman" w:hAnsi="Arial" w:cs="Arial"/>
          <w:color w:val="000000"/>
          <w:sz w:val="24"/>
          <w:szCs w:val="24"/>
        </w:rPr>
        <w:t xml:space="preserve">, and Keith E. </w:t>
      </w:r>
      <w:proofErr w:type="spellStart"/>
      <w:r w:rsidRPr="00B77E06">
        <w:rPr>
          <w:rFonts w:ascii="Arial" w:eastAsia="Times New Roman" w:hAnsi="Arial" w:cs="Arial"/>
          <w:color w:val="000000"/>
          <w:sz w:val="24"/>
          <w:szCs w:val="24"/>
        </w:rPr>
        <w:t>Maskus</w:t>
      </w:r>
      <w:proofErr w:type="spellEnd"/>
      <w:r w:rsidRPr="00B77E06">
        <w:rPr>
          <w:rFonts w:ascii="Arial" w:eastAsia="Times New Roman" w:hAnsi="Arial" w:cs="Arial"/>
          <w:color w:val="000000"/>
          <w:sz w:val="24"/>
          <w:szCs w:val="24"/>
        </w:rPr>
        <w:t xml:space="preserve"> (2001). “Estimating the Knowledge-capital Model of the Multinational Enterprise”, </w:t>
      </w:r>
      <w:r w:rsidRPr="00B77E06">
        <w:rPr>
          <w:rFonts w:ascii="Arial" w:eastAsia="Times New Roman" w:hAnsi="Arial" w:cs="Arial"/>
          <w:i/>
          <w:iCs/>
          <w:color w:val="000000"/>
          <w:sz w:val="24"/>
          <w:szCs w:val="24"/>
        </w:rPr>
        <w:t>American Economic Review</w:t>
      </w:r>
      <w:r w:rsidRPr="00B77E06">
        <w:rPr>
          <w:rFonts w:ascii="Arial" w:eastAsia="Times New Roman" w:hAnsi="Arial" w:cs="Arial"/>
          <w:color w:val="000000"/>
          <w:sz w:val="24"/>
          <w:szCs w:val="24"/>
        </w:rPr>
        <w:t xml:space="preserve"> 91, pp 693–708.</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Deardorff</w:t>
      </w:r>
      <w:proofErr w:type="spellEnd"/>
      <w:r w:rsidRPr="00B77E06">
        <w:rPr>
          <w:rFonts w:ascii="Arial" w:eastAsia="Times New Roman" w:hAnsi="Arial" w:cs="Arial"/>
          <w:color w:val="000000"/>
          <w:sz w:val="24"/>
          <w:szCs w:val="24"/>
        </w:rPr>
        <w:t>, Alan V. (1998a). “</w:t>
      </w:r>
      <w:hyperlink r:id="rId19" w:history="1">
        <w:r w:rsidRPr="00B77E06">
          <w:rPr>
            <w:rFonts w:ascii="Arial" w:eastAsia="Times New Roman" w:hAnsi="Arial" w:cs="Arial"/>
            <w:color w:val="000000"/>
            <w:sz w:val="24"/>
            <w:szCs w:val="24"/>
            <w:u w:val="single"/>
          </w:rPr>
          <w:t>Fragmentation in Simple Trade Models</w:t>
        </w:r>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[8]</w:t>
      </w:r>
      <w:r w:rsidRPr="00B77E06">
        <w:rPr>
          <w:rFonts w:ascii="Arial" w:eastAsia="Times New Roman" w:hAnsi="Arial" w:cs="Arial"/>
          <w:color w:val="000000"/>
          <w:sz w:val="24"/>
          <w:szCs w:val="24"/>
        </w:rPr>
        <w:t>”, RSIE Discussion Paper 422, University of Michigan, January 8, 1998.</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Deardorff</w:t>
      </w:r>
      <w:proofErr w:type="spellEnd"/>
      <w:r w:rsidRPr="00B77E06">
        <w:rPr>
          <w:rFonts w:ascii="Arial" w:eastAsia="Times New Roman" w:hAnsi="Arial" w:cs="Arial"/>
          <w:color w:val="000000"/>
          <w:sz w:val="24"/>
          <w:szCs w:val="24"/>
        </w:rPr>
        <w:t>, Alan V. (1998b). “</w:t>
      </w:r>
      <w:hyperlink r:id="rId20" w:history="1">
        <w:r w:rsidRPr="00B77E06">
          <w:rPr>
            <w:rFonts w:ascii="Arial" w:eastAsia="Times New Roman" w:hAnsi="Arial" w:cs="Arial"/>
            <w:color w:val="000000"/>
            <w:sz w:val="24"/>
            <w:szCs w:val="24"/>
            <w:u w:val="single"/>
          </w:rPr>
          <w:t>Fragmentation across cones</w:t>
        </w:r>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[8]</w:t>
      </w:r>
      <w:r w:rsidRPr="00B77E06">
        <w:rPr>
          <w:rFonts w:ascii="Arial" w:eastAsia="Times New Roman" w:hAnsi="Arial" w:cs="Arial"/>
          <w:color w:val="000000"/>
          <w:sz w:val="24"/>
          <w:szCs w:val="24"/>
        </w:rPr>
        <w:t>”, RSIE Discussion Paper 427, Discussion Paper 427, August 7, 1998.</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Dixit, </w:t>
      </w:r>
      <w:proofErr w:type="spellStart"/>
      <w:r w:rsidRPr="00B77E06">
        <w:rPr>
          <w:rFonts w:ascii="Arial" w:eastAsia="Times New Roman" w:hAnsi="Arial" w:cs="Arial"/>
          <w:color w:val="000000"/>
          <w:sz w:val="24"/>
          <w:szCs w:val="24"/>
        </w:rPr>
        <w:t>Avinash</w:t>
      </w:r>
      <w:proofErr w:type="spellEnd"/>
      <w:r w:rsidRPr="00B77E06">
        <w:rPr>
          <w:rFonts w:ascii="Arial" w:eastAsia="Times New Roman" w:hAnsi="Arial" w:cs="Arial"/>
          <w:color w:val="000000"/>
          <w:sz w:val="24"/>
          <w:szCs w:val="24"/>
        </w:rPr>
        <w:t xml:space="preserve"> and Gene M. Grossman, (1982), “Trade and Protection with Multi-Stage Production”, </w:t>
      </w:r>
      <w:r w:rsidRPr="00B77E06">
        <w:rPr>
          <w:rFonts w:ascii="Arial" w:eastAsia="Times New Roman" w:hAnsi="Arial" w:cs="Arial"/>
          <w:i/>
          <w:iCs/>
          <w:color w:val="000000"/>
          <w:sz w:val="24"/>
          <w:szCs w:val="24"/>
        </w:rPr>
        <w:t>Review of Economic Studies</w:t>
      </w:r>
      <w:r w:rsidRPr="00B77E06">
        <w:rPr>
          <w:rFonts w:ascii="Arial" w:eastAsia="Times New Roman" w:hAnsi="Arial" w:cs="Arial"/>
          <w:color w:val="000000"/>
          <w:sz w:val="24"/>
          <w:szCs w:val="24"/>
        </w:rPr>
        <w:t>, 49:4, 583-594.</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Gene M. Grossman &amp; Esteban Rossi-</w:t>
      </w:r>
      <w:proofErr w:type="spellStart"/>
      <w:r w:rsidRPr="00B77E06">
        <w:rPr>
          <w:rFonts w:ascii="Arial" w:eastAsia="Times New Roman" w:hAnsi="Arial" w:cs="Arial"/>
          <w:color w:val="000000"/>
          <w:sz w:val="24"/>
          <w:szCs w:val="24"/>
        </w:rPr>
        <w:t>Hansberg</w:t>
      </w:r>
      <w:proofErr w:type="spellEnd"/>
      <w:r w:rsidRPr="00B77E06">
        <w:rPr>
          <w:rFonts w:ascii="Arial" w:eastAsia="Times New Roman" w:hAnsi="Arial" w:cs="Arial"/>
          <w:color w:val="000000"/>
          <w:sz w:val="24"/>
          <w:szCs w:val="24"/>
        </w:rPr>
        <w:t>, 2008. "</w:t>
      </w:r>
      <w:hyperlink r:id="rId21" w:history="1">
        <w:r w:rsidRPr="00B77E06">
          <w:rPr>
            <w:rFonts w:ascii="Arial" w:eastAsia="Times New Roman" w:hAnsi="Arial" w:cs="Arial"/>
            <w:color w:val="000000"/>
            <w:sz w:val="24"/>
            <w:szCs w:val="24"/>
            <w:u w:val="single"/>
          </w:rPr>
          <w:t>Trading Tasks: A Simple Theory of Offshoring</w:t>
        </w:r>
      </w:hyperlink>
      <w:r w:rsidRPr="00B77E06">
        <w:rPr>
          <w:rFonts w:ascii="Arial" w:eastAsia="Times New Roman" w:hAnsi="Arial" w:cs="Arial"/>
          <w:color w:val="000000"/>
          <w:sz w:val="24"/>
          <w:szCs w:val="24"/>
        </w:rPr>
        <w:t xml:space="preserve"> </w:t>
      </w:r>
      <w:r w:rsidRPr="00B77E06">
        <w:rPr>
          <w:rFonts w:ascii="Arial" w:eastAsia="Times New Roman" w:hAnsi="Arial" w:cs="Arial"/>
          <w:color w:val="000000"/>
          <w:sz w:val="13"/>
          <w:szCs w:val="13"/>
        </w:rPr>
        <w:t>[9]</w:t>
      </w:r>
      <w:r w:rsidRPr="00B77E06">
        <w:rPr>
          <w:rFonts w:ascii="Arial" w:eastAsia="Times New Roman" w:hAnsi="Arial" w:cs="Arial"/>
          <w:color w:val="000000"/>
          <w:sz w:val="24"/>
          <w:szCs w:val="24"/>
        </w:rPr>
        <w:t>", </w:t>
      </w:r>
      <w:r w:rsidRPr="00B77E06">
        <w:rPr>
          <w:rFonts w:ascii="Arial" w:eastAsia="Times New Roman" w:hAnsi="Arial" w:cs="Arial"/>
          <w:i/>
          <w:iCs/>
          <w:color w:val="000000"/>
          <w:sz w:val="24"/>
          <w:szCs w:val="24"/>
        </w:rPr>
        <w:t>American Economic Review</w:t>
      </w:r>
      <w:r w:rsidRPr="00B77E06">
        <w:rPr>
          <w:rFonts w:ascii="Arial" w:eastAsia="Times New Roman" w:hAnsi="Arial" w:cs="Arial"/>
          <w:color w:val="000000"/>
          <w:sz w:val="24"/>
          <w:szCs w:val="24"/>
        </w:rPr>
        <w:t>, American Economic Association, vol. 98(5), pages 1978-97, December.</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Hanson, Gordon, Raymond </w:t>
      </w:r>
      <w:proofErr w:type="spellStart"/>
      <w:r w:rsidRPr="00B77E06">
        <w:rPr>
          <w:rFonts w:ascii="Arial" w:eastAsia="Times New Roman" w:hAnsi="Arial" w:cs="Arial"/>
          <w:color w:val="000000"/>
          <w:sz w:val="24"/>
          <w:szCs w:val="24"/>
        </w:rPr>
        <w:t>Mataloni</w:t>
      </w:r>
      <w:proofErr w:type="spellEnd"/>
      <w:r w:rsidRPr="00B77E06">
        <w:rPr>
          <w:rFonts w:ascii="Arial" w:eastAsia="Times New Roman" w:hAnsi="Arial" w:cs="Arial"/>
          <w:color w:val="000000"/>
          <w:sz w:val="24"/>
          <w:szCs w:val="24"/>
        </w:rPr>
        <w:t xml:space="preserve"> and Matthew Slaughter (2001). "Expansion Strategies of U.S. Multinational Firms," in Dani </w:t>
      </w:r>
      <w:proofErr w:type="spellStart"/>
      <w:r w:rsidRPr="00B77E06">
        <w:rPr>
          <w:rFonts w:ascii="Arial" w:eastAsia="Times New Roman" w:hAnsi="Arial" w:cs="Arial"/>
          <w:color w:val="000000"/>
          <w:sz w:val="24"/>
          <w:szCs w:val="24"/>
        </w:rPr>
        <w:t>Rodrik</w:t>
      </w:r>
      <w:proofErr w:type="spellEnd"/>
      <w:r w:rsidRPr="00B77E06">
        <w:rPr>
          <w:rFonts w:ascii="Arial" w:eastAsia="Times New Roman" w:hAnsi="Arial" w:cs="Arial"/>
          <w:color w:val="000000"/>
          <w:sz w:val="24"/>
          <w:szCs w:val="24"/>
        </w:rPr>
        <w:t xml:space="preserve"> and Susan Collins (eds.) Brookings Trade Forum 2001, Brookings Institution Press.</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Grossman, Gene, Elhanan </w:t>
      </w:r>
      <w:proofErr w:type="spellStart"/>
      <w:r w:rsidRPr="00B77E06">
        <w:rPr>
          <w:rFonts w:ascii="Arial" w:eastAsia="Times New Roman" w:hAnsi="Arial" w:cs="Arial"/>
          <w:color w:val="000000"/>
          <w:sz w:val="24"/>
          <w:szCs w:val="24"/>
        </w:rPr>
        <w:t>Helpman</w:t>
      </w:r>
      <w:proofErr w:type="spellEnd"/>
      <w:r w:rsidRPr="00B77E06">
        <w:rPr>
          <w:rFonts w:ascii="Arial" w:eastAsia="Times New Roman" w:hAnsi="Arial" w:cs="Arial"/>
          <w:color w:val="000000"/>
          <w:sz w:val="24"/>
          <w:szCs w:val="24"/>
        </w:rPr>
        <w:t xml:space="preserve"> and Adam </w:t>
      </w:r>
      <w:proofErr w:type="spellStart"/>
      <w:r w:rsidRPr="00B77E06">
        <w:rPr>
          <w:rFonts w:ascii="Arial" w:eastAsia="Times New Roman" w:hAnsi="Arial" w:cs="Arial"/>
          <w:color w:val="000000"/>
          <w:sz w:val="24"/>
          <w:szCs w:val="24"/>
        </w:rPr>
        <w:t>Szeidle</w:t>
      </w:r>
      <w:proofErr w:type="spellEnd"/>
      <w:r w:rsidRPr="00B77E06">
        <w:rPr>
          <w:rFonts w:ascii="Arial" w:eastAsia="Times New Roman" w:hAnsi="Arial" w:cs="Arial"/>
          <w:color w:val="000000"/>
          <w:sz w:val="24"/>
          <w:szCs w:val="24"/>
        </w:rPr>
        <w:t xml:space="preserve"> (2006). “Optimal Integration Strategies for the Multinational Firm”, </w:t>
      </w:r>
      <w:r w:rsidRPr="00B77E06">
        <w:rPr>
          <w:rFonts w:ascii="Arial" w:eastAsia="Times New Roman" w:hAnsi="Arial" w:cs="Arial"/>
          <w:i/>
          <w:iCs/>
          <w:color w:val="000000"/>
          <w:sz w:val="24"/>
          <w:szCs w:val="24"/>
        </w:rPr>
        <w:t>Journal of International Economics</w:t>
      </w:r>
      <w:r w:rsidRPr="00B77E06">
        <w:rPr>
          <w:rFonts w:ascii="Arial" w:eastAsia="Times New Roman" w:hAnsi="Arial" w:cs="Arial"/>
          <w:color w:val="000000"/>
          <w:sz w:val="24"/>
          <w:szCs w:val="24"/>
        </w:rPr>
        <w:t xml:space="preserve"> 70: 216-238, 2006. </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 xml:space="preserve">Jones, Ronald W. and </w:t>
      </w:r>
      <w:proofErr w:type="spellStart"/>
      <w:r w:rsidRPr="00B77E06">
        <w:rPr>
          <w:rFonts w:ascii="Arial" w:eastAsia="Times New Roman" w:hAnsi="Arial" w:cs="Arial"/>
          <w:color w:val="000000"/>
          <w:sz w:val="24"/>
          <w:szCs w:val="24"/>
        </w:rPr>
        <w:t>Henryk</w:t>
      </w:r>
      <w:proofErr w:type="spellEnd"/>
      <w:r w:rsidRPr="00B77E06">
        <w:rPr>
          <w:rFonts w:ascii="Arial" w:eastAsia="Times New Roman" w:hAnsi="Arial" w:cs="Arial"/>
          <w:color w:val="000000"/>
          <w:sz w:val="24"/>
          <w:szCs w:val="24"/>
        </w:rPr>
        <w:t xml:space="preserve"> </w:t>
      </w:r>
      <w:proofErr w:type="spellStart"/>
      <w:r w:rsidRPr="00B77E06">
        <w:rPr>
          <w:rFonts w:ascii="Arial" w:eastAsia="Times New Roman" w:hAnsi="Arial" w:cs="Arial"/>
          <w:color w:val="000000"/>
          <w:sz w:val="24"/>
          <w:szCs w:val="24"/>
        </w:rPr>
        <w:t>Kierzkowski</w:t>
      </w:r>
      <w:proofErr w:type="spellEnd"/>
      <w:r w:rsidRPr="00B77E06">
        <w:rPr>
          <w:rFonts w:ascii="Arial" w:eastAsia="Times New Roman" w:hAnsi="Arial" w:cs="Arial"/>
          <w:color w:val="000000"/>
          <w:sz w:val="24"/>
          <w:szCs w:val="24"/>
        </w:rPr>
        <w:t xml:space="preserve"> (1990): “The Role of Services in Production and International Trade: A Theoretical Framework”, in Ronald Jones and Anne Krueger, eds., </w:t>
      </w:r>
      <w:proofErr w:type="gramStart"/>
      <w:r w:rsidRPr="00B77E06">
        <w:rPr>
          <w:rFonts w:ascii="Arial" w:eastAsia="Times New Roman" w:hAnsi="Arial" w:cs="Arial"/>
          <w:i/>
          <w:iCs/>
          <w:color w:val="000000"/>
          <w:sz w:val="24"/>
          <w:szCs w:val="24"/>
        </w:rPr>
        <w:t>The</w:t>
      </w:r>
      <w:proofErr w:type="gramEnd"/>
      <w:r w:rsidRPr="00B77E06">
        <w:rPr>
          <w:rFonts w:ascii="Arial" w:eastAsia="Times New Roman" w:hAnsi="Arial" w:cs="Arial"/>
          <w:i/>
          <w:iCs/>
          <w:color w:val="000000"/>
          <w:sz w:val="24"/>
          <w:szCs w:val="24"/>
        </w:rPr>
        <w:t xml:space="preserve"> Political Economy of International Trade</w:t>
      </w:r>
      <w:r w:rsidRPr="00B77E06">
        <w:rPr>
          <w:rFonts w:ascii="Arial" w:eastAsia="Times New Roman" w:hAnsi="Arial" w:cs="Arial"/>
          <w:color w:val="000000"/>
          <w:sz w:val="24"/>
          <w:szCs w:val="24"/>
        </w:rPr>
        <w:t>, Basil Blackwell, Oxford.</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Markusen</w:t>
      </w:r>
      <w:proofErr w:type="spellEnd"/>
      <w:r w:rsidRPr="00B77E06">
        <w:rPr>
          <w:rFonts w:ascii="Arial" w:eastAsia="Times New Roman" w:hAnsi="Arial" w:cs="Arial"/>
          <w:color w:val="000000"/>
          <w:sz w:val="24"/>
          <w:szCs w:val="24"/>
        </w:rPr>
        <w:t xml:space="preserve">, J., </w:t>
      </w:r>
      <w:proofErr w:type="spellStart"/>
      <w:r w:rsidRPr="00B77E06">
        <w:rPr>
          <w:rFonts w:ascii="Arial" w:eastAsia="Times New Roman" w:hAnsi="Arial" w:cs="Arial"/>
          <w:color w:val="000000"/>
          <w:sz w:val="24"/>
          <w:szCs w:val="24"/>
        </w:rPr>
        <w:t>Venables</w:t>
      </w:r>
      <w:proofErr w:type="spellEnd"/>
      <w:r w:rsidRPr="00B77E06">
        <w:rPr>
          <w:rFonts w:ascii="Arial" w:eastAsia="Times New Roman" w:hAnsi="Arial" w:cs="Arial"/>
          <w:color w:val="000000"/>
          <w:sz w:val="24"/>
          <w:szCs w:val="24"/>
        </w:rPr>
        <w:t>, A., 2000. "The theory of endowment, intra-industry and multinational trade", </w:t>
      </w:r>
      <w:r w:rsidRPr="00B77E06">
        <w:rPr>
          <w:rFonts w:ascii="Arial" w:eastAsia="Times New Roman" w:hAnsi="Arial" w:cs="Arial"/>
          <w:i/>
          <w:iCs/>
          <w:color w:val="000000"/>
          <w:sz w:val="24"/>
          <w:szCs w:val="24"/>
        </w:rPr>
        <w:t>Journal of International Economics</w:t>
      </w:r>
      <w:r w:rsidRPr="00B77E06">
        <w:rPr>
          <w:rFonts w:ascii="Arial" w:eastAsia="Times New Roman" w:hAnsi="Arial" w:cs="Arial"/>
          <w:color w:val="000000"/>
          <w:sz w:val="24"/>
          <w:szCs w:val="24"/>
        </w:rPr>
        <w:t xml:space="preserve"> 52, 209–234.</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t>Melitz, M. J. (2003). “The Impact of Trade on Intra-Industry Reallocations and Aggregate Industry Productivity”, </w:t>
      </w:r>
      <w:proofErr w:type="spellStart"/>
      <w:r w:rsidRPr="00B77E06">
        <w:rPr>
          <w:rFonts w:ascii="Arial" w:eastAsia="Times New Roman" w:hAnsi="Arial" w:cs="Arial"/>
          <w:i/>
          <w:iCs/>
          <w:color w:val="000000"/>
          <w:sz w:val="24"/>
          <w:szCs w:val="24"/>
        </w:rPr>
        <w:t>Econometrica</w:t>
      </w:r>
      <w:proofErr w:type="spellEnd"/>
      <w:r w:rsidRPr="00B77E06">
        <w:rPr>
          <w:rFonts w:ascii="Arial" w:eastAsia="Times New Roman" w:hAnsi="Arial" w:cs="Arial"/>
          <w:color w:val="000000"/>
          <w:sz w:val="24"/>
          <w:szCs w:val="24"/>
        </w:rPr>
        <w:t xml:space="preserve"> 71:1695-1725.</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Venables</w:t>
      </w:r>
      <w:proofErr w:type="spellEnd"/>
      <w:r w:rsidRPr="00B77E06">
        <w:rPr>
          <w:rFonts w:ascii="Arial" w:eastAsia="Times New Roman" w:hAnsi="Arial" w:cs="Arial"/>
          <w:color w:val="000000"/>
          <w:sz w:val="24"/>
          <w:szCs w:val="24"/>
        </w:rPr>
        <w:t>, Anthony (1999). “Fragmentation and multinational production”, </w:t>
      </w:r>
      <w:r w:rsidRPr="00B77E06">
        <w:rPr>
          <w:rFonts w:ascii="Arial" w:eastAsia="Times New Roman" w:hAnsi="Arial" w:cs="Arial"/>
          <w:i/>
          <w:iCs/>
          <w:color w:val="000000"/>
          <w:sz w:val="24"/>
          <w:szCs w:val="24"/>
        </w:rPr>
        <w:t>European Economic Review</w:t>
      </w:r>
      <w:r w:rsidRPr="00B77E06">
        <w:rPr>
          <w:rFonts w:ascii="Arial" w:eastAsia="Times New Roman" w:hAnsi="Arial" w:cs="Arial"/>
          <w:color w:val="000000"/>
          <w:sz w:val="24"/>
          <w:szCs w:val="24"/>
        </w:rPr>
        <w:t xml:space="preserve"> 43, 935-945.</w: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proofErr w:type="spellStart"/>
      <w:r w:rsidRPr="00B77E06">
        <w:rPr>
          <w:rFonts w:ascii="Arial" w:eastAsia="Times New Roman" w:hAnsi="Arial" w:cs="Arial"/>
          <w:color w:val="000000"/>
          <w:sz w:val="24"/>
          <w:szCs w:val="24"/>
        </w:rPr>
        <w:t>Yeaple</w:t>
      </w:r>
      <w:proofErr w:type="spellEnd"/>
      <w:r w:rsidRPr="00B77E06">
        <w:rPr>
          <w:rFonts w:ascii="Arial" w:eastAsia="Times New Roman" w:hAnsi="Arial" w:cs="Arial"/>
          <w:color w:val="000000"/>
          <w:sz w:val="24"/>
          <w:szCs w:val="24"/>
        </w:rPr>
        <w:t>, S.R., 2003. "The complex integration strategies of multinationals and cross country dependencies in the structure of foreign direct investment", </w:t>
      </w:r>
      <w:r w:rsidRPr="00B77E06">
        <w:rPr>
          <w:rFonts w:ascii="Arial" w:eastAsia="Times New Roman" w:hAnsi="Arial" w:cs="Arial"/>
          <w:i/>
          <w:iCs/>
          <w:color w:val="000000"/>
          <w:sz w:val="24"/>
          <w:szCs w:val="24"/>
        </w:rPr>
        <w:t>Journal of International Economics</w:t>
      </w:r>
      <w:r w:rsidRPr="00B77E06">
        <w:rPr>
          <w:rFonts w:ascii="Arial" w:eastAsia="Times New Roman" w:hAnsi="Arial" w:cs="Arial"/>
          <w:color w:val="000000"/>
          <w:sz w:val="24"/>
          <w:szCs w:val="24"/>
        </w:rPr>
        <w:t xml:space="preserve"> 60 (2), 293–314.</w:t>
      </w:r>
    </w:p>
    <w:p w:rsidR="00B77E06" w:rsidRPr="00B77E06" w:rsidRDefault="00B77E06" w:rsidP="00B77E06">
      <w:pPr>
        <w:spacing w:after="0" w:line="240" w:lineRule="auto"/>
        <w:rPr>
          <w:rFonts w:ascii="Arial" w:eastAsia="Times New Roman" w:hAnsi="Arial" w:cs="Arial"/>
          <w:color w:val="000000"/>
          <w:sz w:val="24"/>
          <w:szCs w:val="24"/>
        </w:rPr>
      </w:pPr>
      <w:r w:rsidRPr="00B77E06">
        <w:rPr>
          <w:rFonts w:ascii="Arial" w:eastAsia="Times New Roman" w:hAnsi="Arial" w:cs="Arial"/>
          <w:color w:val="000000"/>
          <w:sz w:val="24"/>
          <w:szCs w:val="24"/>
        </w:rPr>
        <w:pict>
          <v:rect id="_x0000_i1030" style="width:0;height:0" o:hralign="center" o:hrstd="t" o:hr="t" fillcolor="#a0a0a0" stroked="f"/>
        </w:pict>
      </w:r>
    </w:p>
    <w:p w:rsidR="00B77E06" w:rsidRPr="00B77E06" w:rsidRDefault="00B77E06" w:rsidP="00B77E06">
      <w:pPr>
        <w:spacing w:before="100" w:beforeAutospacing="1" w:after="100" w:afterAutospacing="1" w:line="240" w:lineRule="auto"/>
        <w:rPr>
          <w:rFonts w:ascii="Arial" w:eastAsia="Times New Roman" w:hAnsi="Arial" w:cs="Arial"/>
          <w:color w:val="000000"/>
          <w:sz w:val="24"/>
          <w:szCs w:val="24"/>
        </w:rPr>
      </w:pPr>
      <w:bookmarkStart w:id="1" w:name="fn"/>
      <w:r w:rsidRPr="00B77E06">
        <w:rPr>
          <w:rFonts w:ascii="Arial" w:eastAsia="Times New Roman" w:hAnsi="Arial" w:cs="Arial"/>
          <w:color w:val="000000"/>
          <w:sz w:val="20"/>
          <w:szCs w:val="20"/>
        </w:rPr>
        <w:t>1</w:t>
      </w:r>
      <w:bookmarkEnd w:id="1"/>
      <w:r w:rsidRPr="00B77E06">
        <w:rPr>
          <w:rFonts w:ascii="Arial" w:eastAsia="Times New Roman" w:hAnsi="Arial" w:cs="Arial"/>
          <w:color w:val="000000"/>
          <w:sz w:val="20"/>
          <w:szCs w:val="20"/>
        </w:rPr>
        <w:t>Heckscher-Ohlin theory did incorporated trade in intermediate goods (</w:t>
      </w:r>
      <w:proofErr w:type="spellStart"/>
      <w:r w:rsidRPr="00B77E06">
        <w:rPr>
          <w:rFonts w:ascii="Arial" w:eastAsia="Times New Roman" w:hAnsi="Arial" w:cs="Arial"/>
          <w:color w:val="000000"/>
          <w:sz w:val="20"/>
          <w:szCs w:val="20"/>
        </w:rPr>
        <w:t>Batra</w:t>
      </w:r>
      <w:proofErr w:type="spellEnd"/>
      <w:r w:rsidRPr="00B77E06">
        <w:rPr>
          <w:rFonts w:ascii="Arial" w:eastAsia="Times New Roman" w:hAnsi="Arial" w:cs="Arial"/>
          <w:color w:val="000000"/>
          <w:sz w:val="20"/>
          <w:szCs w:val="20"/>
        </w:rPr>
        <w:t xml:space="preserve"> and Casas 1973, Woodland 1977, and Dixit and Grossman 1982), but the most commonly cited reference in the offshoring/fragmentation literature was, until recently, Jones and </w:t>
      </w:r>
      <w:proofErr w:type="spellStart"/>
      <w:r w:rsidRPr="00B77E06">
        <w:rPr>
          <w:rFonts w:ascii="Arial" w:eastAsia="Times New Roman" w:hAnsi="Arial" w:cs="Arial"/>
          <w:color w:val="000000"/>
          <w:sz w:val="20"/>
          <w:szCs w:val="20"/>
        </w:rPr>
        <w:t>Kierzkowski</w:t>
      </w:r>
      <w:proofErr w:type="spellEnd"/>
      <w:r w:rsidRPr="00B77E06">
        <w:rPr>
          <w:rFonts w:ascii="Arial" w:eastAsia="Times New Roman" w:hAnsi="Arial" w:cs="Arial"/>
          <w:color w:val="000000"/>
          <w:sz w:val="20"/>
          <w:szCs w:val="20"/>
        </w:rPr>
        <w:t xml:space="preserve"> (1990). Subsequent theory </w:t>
      </w:r>
      <w:r w:rsidRPr="00B77E06">
        <w:rPr>
          <w:rFonts w:ascii="Arial" w:eastAsia="Times New Roman" w:hAnsi="Arial" w:cs="Arial"/>
          <w:color w:val="000000"/>
          <w:sz w:val="20"/>
          <w:szCs w:val="20"/>
        </w:rPr>
        <w:lastRenderedPageBreak/>
        <w:t xml:space="preserve">includes </w:t>
      </w:r>
      <w:proofErr w:type="spellStart"/>
      <w:r w:rsidRPr="00B77E06">
        <w:rPr>
          <w:rFonts w:ascii="Arial" w:eastAsia="Times New Roman" w:hAnsi="Arial" w:cs="Arial"/>
          <w:color w:val="000000"/>
          <w:sz w:val="20"/>
          <w:szCs w:val="20"/>
        </w:rPr>
        <w:t>Deardorff</w:t>
      </w:r>
      <w:proofErr w:type="spellEnd"/>
      <w:r w:rsidRPr="00B77E06">
        <w:rPr>
          <w:rFonts w:ascii="Arial" w:eastAsia="Times New Roman" w:hAnsi="Arial" w:cs="Arial"/>
          <w:color w:val="000000"/>
          <w:sz w:val="20"/>
          <w:szCs w:val="20"/>
        </w:rPr>
        <w:t xml:space="preserve"> (1989a, b), </w:t>
      </w:r>
      <w:proofErr w:type="spellStart"/>
      <w:r w:rsidRPr="00B77E06">
        <w:rPr>
          <w:rFonts w:ascii="Arial" w:eastAsia="Times New Roman" w:hAnsi="Arial" w:cs="Arial"/>
          <w:color w:val="000000"/>
          <w:sz w:val="20"/>
          <w:szCs w:val="20"/>
        </w:rPr>
        <w:t>Venables</w:t>
      </w:r>
      <w:proofErr w:type="spellEnd"/>
      <w:r w:rsidRPr="00B77E06">
        <w:rPr>
          <w:rFonts w:ascii="Arial" w:eastAsia="Times New Roman" w:hAnsi="Arial" w:cs="Arial"/>
          <w:color w:val="000000"/>
          <w:sz w:val="20"/>
          <w:szCs w:val="20"/>
        </w:rPr>
        <w:t xml:space="preserve"> (1999), Kohler (2004a), </w:t>
      </w:r>
      <w:proofErr w:type="spellStart"/>
      <w:r w:rsidRPr="00B77E06">
        <w:rPr>
          <w:rFonts w:ascii="Arial" w:eastAsia="Times New Roman" w:hAnsi="Arial" w:cs="Arial"/>
          <w:color w:val="000000"/>
          <w:sz w:val="20"/>
          <w:szCs w:val="20"/>
        </w:rPr>
        <w:t>Markusen</w:t>
      </w:r>
      <w:proofErr w:type="spellEnd"/>
      <w:r w:rsidRPr="00B77E06">
        <w:rPr>
          <w:rFonts w:ascii="Arial" w:eastAsia="Times New Roman" w:hAnsi="Arial" w:cs="Arial"/>
          <w:color w:val="000000"/>
          <w:sz w:val="20"/>
          <w:szCs w:val="20"/>
        </w:rPr>
        <w:t xml:space="preserve"> (2006), Grossman and Rossi-</w:t>
      </w:r>
      <w:proofErr w:type="spellStart"/>
      <w:r w:rsidRPr="00B77E06">
        <w:rPr>
          <w:rFonts w:ascii="Arial" w:eastAsia="Times New Roman" w:hAnsi="Arial" w:cs="Arial"/>
          <w:color w:val="000000"/>
          <w:sz w:val="20"/>
          <w:szCs w:val="20"/>
        </w:rPr>
        <w:t>Hansberg</w:t>
      </w:r>
      <w:proofErr w:type="spellEnd"/>
      <w:r w:rsidRPr="00B77E06">
        <w:rPr>
          <w:rFonts w:ascii="Arial" w:eastAsia="Times New Roman" w:hAnsi="Arial" w:cs="Arial"/>
          <w:color w:val="000000"/>
          <w:sz w:val="20"/>
          <w:szCs w:val="20"/>
        </w:rPr>
        <w:t xml:space="preserve"> (2006a</w:t>
      </w:r>
      <w:proofErr w:type="gramStart"/>
      <w:r w:rsidRPr="00B77E06">
        <w:rPr>
          <w:rFonts w:ascii="Arial" w:eastAsia="Times New Roman" w:hAnsi="Arial" w:cs="Arial"/>
          <w:color w:val="000000"/>
          <w:sz w:val="20"/>
          <w:szCs w:val="20"/>
        </w:rPr>
        <w:t>,b</w:t>
      </w:r>
      <w:proofErr w:type="gramEnd"/>
      <w:r w:rsidRPr="00B77E06">
        <w:rPr>
          <w:rFonts w:ascii="Arial" w:eastAsia="Times New Roman" w:hAnsi="Arial" w:cs="Arial"/>
          <w:color w:val="000000"/>
          <w:sz w:val="20"/>
          <w:szCs w:val="20"/>
        </w:rPr>
        <w:t xml:space="preserve">) Rodríguez-Clare (2007), and </w:t>
      </w:r>
      <w:proofErr w:type="spellStart"/>
      <w:r w:rsidRPr="00B77E06">
        <w:rPr>
          <w:rFonts w:ascii="Arial" w:eastAsia="Times New Roman" w:hAnsi="Arial" w:cs="Arial"/>
          <w:color w:val="000000"/>
          <w:sz w:val="20"/>
          <w:szCs w:val="20"/>
        </w:rPr>
        <w:t>Antràs</w:t>
      </w:r>
      <w:proofErr w:type="spellEnd"/>
      <w:r w:rsidRPr="00B77E06">
        <w:rPr>
          <w:rFonts w:ascii="Arial" w:eastAsia="Times New Roman" w:hAnsi="Arial" w:cs="Arial"/>
          <w:color w:val="000000"/>
          <w:sz w:val="20"/>
          <w:szCs w:val="20"/>
        </w:rPr>
        <w:t xml:space="preserve"> et al. (2006). See Baldwin and Robert-</w:t>
      </w:r>
      <w:proofErr w:type="spellStart"/>
      <w:r w:rsidRPr="00B77E06">
        <w:rPr>
          <w:rFonts w:ascii="Arial" w:eastAsia="Times New Roman" w:hAnsi="Arial" w:cs="Arial"/>
          <w:color w:val="000000"/>
          <w:sz w:val="20"/>
          <w:szCs w:val="20"/>
        </w:rPr>
        <w:t>Nicoud</w:t>
      </w:r>
      <w:proofErr w:type="spellEnd"/>
      <w:r w:rsidRPr="00B77E06">
        <w:rPr>
          <w:rFonts w:ascii="Arial" w:eastAsia="Times New Roman" w:hAnsi="Arial" w:cs="Arial"/>
          <w:color w:val="000000"/>
          <w:sz w:val="20"/>
          <w:szCs w:val="20"/>
        </w:rPr>
        <w:t xml:space="preserve"> (2010) for an integration of the various contributions.</w:t>
      </w:r>
    </w:p>
    <w:p w:rsidR="00B77E06" w:rsidRPr="00B77E06" w:rsidRDefault="00B77E06" w:rsidP="00B77E06">
      <w:pPr>
        <w:spacing w:after="0" w:line="240" w:lineRule="auto"/>
        <w:rPr>
          <w:rFonts w:ascii="Arial" w:eastAsia="Times New Roman" w:hAnsi="Arial" w:cs="Arial"/>
          <w:color w:val="000000"/>
          <w:sz w:val="24"/>
          <w:szCs w:val="24"/>
        </w:rPr>
      </w:pPr>
      <w:hyperlink r:id="rId22" w:tgtFrame="_blank" w:tooltip="More" w:history="1">
        <w:r w:rsidRPr="00B77E06">
          <w:rPr>
            <w:rFonts w:ascii="Arial" w:eastAsia="Times New Roman" w:hAnsi="Arial" w:cs="Arial"/>
            <w:b/>
            <w:bCs/>
            <w:color w:val="333333"/>
            <w:sz w:val="24"/>
            <w:szCs w:val="24"/>
            <w:bdr w:val="none" w:sz="0" w:space="0" w:color="auto" w:frame="1"/>
          </w:rPr>
          <w:t>0</w:t>
        </w:r>
      </w:hyperlink>
      <w:r w:rsidRPr="00B77E06">
        <w:rPr>
          <w:rFonts w:ascii="Arial" w:eastAsia="Times New Roman" w:hAnsi="Arial" w:cs="Arial"/>
          <w:color w:val="000000"/>
          <w:sz w:val="24"/>
          <w:szCs w:val="24"/>
        </w:rPr>
        <w:t xml:space="preserve"> </w:t>
      </w:r>
    </w:p>
    <w:p w:rsidR="003E14D3" w:rsidRDefault="003E14D3"/>
    <w:sectPr w:rsidR="003E1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8BE"/>
    <w:multiLevelType w:val="multilevel"/>
    <w:tmpl w:val="20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44732"/>
    <w:multiLevelType w:val="multilevel"/>
    <w:tmpl w:val="FA5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B0FBB"/>
    <w:multiLevelType w:val="multilevel"/>
    <w:tmpl w:val="582E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A5984"/>
    <w:multiLevelType w:val="multilevel"/>
    <w:tmpl w:val="C2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06"/>
    <w:rsid w:val="003E14D3"/>
    <w:rsid w:val="00B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02B29-AE37-44B8-A32B-C4E05DA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7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77E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E0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77E0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77E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E06"/>
    <w:rPr>
      <w:b/>
      <w:bCs/>
    </w:rPr>
  </w:style>
  <w:style w:type="character" w:customStyle="1" w:styleId="date-display-single">
    <w:name w:val="date-display-single"/>
    <w:basedOn w:val="DefaultParagraphFont"/>
    <w:rsid w:val="00B77E06"/>
  </w:style>
  <w:style w:type="character" w:styleId="Hyperlink">
    <w:name w:val="Hyperlink"/>
    <w:basedOn w:val="DefaultParagraphFont"/>
    <w:uiPriority w:val="99"/>
    <w:semiHidden/>
    <w:unhideWhenUsed/>
    <w:rsid w:val="00B77E06"/>
    <w:rPr>
      <w:color w:val="0000FF"/>
      <w:u w:val="single"/>
    </w:rPr>
  </w:style>
  <w:style w:type="character" w:customStyle="1" w:styleId="field-content">
    <w:name w:val="field-content"/>
    <w:basedOn w:val="DefaultParagraphFont"/>
    <w:rsid w:val="00B77E06"/>
  </w:style>
  <w:style w:type="character" w:customStyle="1" w:styleId="print-footnote">
    <w:name w:val="print-footnote"/>
    <w:basedOn w:val="DefaultParagraphFont"/>
    <w:rsid w:val="00B77E06"/>
  </w:style>
  <w:style w:type="character" w:styleId="Emphasis">
    <w:name w:val="Emphasis"/>
    <w:basedOn w:val="DefaultParagraphFont"/>
    <w:uiPriority w:val="20"/>
    <w:qFormat/>
    <w:rsid w:val="00B77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05449">
      <w:bodyDiv w:val="1"/>
      <w:marLeft w:val="0"/>
      <w:marRight w:val="0"/>
      <w:marTop w:val="0"/>
      <w:marBottom w:val="0"/>
      <w:divBdr>
        <w:top w:val="none" w:sz="0" w:space="0" w:color="auto"/>
        <w:left w:val="none" w:sz="0" w:space="0" w:color="auto"/>
        <w:bottom w:val="none" w:sz="0" w:space="0" w:color="auto"/>
        <w:right w:val="none" w:sz="0" w:space="0" w:color="auto"/>
      </w:divBdr>
      <w:divsChild>
        <w:div w:id="532042620">
          <w:marLeft w:val="0"/>
          <w:marRight w:val="0"/>
          <w:marTop w:val="0"/>
          <w:marBottom w:val="0"/>
          <w:divBdr>
            <w:top w:val="none" w:sz="0" w:space="0" w:color="auto"/>
            <w:left w:val="none" w:sz="0" w:space="0" w:color="auto"/>
            <w:bottom w:val="none" w:sz="0" w:space="0" w:color="auto"/>
            <w:right w:val="none" w:sz="0" w:space="0" w:color="auto"/>
          </w:divBdr>
          <w:divsChild>
            <w:div w:id="911965557">
              <w:marLeft w:val="0"/>
              <w:marRight w:val="0"/>
              <w:marTop w:val="0"/>
              <w:marBottom w:val="0"/>
              <w:divBdr>
                <w:top w:val="none" w:sz="0" w:space="0" w:color="auto"/>
                <w:left w:val="none" w:sz="0" w:space="0" w:color="auto"/>
                <w:bottom w:val="none" w:sz="0" w:space="0" w:color="auto"/>
                <w:right w:val="none" w:sz="0" w:space="0" w:color="auto"/>
              </w:divBdr>
            </w:div>
            <w:div w:id="147553729">
              <w:marLeft w:val="0"/>
              <w:marRight w:val="0"/>
              <w:marTop w:val="0"/>
              <w:marBottom w:val="0"/>
              <w:divBdr>
                <w:top w:val="none" w:sz="0" w:space="0" w:color="auto"/>
                <w:left w:val="none" w:sz="0" w:space="0" w:color="auto"/>
                <w:bottom w:val="none" w:sz="0" w:space="0" w:color="auto"/>
                <w:right w:val="none" w:sz="0" w:space="0" w:color="auto"/>
              </w:divBdr>
              <w:divsChild>
                <w:div w:id="1085569716">
                  <w:marLeft w:val="0"/>
                  <w:marRight w:val="0"/>
                  <w:marTop w:val="0"/>
                  <w:marBottom w:val="0"/>
                  <w:divBdr>
                    <w:top w:val="none" w:sz="0" w:space="0" w:color="auto"/>
                    <w:left w:val="none" w:sz="0" w:space="0" w:color="auto"/>
                    <w:bottom w:val="none" w:sz="0" w:space="0" w:color="auto"/>
                    <w:right w:val="none" w:sz="0" w:space="0" w:color="auto"/>
                  </w:divBdr>
                  <w:divsChild>
                    <w:div w:id="316766668">
                      <w:marLeft w:val="0"/>
                      <w:marRight w:val="0"/>
                      <w:marTop w:val="0"/>
                      <w:marBottom w:val="0"/>
                      <w:divBdr>
                        <w:top w:val="none" w:sz="0" w:space="0" w:color="auto"/>
                        <w:left w:val="none" w:sz="0" w:space="0" w:color="auto"/>
                        <w:bottom w:val="none" w:sz="0" w:space="0" w:color="auto"/>
                        <w:right w:val="none" w:sz="0" w:space="0" w:color="auto"/>
                      </w:divBdr>
                    </w:div>
                  </w:divsChild>
                </w:div>
                <w:div w:id="1692680827">
                  <w:marLeft w:val="0"/>
                  <w:marRight w:val="0"/>
                  <w:marTop w:val="0"/>
                  <w:marBottom w:val="0"/>
                  <w:divBdr>
                    <w:top w:val="none" w:sz="0" w:space="0" w:color="auto"/>
                    <w:left w:val="none" w:sz="0" w:space="0" w:color="auto"/>
                    <w:bottom w:val="none" w:sz="0" w:space="0" w:color="auto"/>
                    <w:right w:val="none" w:sz="0" w:space="0" w:color="auto"/>
                  </w:divBdr>
                </w:div>
              </w:divsChild>
            </w:div>
            <w:div w:id="1023631466">
              <w:marLeft w:val="0"/>
              <w:marRight w:val="0"/>
              <w:marTop w:val="0"/>
              <w:marBottom w:val="0"/>
              <w:divBdr>
                <w:top w:val="none" w:sz="0" w:space="0" w:color="auto"/>
                <w:left w:val="none" w:sz="0" w:space="0" w:color="auto"/>
                <w:bottom w:val="none" w:sz="0" w:space="0" w:color="auto"/>
                <w:right w:val="none" w:sz="0" w:space="0" w:color="auto"/>
              </w:divBdr>
              <w:divsChild>
                <w:div w:id="1443374755">
                  <w:marLeft w:val="0"/>
                  <w:marRight w:val="0"/>
                  <w:marTop w:val="0"/>
                  <w:marBottom w:val="0"/>
                  <w:divBdr>
                    <w:top w:val="none" w:sz="0" w:space="0" w:color="auto"/>
                    <w:left w:val="none" w:sz="0" w:space="0" w:color="auto"/>
                    <w:bottom w:val="none" w:sz="0" w:space="0" w:color="auto"/>
                    <w:right w:val="none" w:sz="0" w:space="0" w:color="auto"/>
                  </w:divBdr>
                  <w:divsChild>
                    <w:div w:id="2139763346">
                      <w:marLeft w:val="0"/>
                      <w:marRight w:val="0"/>
                      <w:marTop w:val="0"/>
                      <w:marBottom w:val="0"/>
                      <w:divBdr>
                        <w:top w:val="none" w:sz="0" w:space="0" w:color="auto"/>
                        <w:left w:val="none" w:sz="0" w:space="0" w:color="auto"/>
                        <w:bottom w:val="none" w:sz="0" w:space="0" w:color="auto"/>
                        <w:right w:val="none" w:sz="0" w:space="0" w:color="auto"/>
                      </w:divBdr>
                    </w:div>
                    <w:div w:id="1821648474">
                      <w:marLeft w:val="0"/>
                      <w:marRight w:val="0"/>
                      <w:marTop w:val="0"/>
                      <w:marBottom w:val="0"/>
                      <w:divBdr>
                        <w:top w:val="none" w:sz="0" w:space="0" w:color="auto"/>
                        <w:left w:val="none" w:sz="0" w:space="0" w:color="auto"/>
                        <w:bottom w:val="none" w:sz="0" w:space="0" w:color="auto"/>
                        <w:right w:val="none" w:sz="0" w:space="0" w:color="auto"/>
                      </w:divBdr>
                      <w:divsChild>
                        <w:div w:id="1369374893">
                          <w:marLeft w:val="0"/>
                          <w:marRight w:val="0"/>
                          <w:marTop w:val="0"/>
                          <w:marBottom w:val="0"/>
                          <w:divBdr>
                            <w:top w:val="none" w:sz="0" w:space="0" w:color="auto"/>
                            <w:left w:val="none" w:sz="0" w:space="0" w:color="auto"/>
                            <w:bottom w:val="none" w:sz="0" w:space="0" w:color="auto"/>
                            <w:right w:val="none" w:sz="0" w:space="0" w:color="auto"/>
                          </w:divBdr>
                          <w:divsChild>
                            <w:div w:id="916213030">
                              <w:marLeft w:val="0"/>
                              <w:marRight w:val="0"/>
                              <w:marTop w:val="0"/>
                              <w:marBottom w:val="0"/>
                              <w:divBdr>
                                <w:top w:val="none" w:sz="0" w:space="0" w:color="auto"/>
                                <w:left w:val="none" w:sz="0" w:space="0" w:color="auto"/>
                                <w:bottom w:val="none" w:sz="0" w:space="0" w:color="auto"/>
                                <w:right w:val="none" w:sz="0" w:space="0" w:color="auto"/>
                              </w:divBdr>
                            </w:div>
                            <w:div w:id="1955939909">
                              <w:marLeft w:val="0"/>
                              <w:marRight w:val="0"/>
                              <w:marTop w:val="0"/>
                              <w:marBottom w:val="0"/>
                              <w:divBdr>
                                <w:top w:val="none" w:sz="0" w:space="0" w:color="auto"/>
                                <w:left w:val="none" w:sz="0" w:space="0" w:color="auto"/>
                                <w:bottom w:val="none" w:sz="0" w:space="0" w:color="auto"/>
                                <w:right w:val="none" w:sz="0" w:space="0" w:color="auto"/>
                              </w:divBdr>
                              <w:divsChild>
                                <w:div w:id="1517423620">
                                  <w:marLeft w:val="0"/>
                                  <w:marRight w:val="0"/>
                                  <w:marTop w:val="0"/>
                                  <w:marBottom w:val="0"/>
                                  <w:divBdr>
                                    <w:top w:val="none" w:sz="0" w:space="0" w:color="auto"/>
                                    <w:left w:val="none" w:sz="0" w:space="0" w:color="auto"/>
                                    <w:bottom w:val="none" w:sz="0" w:space="0" w:color="auto"/>
                                    <w:right w:val="none" w:sz="0" w:space="0" w:color="auto"/>
                                  </w:divBdr>
                                </w:div>
                              </w:divsChild>
                            </w:div>
                            <w:div w:id="1438021734">
                              <w:marLeft w:val="0"/>
                              <w:marRight w:val="0"/>
                              <w:marTop w:val="0"/>
                              <w:marBottom w:val="0"/>
                              <w:divBdr>
                                <w:top w:val="none" w:sz="0" w:space="0" w:color="auto"/>
                                <w:left w:val="none" w:sz="0" w:space="0" w:color="auto"/>
                                <w:bottom w:val="none" w:sz="0" w:space="0" w:color="auto"/>
                                <w:right w:val="none" w:sz="0" w:space="0" w:color="auto"/>
                              </w:divBdr>
                            </w:div>
                            <w:div w:id="364525397">
                              <w:marLeft w:val="0"/>
                              <w:marRight w:val="0"/>
                              <w:marTop w:val="0"/>
                              <w:marBottom w:val="0"/>
                              <w:divBdr>
                                <w:top w:val="none" w:sz="0" w:space="0" w:color="auto"/>
                                <w:left w:val="none" w:sz="0" w:space="0" w:color="auto"/>
                                <w:bottom w:val="none" w:sz="0" w:space="0" w:color="auto"/>
                                <w:right w:val="none" w:sz="0" w:space="0" w:color="auto"/>
                              </w:divBdr>
                              <w:divsChild>
                                <w:div w:id="4009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301">
              <w:marLeft w:val="0"/>
              <w:marRight w:val="0"/>
              <w:marTop w:val="0"/>
              <w:marBottom w:val="0"/>
              <w:divBdr>
                <w:top w:val="none" w:sz="0" w:space="0" w:color="auto"/>
                <w:left w:val="none" w:sz="0" w:space="0" w:color="auto"/>
                <w:bottom w:val="none" w:sz="0" w:space="0" w:color="auto"/>
                <w:right w:val="none" w:sz="0" w:space="0" w:color="auto"/>
              </w:divBdr>
            </w:div>
            <w:div w:id="447820060">
              <w:marLeft w:val="0"/>
              <w:marRight w:val="0"/>
              <w:marTop w:val="0"/>
              <w:marBottom w:val="0"/>
              <w:divBdr>
                <w:top w:val="none" w:sz="0" w:space="0" w:color="auto"/>
                <w:left w:val="none" w:sz="0" w:space="0" w:color="auto"/>
                <w:bottom w:val="none" w:sz="0" w:space="0" w:color="auto"/>
                <w:right w:val="none" w:sz="0" w:space="0" w:color="auto"/>
              </w:divBdr>
              <w:divsChild>
                <w:div w:id="2144303847">
                  <w:marLeft w:val="0"/>
                  <w:marRight w:val="0"/>
                  <w:marTop w:val="0"/>
                  <w:marBottom w:val="0"/>
                  <w:divBdr>
                    <w:top w:val="none" w:sz="0" w:space="0" w:color="auto"/>
                    <w:left w:val="none" w:sz="0" w:space="0" w:color="auto"/>
                    <w:bottom w:val="none" w:sz="0" w:space="0" w:color="auto"/>
                    <w:right w:val="none" w:sz="0" w:space="0" w:color="auto"/>
                  </w:divBdr>
                  <w:divsChild>
                    <w:div w:id="1932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xeu.org/article/proposal-rethinking-euro-area-entry-criteria" TargetMode="External"/><Relationship Id="rId13" Type="http://schemas.openxmlformats.org/officeDocument/2006/relationships/hyperlink" Target="http://voxeu.org/index.php?q=node/42"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ideas.repec.org/a/aea/aecrev/v98y2008i5p1978-97.html" TargetMode="External"/><Relationship Id="rId7" Type="http://schemas.openxmlformats.org/officeDocument/2006/relationships/hyperlink" Target="https://voxeu.org/print/8020" TargetMode="External"/><Relationship Id="rId12" Type="http://schemas.openxmlformats.org/officeDocument/2006/relationships/hyperlink" Target="http://voxeu.org/index.php?q=node/136"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spp.umich.edu/rsie/workingpapers/wp.html" TargetMode="External"/><Relationship Id="rId1" Type="http://schemas.openxmlformats.org/officeDocument/2006/relationships/numbering" Target="numbering.xml"/><Relationship Id="rId6" Type="http://schemas.openxmlformats.org/officeDocument/2006/relationships/hyperlink" Target="https://voxeu.org/print/8020" TargetMode="External"/><Relationship Id="rId11" Type="http://schemas.openxmlformats.org/officeDocument/2006/relationships/hyperlink" Target="http://voxeu.org/index.php?q=node/8012" TargetMode="External"/><Relationship Id="rId24" Type="http://schemas.openxmlformats.org/officeDocument/2006/relationships/theme" Target="theme/theme1.xml"/><Relationship Id="rId5" Type="http://schemas.openxmlformats.org/officeDocument/2006/relationships/hyperlink" Target="https://voxeu.org/article/new-paradigm-globalisation-and-networked-fdi-evidence-japan?quicktabs_tabbed_recent_articles_block=0" TargetMode="Externa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voxeu.org/index.php?q=node/258" TargetMode="External"/><Relationship Id="rId19" Type="http://schemas.openxmlformats.org/officeDocument/2006/relationships/hyperlink" Target="http://www.spp.umich.edu/rsie/workingpapers/wp.html" TargetMode="External"/><Relationship Id="rId4" Type="http://schemas.openxmlformats.org/officeDocument/2006/relationships/webSettings" Target="webSettings.xml"/><Relationship Id="rId9" Type="http://schemas.openxmlformats.org/officeDocument/2006/relationships/hyperlink" Target="https://voxeu.org/article/financial-perspective-exchange-rates" TargetMode="External"/><Relationship Id="rId14" Type="http://schemas.openxmlformats.org/officeDocument/2006/relationships/hyperlink" Target="https://voxeu.org/print/8020" TargetMode="External"/><Relationship Id="rId22" Type="http://schemas.openxmlformats.org/officeDocument/2006/relationships/hyperlink" Target="https://voxeu.org/article/new-paradigm-globalisation-and-networked-fdi-evidence-japan?quicktabs_tabbed_recent_articles_bloc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USC Dornsife</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Wise</dc:creator>
  <cp:keywords/>
  <dc:description/>
  <cp:lastModifiedBy>Carol Wise</cp:lastModifiedBy>
  <cp:revision>1</cp:revision>
  <dcterms:created xsi:type="dcterms:W3CDTF">2019-02-25T13:34:00Z</dcterms:created>
  <dcterms:modified xsi:type="dcterms:W3CDTF">2019-02-25T13:35:00Z</dcterms:modified>
</cp:coreProperties>
</file>