
<file path=[Content_Types].xml><?xml version="1.0" encoding="utf-8"?>
<Types xmlns="http://schemas.openxmlformats.org/package/2006/content-types">
  <Default Extension="xml" ContentType="application/xml"/>
  <Default Extension="wmf" ContentType="image/x-wmf"/>
  <Default Extension="rels" ContentType="application/vnd.openxmlformats-package.relationships+xml"/>
  <Default Extension="emf" ContentType="image/x-emf"/>
  <Default Extension="xlsx" ContentType="application/vnd.openxmlformats-officedocument.spreadsheetml.sheet"/>
  <Default Extension="png" ContentType="image/png"/>
  <Default Extension="bin" ContentType="application/vnd.openxmlformats-officedocument.oleObjec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440F1C" w14:textId="77777777" w:rsidR="009F661C" w:rsidRPr="002B0B2B" w:rsidRDefault="009F661C" w:rsidP="004335E6">
      <w:pPr>
        <w:pStyle w:val="h1"/>
      </w:pPr>
      <w:bookmarkStart w:id="0" w:name="_GoBack"/>
      <w:bookmarkEnd w:id="0"/>
      <w:r>
        <w:t>Introduction</w:t>
      </w:r>
    </w:p>
    <w:p w14:paraId="400455E0" w14:textId="77777777" w:rsidR="009F661C" w:rsidRPr="004335E6" w:rsidRDefault="009F661C" w:rsidP="00F16B52">
      <w:pPr>
        <w:ind w:right="56"/>
        <w:rPr>
          <w:sz w:val="20"/>
          <w:szCs w:val="20"/>
        </w:rPr>
      </w:pPr>
    </w:p>
    <w:p w14:paraId="015F4EC4" w14:textId="77777777" w:rsidR="009F661C" w:rsidRPr="004335E6" w:rsidRDefault="009F661C" w:rsidP="00F16B52">
      <w:pPr>
        <w:ind w:right="56"/>
        <w:rPr>
          <w:sz w:val="20"/>
          <w:szCs w:val="20"/>
        </w:rPr>
      </w:pPr>
    </w:p>
    <w:p w14:paraId="405D6741" w14:textId="77777777" w:rsidR="009F661C" w:rsidRPr="004335E6" w:rsidRDefault="009F661C" w:rsidP="00F16B52">
      <w:pPr>
        <w:ind w:right="56"/>
        <w:rPr>
          <w:sz w:val="20"/>
          <w:szCs w:val="20"/>
        </w:rPr>
      </w:pPr>
    </w:p>
    <w:p w14:paraId="5A4F0F57" w14:textId="77777777" w:rsidR="009F661C" w:rsidRPr="00452F28" w:rsidRDefault="009F661C" w:rsidP="00F16B52">
      <w:pPr>
        <w:pStyle w:val="DLText"/>
        <w:ind w:right="56"/>
      </w:pPr>
      <w:r w:rsidRPr="00452F28">
        <w:t xml:space="preserve">This book is devoted to an analysis of </w:t>
      </w:r>
      <w:r>
        <w:t xml:space="preserve">alternative </w:t>
      </w:r>
      <w:r w:rsidRPr="00452F28">
        <w:t xml:space="preserve">land tenure </w:t>
      </w:r>
      <w:r>
        <w:t xml:space="preserve">systems </w:t>
      </w:r>
      <w:r w:rsidRPr="00452F28">
        <w:t>in Papua New Guinea and offers a blend of philosophical, legal, sociological and economic approaches to this issue. The first six chapters provide a religious, philosophical, historical, sociological and legal context in which to understand Melanesian culture and Melanesian customary land tenure and its contemporary recognition within the country’s legal system.  The last four chapters emphasize economic issues and argue for a conversion of collective forms of individual land tenure to more individually based private ownership if the people of Papua New Guinea are to attain the higher standard of living that is only feasible under such a system.</w:t>
      </w:r>
      <w:r>
        <w:t xml:space="preserve"> The Appendix describes the counterfactual case of Zimbabwe, which has reverted from a system in which nearly half the country had the benefits of individualized land title to one in which outside the towns there is effectively a return to undocumented ad hoc title.</w:t>
      </w:r>
    </w:p>
    <w:p w14:paraId="260C6309" w14:textId="77777777" w:rsidR="009F661C" w:rsidRPr="00452F28" w:rsidRDefault="009F661C" w:rsidP="00F16B52">
      <w:pPr>
        <w:pStyle w:val="DLText"/>
        <w:ind w:right="56"/>
      </w:pPr>
      <w:r w:rsidRPr="00452F28">
        <w:t xml:space="preserve"> With th</w:t>
      </w:r>
      <w:r>
        <w:t>e</w:t>
      </w:r>
      <w:r w:rsidRPr="00452F28">
        <w:t xml:space="preserve"> </w:t>
      </w:r>
      <w:r>
        <w:t xml:space="preserve">individualistic </w:t>
      </w:r>
      <w:r w:rsidRPr="00452F28">
        <w:t xml:space="preserve">goal in mind our first chapter offers a historical perspective and concentrates on the sociological, religious and philosophical background from which Melanesian culture has developed from pre-contact through to its contemporary engagement with Western civilization.  We explore the traditional Melanesian religious and philosophical approach to the cosmos, human mortality, community, land, </w:t>
      </w:r>
      <w:r w:rsidRPr="00503FDD">
        <w:rPr>
          <w:spacing w:val="-2"/>
        </w:rPr>
        <w:t>and the products of industrialization. Accordingly we discuss a philosophy</w:t>
      </w:r>
      <w:r w:rsidRPr="00452F28">
        <w:t xml:space="preserve"> of cyclical development and regeneration, developing a model based on community obligations and relationships with ancestors, including traditional attachments to the community land base. We also discuss the “cargo cult” phenomenon that still to some extent influences interactions with both modern capitalism and Western religious belief.</w:t>
      </w:r>
    </w:p>
    <w:p w14:paraId="44400F5C" w14:textId="77777777" w:rsidR="009F661C" w:rsidRPr="00452F28" w:rsidRDefault="009F661C" w:rsidP="00F16B52">
      <w:pPr>
        <w:pStyle w:val="DLText"/>
        <w:ind w:right="56"/>
      </w:pPr>
      <w:r w:rsidRPr="00452F28">
        <w:t xml:space="preserve">In the second chapter we offer a brief history of legal developments that have taken place with respect to customary land tenure in Papua New Guinea. Initially we discuss the ‘transformation policy’ that was attempted in the colonial period.  The so-called ‘transformation policy’  was adopted by the Australian Administration in the 1960s and  involved the substitution of individual registered titles (freeholds) for the existing traditional  forms of land-holding, and the replacement of customary law by English real property law. We trace the developments which led to its replacement by the </w:t>
      </w:r>
      <w:r w:rsidRPr="00452F28">
        <w:rPr>
          <w:i/>
          <w:iCs/>
        </w:rPr>
        <w:t>Incorporated Land Groups Act</w:t>
      </w:r>
      <w:r w:rsidRPr="00452F28">
        <w:t xml:space="preserve"> 1974 in which the legal emph</w:t>
      </w:r>
      <w:r>
        <w:t xml:space="preserve">asis </w:t>
      </w:r>
      <w:r>
        <w:lastRenderedPageBreak/>
        <w:t xml:space="preserve">stressed group ownership. </w:t>
      </w:r>
      <w:r w:rsidRPr="00452F28">
        <w:t>We go on to discuss organizational issues associated with major developments that have employed the notion of group ownership, referring to the Bougainville copper mine crisis of the 1980s, and the role of incorporated land groups in the Kutubu oil fields development in the Southern Highlands and within the forestry industry.</w:t>
      </w:r>
    </w:p>
    <w:p w14:paraId="689A1403" w14:textId="77777777" w:rsidR="009F661C" w:rsidRPr="00452F28" w:rsidRDefault="009F661C" w:rsidP="00F16B52">
      <w:pPr>
        <w:pStyle w:val="DLText"/>
        <w:ind w:right="56"/>
        <w:rPr>
          <w:b/>
          <w:bCs/>
        </w:rPr>
      </w:pPr>
      <w:r w:rsidRPr="00452F28">
        <w:t xml:space="preserve">In the third chapter we discuss the integration of custom into Papua New Guinea Law. We explore the advantages and disadvantages of such a </w:t>
      </w:r>
      <w:r w:rsidRPr="00503FDD">
        <w:rPr>
          <w:spacing w:val="-2"/>
        </w:rPr>
        <w:t>project and argue that custom can be efficacious if consistently incorporated</w:t>
      </w:r>
      <w:r w:rsidRPr="00452F28">
        <w:t xml:space="preserve"> within a body of common law. However, we argue that although there have been a number of positive decisions in which custom has been intelligently applied, other more relatively recent decisions have been marked by a pattern of inconsistent application that has rendered custom unreliable in ways that mirror H.L.A. Hart’s notable criticisms of conflating custom and law.  </w:t>
      </w:r>
    </w:p>
    <w:p w14:paraId="79FE9DE3" w14:textId="77777777" w:rsidR="009F661C" w:rsidRPr="00452F28" w:rsidRDefault="009F661C" w:rsidP="00F16B52">
      <w:pPr>
        <w:pStyle w:val="DLText"/>
        <w:ind w:right="56"/>
        <w:rPr>
          <w:bCs/>
        </w:rPr>
      </w:pPr>
      <w:r w:rsidRPr="00452F28">
        <w:t>In chapter four we consider the distinction between</w:t>
      </w:r>
      <w:r w:rsidRPr="00452F28">
        <w:rPr>
          <w:b/>
          <w:bCs/>
        </w:rPr>
        <w:t xml:space="preserve"> c</w:t>
      </w:r>
      <w:r w:rsidRPr="00452F28">
        <w:t>ustomary and alienated land, the latter referring to land that has been removed from custom.  We discuss Colin Filer’s observation in which he sees the distinction becoming blurred with what he labels as “</w:t>
      </w:r>
      <w:r w:rsidRPr="00452F28">
        <w:rPr>
          <w:iCs/>
        </w:rPr>
        <w:t>the partial alienation of customary land</w:t>
      </w:r>
      <w:r w:rsidRPr="00452F28">
        <w:t>” and the “</w:t>
      </w:r>
      <w:r w:rsidRPr="00452F28">
        <w:rPr>
          <w:iCs/>
        </w:rPr>
        <w:t>partial customization of alienated land</w:t>
      </w:r>
      <w:r w:rsidRPr="00452F28">
        <w:rPr>
          <w:i/>
          <w:iCs/>
        </w:rPr>
        <w:t>”</w:t>
      </w:r>
      <w:r w:rsidRPr="00452F28">
        <w:t xml:space="preserve">.  With respect to customary land, mobilization and forms of economic development are being realized despite the impediments associated with customary land tenure. With respect to the </w:t>
      </w:r>
      <w:r w:rsidRPr="00452F28">
        <w:rPr>
          <w:i/>
          <w:iCs/>
        </w:rPr>
        <w:t>partial customization of alienated land,</w:t>
      </w:r>
      <w:r w:rsidRPr="00452F28">
        <w:t xml:space="preserve"> we are essentially seeing the growth of reclaimed control rights over under developed alienated land and the assertion of income rights over alienated land which has been subject to ongoing significant economic development. </w:t>
      </w:r>
      <w:r w:rsidRPr="00A24E5F">
        <w:rPr>
          <w:lang w:val="en-GB"/>
        </w:rPr>
        <w:t xml:space="preserve">But using the insights of the Peruvian economist Hernando de Soto, we argue that in so far as land in Papua New Guinea is unregistered, allegedly collectively owned, unrecorded, lacking in integrated information and lacking in uniform formalized laws that protect the security of title and possible transactions, land cannot be mobilized for successful economic wealth generation.  </w:t>
      </w:r>
      <w:r w:rsidRPr="00452F28">
        <w:rPr>
          <w:bCs/>
        </w:rPr>
        <w:t>Without the formal alienation of customary land, that form of land tenure cannot be saved from the predations of an informal system of opportunistic privatized land titling.</w:t>
      </w:r>
    </w:p>
    <w:p w14:paraId="37FC15C3" w14:textId="77777777" w:rsidR="009F661C" w:rsidRPr="00452F28" w:rsidRDefault="009F661C" w:rsidP="00F16B52">
      <w:pPr>
        <w:pStyle w:val="DLText"/>
        <w:ind w:right="56"/>
        <w:rPr>
          <w:bCs/>
        </w:rPr>
      </w:pPr>
      <w:r w:rsidRPr="00452F28">
        <w:rPr>
          <w:bCs/>
        </w:rPr>
        <w:t>In chapter five we consider n</w:t>
      </w:r>
      <w:r w:rsidRPr="00452F28">
        <w:t xml:space="preserve">ew legal initiatives intended to facilitate the development of customary land. These initiatives have been realized in the 2009 amendments to the </w:t>
      </w:r>
      <w:r w:rsidRPr="00452F28">
        <w:rPr>
          <w:i/>
          <w:iCs/>
        </w:rPr>
        <w:t>Incorporated Land Groups Act.</w:t>
      </w:r>
      <w:r w:rsidRPr="00452F28">
        <w:t xml:space="preserve"> These amendments seek to tighten group membership requirements, institute formal governance structures, and allow for the voluntary registration of customary land as claimed by the incorporated land group. We argue, </w:t>
      </w:r>
      <w:r w:rsidRPr="00452F28">
        <w:rPr>
          <w:i/>
          <w:iCs/>
        </w:rPr>
        <w:t>inter alia</w:t>
      </w:r>
      <w:r w:rsidRPr="00452F28">
        <w:t xml:space="preserve">, that these amendments depart from the original intent of the Act, which was to preserve custom and customary arrangements. Clearly the </w:t>
      </w:r>
      <w:r w:rsidRPr="00452F28">
        <w:lastRenderedPageBreak/>
        <w:t xml:space="preserve">amendments institute a governance structure that takes precedence over informal customary practice.  In itself this is not particularly objectionable if it could be demonstrated that these changes are sufficient to protect and enhance individual interests and the ability of individuals to participate in collaborative undertakings. However, the emphasis on collective ownership and some form of majority control over decision making fail to protect the individual while offering a cumbersome vehicle for the mobilization of customary land. Moreover, the fact that designated individuals will have to take on responsibility for group interests means </w:t>
      </w:r>
      <w:r w:rsidRPr="00503FDD">
        <w:rPr>
          <w:spacing w:val="-2"/>
        </w:rPr>
        <w:t>that the agency issues that have frequently undermined group undertakings</w:t>
      </w:r>
      <w:r w:rsidRPr="00452F28">
        <w:t xml:space="preserve"> in PNG are likely to continue.</w:t>
      </w:r>
    </w:p>
    <w:p w14:paraId="5CDB9CE6" w14:textId="77777777" w:rsidR="009F661C" w:rsidRPr="00452F28" w:rsidRDefault="009F661C" w:rsidP="00F16B52">
      <w:pPr>
        <w:pStyle w:val="DLText"/>
        <w:ind w:right="56"/>
        <w:rPr>
          <w:b/>
          <w:bCs/>
        </w:rPr>
      </w:pPr>
      <w:r w:rsidRPr="00452F28">
        <w:t xml:space="preserve">Our sixth chapter argues for private ownership from arguments based on individual freedom as well as economic advantage. Despite the evident </w:t>
      </w:r>
      <w:r w:rsidRPr="00503FDD">
        <w:rPr>
          <w:spacing w:val="-2"/>
        </w:rPr>
        <w:t>economic benefits of private ownership in terms of enhanced productivity,</w:t>
      </w:r>
      <w:r w:rsidRPr="00452F28">
        <w:t xml:space="preserve"> various critiques have questioned the institution on other grounds. It has been argued, for example, that the imposition of a formal system over traditional customary forms of land holding impoverishes the experience of value by subjecting qualitative and complex relations to the logic of the economic market.  Another view holds that resources previously held in informal semi-communal arrangements or else under open access commons, for example, common land and water resources,  are frequently enclosed to the benefit some minority but relatively sophisticated class to the disadvantage of the collective majority. A third critique holds that property rights associated with hierarchically organized production and the market, work to constrain the freedom of the individual. Closely associated with this view is what we call the “cultural homogenization critique” that sees westernized legal systems as antithetical to cultural traditions and thus impacting on individual freedom. We argue that these critiques can be met by conceiving of freedom functionally, emphasizing that which individuals are actually able to do. Following the insights of Amartya Sen, who defines freedom in terms of opportunity, the opportunity to realize different forms of life, we argue that private ownership expands opportunities that allow people to recruit one another and the resources they control for collaborative projects.</w:t>
      </w:r>
    </w:p>
    <w:p w14:paraId="701F1332" w14:textId="77777777" w:rsidR="009F661C" w:rsidRPr="00452F28" w:rsidRDefault="009F661C" w:rsidP="00F16B52">
      <w:pPr>
        <w:pStyle w:val="DLText"/>
        <w:ind w:right="56"/>
        <w:rPr>
          <w:b/>
          <w:bCs/>
        </w:rPr>
      </w:pPr>
      <w:r w:rsidRPr="00452F28">
        <w:t xml:space="preserve">Our </w:t>
      </w:r>
      <w:r>
        <w:t>C</w:t>
      </w:r>
      <w:r w:rsidRPr="00452F28">
        <w:t xml:space="preserve">hapter </w:t>
      </w:r>
      <w:r>
        <w:t xml:space="preserve">Seven </w:t>
      </w:r>
      <w:r w:rsidRPr="00452F28">
        <w:t>specifically explores land tenure options and economic development. In this and the remaining chapters, we emphasi</w:t>
      </w:r>
      <w:r>
        <w:t>z</w:t>
      </w:r>
      <w:r w:rsidRPr="00452F28">
        <w:t xml:space="preserve">e economic issues concerned with wealth generation.  We point out that the prevalence of customary land tenure has meant that there is a serious shortage of land for other than purely subsistence production and relatively limited cash cropping. This explains the low levels of food production, agricultural exports, livestock, and limited land development beyond small </w:t>
      </w:r>
      <w:r w:rsidRPr="00452F28">
        <w:lastRenderedPageBreak/>
        <w:t xml:space="preserve">holdings. We point out that oil palm is the only agricultural crop to have increased output consistently faster than the population growth rate.  Significantly, all of Papua New Guinea’s palm oil is grown on five commercial plantations with their associated outgrowers, in New Ireland, West New Britain (2), Oro, and Milne Bay provinces. None is produced on stand-alone smallholdings. </w:t>
      </w:r>
    </w:p>
    <w:p w14:paraId="733057BA" w14:textId="77777777" w:rsidR="009F661C" w:rsidRPr="00452F28" w:rsidRDefault="009F661C" w:rsidP="00F16B52">
      <w:pPr>
        <w:pStyle w:val="DLText"/>
        <w:ind w:right="56"/>
        <w:rPr>
          <w:b/>
          <w:bCs/>
        </w:rPr>
      </w:pPr>
      <w:r w:rsidRPr="00452F28">
        <w:t xml:space="preserve">Moreover, defining individual interests in land could also promote a more equitable distribution of the royalties and compensation payments to genuine landowners that are required of the developers. </w:t>
      </w:r>
      <w:r w:rsidRPr="00A24E5F">
        <w:rPr>
          <w:lang w:val="en-GB"/>
        </w:rPr>
        <w:t xml:space="preserve">For example, disputes between putative landowners, many of which have been due to new arrivals in project areas - as at Porgera and Mount Kare – whose claims could not easily be contested by residents who had no evidence to support their own claims. </w:t>
      </w:r>
    </w:p>
    <w:p w14:paraId="20A2706F" w14:textId="77777777" w:rsidR="009F661C" w:rsidRPr="00452F28" w:rsidRDefault="009F661C" w:rsidP="00F16B52">
      <w:pPr>
        <w:pStyle w:val="DLText"/>
        <w:ind w:right="56"/>
        <w:rPr>
          <w:b/>
          <w:bCs/>
        </w:rPr>
      </w:pPr>
      <w:r w:rsidRPr="00452F28">
        <w:t xml:space="preserve">In </w:t>
      </w:r>
      <w:r>
        <w:t>Chapter E</w:t>
      </w:r>
      <w:r w:rsidRPr="00452F28">
        <w:t>ight we focus on the inadequacy of food production based on communal land holding. Communal landowners’ food production is even less impressive than their cash crop production,   with data from 2000 showing how trivially low is the contribution of untitled “landowners” to the country’s national income  Papua New Guinea’s land tenure system, however admirable it may seem to some, has signally failed to deliver rates of growth of national income (GDP per head) that have become the norm in countries like China, Vietnam, Thailand and Malaysia, despite similar starting points around 1960. Although some argue that changing land tenure would not be enough to create the conditions for increasing output and productivity in Papua New Guinea’s rural sector, experience elsewhere, starting with Europe, but including African countries like Egypt (since 1952) and Kenya (since1955), as well as the South East Asian “tigers”, suggests that such pessimism may be unwarranted.</w:t>
      </w:r>
    </w:p>
    <w:p w14:paraId="12C02187" w14:textId="77777777" w:rsidR="009F661C" w:rsidRPr="00452F28" w:rsidRDefault="009F661C" w:rsidP="00F16B52">
      <w:pPr>
        <w:pStyle w:val="DLText"/>
        <w:ind w:right="56"/>
      </w:pPr>
      <w:r>
        <w:t>C</w:t>
      </w:r>
      <w:r w:rsidRPr="00452F28">
        <w:t xml:space="preserve">hapter </w:t>
      </w:r>
      <w:r>
        <w:t>Nine addresses</w:t>
      </w:r>
      <w:r w:rsidRPr="00452F28">
        <w:t xml:space="preserve"> land titling issues in the forestry sector, and argue</w:t>
      </w:r>
      <w:r>
        <w:t>s</w:t>
      </w:r>
      <w:r w:rsidRPr="00452F28">
        <w:t xml:space="preserve"> that a formal land titling system would promote increased levels of sustainable production. In doing so we trace the history of the legislation governing the forestry industry beginning with the time of independence in 1975, when Papua New Guinea had two separate Acts governing its forestry industry, the </w:t>
      </w:r>
      <w:r w:rsidRPr="00452F28">
        <w:rPr>
          <w:i/>
          <w:iCs/>
        </w:rPr>
        <w:t>Forestry Act</w:t>
      </w:r>
      <w:r w:rsidRPr="00452F28">
        <w:t xml:space="preserve"> and the </w:t>
      </w:r>
      <w:r w:rsidRPr="00452F28">
        <w:rPr>
          <w:i/>
          <w:iCs/>
        </w:rPr>
        <w:t>Forestry (Private Dealings) Act</w:t>
      </w:r>
      <w:r w:rsidRPr="00452F28">
        <w:t xml:space="preserve">. We  discuss the 1989 Report of the Commission of Inquiry into the Forestry Industry” (the Barnett Report)   that resulted in the new </w:t>
      </w:r>
      <w:r w:rsidRPr="00452F28">
        <w:rPr>
          <w:i/>
          <w:iCs/>
        </w:rPr>
        <w:t>Forestry Act</w:t>
      </w:r>
      <w:r w:rsidRPr="00452F28">
        <w:t xml:space="preserve"> (1991) that came into force in 1992. We discuss Barnett's weak understanding of both land titling and pricing issues in the forest products industry. Under the new </w:t>
      </w:r>
      <w:r w:rsidRPr="00452F28">
        <w:rPr>
          <w:iCs/>
        </w:rPr>
        <w:t>Forestry Act</w:t>
      </w:r>
      <w:r w:rsidRPr="00452F28">
        <w:t xml:space="preserve"> all forest resources are to be developed in accordance with a 'National Forest Plan', and the State awards itself the sole power both to enter into Forest Management Agreements (FMA) with landowners and then to select an approved logging company. This nationalization of the </w:t>
      </w:r>
      <w:r w:rsidRPr="00452F28">
        <w:lastRenderedPageBreak/>
        <w:t>forestry industry was surprisingly endorsed in successive Structural Adjustment Programmes of the World Bank, despite its normal preference for privati</w:t>
      </w:r>
      <w:r>
        <w:t>z</w:t>
      </w:r>
      <w:r w:rsidRPr="00452F28">
        <w:t xml:space="preserve">ation. Subsequent to the Report the government also introduced a new system of export taxation, which we argue was significantly responsible for a very large reduction in log exports, despite the depreciation of the Kina. We note that Sweden and New Zealand have significantly higher logging rates that PNG, while adhering to high standards of sustainability, in part due to the fact that their industries are not subject to the onerous conditions that have been imposed in Papua New Guinea since the Barnett Report.  We argue that rather than nationalizing the forestry industry, the government would do better to establish a registered private sector ownership of Papua New Guinea's forest resources, as in Sweden, or privatizing half the state’s forests as was the case in New Zealand until 1990, when the government sold over 350,000 hectares to the private sector. We  suggest that the </w:t>
      </w:r>
      <w:r w:rsidRPr="00452F28">
        <w:rPr>
          <w:i/>
          <w:iCs/>
        </w:rPr>
        <w:t>Forestry Act</w:t>
      </w:r>
      <w:r w:rsidRPr="00452F28">
        <w:t xml:space="preserve"> </w:t>
      </w:r>
      <w:r w:rsidRPr="00452F28">
        <w:rPr>
          <w:i/>
        </w:rPr>
        <w:t>1991</w:t>
      </w:r>
      <w:r w:rsidRPr="00452F28">
        <w:t xml:space="preserve"> should repealed and replaced, perhaps by  a reversion to the </w:t>
      </w:r>
      <w:r w:rsidRPr="00452F28">
        <w:rPr>
          <w:i/>
          <w:iCs/>
        </w:rPr>
        <w:t>Forestry (Private Dealings) Act</w:t>
      </w:r>
      <w:r w:rsidRPr="00452F28">
        <w:t>, thereby restoring individual private ownership of the nation’s forest resource, subject of course to establishment of registered individual land titling of that resource.</w:t>
      </w:r>
    </w:p>
    <w:p w14:paraId="6FD2EB4B" w14:textId="77777777" w:rsidR="009F661C" w:rsidRDefault="009F661C" w:rsidP="00F16B52">
      <w:pPr>
        <w:pStyle w:val="DLText"/>
        <w:ind w:right="56"/>
      </w:pPr>
      <w:r w:rsidRPr="00452F28">
        <w:t xml:space="preserve">The last chapter outlines the scope for land registration in Papua New Guinea.  We review developments in Kenya that transformed customary </w:t>
      </w:r>
      <w:r w:rsidRPr="00503FDD">
        <w:rPr>
          <w:spacing w:val="-2"/>
        </w:rPr>
        <w:t>ownership into individual private ownership, and point out that agricultural</w:t>
      </w:r>
      <w:r w:rsidRPr="00452F28">
        <w:t xml:space="preserve"> productivity increased and continues to compare favorably with comparative production in Papua New Guinea. Subsequently we </w:t>
      </w:r>
      <w:r w:rsidRPr="00503FDD">
        <w:t>revisit the arguments that undermined the Australian colonial administration’s</w:t>
      </w:r>
      <w:r w:rsidRPr="00452F28">
        <w:t xml:space="preserve"> final efforts to enact land reform legislation.  We also discuss arguments that have been made against the plantation system and the possibility of instituting a private ownership system.  The chapter includes discussion of credit and mortgage lending, which arguably would be enhanced through private ownership. The chapter also contrasts England’s land enclosure movement in the eighteenth century experience with Australia’s Mabo Native Title </w:t>
      </w:r>
      <w:r>
        <w:t>Act</w:t>
      </w:r>
      <w:r w:rsidRPr="00452F28">
        <w:t xml:space="preserve"> of 1992. The latter enshrined </w:t>
      </w:r>
      <w:r>
        <w:t>non-individual</w:t>
      </w:r>
      <w:r w:rsidRPr="00452F28">
        <w:t xml:space="preserve"> </w:t>
      </w:r>
      <w:r>
        <w:t>titling</w:t>
      </w:r>
      <w:r w:rsidRPr="00452F28">
        <w:t xml:space="preserve"> across most of northern Australia with no evident positive outcomes in terms of living standards, whereas the English enclosures were the precondition for the Agricultural Revolution that underpinned Great Britain’s economic growth from 1800 to 1900. The </w:t>
      </w:r>
      <w:r>
        <w:t>c</w:t>
      </w:r>
      <w:r w:rsidRPr="00452F28">
        <w:t xml:space="preserve">hapter includes other data showing the superior performance of titled farms in Zambia relative to that of un-titled farmers. </w:t>
      </w:r>
    </w:p>
    <w:p w14:paraId="09997F61" w14:textId="77777777" w:rsidR="009F661C" w:rsidRPr="00452F28" w:rsidRDefault="009F661C" w:rsidP="00F16B52">
      <w:pPr>
        <w:pStyle w:val="DLText"/>
        <w:ind w:right="56"/>
      </w:pPr>
      <w:r w:rsidRPr="00452F28">
        <w:t xml:space="preserve">This final Chapter </w:t>
      </w:r>
      <w:r>
        <w:t xml:space="preserve">also </w:t>
      </w:r>
      <w:r w:rsidRPr="00452F28">
        <w:t>discuss</w:t>
      </w:r>
      <w:r>
        <w:t>es</w:t>
      </w:r>
      <w:r w:rsidRPr="00452F28">
        <w:t xml:space="preserve"> the relati</w:t>
      </w:r>
      <w:r>
        <w:t xml:space="preserve">ve social and private costs of </w:t>
      </w:r>
      <w:r w:rsidRPr="00452F28">
        <w:t xml:space="preserve">customary and individualized land tenure systems that suggests the latter produces superior and Pareto-optimal outcomes for all in the sense that </w:t>
      </w:r>
      <w:r w:rsidRPr="00452F28">
        <w:lastRenderedPageBreak/>
        <w:t>most if not all will become better off, while none will be adversely affected.</w:t>
      </w:r>
      <w:r>
        <w:t xml:space="preserve"> The Appendix concludes the book with an account of Zimbabwe’s remarkable retreat from any registered individual land ownership outside its towns from about 2000, and the consequent collapse of agricultural production beyond the barest subsistence minimum.</w:t>
      </w:r>
    </w:p>
    <w:p w14:paraId="60B86BB3" w14:textId="77777777" w:rsidR="009F661C" w:rsidRDefault="009F661C">
      <w:pPr>
        <w:rPr>
          <w:bCs/>
          <w:smallCaps/>
          <w:sz w:val="20"/>
          <w:szCs w:val="20"/>
        </w:rPr>
        <w:sectPr w:rsidR="009F661C" w:rsidSect="00503FDD">
          <w:headerReference w:type="even" r:id="rId7"/>
          <w:headerReference w:type="default" r:id="rId8"/>
          <w:footerReference w:type="even" r:id="rId9"/>
          <w:footerReference w:type="default" r:id="rId10"/>
          <w:footnotePr>
            <w:numRestart w:val="eachSect"/>
          </w:footnotePr>
          <w:type w:val="oddPage"/>
          <w:pgSz w:w="8392" w:h="11907" w:code="11"/>
          <w:pgMar w:top="1418" w:right="1191" w:bottom="851" w:left="1191" w:header="851" w:footer="0" w:gutter="0"/>
          <w:cols w:space="708"/>
          <w:titlePg/>
          <w:docGrid w:linePitch="360"/>
        </w:sectPr>
      </w:pPr>
    </w:p>
    <w:p w14:paraId="1E08AC76" w14:textId="77777777" w:rsidR="009F661C" w:rsidRPr="002B0B2B" w:rsidRDefault="009F661C" w:rsidP="009A78B8">
      <w:pPr>
        <w:pStyle w:val="DLHeading"/>
        <w:rPr>
          <w:szCs w:val="32"/>
        </w:rPr>
      </w:pPr>
      <w:r w:rsidRPr="002B0B2B">
        <w:rPr>
          <w:szCs w:val="32"/>
        </w:rPr>
        <w:lastRenderedPageBreak/>
        <w:t xml:space="preserve">Chapter One </w:t>
      </w:r>
    </w:p>
    <w:p w14:paraId="4DCCFD10" w14:textId="77777777" w:rsidR="009F661C" w:rsidRPr="002B0B2B" w:rsidRDefault="009F661C" w:rsidP="00961776">
      <w:pPr>
        <w:pStyle w:val="h1"/>
        <w:rPr>
          <w:szCs w:val="32"/>
        </w:rPr>
      </w:pPr>
      <w:r w:rsidRPr="002B0B2B">
        <w:rPr>
          <w:szCs w:val="32"/>
        </w:rPr>
        <w:t>Melanesian</w:t>
      </w:r>
      <w:r w:rsidRPr="002B0B2B">
        <w:rPr>
          <w:szCs w:val="32"/>
          <w:lang w:val="en-GB"/>
        </w:rPr>
        <w:t xml:space="preserve"> Religion</w:t>
      </w:r>
      <w:r w:rsidRPr="002B0B2B">
        <w:rPr>
          <w:szCs w:val="32"/>
        </w:rPr>
        <w:t xml:space="preserve"> and Philosophy </w:t>
      </w:r>
    </w:p>
    <w:p w14:paraId="4C15329E" w14:textId="77777777" w:rsidR="009F661C" w:rsidRDefault="009F661C" w:rsidP="00380955">
      <w:pPr>
        <w:jc w:val="center"/>
        <w:rPr>
          <w:b/>
          <w:bCs/>
          <w:sz w:val="20"/>
          <w:szCs w:val="20"/>
        </w:rPr>
      </w:pPr>
    </w:p>
    <w:p w14:paraId="6443AF23" w14:textId="77777777" w:rsidR="009F661C" w:rsidRDefault="009F661C" w:rsidP="00380955">
      <w:pPr>
        <w:jc w:val="center"/>
        <w:rPr>
          <w:b/>
          <w:bCs/>
          <w:sz w:val="20"/>
          <w:szCs w:val="20"/>
        </w:rPr>
      </w:pPr>
    </w:p>
    <w:p w14:paraId="13A2C675" w14:textId="77777777" w:rsidR="009F661C" w:rsidRPr="00071CFC" w:rsidRDefault="009F661C" w:rsidP="00380955">
      <w:pPr>
        <w:jc w:val="center"/>
        <w:rPr>
          <w:b/>
          <w:bCs/>
          <w:sz w:val="20"/>
          <w:szCs w:val="20"/>
        </w:rPr>
      </w:pPr>
    </w:p>
    <w:p w14:paraId="66A429D4" w14:textId="77777777" w:rsidR="009F661C" w:rsidRPr="00071CFC" w:rsidRDefault="009F661C" w:rsidP="009A78B8">
      <w:pPr>
        <w:pStyle w:val="DLText"/>
      </w:pPr>
      <w:r w:rsidRPr="00071CFC">
        <w:t xml:space="preserve">This text is intended as a treatment of property issues especially land tenure issues in Papua New Guinea.  Papua New Guinea is regarded as part of Melanesia, which includes the other Pacific island nations of Vanuatu, the Solomon Islands and Fiji. Before discussing the more specific property issues, we begin by setting out some of the philosophical perspectives of the Melanesians.  </w:t>
      </w:r>
    </w:p>
    <w:p w14:paraId="42E5941D" w14:textId="77777777" w:rsidR="009F661C" w:rsidRPr="00071CFC" w:rsidRDefault="009F661C" w:rsidP="00961776">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 xml:space="preserve">It is generally understood that Indian traders who traveled throughout the East were the vehicles for the dissemination of central philosophic and religious traditions from the Indian sub-continent to the rest of Asia. But although Hinduism, Buddhism and Islam in different periods and at different times gained a devoted following among the people who inhabited the neighboring Islands of Indonesia, the religious and philosophic ideas of these major world religions never penetrated the shores of Melanesia. Until first visited by European explorers in the eighteenth century, Melanesia remained physically and socially isolated from Europe and Asia, and intellectually isolated from the philosophies and religions that swept through Southeast Asia. This meant that Melanesian ideas on ethics, metaphysics and cosmology developed in isolation and were entirely uninfluenced by the major religious and scientific ideas, from either the great Western or Eastern traditions. </w:t>
      </w:r>
    </w:p>
    <w:p w14:paraId="7C6FFE2A" w14:textId="77777777" w:rsidR="009F661C" w:rsidRPr="00071CFC" w:rsidRDefault="009F661C" w:rsidP="007469AC">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 xml:space="preserve">Accordingly in coming to understand Melanesian philosophy, one must be careful to distinguish Melanesian thought from the major Western and Eastern traditions. It is also necessary to mention that Melanesian culture and ideas are embodied in an oral rather than a written tradition. This means that the ideas and philosophy of the Melanesians are not readily available or cited through identifiable written works, as for example, one might reference post-Vedic Indian philosophy through the </w:t>
      </w:r>
      <w:r w:rsidRPr="00071CFC">
        <w:rPr>
          <w:rFonts w:ascii="Times New Roman" w:hAnsi="Times New Roman" w:cs="Times New Roman"/>
          <w:i/>
          <w:iCs/>
          <w:color w:val="auto"/>
          <w:sz w:val="20"/>
          <w:szCs w:val="20"/>
        </w:rPr>
        <w:t xml:space="preserve">Bhagavad Gita, </w:t>
      </w:r>
      <w:r w:rsidRPr="00071CFC">
        <w:rPr>
          <w:rFonts w:ascii="Times New Roman" w:hAnsi="Times New Roman" w:cs="Times New Roman"/>
          <w:color w:val="auto"/>
          <w:sz w:val="20"/>
          <w:szCs w:val="20"/>
        </w:rPr>
        <w:t>or Medieval Islamic philosophy through the works of the Islamic Neo-Platonists.</w:t>
      </w:r>
      <w:r w:rsidRPr="00071CFC">
        <w:rPr>
          <w:rFonts w:ascii="Times New Roman" w:hAnsi="Times New Roman" w:cs="Times New Roman"/>
          <w:i/>
          <w:iCs/>
          <w:color w:val="auto"/>
          <w:sz w:val="20"/>
          <w:szCs w:val="20"/>
        </w:rPr>
        <w:t xml:space="preserve"> </w:t>
      </w:r>
      <w:r w:rsidRPr="00071CFC">
        <w:rPr>
          <w:rFonts w:ascii="Times New Roman" w:hAnsi="Times New Roman" w:cs="Times New Roman"/>
          <w:color w:val="auto"/>
          <w:sz w:val="20"/>
          <w:szCs w:val="20"/>
        </w:rPr>
        <w:t xml:space="preserve">In a presentation of Melanesian thought, it is best to </w:t>
      </w:r>
      <w:r w:rsidRPr="00071CFC">
        <w:rPr>
          <w:rFonts w:ascii="Times New Roman" w:hAnsi="Times New Roman" w:cs="Times New Roman"/>
          <w:color w:val="auto"/>
          <w:spacing w:val="-3"/>
          <w:sz w:val="20"/>
          <w:szCs w:val="20"/>
        </w:rPr>
        <w:t>follow the so-called `hermeneutical' approach. This means that understanding</w:t>
      </w:r>
      <w:r w:rsidRPr="00071CFC">
        <w:rPr>
          <w:rFonts w:ascii="Times New Roman" w:hAnsi="Times New Roman" w:cs="Times New Roman"/>
          <w:color w:val="auto"/>
          <w:sz w:val="20"/>
          <w:szCs w:val="20"/>
        </w:rPr>
        <w:t xml:space="preserve"> of the central ideas that animate Melanesian philosophy and </w:t>
      </w:r>
      <w:r w:rsidRPr="00503FDD">
        <w:rPr>
          <w:rFonts w:ascii="Times New Roman" w:hAnsi="Times New Roman" w:cs="Times New Roman"/>
          <w:color w:val="auto"/>
          <w:spacing w:val="-2"/>
          <w:sz w:val="20"/>
          <w:szCs w:val="20"/>
        </w:rPr>
        <w:t>cosmology demands an understanding of the so-called Melanesian ‘cultural</w:t>
      </w:r>
      <w:r w:rsidRPr="00071CFC">
        <w:rPr>
          <w:rFonts w:ascii="Times New Roman" w:hAnsi="Times New Roman" w:cs="Times New Roman"/>
          <w:color w:val="auto"/>
          <w:sz w:val="20"/>
          <w:szCs w:val="20"/>
        </w:rPr>
        <w:t xml:space="preserve"> field</w:t>
      </w:r>
      <w:r>
        <w:rPr>
          <w:rFonts w:ascii="Times New Roman" w:hAnsi="Times New Roman" w:cs="Times New Roman"/>
          <w:color w:val="auto"/>
          <w:sz w:val="20"/>
          <w:szCs w:val="20"/>
        </w:rPr>
        <w:t>’</w:t>
      </w:r>
      <w:r w:rsidRPr="00071CFC">
        <w:rPr>
          <w:rFonts w:ascii="Times New Roman" w:hAnsi="Times New Roman" w:cs="Times New Roman"/>
          <w:color w:val="auto"/>
          <w:sz w:val="20"/>
          <w:szCs w:val="20"/>
        </w:rPr>
        <w:t xml:space="preserve">. Beginning with </w:t>
      </w:r>
      <w:r w:rsidRPr="00071CFC">
        <w:rPr>
          <w:rFonts w:ascii="Times New Roman" w:hAnsi="Times New Roman" w:cs="Times New Roman"/>
          <w:color w:val="auto"/>
          <w:sz w:val="20"/>
          <w:szCs w:val="20"/>
        </w:rPr>
        <w:lastRenderedPageBreak/>
        <w:t xml:space="preserve">Dilthey through to Habermas (1991) and recent communitarians such as  Charles Taylor (1985; 1989) and Alasdair McIntyre (1981) there has developed a strong tradition of hermeneutical analysis, which offers an understanding, which departs from the epistemic models of simple empiricism based on detached observation. According to this view, the individual subject cannot be completely understood independently of his cultural context; understanding will require a complete familiarity with the cultural tradition, including self' definition within the cosmic order.  This means understanding how the Melanesian views himself or herself in relation to the natural environment, immediate community and available resources and within the greater universe which includes both spiritual and material realities. </w:t>
      </w:r>
    </w:p>
    <w:p w14:paraId="6F768518" w14:textId="77777777" w:rsidR="009F661C" w:rsidRPr="00071CFC" w:rsidRDefault="009F661C" w:rsidP="000623E7">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 xml:space="preserve">With reference to the literature one can articulate this cultural context as follows. The Melanesian ideology recognizes society as the ultimate value through which individual satisfaction is achieved. With this recognition one observes the importance of relationships over agents. </w:t>
      </w:r>
      <w:r w:rsidRPr="00503FDD">
        <w:rPr>
          <w:rFonts w:ascii="Times New Roman" w:hAnsi="Times New Roman" w:cs="Times New Roman"/>
          <w:color w:val="auto"/>
          <w:spacing w:val="-2"/>
          <w:sz w:val="20"/>
          <w:szCs w:val="20"/>
        </w:rPr>
        <w:t>Melanesian identification with the community is intimately and inextricably</w:t>
      </w:r>
      <w:r w:rsidRPr="00071CFC">
        <w:rPr>
          <w:rFonts w:ascii="Times New Roman" w:hAnsi="Times New Roman" w:cs="Times New Roman"/>
          <w:color w:val="auto"/>
          <w:sz w:val="20"/>
          <w:szCs w:val="20"/>
        </w:rPr>
        <w:t xml:space="preserve"> connected with the parallel identification with the communal landholding.  Although, the community is central, it does not constitute the entirety of concern, the greater whole to which all social action is geared is society and the universe combined. The whole consists of living humans, ancestors, deities, plants, animals or things drawn from temporary conjunctions of different socio-cosmic combinations. In this context the Melanesian sees cyclical and not linear development in the universe and cosmological relations - things do not improve incrementally; rather phenomena are regenerated, renewed or restored in a cyclical movement. This is the motif suggested by the expressions found in the studies of anthropologists (de Coppet 1981, 1990; Iteanu 1983)  expressed in such phrases as “regeneration of total society”, “renewal through time”, “life giving death”, .”ronde des echange”’, “circulation” or “ritual system”. Finally, one needs to appreciate the transformation of and reaction of Melanesian culture and ideas in light of the encroachment of Western culture, including the introduction of Western industrial products and the cash economy initiated with the introduction of money.</w:t>
      </w:r>
    </w:p>
    <w:p w14:paraId="30DCE307" w14:textId="77777777" w:rsidR="009F661C" w:rsidRPr="002B0B2B" w:rsidRDefault="009F661C" w:rsidP="009A78B8">
      <w:pPr>
        <w:pStyle w:val="DLHeading2"/>
      </w:pPr>
      <w:r w:rsidRPr="002B0B2B">
        <w:t xml:space="preserve">A Philosophy of Renewal and Regeneration </w:t>
      </w:r>
    </w:p>
    <w:p w14:paraId="24FE6062" w14:textId="77777777" w:rsidR="009F661C" w:rsidRPr="00071CFC" w:rsidRDefault="009F661C" w:rsidP="007469AC">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 xml:space="preserve">Absent from Melanesian philosophy is the Aristotelian concern with an ultimate purpose, end or </w:t>
      </w:r>
      <w:r w:rsidRPr="00071CFC">
        <w:rPr>
          <w:rFonts w:ascii="Times New Roman" w:hAnsi="Times New Roman" w:cs="Times New Roman"/>
          <w:i/>
          <w:iCs/>
          <w:color w:val="auto"/>
          <w:sz w:val="20"/>
          <w:szCs w:val="20"/>
        </w:rPr>
        <w:t>telos,</w:t>
      </w:r>
      <w:r w:rsidRPr="00071CFC">
        <w:rPr>
          <w:rFonts w:ascii="Times New Roman" w:hAnsi="Times New Roman" w:cs="Times New Roman"/>
          <w:color w:val="auto"/>
          <w:sz w:val="20"/>
          <w:szCs w:val="20"/>
        </w:rPr>
        <w:t xml:space="preserve"> that is, that individuals, nature and society develop towards an ultimate state of completion and/or fruition. Instead of the Western preference for lineal development with its definite terminus, as </w:t>
      </w:r>
      <w:r w:rsidRPr="00071CFC">
        <w:rPr>
          <w:rFonts w:ascii="Times New Roman" w:hAnsi="Times New Roman" w:cs="Times New Roman"/>
          <w:color w:val="auto"/>
          <w:sz w:val="20"/>
          <w:szCs w:val="20"/>
        </w:rPr>
        <w:lastRenderedPageBreak/>
        <w:t xml:space="preserve">we just said, there is a preference for seeing cyclical development. According to this thinking, things and events are restored, regenerated and even repeated in recurring cycles of renewal. This attitude is most famously symbolized in the “Kula Ring” trade of the Trobriand Islands, as originally documented by Bronislav Malinowsky (1961).  The Kula Ring system of exchange and transfer, as it exists among the Trobriand Islanders off the southeast coast of Papua New Guinea, involves two kinds of articles, red shell necklaces and white shell bracelets. These articles follow a ceremonial pattern and trade route. Each type of article travels in opposite directions around a roughly described geographical ring several </w:t>
      </w:r>
      <w:r w:rsidRPr="001557F8">
        <w:rPr>
          <w:rFonts w:ascii="Times New Roman" w:hAnsi="Times New Roman" w:cs="Times New Roman"/>
          <w:color w:val="auto"/>
          <w:spacing w:val="-2"/>
          <w:sz w:val="20"/>
          <w:szCs w:val="20"/>
        </w:rPr>
        <w:t>hundred miles in circumference. The participants are permanent contractual</w:t>
      </w:r>
      <w:r w:rsidRPr="00071CFC">
        <w:rPr>
          <w:rFonts w:ascii="Times New Roman" w:hAnsi="Times New Roman" w:cs="Times New Roman"/>
          <w:color w:val="auto"/>
          <w:sz w:val="20"/>
          <w:szCs w:val="20"/>
        </w:rPr>
        <w:t xml:space="preserve"> partners who only keep each item for a relatively short time before passing it on to another partner from whom he/she receives an opposite article in exchange. The items are not producer's capital, being neither consumable, nor media of' exchange outside the ceremonial system. The ultimate purpose of these partnerships is to effect a network of relationships linking many tribes for social and possible militate purposes. Ultimately, there is no point of' completion in this form of trade, as each article continues indefinitely, endlessly returning to its place of origin along the two hundred-mile ring. Entirely absent are the usual Western rationales for commerce and trade, which have as their goals personal enrichment or consumption.  In contrast, the Kula ring trade is solely intended to renew and restore social and community- relationships, through repeating cycles of trade for items which endow no permanent title. </w:t>
      </w:r>
    </w:p>
    <w:p w14:paraId="4DC4451A" w14:textId="77777777" w:rsidR="009F661C" w:rsidRPr="00071CFC" w:rsidRDefault="009F661C" w:rsidP="009D5B8E">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Another interesting aspect of' this belief in cyclical renewal is found in the beliefs surrounding ancestral devotion and the return of the ancestors (Weiner 1976).  Melanesians believe that death is not the end of individual existence, but their concepts of the afterlife differ profoundly from more familiar Christian and Eastern views on survival after death. Unlike Christian thinking, which regards death as a terminus of earthly existence and a passage to other worldly existence, in Melanesia, the human personality does not die and leave the world to dwell elsewhere in an ontologically distinct afterlife</w:t>
      </w:r>
      <w:r w:rsidRPr="00071CFC">
        <w:rPr>
          <w:rFonts w:ascii="Times New Roman" w:hAnsi="Times New Roman" w:cs="Times New Roman"/>
          <w:b/>
          <w:bCs/>
          <w:color w:val="auto"/>
          <w:sz w:val="20"/>
          <w:szCs w:val="20"/>
        </w:rPr>
        <w:t>, (</w:t>
      </w:r>
      <w:r w:rsidRPr="00071CFC">
        <w:rPr>
          <w:rFonts w:ascii="Times New Roman" w:hAnsi="Times New Roman" w:cs="Times New Roman"/>
          <w:color w:val="auto"/>
          <w:sz w:val="20"/>
          <w:szCs w:val="20"/>
        </w:rPr>
        <w:t>such as</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Heaven or Hell). At the same time, Melanesians do not see this continuation as `return' in the sense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envisioned in the great Hindu and Buddhist</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traditions. These Eastern religions understand that the souls of humans continue or are reborn after</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the death of the body. According to the Eastern tradition we are reborn</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into different bodies, and different social and living contexts depending on past behavior and the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 xml:space="preserve">`laws of </w:t>
      </w:r>
      <w:r w:rsidRPr="00071CFC">
        <w:rPr>
          <w:rFonts w:ascii="Times New Roman" w:hAnsi="Times New Roman" w:cs="Times New Roman"/>
          <w:i/>
          <w:iCs/>
          <w:color w:val="auto"/>
          <w:sz w:val="20"/>
          <w:szCs w:val="20"/>
        </w:rPr>
        <w:t xml:space="preserve">karma'. </w:t>
      </w:r>
      <w:r w:rsidRPr="00071CFC">
        <w:rPr>
          <w:rFonts w:ascii="Times New Roman" w:hAnsi="Times New Roman" w:cs="Times New Roman"/>
          <w:color w:val="auto"/>
          <w:sz w:val="20"/>
          <w:szCs w:val="20"/>
        </w:rPr>
        <w:t>Melanesians believe quite simply that the ancestors never leave and go somewhere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else; they continue to exist as a presence in the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 xml:space="preserve">community in which they were born. They do not suffer a transformation </w:t>
      </w:r>
      <w:r w:rsidRPr="00071CFC">
        <w:rPr>
          <w:rFonts w:ascii="Times New Roman" w:hAnsi="Times New Roman" w:cs="Times New Roman"/>
          <w:color w:val="auto"/>
          <w:sz w:val="20"/>
          <w:szCs w:val="20"/>
        </w:rPr>
        <w:lastRenderedPageBreak/>
        <w:t>in social and even existential contexts. Often the dead are thought to live nearby maintaining</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a watchful presence over the affairs of the community. Usually they are regarded as continuing</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to live in definite spatial locations like nearby islands</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valleys or proximate mountains.  Many Melanesian</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 xml:space="preserve">groups continue to maintain </w:t>
      </w:r>
      <w:r w:rsidRPr="00071CFC">
        <w:rPr>
          <w:rFonts w:ascii="Times New Roman" w:hAnsi="Times New Roman" w:cs="Times New Roman"/>
          <w:b/>
          <w:bCs/>
          <w:color w:val="auto"/>
          <w:sz w:val="20"/>
          <w:szCs w:val="20"/>
        </w:rPr>
        <w:t>`</w:t>
      </w:r>
      <w:r w:rsidRPr="00071CFC">
        <w:rPr>
          <w:rFonts w:ascii="Times New Roman" w:hAnsi="Times New Roman" w:cs="Times New Roman"/>
          <w:color w:val="auto"/>
          <w:sz w:val="20"/>
          <w:szCs w:val="20"/>
        </w:rPr>
        <w:t>spirit houses’</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in which food is left to sustain the ancestors. In fact they are thought to be a recognized living presence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that</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plays an important role in the affairs of the community; and according to this understanding, members of</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the community must not exhibit behavior</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which displeases the ancestors, for they may react and bring harm upon individuals and the community. One may conclude that these beliefs have important</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ethical and ontological implications. With respect to ethics, one sees the ancestors regarded as having an important role in maintaining the customs and ethical traditions of the community through their perceived capacity to sanction</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deviant behavior.  At the same time they are ontically part of the community, because the community is believed to consist of past as well as living</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members.</w:t>
      </w:r>
    </w:p>
    <w:p w14:paraId="7D9BC471" w14:textId="77777777" w:rsidR="009F661C" w:rsidRPr="002B0B2B" w:rsidRDefault="009F661C" w:rsidP="004D6926">
      <w:pPr>
        <w:pStyle w:val="h2"/>
        <w:ind w:firstLine="0"/>
      </w:pPr>
      <w:r w:rsidRPr="002B0B2B">
        <w:t>Wantokism</w:t>
      </w:r>
    </w:p>
    <w:p w14:paraId="5BCC26A0" w14:textId="77777777" w:rsidR="009F661C" w:rsidRPr="00071CFC" w:rsidRDefault="009F661C" w:rsidP="00961776">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 xml:space="preserve">The character of Melanesian interpersonal relations is best understood through the phenomenon of `wantokism'. `Wantokism' refers to the mutual duties and responsibilities, which exist between those individuals who share the same language. `Wantok' is a Melanesian pidgin English term which refers to all those who share this language. Collectively, they are called `wantoks'. (But as in all lexical matters, this term has a shifting usage and is often applied to individuals who come from the same part of the country or neighborhood.)  Responsibilities for those within the wantok system can be extremely demanding. Wantoks are always under heavy responsibility to help other wantoks in terms of providing food, shelter and cash (Mantovani 1987).  Essentially, its strictures prescribe mutual sharing of the advantages and benefits. To deny one's wantok is a grave matter which generates social repercussions which threaten one's place or standing within the community. This brings us to the cosmic view, which supports and buttresses the wantok system of social responsibility. According to Melanesian cosmology, the individual always finds himself situated in a web of relationships. These relationships consist not only of relationships within the community, but also connections with ancestors, with other communities and with the entire environment. One must maintain the proper attitude towards all these elements including one's ancestors. Individuals are not free to execute their plans according to chosen life styles; these linkages to ancestors, communal traditions and the other sentient and in sentient creatures, which make up </w:t>
      </w:r>
      <w:r w:rsidRPr="00071CFC">
        <w:rPr>
          <w:rFonts w:ascii="Times New Roman" w:hAnsi="Times New Roman" w:cs="Times New Roman"/>
          <w:color w:val="auto"/>
          <w:sz w:val="20"/>
          <w:szCs w:val="20"/>
        </w:rPr>
        <w:lastRenderedPageBreak/>
        <w:t>the environment, circumscribe their activities. Because one must carefully observe these relationships, individuals find themselves subject to very strong restraints.</w:t>
      </w:r>
    </w:p>
    <w:p w14:paraId="41F2A077" w14:textId="77777777" w:rsidR="009F661C" w:rsidRPr="00071CFC" w:rsidRDefault="009F661C" w:rsidP="007469AC">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The principal source of constraint is, of course, the community. Community existence is central to the Melanesian, to the point that life itself is not conceivable outside one's community. A community is thought to consist not simply of a particular aggregate of individuals, but individuals in a number of specified relationships. The Melanesian understands the community in terms of these relationships and, according to this understanding; these connections are seen to carry more importance than the individuals who are so related. As</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the community is thought to be made up of these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relationships, the community and thus, life itself</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may be disrupted or threatened if these relationships are ruptured. Clearly, the community can sustain the loss of certain individuals but if the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appropriate relationships are not maintained</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the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community itself nay be destroyed and with it all</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the individual members. Thus, Melanesian cosmology expresses itself in an implicit Melanesian axiology, one which finds its basis in the idea of</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community and whose ethical implications will be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seen to impose severe restrictions on the ideas of</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autonomous and self-interested behavior.  Mantovani (1987), a cleric with extensive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experience in the Highlands of Papua New Guinea</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pointed out that in the traditional clans of the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Highlands, individuals frequently put aside their</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most personal preferences (for example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marriage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preferences) in favor of decisions which would be more advantageous to the group and the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community. Furthermore, Mantovani indicates that since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the community is the primary value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the ethical</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rules will respond to this primary value. In other</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words, what is considered bad behavior in terms of</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the individual's actions is that which hurts the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community. What does not hurt the community is</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not had despite what the Western courts may say about individual guilt. Mantovani mentions the case of some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villagers in Chimbu Province who were not much concerned about some</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petty crimes, which some younger members were committing in another village, except that those crimes might affect</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the safe travel of their own villagers who had, to pass by that village. The community thus responds</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to what the individual does as it is seen to bring harm</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upon the community. These Melanesian</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attitudes contrast somewhat  with the Western cultural</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attitudes, which have been concomitant</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with the market economy and technological advance. Western thinking for over a hundred</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years has been dominated by liberal philosophy, which holds that the function of the community and civil society is to afford the maximum expression</w:t>
      </w:r>
      <w:r w:rsidRPr="00071CFC">
        <w:rPr>
          <w:rFonts w:ascii="Times New Roman" w:hAnsi="Times New Roman" w:cs="Times New Roman"/>
          <w:b/>
          <w:bCs/>
          <w:color w:val="auto"/>
          <w:sz w:val="20"/>
          <w:szCs w:val="20"/>
        </w:rPr>
        <w:t xml:space="preserve"> </w:t>
      </w:r>
      <w:r w:rsidRPr="00071CFC">
        <w:rPr>
          <w:rFonts w:ascii="Times New Roman" w:hAnsi="Times New Roman" w:cs="Times New Roman"/>
          <w:color w:val="auto"/>
          <w:sz w:val="20"/>
          <w:szCs w:val="20"/>
        </w:rPr>
        <w:t xml:space="preserve">of individual freedom and autonomy. Liberals and libertarians from John Stuart Mill to Robert Nozick have often repeated this formula. In </w:t>
      </w:r>
      <w:r w:rsidRPr="00071CFC">
        <w:rPr>
          <w:rFonts w:ascii="Times New Roman" w:hAnsi="Times New Roman" w:cs="Times New Roman"/>
          <w:color w:val="auto"/>
          <w:sz w:val="20"/>
          <w:szCs w:val="20"/>
        </w:rPr>
        <w:lastRenderedPageBreak/>
        <w:t>traditional Melanesian society, however, the established order of the cosmos and the ultimate value of the community impos</w:t>
      </w:r>
      <w:r w:rsidRPr="00071CFC">
        <w:rPr>
          <w:rFonts w:ascii="Times New Roman" w:hAnsi="Times New Roman" w:cs="Times New Roman"/>
          <w:color w:val="auto"/>
          <w:sz w:val="20"/>
          <w:szCs w:val="20"/>
          <w:u w:val="single"/>
        </w:rPr>
        <w:t xml:space="preserve">e </w:t>
      </w:r>
      <w:r w:rsidRPr="00071CFC">
        <w:rPr>
          <w:rFonts w:ascii="Times New Roman" w:hAnsi="Times New Roman" w:cs="Times New Roman"/>
          <w:color w:val="auto"/>
          <w:sz w:val="20"/>
          <w:szCs w:val="20"/>
        </w:rPr>
        <w:t>themselves upon the individual and there is little room for individual planning which does not take account of the well being of the community.</w:t>
      </w:r>
    </w:p>
    <w:p w14:paraId="1402D4FE" w14:textId="77777777" w:rsidR="009F661C" w:rsidRPr="00071CFC" w:rsidRDefault="009F661C" w:rsidP="00C31DED">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 xml:space="preserve">Emphasis upon individualism may well have engendered certain blindness in Western under-standing of Melanesian culture. Certain anthropologists have remarked upon the impossibility of understanding indigenous Melanesian culture through the Western 'individualistic' paradigm, which pervades Western analysis. For example, anthropologist Daniel de Coppet (1981, 1990) has asserted that our modern approach to society is exceptional in that it disregards society as an ultimate value, to the benefit of a quite opposite and non-social value, the individual. He argues that as the liberal ideology values nothing beyond the individual, the continuous move towards its expanding freedom discredits society as a value and makes understanding society even more difficult. De Coppet contrasts individualistic societies, like those of the Western world with, what he calls, holistic societies like the Melanesian, societies in which the primary value is society-itself. Furthermore, the religious dimensions of Melanesian culture have worked to maintain the ontological continuity and identity of the Melanesian community. Animism and the various forms of ancestral worship we associate with traditional Melanesian life, for example, have and had a local topology which, like the land base itself, maintains the identity of communities and clans over time and given space. It is noteworthy that various forms of animism and a topology of local spirits also characterized the life of pagan pre-Christian Europe. When Christianity replaced these spiritual realities with an exclusive focus upon the one universal Summum Bonum embodied in the three persons of the Trinity, responsibilities to those spirits and gods, who traditionally maintained the well-being of the community were thereby lost. It is arguable that this only served to vitiate and undermine an original profound sense of community. </w:t>
      </w:r>
    </w:p>
    <w:p w14:paraId="4BB1CCFE" w14:textId="77777777" w:rsidR="009F661C" w:rsidRPr="00071CFC" w:rsidRDefault="009F661C" w:rsidP="00C31DED">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 xml:space="preserve">The most significant attempt to articulate formally Melanesian philosophy was made in the1980s by the leading lawyer and Papua New Guinean politician, the late Bernard Narokobi (1980), who produced a controversial work entitled </w:t>
      </w:r>
      <w:r w:rsidRPr="00071CFC">
        <w:rPr>
          <w:rFonts w:ascii="Times New Roman" w:hAnsi="Times New Roman" w:cs="Times New Roman"/>
          <w:i/>
          <w:iCs/>
          <w:color w:val="auto"/>
          <w:sz w:val="20"/>
          <w:szCs w:val="20"/>
        </w:rPr>
        <w:t xml:space="preserve">The Melanesian Way.  </w:t>
      </w:r>
      <w:r w:rsidRPr="00071CFC">
        <w:rPr>
          <w:rFonts w:ascii="Times New Roman" w:hAnsi="Times New Roman" w:cs="Times New Roman"/>
          <w:color w:val="auto"/>
          <w:sz w:val="20"/>
          <w:szCs w:val="20"/>
        </w:rPr>
        <w:t xml:space="preserve">Narokobi sought to develop the ideas of a Melanesian ethic based on cooperation and mutual support. He contrasted this perspective with the individualism of the West, and argued for the integration of customary law and Melanesian ways with the Western law and Western practices, rather than subsuming the former under the latter. However, with some truth many critics have seen Narokobi's work as simply a distillation of nostalgic yearnings, rather than </w:t>
      </w:r>
      <w:r w:rsidRPr="00071CFC">
        <w:rPr>
          <w:rFonts w:ascii="Times New Roman" w:hAnsi="Times New Roman" w:cs="Times New Roman"/>
          <w:color w:val="auto"/>
          <w:sz w:val="20"/>
          <w:szCs w:val="20"/>
        </w:rPr>
        <w:lastRenderedPageBreak/>
        <w:t>a system which successfully integrates the modern Western social and philosophical ideas within the ideological traditions of Melanesia.</w:t>
      </w:r>
    </w:p>
    <w:p w14:paraId="7F12195E" w14:textId="77777777" w:rsidR="009F661C" w:rsidRPr="002B0B2B" w:rsidRDefault="009F661C" w:rsidP="004D6926">
      <w:pPr>
        <w:pStyle w:val="h2"/>
        <w:ind w:firstLine="0"/>
      </w:pPr>
      <w:r w:rsidRPr="002B0B2B">
        <w:t>Cargo Cults</w:t>
      </w:r>
    </w:p>
    <w:p w14:paraId="746416F8" w14:textId="77777777" w:rsidR="009F661C" w:rsidRPr="00071CFC" w:rsidRDefault="009F661C" w:rsidP="00961776">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 xml:space="preserve">Modern property issues in Papua New Guinea cannot be entirely understood without some reference to Melanesian “cargo cults”.  The `cargo cults' represented a singular response of the Melanesians to the arrival of the `white man' and the products of his advanced technology. It is worthwhile to examine the beliefs and ideas which animated these movements in order to gain an insight into the shifting changes in contemporary Melanesian approaches to development and property. An important component of cargo cult thinking was the belief that the modern products and the cargo, which the `white man' possessed, had been sent by the ancestors, and intended for the indigenous people. The majority of these cults believed either that cargo had been intercepted and taken by the white man or that indeed the white men were in fact the returning ancestors bringing gifts, intended for the indigenous Melanesians. Because the white man continued to hold and control these products the preponderant view was that the white man had prevented the Melanesians from receiving their gifts. </w:t>
      </w:r>
    </w:p>
    <w:p w14:paraId="3ED2109E" w14:textId="77777777" w:rsidR="009F661C" w:rsidRPr="00071CFC" w:rsidRDefault="009F661C" w:rsidP="00961776">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These cults were highly ritualistic.  P.M. Worsley (1975) summarized these events in the following terms. First, there was the adoption of new rituals - based on the behavior of the whites - aimed at the control and acquisition of these modern goods and gadgets. Indigenous people came to regard the behavior of the whites as ritual behavior with a magical connection to the arrival of the desired cargo. Hence the Melanesians imitated the behavior of the whites, dressing in western clothing, scribbling notations on hits of paper and passing them around. Second, there was a desertion of traditional ways and laboring activities in expectation of the arrival of the desired cargo. Associated with the latter were millenarian views, which carried expectations of the birth of a new age of peace and prosperity. But ultimately, the desired cargo never arrived, and the cultists reasoned that they had yet to master the rituals properly.</w:t>
      </w:r>
    </w:p>
    <w:p w14:paraId="1BD4663A" w14:textId="77777777" w:rsidR="009F661C" w:rsidRPr="00071CFC" w:rsidRDefault="009F661C" w:rsidP="00BB5E5F">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 xml:space="preserve">Among the movements best known to students of Melanesia are the “Taro Cults” of New Guinea, the “Vailala Madness” of Papua, the “Naked Cult” of Espiritu Santo, the “John From Movement” of the New Hebrides (Vanuatu) and the “Tuka Cult” of Fiji. What is important about this phenomenon, in terms of contemporary political-social reality, is that these cults produced a new type of leadership, one whose prominent figures claimed charismatic magical powers which promised a healthy share of the white man's `cargo' for the leader and his followers. Hans Martin-Schoell, </w:t>
      </w:r>
      <w:r w:rsidRPr="00071CFC">
        <w:rPr>
          <w:rFonts w:ascii="Times New Roman" w:hAnsi="Times New Roman" w:cs="Times New Roman"/>
          <w:color w:val="auto"/>
          <w:sz w:val="20"/>
          <w:szCs w:val="20"/>
        </w:rPr>
        <w:lastRenderedPageBreak/>
        <w:t xml:space="preserve">writing in the Papua New Guinea </w:t>
      </w:r>
      <w:r w:rsidRPr="00071CFC">
        <w:rPr>
          <w:rFonts w:ascii="Times New Roman" w:hAnsi="Times New Roman" w:cs="Times New Roman"/>
          <w:i/>
          <w:iCs/>
          <w:color w:val="auto"/>
          <w:sz w:val="20"/>
          <w:szCs w:val="20"/>
        </w:rPr>
        <w:t xml:space="preserve">Independent </w:t>
      </w:r>
      <w:r w:rsidRPr="00071CFC">
        <w:rPr>
          <w:rFonts w:ascii="Times New Roman" w:hAnsi="Times New Roman" w:cs="Times New Roman"/>
          <w:color w:val="auto"/>
          <w:sz w:val="20"/>
          <w:szCs w:val="20"/>
        </w:rPr>
        <w:t>(23 October 1998), notes that many of the first Papua New Guinean parliamentarians came from cargo cults or were even their leaders.(Papua New Guinea became independent in 1975.)The implication to be drawn is that the leadership of these first parliamentarians was built upon a perception that these individuals possessed special abilities to acquire vast amounts of cargo and distribute it to their followers. For example, Francis Koimanrea, the former Governor of East New Britain Province of Papua New Guinea,  was a former cargo cult leader for many years, who later turned his followers to commercial enterprise and subsequently built his own political career from the same following and thereby rose to be a powerful figure in national politics.</w:t>
      </w:r>
    </w:p>
    <w:p w14:paraId="3E6276F8" w14:textId="77777777" w:rsidR="009F661C" w:rsidRPr="002B0B2B" w:rsidRDefault="009F661C" w:rsidP="004D6926">
      <w:pPr>
        <w:pStyle w:val="h2"/>
        <w:ind w:firstLine="0"/>
      </w:pPr>
      <w:r w:rsidRPr="002B0B2B">
        <w:t xml:space="preserve">Cargo Cult Thinking in the Late Twentieth </w:t>
      </w:r>
      <w:r w:rsidRPr="002B0B2B">
        <w:br/>
        <w:t>and Twenty First Century</w:t>
      </w:r>
    </w:p>
    <w:p w14:paraId="627ACEE6" w14:textId="77777777" w:rsidR="009F661C" w:rsidRPr="00071CFC" w:rsidRDefault="009F661C" w:rsidP="00961776">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 xml:space="preserve">In the nineteen nineties the cargo cult mentality re-emerged in the so pyramid schemes that swept through Papua New Guinea. Prominent among these schemes were the so called “money rain” and “U-Vistract” schemes. Money rain by its very name conveys the striking image evocative of the cargo cult mentality as money and wealth are seen as descending from the heavens, rather than monetary representatives of the mundane end products of human labor and productivity. In fact money rain was linked with Pentecostal groups, such as the Assembly of God, that promoted the religious belief that increased returns were rewards from God. An associated idea held that the link between prosperity and religious belief would result in the transfer of wealth from the non-religious to the religious. As is widely known, the success of a pyramid scheme is based on a strategy whereby early contributors receive inflated returns drawn from the funds of the later contributors. It is simply a zero sum game which redistributes wealth. The issue is always how to explain the losses to the later contributors. Here religious belief enters the stage as </w:t>
      </w:r>
      <w:r w:rsidRPr="00071CFC">
        <w:rPr>
          <w:rFonts w:ascii="Times New Roman" w:hAnsi="Times New Roman" w:cs="Times New Roman"/>
          <w:i/>
          <w:iCs/>
          <w:color w:val="auto"/>
          <w:sz w:val="20"/>
          <w:szCs w:val="20"/>
        </w:rPr>
        <w:t>deus ex machina</w:t>
      </w:r>
      <w:r w:rsidRPr="00071CFC">
        <w:rPr>
          <w:rFonts w:ascii="Times New Roman" w:hAnsi="Times New Roman" w:cs="Times New Roman"/>
          <w:color w:val="auto"/>
          <w:sz w:val="20"/>
          <w:szCs w:val="20"/>
        </w:rPr>
        <w:t xml:space="preserve">; those who do not profit or do not even get their money back are religiously unworthy. </w:t>
      </w:r>
    </w:p>
    <w:p w14:paraId="1C604059" w14:textId="77777777" w:rsidR="009F661C" w:rsidRPr="00071CFC" w:rsidRDefault="009F661C" w:rsidP="00BB5E5F">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Pyramid schemes also became interlinked with political movements and alternative governance.  Noah Musingku, the creator of U-Vistract, a pyramid scheme, was originally based in Papua New Guinea’s capital Port Moresby. U-Vistract became inoperative in the late 1990s. In 2002, Noah Musingku went to Bougainville seeking Francis Ona's protection to evade police arrest and threats from unpaid investors (Janes 2008).</w:t>
      </w:r>
      <w:r w:rsidRPr="00071CFC">
        <w:rPr>
          <w:rStyle w:val="EndnoteReference"/>
          <w:color w:val="auto"/>
          <w:sz w:val="20"/>
          <w:szCs w:val="20"/>
        </w:rPr>
        <w:t xml:space="preserve"> </w:t>
      </w:r>
    </w:p>
    <w:p w14:paraId="3391544C" w14:textId="77777777" w:rsidR="009F661C" w:rsidRPr="00071CFC" w:rsidRDefault="009F661C" w:rsidP="00961776">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 xml:space="preserve">Ona had headed the Bougainville Revolutionary Army, which fought the Papua New Guinea government between 1988 and 1999 and ran Radio Free </w:t>
      </w:r>
      <w:r w:rsidRPr="00071CFC">
        <w:rPr>
          <w:rFonts w:ascii="Times New Roman" w:hAnsi="Times New Roman" w:cs="Times New Roman"/>
          <w:color w:val="auto"/>
          <w:sz w:val="20"/>
          <w:szCs w:val="20"/>
        </w:rPr>
        <w:lastRenderedPageBreak/>
        <w:t xml:space="preserve">Bougainville. In 2002 the Papua New Guinean Government and </w:t>
      </w:r>
      <w:r w:rsidRPr="001557F8">
        <w:rPr>
          <w:rFonts w:ascii="Times New Roman" w:hAnsi="Times New Roman" w:cs="Times New Roman"/>
          <w:color w:val="auto"/>
          <w:spacing w:val="-2"/>
          <w:sz w:val="20"/>
          <w:szCs w:val="20"/>
        </w:rPr>
        <w:t>breakaway province of Bougainville managed to reconcile their differences</w:t>
      </w:r>
      <w:r w:rsidRPr="00071CFC">
        <w:rPr>
          <w:rFonts w:ascii="Times New Roman" w:hAnsi="Times New Roman" w:cs="Times New Roman"/>
          <w:color w:val="auto"/>
          <w:sz w:val="20"/>
          <w:szCs w:val="20"/>
        </w:rPr>
        <w:t xml:space="preserve"> through the Bougainville Peace Accord and the creation of the Autonomous Government of Bougainville (AGB). In the same year Musingku was instrumental in setting up the (self-declared) Republic of Mekamui, with Ona crowned as the king.  Mekamui is the indigenous name for Bougainville and means "Holy Land.".The Government of Mekamui was set up as an alternative and rival to the AGB. During this period Musingku continued to operate his U-Vistract scheme and many Bougainvilleans contributed and lost money.  It is alleged that 1 million US dollars were lost or unaccounted for in the various transactions involving U-Vistract on Bougainville.  After a disagreement with Ona in </w:t>
      </w:r>
      <w:r w:rsidRPr="001557F8">
        <w:rPr>
          <w:rFonts w:ascii="Times New Roman" w:hAnsi="Times New Roman" w:cs="Times New Roman"/>
          <w:color w:val="auto"/>
          <w:spacing w:val="-2"/>
          <w:sz w:val="20"/>
          <w:szCs w:val="20"/>
        </w:rPr>
        <w:t>late 2004, Musingku established himself in Tonu in southwest Bougainville,</w:t>
      </w:r>
      <w:r w:rsidRPr="00071CFC">
        <w:rPr>
          <w:rFonts w:ascii="Times New Roman" w:hAnsi="Times New Roman" w:cs="Times New Roman"/>
          <w:color w:val="auto"/>
          <w:sz w:val="20"/>
          <w:szCs w:val="20"/>
        </w:rPr>
        <w:t xml:space="preserve"> and encouraged armed Mekamui Defense Force (MDF) rebels from various parts of Bougainville to provide security for him. From late 2005, 10 former soldiers from Fiji joined him, providing basic military and security training to young males in the area around Tonu, which sparked fears of a possible coup against the AGB. Insecurity increased in south and southwest Bougainville as armed rebels supporting Musingku reportedly became involved in robberies and mounted roadblocks imposing levies on motor vehicles.</w:t>
      </w:r>
    </w:p>
    <w:p w14:paraId="695BC9C3" w14:textId="77777777" w:rsidR="009F661C" w:rsidRPr="00071CFC" w:rsidRDefault="009F661C" w:rsidP="00961776">
      <w:pPr>
        <w:pStyle w:val="Default"/>
        <w:ind w:firstLine="284"/>
        <w:jc w:val="both"/>
        <w:rPr>
          <w:rFonts w:ascii="Times New Roman" w:hAnsi="Times New Roman" w:cs="Times New Roman"/>
          <w:color w:val="auto"/>
          <w:sz w:val="20"/>
          <w:szCs w:val="20"/>
        </w:rPr>
      </w:pPr>
      <w:r w:rsidRPr="00071CFC">
        <w:rPr>
          <w:rFonts w:ascii="Times New Roman" w:hAnsi="Times New Roman" w:cs="Times New Roman"/>
          <w:color w:val="auto"/>
          <w:sz w:val="20"/>
          <w:szCs w:val="20"/>
        </w:rPr>
        <w:t>It has been asserted that pyramid schemes are not part of the cargo cult mentality but represent alternative economies and forms of governance with a basis in Christian religious movements (Bainton, Cox and Regan 2008).  However it is significant that one of the older Bougainville ladies stood up at a conference at the Australian National University on the subject of Mekamui and demanded to know where the millions subscribed to U-Vistract had gone.</w:t>
      </w:r>
      <w:r w:rsidRPr="00071CFC">
        <w:rPr>
          <w:rStyle w:val="FootnoteReference"/>
          <w:color w:val="auto"/>
          <w:sz w:val="20"/>
          <w:szCs w:val="20"/>
        </w:rPr>
        <w:footnoteReference w:id="1"/>
      </w:r>
      <w:r w:rsidRPr="00071CFC">
        <w:rPr>
          <w:rFonts w:ascii="Times New Roman" w:hAnsi="Times New Roman" w:cs="Times New Roman"/>
          <w:color w:val="auto"/>
          <w:sz w:val="20"/>
          <w:szCs w:val="20"/>
        </w:rPr>
        <w:t xml:space="preserve">  She unequivocally stated that the money had been sent by the ancestors to the Bougainville people and demanded an explanation as to where it was now.  </w:t>
      </w:r>
    </w:p>
    <w:p w14:paraId="01583C19" w14:textId="77777777" w:rsidR="009F661C" w:rsidRPr="002B0B2B" w:rsidRDefault="009F661C" w:rsidP="004D6926">
      <w:pPr>
        <w:pStyle w:val="h2"/>
        <w:ind w:firstLine="0"/>
      </w:pPr>
      <w:r w:rsidRPr="002B0B2B">
        <w:t>A Contrasting Libertarian Perspective</w:t>
      </w:r>
    </w:p>
    <w:p w14:paraId="31064108" w14:textId="77777777" w:rsidR="009F661C" w:rsidRPr="00071CFC" w:rsidRDefault="009F661C" w:rsidP="00961776">
      <w:pPr>
        <w:ind w:firstLine="284"/>
        <w:jc w:val="both"/>
        <w:rPr>
          <w:sz w:val="20"/>
          <w:szCs w:val="20"/>
        </w:rPr>
      </w:pPr>
      <w:r w:rsidRPr="00071CFC">
        <w:rPr>
          <w:sz w:val="20"/>
          <w:szCs w:val="20"/>
        </w:rPr>
        <w:t xml:space="preserve">In 1974 Robert Nozick published his hugely influential book </w:t>
      </w:r>
      <w:r w:rsidRPr="00071CFC">
        <w:rPr>
          <w:i/>
          <w:iCs/>
          <w:sz w:val="20"/>
          <w:szCs w:val="20"/>
        </w:rPr>
        <w:t>Anarchy, State and Utopia.</w:t>
      </w:r>
      <w:r w:rsidRPr="00071CFC">
        <w:rPr>
          <w:sz w:val="20"/>
          <w:szCs w:val="20"/>
        </w:rPr>
        <w:t xml:space="preserve"> In it he defends the somewhat extreme libertarian and individualistic view of property entitlements. He ridiculed the welfarist approach stating that such views would appear to regard personal property as though it has descended as manna from skies. Nozick’s (1974) point is </w:t>
      </w:r>
      <w:r w:rsidRPr="00071CFC">
        <w:rPr>
          <w:sz w:val="20"/>
          <w:szCs w:val="20"/>
        </w:rPr>
        <w:lastRenderedPageBreak/>
        <w:t>that the multifarious phenomena to which we attach property rights don’t descend unclaimed from the sky awaiting the imposition of some distributive system. These phenomena come into the world with rights already attached. Welfarist theories, he claims, deny historical realities through programs of re-distribution that ignore historical entitlements based either on just principles of original acquisition or free and just transfers of owned holdings.  However, Melanesian theories of entitlement succeed in both regarding property and wealth as manna descending from the skies, literally from airplanes (</w:t>
      </w:r>
      <w:r w:rsidRPr="00071CFC">
        <w:rPr>
          <w:i/>
          <w:iCs/>
          <w:sz w:val="20"/>
          <w:szCs w:val="20"/>
        </w:rPr>
        <w:t>balus</w:t>
      </w:r>
      <w:r w:rsidRPr="00071CFC">
        <w:rPr>
          <w:sz w:val="20"/>
          <w:szCs w:val="20"/>
        </w:rPr>
        <w:t xml:space="preserve">),  but descending with rights already attached as this property has been sent from the ancestors through free transfer to their rightful recipients the Melanesian people. Unfortunately the smooth passage to the rightful beneficiaries has been interrupted by a race of interlopers, the white men who have wrongfully taken possession. </w:t>
      </w:r>
    </w:p>
    <w:p w14:paraId="57F9A15A" w14:textId="77777777" w:rsidR="009F661C" w:rsidRPr="00071CFC" w:rsidRDefault="009F661C" w:rsidP="00961776">
      <w:pPr>
        <w:ind w:firstLine="284"/>
        <w:jc w:val="both"/>
        <w:rPr>
          <w:sz w:val="20"/>
          <w:szCs w:val="20"/>
        </w:rPr>
      </w:pPr>
      <w:r w:rsidRPr="00071CFC">
        <w:rPr>
          <w:sz w:val="20"/>
          <w:szCs w:val="20"/>
        </w:rPr>
        <w:t xml:space="preserve">Nozick’s vision in some respects projects the understanding of the </w:t>
      </w:r>
      <w:r w:rsidRPr="00EE562B">
        <w:rPr>
          <w:spacing w:val="-2"/>
          <w:sz w:val="20"/>
          <w:szCs w:val="20"/>
        </w:rPr>
        <w:t>capitalist market economy - the material world of living human productivity</w:t>
      </w:r>
      <w:r w:rsidRPr="00071CFC">
        <w:rPr>
          <w:sz w:val="20"/>
          <w:szCs w:val="20"/>
        </w:rPr>
        <w:t xml:space="preserve"> through which human products (cargo) are originally created and acquired and subsequently transferred on the free market with consequences that result in the enrichment of some and ineluctably the relative deprivation of others. Although Nozick avoids the claim that this distribution is based on merit, his examples appear to indicate that maintaining a system of unimpeded free transfers inevitably rewards the talented. Although in reality we know forced transfers and acquisition of land and real estate by occupation and conquest has and does frequently occur, but in many respects Westerners appear to view this as exceptional, preferring to see Nozick’s model as a flawed but largely representative picture of the reality. The success of Nozick’s book, </w:t>
      </w:r>
      <w:r w:rsidRPr="00071CFC">
        <w:rPr>
          <w:i/>
          <w:iCs/>
          <w:sz w:val="20"/>
          <w:szCs w:val="20"/>
        </w:rPr>
        <w:t>Anarchy State, and Utopia,</w:t>
      </w:r>
      <w:r w:rsidRPr="00071CFC">
        <w:rPr>
          <w:sz w:val="20"/>
          <w:szCs w:val="20"/>
        </w:rPr>
        <w:t xml:space="preserve">  can perhaps be attributed to the fact that it does provide a moral defence of the inequalities in wealth distribution that are the inevitable consequences of the capitalist system.</w:t>
      </w:r>
    </w:p>
    <w:p w14:paraId="1EAFF00C" w14:textId="77777777" w:rsidR="009F661C" w:rsidRPr="00071CFC" w:rsidRDefault="009F661C" w:rsidP="00961776">
      <w:pPr>
        <w:ind w:firstLine="284"/>
        <w:jc w:val="both"/>
        <w:rPr>
          <w:sz w:val="20"/>
          <w:szCs w:val="20"/>
        </w:rPr>
      </w:pPr>
      <w:r w:rsidRPr="00071CFC">
        <w:rPr>
          <w:sz w:val="20"/>
          <w:szCs w:val="20"/>
        </w:rPr>
        <w:t xml:space="preserve">But ultimately one might ask oneself which explanation of differences in distribution is the more convincing. Is wealth distribution and inequality better explained by acts of individual free choice between living individuals, which reward the talented or by gifts sent from the ancestors that mostly fail to reach their intended recipients?  To some extend the distribution of wealth remains somewhat of a mystery? .Nozick’s description of the market and individual entitlement is disarmingly simple – goods are originally acquired through some assumed productive activity (although Nozick remained coy about the exact principles involved) and then are freely exchanged with other individuals. For example, I craft an ornate chair which I now own and trade with you for a sack of apples. But in capitalist society much intervenes between the act of production and the act of transfer. In the world of capital, </w:t>
      </w:r>
      <w:r w:rsidRPr="00071CFC">
        <w:rPr>
          <w:sz w:val="20"/>
          <w:szCs w:val="20"/>
        </w:rPr>
        <w:lastRenderedPageBreak/>
        <w:t xml:space="preserve">money changes everything. Aside from the production and exchange market of tangible items, there is also the mysterious and arcane world of the money market, which includes </w:t>
      </w:r>
      <w:r w:rsidRPr="00EE562B">
        <w:rPr>
          <w:spacing w:val="-2"/>
          <w:sz w:val="20"/>
          <w:szCs w:val="20"/>
        </w:rPr>
        <w:t>collateralized and non collateralized loans, chattel and real estate mortgages</w:t>
      </w:r>
      <w:r w:rsidRPr="00071CFC">
        <w:rPr>
          <w:sz w:val="20"/>
          <w:szCs w:val="20"/>
        </w:rPr>
        <w:t xml:space="preserve">, securities and bonds not to mention “collateralized debt obligations" and "credit default swaps" etc.  with their attendant markets including the currency market itself.   With these different layers of complexity and despite the science of economics we still cannot entirely explain why certain individuals and even classes of individuals possess wealth while other individuals and classes appear to be irredeemably impoverished. </w:t>
      </w:r>
    </w:p>
    <w:p w14:paraId="5E98BF32" w14:textId="77777777" w:rsidR="009F661C" w:rsidRPr="00071CFC" w:rsidRDefault="009F661C" w:rsidP="00477130">
      <w:pPr>
        <w:ind w:firstLine="284"/>
        <w:jc w:val="both"/>
        <w:rPr>
          <w:sz w:val="20"/>
          <w:szCs w:val="20"/>
        </w:rPr>
      </w:pPr>
      <w:r w:rsidRPr="00071CFC">
        <w:rPr>
          <w:sz w:val="20"/>
          <w:szCs w:val="20"/>
        </w:rPr>
        <w:t xml:space="preserve">Although economists have sought to base the generation and transfer of wealth on models of rational behaviour, much of the human race apparently continues to believe that generating wealth and money involves some elusive magic or virtual alchemy. We may well regard as comical the idea of indigenous Melanesians dressing as Australians and passing around bits of paper hoping this will stimulate the arrival of great wealth.  On the other hand, is this so profoundly different from the behaviour of highly paid American financiers and bankers who printed imaginary sums on pieces of paper and passed them around with the hope of generating great wealth?  As we now know from the credit crisis of 2008 the values placed on securities backed by sub prime mortgages were largely works of the imagination. The rituals were followed, pieces of paper were passed around, but instead of great wealth arriving,  the system imploded, and as in some great pyramid scheme those at the end of the chain of transactions found themselves holding worthless pieces of paper (or computer print outs) inscribed with extraordinary  promises for imaginary sums of money.  The people involved were not uneducated Melanesians with little understanding of market fundamentals, they were highly trained individuals who had read Adam Smith, John Maynard Keynes and Milton Friedman. But in the end they succumbed to the idea of magic, the so called magic of the market that would transform dross into gold simply by the act of writing numbers on pieces of paper and properly following the rituals of trade and exchange. </w:t>
      </w:r>
    </w:p>
    <w:p w14:paraId="24EBBBE7" w14:textId="77777777" w:rsidR="009F661C" w:rsidRPr="00071CFC" w:rsidRDefault="009F661C" w:rsidP="00961776">
      <w:pPr>
        <w:ind w:firstLine="284"/>
        <w:jc w:val="both"/>
        <w:rPr>
          <w:sz w:val="20"/>
          <w:szCs w:val="20"/>
        </w:rPr>
      </w:pPr>
      <w:r w:rsidRPr="00071CFC">
        <w:rPr>
          <w:sz w:val="20"/>
          <w:szCs w:val="20"/>
        </w:rPr>
        <w:t xml:space="preserve">Ultimately John Rawls (1971), whose idea of justice was rejected by Nozick, may have been right, that is, possession of wealth, based on inheritance, talent, favourable genetic makeup is all merely inscribed in the great  lottery of chance and there are no principles of justice or fairness that can be used to defend the distribution. The Nozickan tries to explain wealth distribution through principles of justice while the Melanesian sees injustice but ultimately Rawls may have had the most realistic view.   But leaving aside issues of justice and injustice one can certainly argue that there exist factors that allow populations to gain and even lose wealth, although the </w:t>
      </w:r>
      <w:r w:rsidRPr="00071CFC">
        <w:rPr>
          <w:sz w:val="20"/>
          <w:szCs w:val="20"/>
        </w:rPr>
        <w:lastRenderedPageBreak/>
        <w:t>distribution of individual wealth within a given population may not be susceptible to predictive laws. .</w:t>
      </w:r>
    </w:p>
    <w:p w14:paraId="0294657D" w14:textId="77777777" w:rsidR="009F661C" w:rsidRPr="00071CFC" w:rsidRDefault="009F661C" w:rsidP="0033733D">
      <w:pPr>
        <w:ind w:firstLine="284"/>
        <w:jc w:val="both"/>
        <w:rPr>
          <w:sz w:val="20"/>
          <w:szCs w:val="20"/>
        </w:rPr>
      </w:pPr>
      <w:r w:rsidRPr="00071CFC">
        <w:rPr>
          <w:sz w:val="20"/>
          <w:szCs w:val="20"/>
        </w:rPr>
        <w:t xml:space="preserve">This work therefore seeks to get back to basics, which means the actual generation of wealth through the productivity of usable items and market efficiency rather than productivity grounded in, for example,  the exchange and sale of financial instruments. In other words we are not particularly interested in the possibilities of wealth generation based either on the wizardry of financiers or the magical largesse of the ancestors. In Papua New Guinea with its still relatively sparse population the principal </w:t>
      </w:r>
      <w:r w:rsidRPr="00EE562B">
        <w:rPr>
          <w:spacing w:val="-2"/>
          <w:sz w:val="20"/>
          <w:szCs w:val="20"/>
        </w:rPr>
        <w:t>resource is land.  For millennia before first contact Melanesians maintained</w:t>
      </w:r>
      <w:r w:rsidRPr="00071CFC">
        <w:rPr>
          <w:sz w:val="20"/>
          <w:szCs w:val="20"/>
        </w:rPr>
        <w:t xml:space="preserve"> traditions involving rights and the management of land.  However in the twenty first century Papua New Guinea has assumed the legal and political system of a modern Western state. The inherited legal system claims to give effect to customary traditions. The following work is devoted to the subject of property rights and it focuses on customary land tenure issues in Papua New Guinea and the legislation that allegedly supports such traditions.  We consider whether current conditions with respect to land tenure and property actually promote the necessary productivity and development that enhance the generation of material wealth and higher levels of welfare. We have discussed the Melanesian cargo cults and their views on the generation and distribution of property and wealth, views, which are fundamentally different from those of Western capitalist society. The Melanesian view, as we have seen, includes a uniquely spiritual approach to materialism and the acquisition of wealth – a spiritualism, which can involve both relations with the ancestors and Christian Pentecostal views.   Western capitalist economies, if properly managed, and despite obvious flaws, have been economically successful.</w:t>
      </w:r>
    </w:p>
    <w:p w14:paraId="1206145A" w14:textId="77777777" w:rsidR="009F661C" w:rsidRPr="00071CFC" w:rsidRDefault="009F661C" w:rsidP="00477130">
      <w:pPr>
        <w:ind w:firstLine="284"/>
        <w:jc w:val="both"/>
        <w:rPr>
          <w:sz w:val="20"/>
          <w:szCs w:val="20"/>
        </w:rPr>
      </w:pPr>
      <w:r w:rsidRPr="00071CFC">
        <w:rPr>
          <w:sz w:val="20"/>
          <w:szCs w:val="20"/>
        </w:rPr>
        <w:t>As we will see in the following chapters, Papua New Guinea has attempted to modernize by allegedly still maintaining customary forms of social interaction, including the traditional relations to property and land tenure.  We will attempt to determine if these ownership structures really embody traditional customary practice and moreover question whether these structures are designed to generate the desired wealth.  Indeed as we will point out, there is a cargo cult mentality with respect to land and land tenure that refuses to criticize the atavistic belief that land must be owned and managed communally.  At the same time there is continual demand that land be mobilized and structures be reformed, but frequently with the rider that this must be done through traditional ways.   In the following chapter we tackle the fundamental issues as to whether traditional forms of land tenure were really communal rather than individual.</w:t>
      </w:r>
    </w:p>
    <w:p w14:paraId="0E476D0F" w14:textId="77777777" w:rsidR="009F661C" w:rsidRPr="002B0B2B" w:rsidRDefault="009F661C" w:rsidP="00EE562B">
      <w:pPr>
        <w:pStyle w:val="h2"/>
        <w:ind w:firstLine="0"/>
      </w:pPr>
      <w:r w:rsidRPr="002B0B2B">
        <w:lastRenderedPageBreak/>
        <w:t>Conclusion</w:t>
      </w:r>
    </w:p>
    <w:p w14:paraId="652F90F1" w14:textId="77777777" w:rsidR="009F661C" w:rsidRPr="00071CFC" w:rsidRDefault="009F661C" w:rsidP="00B719B6">
      <w:pPr>
        <w:pStyle w:val="DLText"/>
      </w:pPr>
      <w:r w:rsidRPr="00071CFC">
        <w:t xml:space="preserve">This first chapter has offered  a historical perspective concentrating on the sociological, religious and philosophical background from which Melanesian culture has developed from pre-contact through to its contemporary engagement with Western civilization.  In this chapter we explored the traditional Melanesian religious and philosophical approach to the cosmos, human mortality, community, land, and the products of industrialization. Accordingly we discussed a philosophy of cyclical </w:t>
      </w:r>
      <w:r w:rsidRPr="00EE562B">
        <w:rPr>
          <w:spacing w:val="-2"/>
        </w:rPr>
        <w:t>development and regeneration, an axiology based on community obligations</w:t>
      </w:r>
      <w:r w:rsidRPr="00071CFC">
        <w:t xml:space="preserve"> and relationships with ancestors, including traditional attachments to the community land base, and the cargo cult mentality that has coloured interactions with both modern capitalism and Western religious belief.</w:t>
      </w:r>
    </w:p>
    <w:p w14:paraId="6CD86C1A" w14:textId="77777777" w:rsidR="009F661C" w:rsidRPr="00071CFC" w:rsidRDefault="009F661C" w:rsidP="00B719B6">
      <w:pPr>
        <w:pStyle w:val="DLText"/>
      </w:pPr>
    </w:p>
    <w:p w14:paraId="45B819A1" w14:textId="77777777" w:rsidR="009F661C" w:rsidRPr="00071CFC" w:rsidRDefault="009F661C" w:rsidP="00B719B6">
      <w:pPr>
        <w:pStyle w:val="DLText"/>
        <w:rPr>
          <w:b/>
          <w:bCs/>
        </w:rPr>
      </w:pPr>
    </w:p>
    <w:p w14:paraId="42BC1CD1" w14:textId="77777777" w:rsidR="009F661C" w:rsidRPr="00071CFC" w:rsidRDefault="009F661C" w:rsidP="00B719B6">
      <w:pPr>
        <w:pStyle w:val="DLText"/>
        <w:rPr>
          <w:b/>
          <w:bCs/>
        </w:rPr>
      </w:pPr>
    </w:p>
    <w:p w14:paraId="45AA43E9" w14:textId="77777777" w:rsidR="009F661C" w:rsidRPr="00071CFC" w:rsidRDefault="009F661C" w:rsidP="00C877CB">
      <w:pPr>
        <w:jc w:val="both"/>
        <w:rPr>
          <w:b/>
          <w:bCs/>
          <w:sz w:val="20"/>
          <w:szCs w:val="20"/>
        </w:rPr>
      </w:pPr>
    </w:p>
    <w:p w14:paraId="2FFC0E26" w14:textId="77777777" w:rsidR="009F661C" w:rsidRPr="00071CFC" w:rsidRDefault="009F661C" w:rsidP="00380955">
      <w:pPr>
        <w:jc w:val="both"/>
        <w:rPr>
          <w:b/>
          <w:bCs/>
          <w:sz w:val="20"/>
          <w:szCs w:val="20"/>
        </w:rPr>
      </w:pPr>
    </w:p>
    <w:p w14:paraId="73B78CBC" w14:textId="77777777" w:rsidR="009F661C" w:rsidRPr="00071CFC" w:rsidRDefault="009F661C" w:rsidP="00380955">
      <w:pPr>
        <w:jc w:val="both"/>
        <w:rPr>
          <w:b/>
          <w:bCs/>
          <w:sz w:val="20"/>
          <w:szCs w:val="20"/>
        </w:rPr>
      </w:pPr>
    </w:p>
    <w:p w14:paraId="639F0CB1" w14:textId="77777777" w:rsidR="009F661C" w:rsidRPr="00071CFC" w:rsidRDefault="009F661C" w:rsidP="00380955">
      <w:pPr>
        <w:jc w:val="both"/>
        <w:rPr>
          <w:b/>
          <w:bCs/>
          <w:sz w:val="20"/>
          <w:szCs w:val="20"/>
        </w:rPr>
      </w:pPr>
    </w:p>
    <w:p w14:paraId="67B6E101" w14:textId="77777777" w:rsidR="009F661C" w:rsidRPr="00071CFC" w:rsidRDefault="009F661C" w:rsidP="00380955">
      <w:pPr>
        <w:jc w:val="both"/>
        <w:rPr>
          <w:b/>
          <w:bCs/>
          <w:sz w:val="20"/>
          <w:szCs w:val="20"/>
        </w:rPr>
      </w:pPr>
    </w:p>
    <w:p w14:paraId="6DE2C31F" w14:textId="77777777" w:rsidR="009F661C" w:rsidRPr="00071CFC" w:rsidRDefault="009F661C" w:rsidP="00380955">
      <w:pPr>
        <w:jc w:val="both"/>
        <w:rPr>
          <w:b/>
          <w:bCs/>
          <w:sz w:val="20"/>
          <w:szCs w:val="20"/>
        </w:rPr>
      </w:pPr>
    </w:p>
    <w:p w14:paraId="2F645B59" w14:textId="77777777" w:rsidR="009F661C" w:rsidRPr="00071CFC" w:rsidRDefault="009F661C" w:rsidP="00380955">
      <w:pPr>
        <w:jc w:val="both"/>
        <w:rPr>
          <w:b/>
          <w:bCs/>
          <w:sz w:val="20"/>
          <w:szCs w:val="20"/>
        </w:rPr>
      </w:pPr>
    </w:p>
    <w:p w14:paraId="38112C24" w14:textId="77777777" w:rsidR="009F661C" w:rsidRPr="00071CFC" w:rsidRDefault="009F661C" w:rsidP="00380955">
      <w:pPr>
        <w:jc w:val="both"/>
        <w:rPr>
          <w:b/>
          <w:bCs/>
          <w:sz w:val="20"/>
          <w:szCs w:val="20"/>
        </w:rPr>
      </w:pPr>
    </w:p>
    <w:p w14:paraId="05D72D82" w14:textId="77777777" w:rsidR="009F661C" w:rsidRPr="00071CFC" w:rsidRDefault="009F661C" w:rsidP="00380955">
      <w:pPr>
        <w:jc w:val="both"/>
        <w:rPr>
          <w:b/>
          <w:bCs/>
          <w:sz w:val="20"/>
          <w:szCs w:val="20"/>
        </w:rPr>
      </w:pPr>
    </w:p>
    <w:p w14:paraId="2AF99232" w14:textId="77777777" w:rsidR="009F661C" w:rsidRPr="00071CFC" w:rsidRDefault="009F661C" w:rsidP="00380955">
      <w:pPr>
        <w:jc w:val="both"/>
        <w:rPr>
          <w:b/>
          <w:bCs/>
          <w:sz w:val="20"/>
          <w:szCs w:val="20"/>
        </w:rPr>
      </w:pPr>
    </w:p>
    <w:p w14:paraId="436A43F5" w14:textId="77777777" w:rsidR="009F661C" w:rsidRPr="00071CFC" w:rsidRDefault="009F661C" w:rsidP="000D5C02">
      <w:pPr>
        <w:jc w:val="center"/>
        <w:rPr>
          <w:b/>
          <w:bCs/>
          <w:sz w:val="20"/>
          <w:szCs w:val="20"/>
        </w:rPr>
        <w:sectPr w:rsidR="009F661C" w:rsidRPr="00071CFC" w:rsidSect="00503FDD">
          <w:headerReference w:type="even" r:id="rId11"/>
          <w:headerReference w:type="default" r:id="rId12"/>
          <w:footnotePr>
            <w:numRestart w:val="eachSect"/>
          </w:footnotePr>
          <w:type w:val="oddPage"/>
          <w:pgSz w:w="8392" w:h="11907" w:code="11"/>
          <w:pgMar w:top="1418" w:right="1191" w:bottom="851" w:left="1191" w:header="851" w:footer="0" w:gutter="0"/>
          <w:cols w:space="708"/>
          <w:titlePg/>
          <w:docGrid w:linePitch="360"/>
        </w:sectPr>
      </w:pPr>
    </w:p>
    <w:p w14:paraId="5EBDE5E5" w14:textId="77777777" w:rsidR="009F661C" w:rsidRPr="002B0B2B" w:rsidRDefault="009F661C" w:rsidP="004D6926">
      <w:pPr>
        <w:pStyle w:val="h1"/>
        <w:rPr>
          <w:szCs w:val="32"/>
        </w:rPr>
      </w:pPr>
      <w:r w:rsidRPr="002B0B2B">
        <w:rPr>
          <w:szCs w:val="32"/>
        </w:rPr>
        <w:lastRenderedPageBreak/>
        <w:t>Chapter Two</w:t>
      </w:r>
    </w:p>
    <w:p w14:paraId="36295E81" w14:textId="77777777" w:rsidR="009F661C" w:rsidRPr="002B0B2B" w:rsidRDefault="009F661C" w:rsidP="004D6926">
      <w:pPr>
        <w:pStyle w:val="h1"/>
        <w:rPr>
          <w:szCs w:val="32"/>
        </w:rPr>
      </w:pPr>
      <w:r w:rsidRPr="002B0B2B">
        <w:rPr>
          <w:szCs w:val="32"/>
        </w:rPr>
        <w:t xml:space="preserve">Historical Perspective </w:t>
      </w:r>
      <w:r w:rsidRPr="002B0B2B">
        <w:rPr>
          <w:szCs w:val="32"/>
        </w:rPr>
        <w:br/>
        <w:t xml:space="preserve">on Papua New Guinea Land Tenure </w:t>
      </w:r>
    </w:p>
    <w:p w14:paraId="6C1B4C4F" w14:textId="77777777" w:rsidR="009F661C" w:rsidRDefault="009F661C" w:rsidP="0017483C">
      <w:pPr>
        <w:ind w:firstLine="567"/>
        <w:jc w:val="both"/>
        <w:rPr>
          <w:sz w:val="20"/>
          <w:szCs w:val="20"/>
        </w:rPr>
      </w:pPr>
    </w:p>
    <w:p w14:paraId="6E4B5D8B" w14:textId="77777777" w:rsidR="009F661C" w:rsidRDefault="009F661C" w:rsidP="0017483C">
      <w:pPr>
        <w:ind w:firstLine="567"/>
        <w:jc w:val="both"/>
        <w:rPr>
          <w:sz w:val="20"/>
          <w:szCs w:val="20"/>
        </w:rPr>
      </w:pPr>
    </w:p>
    <w:p w14:paraId="5C509E99" w14:textId="77777777" w:rsidR="009F661C" w:rsidRPr="00071CFC" w:rsidRDefault="009F661C" w:rsidP="0017483C">
      <w:pPr>
        <w:ind w:firstLine="567"/>
        <w:jc w:val="both"/>
        <w:rPr>
          <w:sz w:val="20"/>
          <w:szCs w:val="20"/>
        </w:rPr>
      </w:pPr>
    </w:p>
    <w:p w14:paraId="1BE12C3A" w14:textId="77777777" w:rsidR="009F661C" w:rsidRPr="00071CFC" w:rsidRDefault="009F661C" w:rsidP="004D6926">
      <w:pPr>
        <w:ind w:firstLine="284"/>
        <w:jc w:val="both"/>
        <w:rPr>
          <w:sz w:val="20"/>
          <w:szCs w:val="20"/>
        </w:rPr>
      </w:pPr>
      <w:r w:rsidRPr="00071CFC">
        <w:rPr>
          <w:sz w:val="20"/>
          <w:szCs w:val="20"/>
        </w:rPr>
        <w:t>Several years ago Mark Sagoff (2000), the well known American environmental ethicist, argued a case for environmental protection that denied the widely held utilitarian argument that the activities of industrial nations were depleting natural resources and the world’s energy supplies. Sagoff pointed to alternative technological advances and enhanced efficiency as future solutions to any perceived crisis in energy and resources. Sagoff’s controversial piece sought to convince us that nature should be protected because of the inherent value ascribed to it, not because of a perceived relation to human utility and economic welfare.</w:t>
      </w:r>
    </w:p>
    <w:p w14:paraId="286A5BFA" w14:textId="77777777" w:rsidR="009F661C" w:rsidRPr="00071CFC" w:rsidRDefault="009F661C" w:rsidP="004D6926">
      <w:pPr>
        <w:ind w:firstLine="284"/>
        <w:jc w:val="both"/>
        <w:rPr>
          <w:sz w:val="20"/>
          <w:szCs w:val="20"/>
        </w:rPr>
      </w:pPr>
      <w:r w:rsidRPr="00071CFC">
        <w:rPr>
          <w:sz w:val="20"/>
          <w:szCs w:val="20"/>
        </w:rPr>
        <w:t xml:space="preserve">At the same time Sagoff took aim at another familiar  belief given expression in so called “development theory:, a view that sees developed </w:t>
      </w:r>
      <w:r w:rsidRPr="00071CFC">
        <w:rPr>
          <w:spacing w:val="-3"/>
          <w:sz w:val="20"/>
          <w:szCs w:val="20"/>
        </w:rPr>
        <w:t xml:space="preserve">countries exploiting the developing nations by consuming a disproportionate </w:t>
      </w:r>
      <w:r w:rsidRPr="00071CFC">
        <w:rPr>
          <w:sz w:val="20"/>
          <w:szCs w:val="20"/>
        </w:rPr>
        <w:t>share of natural resources sourced from developing countries. Using statistics from the World Resources Institute he emphasized that most of the resources consumed in the United States are from domestic sources. In fact, he says, throughout the 1980’s the United States and Canada were the leading exporters of raw materials Moreover, he stated, the share of the raw materials used in the North that it buys from the South stands at a thirty year low and continues to decline.</w:t>
      </w:r>
    </w:p>
    <w:p w14:paraId="1357546C" w14:textId="77777777" w:rsidR="009F661C" w:rsidRPr="00071CFC" w:rsidRDefault="009F661C" w:rsidP="004D6926">
      <w:pPr>
        <w:ind w:firstLine="284"/>
        <w:jc w:val="both"/>
        <w:rPr>
          <w:sz w:val="20"/>
          <w:szCs w:val="20"/>
        </w:rPr>
      </w:pPr>
      <w:r w:rsidRPr="00071CFC">
        <w:rPr>
          <w:sz w:val="20"/>
          <w:szCs w:val="20"/>
        </w:rPr>
        <w:t xml:space="preserve">For Sagoff, third or developing world poverty cannot be explained through international relationships of exploitation; the causes of poverty he claimed are to be found in confrontations with intractable entrenched land tenure systems and lack of infrastructure that denies access to markets, education or employment. These remarks are particularly appropriate in the postcolonial era. Many of the postcolonial developing countries in the South Pacific and Sub-Sahara Africa are currently suffering declines in infrastructure and economic prosperity while struggling with traditional customary systems of land tenure. In this chapter I want to consider the role of custom in traditional land tenure systems of the developing South Pacific. </w:t>
      </w:r>
    </w:p>
    <w:p w14:paraId="184E7B78" w14:textId="77777777" w:rsidR="009F661C" w:rsidRPr="00071CFC" w:rsidRDefault="009F661C" w:rsidP="00D55A5F">
      <w:pPr>
        <w:ind w:firstLine="284"/>
        <w:jc w:val="both"/>
        <w:rPr>
          <w:sz w:val="20"/>
          <w:szCs w:val="20"/>
        </w:rPr>
      </w:pPr>
      <w:r w:rsidRPr="00071CFC">
        <w:rPr>
          <w:sz w:val="20"/>
          <w:szCs w:val="20"/>
        </w:rPr>
        <w:lastRenderedPageBreak/>
        <w:t>It is frequently alleged that public policy and legislation for emerging nation states need to be tailored to the cultural context of their subjects. Constitutions may even prescribe, as does Papua New Guinea’s that national development proceeds according to existing social, political and economic forms. This has led in some cases to an emphasis on local customs and traditions in the creation of public policy – and in juridical matters, legislation that provides for the applications of custom over a range of issues in which the law is silent. This is especially the case in the Melanesian states of the Western South Pacific; Papua New Guinea and the Solomon Islands. However, custom has also reasserted itself elsewhere in the developing economies of Africa as has happened in the land tenure systems of Uganda and Kenya.</w:t>
      </w:r>
    </w:p>
    <w:p w14:paraId="15E361F8" w14:textId="77777777" w:rsidR="009F661C" w:rsidRPr="00071CFC" w:rsidRDefault="009F661C" w:rsidP="00D55A5F">
      <w:pPr>
        <w:ind w:firstLine="284"/>
        <w:jc w:val="both"/>
        <w:rPr>
          <w:sz w:val="20"/>
          <w:szCs w:val="20"/>
        </w:rPr>
      </w:pPr>
      <w:r w:rsidRPr="00071CFC">
        <w:rPr>
          <w:sz w:val="20"/>
          <w:szCs w:val="20"/>
        </w:rPr>
        <w:t>The Papua New Guinean Constitution adopted as a national goal the principle that development should be achieved primarily through the use of Papua New Guinean forms of social political and economic organization It holds that villages and communities should remain as viable units of society and includes, inter alia, a guideline that :</w:t>
      </w:r>
    </w:p>
    <w:p w14:paraId="4F32237C" w14:textId="77777777" w:rsidR="009F661C" w:rsidRPr="00071CFC" w:rsidRDefault="009F661C" w:rsidP="00DD170E">
      <w:pPr>
        <w:pStyle w:val="DLText"/>
        <w:rPr>
          <w:lang w:val="en-AU"/>
        </w:rPr>
      </w:pPr>
    </w:p>
    <w:p w14:paraId="51883552" w14:textId="77777777" w:rsidR="009F661C" w:rsidRPr="00175696" w:rsidRDefault="009F661C" w:rsidP="00EE562B">
      <w:pPr>
        <w:pStyle w:val="DLQuotes"/>
        <w:rPr>
          <w:szCs w:val="20"/>
        </w:rPr>
      </w:pPr>
      <w:r w:rsidRPr="00175696">
        <w:rPr>
          <w:szCs w:val="20"/>
        </w:rPr>
        <w:t>“… [L]and policy should be an evolution from a customary base and not on a sweeping agrarian revolution or total transformation of society” (James 1985; 50).</w:t>
      </w:r>
    </w:p>
    <w:p w14:paraId="71726C7E" w14:textId="77777777" w:rsidR="009F661C" w:rsidRPr="00175696" w:rsidRDefault="009F661C" w:rsidP="004D6926">
      <w:pPr>
        <w:pStyle w:val="h2"/>
        <w:ind w:firstLine="0"/>
      </w:pPr>
      <w:r w:rsidRPr="00175696">
        <w:t>Transformation Policy of the 1960s</w:t>
      </w:r>
    </w:p>
    <w:p w14:paraId="4DB91895" w14:textId="77777777" w:rsidR="009F661C" w:rsidRPr="00071CFC" w:rsidRDefault="009F661C" w:rsidP="004D6926">
      <w:pPr>
        <w:ind w:firstLine="284"/>
        <w:jc w:val="both"/>
        <w:rPr>
          <w:sz w:val="20"/>
          <w:szCs w:val="20"/>
        </w:rPr>
      </w:pPr>
      <w:r w:rsidRPr="00071CFC">
        <w:rPr>
          <w:sz w:val="20"/>
          <w:szCs w:val="20"/>
        </w:rPr>
        <w:t>However, before independence Papua New Guinea was following a very different path under the Australian colonial administration.  The so-called ‘transformation policy’ that was adopted by the Australian Administration in the 1960s involved the substitution of individual registered titles (freeholds) for the existing traditional  forms of land-holding, and the replacement of customary law by English real property law (James 1984:45). The more specific commitments included: the introduction of a single system of land-holding which was regulated by the central government and administered by the Department of Lands, providing for secured, individual, registered titles, following the pattern of the Australian system. This meant retention of land rights, as subject to native custom, but only until taken out of custom, either by acquisition by the Administration, or by a process of conversion of title to an individual, registered title. Acquisition or conversion of title would involve compensation in respect of the extinction of rights held under native custom.</w:t>
      </w:r>
    </w:p>
    <w:p w14:paraId="50F0DAE1" w14:textId="77777777" w:rsidR="009F661C" w:rsidRPr="00071CFC" w:rsidRDefault="009F661C" w:rsidP="004D6926">
      <w:pPr>
        <w:ind w:firstLine="284"/>
        <w:jc w:val="both"/>
        <w:rPr>
          <w:sz w:val="20"/>
          <w:szCs w:val="20"/>
        </w:rPr>
      </w:pPr>
      <w:r w:rsidRPr="00071CFC">
        <w:rPr>
          <w:sz w:val="20"/>
          <w:szCs w:val="20"/>
        </w:rPr>
        <w:t xml:space="preserve">Believing that the traditional system prevented the acquisition and utilization of land by potential enterprising farmers, the colonial Administration sought to facilitate the adoption of commercial agriculture </w:t>
      </w:r>
      <w:r w:rsidRPr="00071CFC">
        <w:rPr>
          <w:sz w:val="20"/>
          <w:szCs w:val="20"/>
        </w:rPr>
        <w:lastRenderedPageBreak/>
        <w:t>by Papua New Guineans through the implementation of the Anglo-Australian system of land holding.  It needs to be noted that by custom no direct dealings in customary land could occur. Conversion to freehold would overcome this restriction.  In addition to providing greater access to land for entrepreneurial activities, the system was intended to open the possibilities for financial support in so far as secure title to land would allow for easier access to loans, because owners would be able to offer land as security.</w:t>
      </w:r>
    </w:p>
    <w:p w14:paraId="4309BFE8" w14:textId="77777777" w:rsidR="009F661C" w:rsidRPr="00071CFC" w:rsidRDefault="009F661C" w:rsidP="004D6926">
      <w:pPr>
        <w:ind w:firstLine="284"/>
        <w:jc w:val="both"/>
        <w:rPr>
          <w:sz w:val="20"/>
          <w:szCs w:val="20"/>
        </w:rPr>
      </w:pPr>
      <w:r w:rsidRPr="00071CFC">
        <w:rPr>
          <w:sz w:val="20"/>
          <w:szCs w:val="20"/>
        </w:rPr>
        <w:t xml:space="preserve">Implementation of the transformation policy saw the passage of the </w:t>
      </w:r>
      <w:r w:rsidRPr="00071CFC">
        <w:rPr>
          <w:i/>
          <w:iCs/>
          <w:sz w:val="20"/>
          <w:szCs w:val="20"/>
        </w:rPr>
        <w:t xml:space="preserve">Land Titles Commission Act 1962, </w:t>
      </w:r>
      <w:r w:rsidRPr="00071CFC">
        <w:rPr>
          <w:sz w:val="20"/>
          <w:szCs w:val="20"/>
        </w:rPr>
        <w:t xml:space="preserve">to adjudicate land rights, and under the </w:t>
      </w:r>
      <w:r w:rsidRPr="00071CFC">
        <w:rPr>
          <w:i/>
          <w:iCs/>
          <w:sz w:val="20"/>
          <w:szCs w:val="20"/>
        </w:rPr>
        <w:t>Land (Tenure Conversion) Act 1963,</w:t>
      </w:r>
      <w:r w:rsidRPr="00071CFC">
        <w:rPr>
          <w:sz w:val="20"/>
          <w:szCs w:val="20"/>
        </w:rPr>
        <w:t xml:space="preserve"> the conversion of the adjudicated title from traditional tenure to freehold estates became possible. The </w:t>
      </w:r>
      <w:r w:rsidRPr="00071CFC">
        <w:rPr>
          <w:i/>
          <w:iCs/>
          <w:sz w:val="20"/>
          <w:szCs w:val="20"/>
        </w:rPr>
        <w:t>Real Property Act</w:t>
      </w:r>
      <w:r w:rsidRPr="00071CFC">
        <w:rPr>
          <w:sz w:val="20"/>
          <w:szCs w:val="20"/>
        </w:rPr>
        <w:t xml:space="preserve"> in Papua, the </w:t>
      </w:r>
      <w:r w:rsidRPr="00071CFC">
        <w:rPr>
          <w:i/>
          <w:iCs/>
          <w:sz w:val="20"/>
          <w:szCs w:val="20"/>
        </w:rPr>
        <w:t>Lands Registration Act</w:t>
      </w:r>
      <w:r w:rsidRPr="00071CFC">
        <w:rPr>
          <w:sz w:val="20"/>
          <w:szCs w:val="20"/>
        </w:rPr>
        <w:t xml:space="preserve"> in New Guinea, and finally the unified and consolidated </w:t>
      </w:r>
      <w:r w:rsidRPr="00071CFC">
        <w:rPr>
          <w:i/>
          <w:iCs/>
          <w:sz w:val="20"/>
          <w:szCs w:val="20"/>
        </w:rPr>
        <w:t>Lands Registration Act</w:t>
      </w:r>
      <w:r w:rsidRPr="00071CFC">
        <w:rPr>
          <w:sz w:val="20"/>
          <w:szCs w:val="20"/>
        </w:rPr>
        <w:t xml:space="preserve"> in 1982, provided for registration and secured title for the converted freehold estates. However,  legislation that was intended to implement the plan more efficiently was defeated in the House of Assembly in 1971 (James 1984, 46) Although there has been no official statement rejecting the transformation model in Papua New Guinea, subsequent legislation and the National Constitution have redirected the thinking of policy makers (James 1984:49)</w:t>
      </w:r>
    </w:p>
    <w:p w14:paraId="6813FCC6" w14:textId="77777777" w:rsidR="009F661C" w:rsidRPr="00071CFC" w:rsidRDefault="009F661C" w:rsidP="004D6926">
      <w:pPr>
        <w:ind w:firstLine="284"/>
        <w:jc w:val="both"/>
        <w:rPr>
          <w:sz w:val="20"/>
          <w:szCs w:val="20"/>
        </w:rPr>
      </w:pPr>
      <w:r w:rsidRPr="00071CFC">
        <w:rPr>
          <w:sz w:val="20"/>
          <w:szCs w:val="20"/>
        </w:rPr>
        <w:t xml:space="preserve">This redirection in thinking resulted in the </w:t>
      </w:r>
      <w:r w:rsidRPr="00071CFC">
        <w:rPr>
          <w:i/>
          <w:iCs/>
          <w:sz w:val="20"/>
          <w:szCs w:val="20"/>
        </w:rPr>
        <w:t>Land Groups Incorporation Act</w:t>
      </w:r>
      <w:r w:rsidRPr="00071CFC">
        <w:rPr>
          <w:sz w:val="20"/>
          <w:szCs w:val="20"/>
        </w:rPr>
        <w:t xml:space="preserve"> of 1974 which provided for the legal recognition of traditional groups and their incorporation for purposes of acquiring, holding, disposing of, and managing land (</w:t>
      </w:r>
      <w:r w:rsidRPr="00071CFC">
        <w:rPr>
          <w:i/>
          <w:iCs/>
          <w:sz w:val="20"/>
          <w:szCs w:val="20"/>
        </w:rPr>
        <w:t>Land groups Incorporation Act</w:t>
      </w:r>
      <w:r w:rsidRPr="00071CFC">
        <w:rPr>
          <w:sz w:val="20"/>
          <w:szCs w:val="20"/>
        </w:rPr>
        <w:t xml:space="preserve"> 1974, Ch. 147, s.1 (e)). Given that individuals could not deal in customary land, the legislation sought to empower the group with rights over customary land. This legislation gave legal substance to the view that, in Papua New Guinea, the primary owners of land are groups of one form or other. James (1984) held that the land group corporation represents an emphasis on lineage, as the basic landowning entity, but that lineage is clothed with legal personality in the nature of a land group corporation.  The philosophy intended to ground the ILG legislation is one that attempts to align itself with Melanesian customary traditions. As James (1984, 50) explains:</w:t>
      </w:r>
    </w:p>
    <w:p w14:paraId="61D51B6F" w14:textId="77777777" w:rsidR="009F661C" w:rsidRPr="00071CFC" w:rsidRDefault="009F661C" w:rsidP="00380955">
      <w:pPr>
        <w:jc w:val="both"/>
        <w:rPr>
          <w:sz w:val="20"/>
          <w:szCs w:val="20"/>
        </w:rPr>
      </w:pPr>
    </w:p>
    <w:p w14:paraId="478A538E" w14:textId="77777777" w:rsidR="009F661C" w:rsidRPr="00175696" w:rsidRDefault="009F661C" w:rsidP="00F125E4">
      <w:pPr>
        <w:ind w:left="284" w:right="284"/>
        <w:jc w:val="both"/>
        <w:rPr>
          <w:sz w:val="18"/>
          <w:szCs w:val="20"/>
        </w:rPr>
      </w:pPr>
      <w:r w:rsidRPr="00175696">
        <w:rPr>
          <w:sz w:val="18"/>
          <w:szCs w:val="20"/>
        </w:rPr>
        <w:t xml:space="preserve">“In this way, many of the elements of the traditional system were sought to be retained, for example, collective ownership, mass participation in the decision-making processes, traditional dispute settlement philosophy, and a distribution system based on one’s interest in land.” </w:t>
      </w:r>
    </w:p>
    <w:p w14:paraId="20B44D73" w14:textId="77777777" w:rsidR="009F661C" w:rsidRPr="00071CFC" w:rsidRDefault="009F661C" w:rsidP="00380955">
      <w:pPr>
        <w:jc w:val="both"/>
        <w:rPr>
          <w:sz w:val="20"/>
          <w:szCs w:val="20"/>
        </w:rPr>
      </w:pPr>
    </w:p>
    <w:p w14:paraId="400BE69B" w14:textId="77777777" w:rsidR="009F661C" w:rsidRPr="00071CFC" w:rsidRDefault="009F661C" w:rsidP="001D5C85">
      <w:pPr>
        <w:ind w:firstLine="284"/>
        <w:jc w:val="both"/>
        <w:rPr>
          <w:sz w:val="20"/>
          <w:szCs w:val="20"/>
        </w:rPr>
      </w:pPr>
      <w:r w:rsidRPr="00071CFC">
        <w:rPr>
          <w:sz w:val="20"/>
          <w:szCs w:val="20"/>
        </w:rPr>
        <w:t xml:space="preserve">However, more recently, prohibitions against dealing in customary land that continue under current laws, may be overcome when  the government may  act as an intermediary between groups of customary landowners and </w:t>
      </w:r>
      <w:r w:rsidRPr="00071CFC">
        <w:rPr>
          <w:sz w:val="20"/>
          <w:szCs w:val="20"/>
        </w:rPr>
        <w:lastRenderedPageBreak/>
        <w:t xml:space="preserve">alternative owners of the usufruct of their land. According to this so called "lease-lease back" device, the owner (the incorporated land group) must lease the land to the government, who leases it back to the tenant. </w:t>
      </w:r>
    </w:p>
    <w:p w14:paraId="239A9A22" w14:textId="77777777" w:rsidR="009F661C" w:rsidRPr="00175696" w:rsidRDefault="009F661C" w:rsidP="004D6926">
      <w:pPr>
        <w:pStyle w:val="h2"/>
        <w:ind w:firstLine="0"/>
      </w:pPr>
      <w:r w:rsidRPr="00175696">
        <w:t>The Bougainville Crisis</w:t>
      </w:r>
    </w:p>
    <w:p w14:paraId="7D17CB50" w14:textId="77777777" w:rsidR="009F661C" w:rsidRPr="00071CFC" w:rsidRDefault="009F661C" w:rsidP="004D6926">
      <w:pPr>
        <w:ind w:firstLine="284"/>
        <w:jc w:val="both"/>
        <w:rPr>
          <w:sz w:val="20"/>
          <w:szCs w:val="20"/>
        </w:rPr>
      </w:pPr>
      <w:r w:rsidRPr="00071CFC">
        <w:rPr>
          <w:sz w:val="20"/>
          <w:szCs w:val="20"/>
        </w:rPr>
        <w:t>Despite coming into force in 1974 the formation of land owning groups under the Incorporated Land Group Act remained virtually unknown until the 1990s. The Bougainville crisis of the late 1980s, the most significant dispute involving land and use of land by a major developer, did not involve incorporated land groups. The Bougainville crisis, however, does offer a perspective on the dangerous dynamic that can develop when large scale development attempts transactions over relatively unformalized customary land rights.</w:t>
      </w:r>
    </w:p>
    <w:p w14:paraId="14DFA869" w14:textId="77777777" w:rsidR="009F661C" w:rsidRPr="00071CFC" w:rsidRDefault="009F661C" w:rsidP="004D6926">
      <w:pPr>
        <w:ind w:firstLine="284"/>
        <w:jc w:val="both"/>
        <w:rPr>
          <w:sz w:val="20"/>
          <w:szCs w:val="20"/>
        </w:rPr>
      </w:pPr>
      <w:r w:rsidRPr="00071CFC">
        <w:rPr>
          <w:sz w:val="20"/>
          <w:szCs w:val="20"/>
        </w:rPr>
        <w:t xml:space="preserve">The Bougainville crisis began as an inter-generational struggle over the compensation and other payments made to residents in the locality of the giant Panguna copper mine on the island of Bougainville (also known as North Solomons) constructed and operated by the Anglo-Australian mining company CRA from 1969 to 1989. Conflict with the indigenous occupants of the proposed mining areas began as early as 1969. After an apparent settlement, the Panguna landowners formed the Bougainville Revolutionary Army (BRA) to lead renewed opposition to the mine around 1987 and this resulted in the closing of the mine in 1989 and a movement for secession of Bougainville from Papua New Guinea.  During the 1990s Bougainville remained isolated and under embargo from Papua New Guinea, while much of the island remained under the control of the BRA.  One can trace the initial etiology of the crisis to an absence of defined income and property rights. </w:t>
      </w:r>
    </w:p>
    <w:p w14:paraId="634C90CB" w14:textId="77777777" w:rsidR="009F661C" w:rsidRPr="00071CFC" w:rsidRDefault="009F661C" w:rsidP="004D6926">
      <w:pPr>
        <w:ind w:firstLine="284"/>
        <w:jc w:val="both"/>
        <w:rPr>
          <w:sz w:val="20"/>
          <w:szCs w:val="20"/>
        </w:rPr>
      </w:pPr>
      <w:r w:rsidRPr="00071CFC">
        <w:rPr>
          <w:sz w:val="20"/>
          <w:szCs w:val="20"/>
        </w:rPr>
        <w:t>A report to CRA by Douglas Oliver in 1968 attempted to explain to the mining company the limited number and type of economic transactions amongst the indigenous inhabitants of Bougainville.  He distinguished between just three types of transactions: (1) gifts, with no reciprocity envisaged, limited largely to parents and their children, (2) 'taking' without any intention of repayment (i.e. simple theft), and (3) exchange, comprising mostly reciprocal transfers of gifts, as often as not separated in time and place, with more occasional and limited transactions in the form of bartering. Evidently payments in the form of rents for the use of another's land, for services rendered on a permanent basis as for employment, and for use of capital equipment and tools were largely absent (Denoon 2000, 206).</w:t>
      </w:r>
    </w:p>
    <w:p w14:paraId="0B5BB4FC" w14:textId="77777777" w:rsidR="009F661C" w:rsidRPr="00071CFC" w:rsidRDefault="009F661C" w:rsidP="004D6926">
      <w:pPr>
        <w:ind w:firstLine="284"/>
        <w:jc w:val="both"/>
        <w:rPr>
          <w:sz w:val="20"/>
          <w:szCs w:val="20"/>
        </w:rPr>
      </w:pPr>
      <w:r w:rsidRPr="00071CFC">
        <w:rPr>
          <w:sz w:val="20"/>
          <w:szCs w:val="20"/>
        </w:rPr>
        <w:t xml:space="preserve">Oliver advised CRA 'to base any further encroachment on native-owned land upon deep and comprehensive understanding of the specific locale's </w:t>
      </w:r>
      <w:r w:rsidRPr="00071CFC">
        <w:rPr>
          <w:sz w:val="20"/>
          <w:szCs w:val="20"/>
        </w:rPr>
        <w:lastRenderedPageBreak/>
        <w:t xml:space="preserve">land tenure principles', and he said that understanding could not be obtained simply by colonial officials merely asking 'who owns this land’ (Denoon 2000, 207).   Ironically, Oliver's assessment although taken seriously by CRA and by the Australian colonial administration did little to reconcile the indigenes in the proposed mining area either to the initial exploration or to the eventual construction and operation of the mine. We can never know whether a counterfactual approach might have worked better, perhaps by abandoning de jure the concept derived from English law that minerals underground belonged to the crown. This principle had already been undermined in the process whereby royalties normally payable only to the national government in Port Moresby, as “the crown”, were in the Bougainville Copper Agreement devolved to both the provincial government of North Solomons and the presumed customary landowners of the mining lease. Nevertheless, since the Panguna mine would not involve under-surface mining, being no more than a very large and deep quarry, opportunity existed to approach the indigenes in the mining area and to negotiate the terms under which they would be prepared to allow prospecting and mining to proceed, with such terms to go beyond mere compensation for actual losses (such as from loss of income generating trees and crops, as well as the fish resources of rivers required for disposal of mine tailings). It is certainly arguable that had CRA and the administration treated the residents of the proposed mining area </w:t>
      </w:r>
      <w:r w:rsidRPr="00071CFC">
        <w:rPr>
          <w:i/>
          <w:iCs/>
          <w:sz w:val="20"/>
          <w:szCs w:val="20"/>
        </w:rPr>
        <w:t xml:space="preserve">as if </w:t>
      </w:r>
      <w:r w:rsidRPr="00071CFC">
        <w:rPr>
          <w:sz w:val="20"/>
          <w:szCs w:val="20"/>
        </w:rPr>
        <w:t xml:space="preserve">they were </w:t>
      </w:r>
      <w:r w:rsidRPr="00071CFC">
        <w:rPr>
          <w:i/>
          <w:iCs/>
          <w:sz w:val="20"/>
          <w:szCs w:val="20"/>
        </w:rPr>
        <w:t xml:space="preserve">individual </w:t>
      </w:r>
      <w:r w:rsidRPr="00071CFC">
        <w:rPr>
          <w:sz w:val="20"/>
          <w:szCs w:val="20"/>
        </w:rPr>
        <w:t>landowners with title, and therefore entitled not merely to compensation but to actual rental income payable by the mine, perhaps the resentments engendered by construction and operation of the mine could have been avoided.</w:t>
      </w:r>
    </w:p>
    <w:p w14:paraId="583AD6FA" w14:textId="77777777" w:rsidR="009F661C" w:rsidRPr="00071CFC" w:rsidRDefault="009F661C" w:rsidP="004D6926">
      <w:pPr>
        <w:ind w:firstLine="284"/>
        <w:jc w:val="both"/>
        <w:rPr>
          <w:sz w:val="20"/>
          <w:szCs w:val="20"/>
        </w:rPr>
      </w:pPr>
      <w:r w:rsidRPr="00071CFC">
        <w:rPr>
          <w:sz w:val="20"/>
          <w:szCs w:val="20"/>
        </w:rPr>
        <w:t>To some extent the Bougainville Copper Agreement (which was legislated as an Act of the legislative assembly in Port Moresby) did go down this route, but stopped short of identifying appropriate rentals. CRA agreed to pay compensation to groups regarded as traditional landowners for the use and abuse of their territory resulting from its mining operations. But we need to emphasize that its approach to income distribution involved working through designated representatives of defined 'groups' of indigenous residents of the mining lease areas, even though North as CRA's own adviser had nowhere indicated that individuals living in the proposed mining areas could be treated with as if they formed a single entity, as if indeed they had been a company with its own rights in the area. It is ironic indeed that such a supremely capitalist enterprise as CRA preferred to treat with the indigenes as if they were a collective or trade union rather than a loosely organized banding together of individuals with no formal collegial structure of their own.</w:t>
      </w:r>
    </w:p>
    <w:p w14:paraId="64560DD5" w14:textId="77777777" w:rsidR="009F661C" w:rsidRPr="00071CFC" w:rsidRDefault="009F661C" w:rsidP="004D6926">
      <w:pPr>
        <w:ind w:firstLine="284"/>
        <w:jc w:val="both"/>
        <w:rPr>
          <w:sz w:val="20"/>
          <w:szCs w:val="20"/>
        </w:rPr>
      </w:pPr>
      <w:r w:rsidRPr="00071CFC">
        <w:rPr>
          <w:sz w:val="20"/>
          <w:szCs w:val="20"/>
        </w:rPr>
        <w:lastRenderedPageBreak/>
        <w:t xml:space="preserve">Instead CRA and the administration themselves organized landowners' associations and trust funds (such as the Road Mine Tailings Lease Trust Fund), which was administered by the twelve titleholders who represented the landowning clans and communities. The trustees were to invest the </w:t>
      </w:r>
      <w:r w:rsidRPr="00071CFC">
        <w:rPr>
          <w:spacing w:val="-2"/>
          <w:sz w:val="20"/>
          <w:szCs w:val="20"/>
        </w:rPr>
        <w:t>money received from the mine royalties, occupation fees and compensation</w:t>
      </w:r>
      <w:r w:rsidRPr="00071CFC">
        <w:rPr>
          <w:sz w:val="20"/>
          <w:szCs w:val="20"/>
        </w:rPr>
        <w:t xml:space="preserve"> payments "...for future generations while spending the income for the benefit of the wider community".  As it turned out the trustees violated their fiduciary duties and kept the money for themselves (Denoon, 2000, 91). Filer (1990) explains that customary guidelines were lacking or confused because inheritance is usually matrilineal whereas cash crops have been thought to belong to the male line. Thus, the leaders, rather than operate in conditions of confusion in which the dissemination of benefits would lead to controversy, decided instead simply to keep the benefits for themselves. Thus stated, one can see that conventions regarding income rights were really undeveloped and provided insufficient guides to individual entitlements. Without clear guidelines there were inadequate countervailing forces acting on the titleholders and resulting in a failure to constrain the titleholders from simply pocketing the proceeds. </w:t>
      </w:r>
    </w:p>
    <w:p w14:paraId="545D9C7D" w14:textId="77777777" w:rsidR="009F661C" w:rsidRPr="00175696" w:rsidRDefault="009F661C" w:rsidP="004D6926">
      <w:pPr>
        <w:pStyle w:val="h2"/>
        <w:ind w:firstLine="0"/>
      </w:pPr>
      <w:r w:rsidRPr="00175696">
        <w:t>The Southern Highlands</w:t>
      </w:r>
    </w:p>
    <w:p w14:paraId="264947C5" w14:textId="77777777" w:rsidR="009F661C" w:rsidRPr="00071CFC" w:rsidRDefault="009F661C" w:rsidP="001E5A49">
      <w:pPr>
        <w:ind w:firstLine="284"/>
        <w:jc w:val="both"/>
        <w:rPr>
          <w:sz w:val="20"/>
          <w:szCs w:val="20"/>
        </w:rPr>
      </w:pPr>
      <w:r w:rsidRPr="00071CFC">
        <w:rPr>
          <w:sz w:val="20"/>
          <w:szCs w:val="20"/>
        </w:rPr>
        <w:t>However, in the 1990s the incorporated land group came to prominence in the petroleum and forestry sectors. But it is significant that these incorporated groups were not brought into existence through the efforts of indigenous people themselves intent on “acquiring, holding, disposing of, and managing land” but nearly always through the efforts of foreign developers intent on defining a representative group for the receipt   of compensation monies. In the 1990s Chevron (now Chevron Texaco) decided to develop the Lake Kutubu oil fields.  As in the Bougainville case, they faced the familiar issue of how best to distribute compensation payments to indigenous groups. As we have seen in the Bougainville case, representation was worked out in terms of a principal titleholder, who acted as trustee. The on-going Bougainville crisis was offering undeniable evidence that there might be fundamental problems with this model.  Chevron decided that Papua New Guinean legislation already offered a better model in the incorporated land group. However, since the southern highlands had not bothered to organize themselves into such groups, Chevron decided to take on the task themselves.</w:t>
      </w:r>
    </w:p>
    <w:p w14:paraId="64531AAB" w14:textId="77777777" w:rsidR="009F661C" w:rsidRPr="00071CFC" w:rsidRDefault="009F661C" w:rsidP="004D6926">
      <w:pPr>
        <w:pStyle w:val="BodyText"/>
        <w:ind w:firstLine="284"/>
        <w:jc w:val="both"/>
        <w:rPr>
          <w:b w:val="0"/>
          <w:bCs w:val="0"/>
          <w:sz w:val="20"/>
          <w:szCs w:val="20"/>
        </w:rPr>
      </w:pPr>
      <w:r w:rsidRPr="00071CFC">
        <w:rPr>
          <w:b w:val="0"/>
          <w:bCs w:val="0"/>
          <w:sz w:val="20"/>
          <w:szCs w:val="20"/>
        </w:rPr>
        <w:t xml:space="preserve">The </w:t>
      </w:r>
      <w:r w:rsidRPr="00071CFC">
        <w:rPr>
          <w:b w:val="0"/>
          <w:bCs w:val="0"/>
          <w:i/>
          <w:iCs/>
          <w:sz w:val="20"/>
          <w:szCs w:val="20"/>
        </w:rPr>
        <w:t>Incorporated Land Groups Act</w:t>
      </w:r>
      <w:r w:rsidRPr="00071CFC">
        <w:rPr>
          <w:b w:val="0"/>
          <w:bCs w:val="0"/>
          <w:sz w:val="20"/>
          <w:szCs w:val="20"/>
        </w:rPr>
        <w:t xml:space="preserve"> specified that a group can be incorporated if</w:t>
      </w:r>
    </w:p>
    <w:p w14:paraId="6333049C" w14:textId="77777777" w:rsidR="009F661C" w:rsidRPr="00071CFC" w:rsidRDefault="009F661C" w:rsidP="002336B6">
      <w:pPr>
        <w:pStyle w:val="BodyText"/>
        <w:numPr>
          <w:ilvl w:val="0"/>
          <w:numId w:val="16"/>
        </w:numPr>
        <w:ind w:left="567" w:hanging="283"/>
        <w:jc w:val="both"/>
        <w:rPr>
          <w:b w:val="0"/>
          <w:bCs w:val="0"/>
          <w:sz w:val="20"/>
          <w:szCs w:val="20"/>
        </w:rPr>
      </w:pPr>
      <w:r w:rsidRPr="00071CFC">
        <w:rPr>
          <w:b w:val="0"/>
          <w:bCs w:val="0"/>
          <w:sz w:val="20"/>
          <w:szCs w:val="20"/>
        </w:rPr>
        <w:lastRenderedPageBreak/>
        <w:t xml:space="preserve">The member groups possess common interests and coherence independently of the proposed recognition and share or are prepared to share common customs; and </w:t>
      </w:r>
    </w:p>
    <w:p w14:paraId="3744C37E" w14:textId="77777777" w:rsidR="009F661C" w:rsidRPr="00071CFC" w:rsidRDefault="009F661C" w:rsidP="002336B6">
      <w:pPr>
        <w:pStyle w:val="BodyText"/>
        <w:numPr>
          <w:ilvl w:val="0"/>
          <w:numId w:val="16"/>
        </w:numPr>
        <w:ind w:left="567" w:hanging="283"/>
        <w:jc w:val="both"/>
        <w:rPr>
          <w:b w:val="0"/>
          <w:bCs w:val="0"/>
          <w:sz w:val="20"/>
          <w:szCs w:val="20"/>
        </w:rPr>
      </w:pPr>
      <w:r w:rsidRPr="00071CFC">
        <w:rPr>
          <w:b w:val="0"/>
          <w:sz w:val="20"/>
          <w:szCs w:val="20"/>
        </w:rPr>
        <w:t>The association between groups represents a customary form of organization.</w:t>
      </w:r>
    </w:p>
    <w:p w14:paraId="640C850C" w14:textId="77777777" w:rsidR="009F661C" w:rsidRPr="00071CFC" w:rsidRDefault="009F661C" w:rsidP="0017483C">
      <w:pPr>
        <w:tabs>
          <w:tab w:val="left" w:pos="8280"/>
        </w:tabs>
        <w:ind w:left="567" w:right="26"/>
        <w:jc w:val="both"/>
        <w:rPr>
          <w:sz w:val="20"/>
          <w:szCs w:val="20"/>
        </w:rPr>
      </w:pPr>
    </w:p>
    <w:p w14:paraId="4F591A1D" w14:textId="77777777" w:rsidR="009F661C" w:rsidRPr="00071CFC" w:rsidRDefault="009F661C" w:rsidP="004D6926">
      <w:pPr>
        <w:ind w:firstLine="284"/>
        <w:jc w:val="both"/>
        <w:rPr>
          <w:sz w:val="20"/>
          <w:szCs w:val="20"/>
        </w:rPr>
      </w:pPr>
      <w:r w:rsidRPr="00071CFC">
        <w:rPr>
          <w:sz w:val="20"/>
          <w:szCs w:val="20"/>
        </w:rPr>
        <w:t xml:space="preserve">Chevron hired anthropologists and local consultants such as Tony Power, who had been instrumental in creating the East Sepik Province's legislation on incorporated land groups, to identify and verify customs and customary practices that knit the individuals into customary groups capable of incorporation under the </w:t>
      </w:r>
      <w:r w:rsidRPr="00071CFC">
        <w:rPr>
          <w:i/>
          <w:iCs/>
          <w:sz w:val="20"/>
          <w:szCs w:val="20"/>
        </w:rPr>
        <w:t>Incorporated Land Groups Act</w:t>
      </w:r>
      <w:r w:rsidRPr="00071CFC">
        <w:rPr>
          <w:sz w:val="20"/>
          <w:szCs w:val="20"/>
        </w:rPr>
        <w:t>. After extensive field work and consultation with local leaders and elders, the Chevron teams compiled and listed the various groups and duly registered them as bona fide “incorporated land groups”. Having followed the law which allegedly maintained the traditional system of collective ownership all should have been well.  However, it is difficult to keep the disputatious genie of customary land ownership in check.</w:t>
      </w:r>
    </w:p>
    <w:p w14:paraId="284BB4EF" w14:textId="77777777" w:rsidR="009F661C" w:rsidRPr="00071CFC" w:rsidRDefault="009F661C" w:rsidP="004D6926">
      <w:pPr>
        <w:ind w:firstLine="284"/>
        <w:jc w:val="both"/>
        <w:rPr>
          <w:sz w:val="20"/>
          <w:szCs w:val="20"/>
        </w:rPr>
      </w:pPr>
      <w:r w:rsidRPr="00071CFC">
        <w:rPr>
          <w:sz w:val="20"/>
          <w:szCs w:val="20"/>
        </w:rPr>
        <w:t>The original incorporated land groups that had been created by the consultants did not remain in place. Many unravelled and at the same time new groups were created from the disassembled constituents. These newly formed incorporate bodies challenged the earlier presumed authoritative identifications of customary groupings as delineated by Chevron’s expert consultants.</w:t>
      </w:r>
    </w:p>
    <w:p w14:paraId="7B690BF6" w14:textId="77777777" w:rsidR="009F661C" w:rsidRPr="00071CFC" w:rsidRDefault="009F661C" w:rsidP="004D6926">
      <w:pPr>
        <w:ind w:firstLine="284"/>
        <w:jc w:val="both"/>
        <w:rPr>
          <w:sz w:val="20"/>
          <w:szCs w:val="20"/>
        </w:rPr>
      </w:pPr>
      <w:r w:rsidRPr="00071CFC">
        <w:rPr>
          <w:sz w:val="20"/>
          <w:szCs w:val="20"/>
        </w:rPr>
        <w:t>One of the original consultants stated “…more than thirty land groups were de-registered without due process…New land groups were then registered without due process” (Power, 2001).  Power argued the result was a reconfiguration of the same people into non-customary entities like family groups but with new officials -“There were no new people.” In essence the reality became one in which registered and deregistered groups struggled to grab the equity payments from the project.</w:t>
      </w:r>
      <w:r w:rsidRPr="00071CFC">
        <w:rPr>
          <w:rStyle w:val="FootnoteReference"/>
          <w:sz w:val="20"/>
          <w:szCs w:val="20"/>
        </w:rPr>
        <w:footnoteReference w:id="2"/>
      </w:r>
      <w:r w:rsidRPr="00071CFC">
        <w:rPr>
          <w:sz w:val="20"/>
          <w:szCs w:val="20"/>
        </w:rPr>
        <w:t xml:space="preserve"> On March 8, 2001 the </w:t>
      </w:r>
      <w:r w:rsidRPr="00071CFC">
        <w:rPr>
          <w:i/>
          <w:iCs/>
          <w:sz w:val="20"/>
          <w:szCs w:val="20"/>
        </w:rPr>
        <w:t xml:space="preserve">Post </w:t>
      </w:r>
      <w:r w:rsidRPr="00071CFC">
        <w:rPr>
          <w:i/>
          <w:iCs/>
          <w:sz w:val="20"/>
          <w:szCs w:val="20"/>
        </w:rPr>
        <w:lastRenderedPageBreak/>
        <w:t>Courier</w:t>
      </w:r>
      <w:r w:rsidRPr="00071CFC">
        <w:rPr>
          <w:sz w:val="20"/>
          <w:szCs w:val="20"/>
        </w:rPr>
        <w:t xml:space="preserve"> published an advertisement from 109 Foe landowners thanking the government for releasing their equity payments while at the same time demanding an immediate investigation of payment of 600,000 Kina to other deregistered incorporated land groups associated with the Kutubu Oil and Gas Project.  Mr. Chris Haiveta, Minister for Petroleum and Energy, attacked the Kutubu landowners, (The </w:t>
      </w:r>
      <w:r w:rsidRPr="00071CFC">
        <w:rPr>
          <w:i/>
          <w:iCs/>
          <w:sz w:val="20"/>
          <w:szCs w:val="20"/>
        </w:rPr>
        <w:t>National,</w:t>
      </w:r>
      <w:r w:rsidRPr="00071CFC">
        <w:rPr>
          <w:sz w:val="20"/>
          <w:szCs w:val="20"/>
        </w:rPr>
        <w:t xml:space="preserve"> March 8, 2001) stating that “a handful of greedy and power hungry landowners were on the verge of destroying Papua New Guinea’s petroleum industry”.</w:t>
      </w:r>
      <w:r w:rsidRPr="00071CFC">
        <w:rPr>
          <w:rStyle w:val="FootnoteReference"/>
          <w:sz w:val="20"/>
          <w:szCs w:val="20"/>
        </w:rPr>
        <w:footnoteReference w:id="3"/>
      </w:r>
      <w:r w:rsidRPr="00071CFC">
        <w:rPr>
          <w:sz w:val="20"/>
          <w:szCs w:val="20"/>
        </w:rPr>
        <w:t xml:space="preserve">  On April 12, 2001, the </w:t>
      </w:r>
      <w:r w:rsidRPr="00071CFC">
        <w:rPr>
          <w:i/>
          <w:iCs/>
          <w:sz w:val="20"/>
          <w:szCs w:val="20"/>
        </w:rPr>
        <w:t>National</w:t>
      </w:r>
      <w:r w:rsidRPr="00071CFC">
        <w:rPr>
          <w:sz w:val="20"/>
          <w:szCs w:val="20"/>
        </w:rPr>
        <w:t xml:space="preserve"> reported that payoffs had been made by Foe leaders to influence politicians to recognize groups as genuine landowning groups from among the disputing Foe landowners. </w:t>
      </w:r>
    </w:p>
    <w:p w14:paraId="07FCE617" w14:textId="77777777" w:rsidR="009F661C" w:rsidRPr="00071CFC" w:rsidRDefault="009F661C" w:rsidP="007E432E">
      <w:pPr>
        <w:ind w:firstLine="284"/>
        <w:jc w:val="both"/>
        <w:rPr>
          <w:sz w:val="20"/>
          <w:szCs w:val="20"/>
        </w:rPr>
      </w:pPr>
      <w:r w:rsidRPr="00071CFC">
        <w:rPr>
          <w:sz w:val="20"/>
          <w:szCs w:val="20"/>
        </w:rPr>
        <w:t xml:space="preserve">It was claimed the newly formed ILGs were no more than family groupings. It was argued that family ILGs are contrary to customary groupings and are purely intended to maximize shares to the families. One may well wonder whether this is in itself such a bad thing or even contrary to the language of the Act.  One could argue that throughout the world societies have been traditionally grouped into families and that this has been customary as opposed to, for example, the abolition of the customary family unit, which Plato proposed for the leadership of the ideal Greek Republic. What is certainly wrong has been the violation of fiduciary duties towards indigenous people by their representative organizations. </w:t>
      </w:r>
      <w:r w:rsidRPr="00071CFC">
        <w:rPr>
          <w:i/>
          <w:sz w:val="20"/>
          <w:szCs w:val="20"/>
        </w:rPr>
        <w:t>The National</w:t>
      </w:r>
      <w:r w:rsidRPr="00071CFC">
        <w:rPr>
          <w:sz w:val="20"/>
          <w:szCs w:val="20"/>
        </w:rPr>
        <w:t xml:space="preserve"> (April 12, 2001) also reported that the “Foe Future Generations Fund” was being recklessly spent by the leadership through hire car, hotel accommodation, aircraft leasing, and payoffs to politicians.</w:t>
      </w:r>
    </w:p>
    <w:p w14:paraId="0C13AE71" w14:textId="77777777" w:rsidR="009F661C" w:rsidRPr="00175696" w:rsidRDefault="009F661C" w:rsidP="004D6926">
      <w:pPr>
        <w:pStyle w:val="h2"/>
        <w:ind w:firstLine="0"/>
      </w:pPr>
      <w:r w:rsidRPr="00175696">
        <w:t>The Forestry Sector</w:t>
      </w:r>
    </w:p>
    <w:p w14:paraId="6A17CD5C" w14:textId="77777777" w:rsidR="009F661C" w:rsidRPr="00071CFC" w:rsidRDefault="009F661C" w:rsidP="004D6926">
      <w:pPr>
        <w:ind w:firstLine="284"/>
        <w:jc w:val="both"/>
        <w:rPr>
          <w:sz w:val="20"/>
          <w:szCs w:val="20"/>
        </w:rPr>
      </w:pPr>
      <w:r w:rsidRPr="00071CFC">
        <w:rPr>
          <w:sz w:val="20"/>
          <w:szCs w:val="20"/>
        </w:rPr>
        <w:t xml:space="preserve">Forestry represents a significant source of export revenue from the non-mineral and petroleum sectors and would if reasonably used to its sustainable potential make a major contribution to Papua New Guinea's national income, as discussed in detail in Chapter Five below. The Incorporated Land Group has grown to prominence within the forestry sector indirectly through legislative response to the Barnett Inquiry of the late 1980s. In reaction to abuses highlighted by the Barnett Inquiry of the late 80s, the new Forestry Act gazetted in 1992 and implemented from 1993 repealed the previous Forestry Act and Forestry (Private Dealings) Act.  </w:t>
      </w:r>
      <w:r w:rsidRPr="00071CFC">
        <w:rPr>
          <w:sz w:val="20"/>
          <w:szCs w:val="20"/>
        </w:rPr>
        <w:lastRenderedPageBreak/>
        <w:t xml:space="preserve">One of the keys to reform was the requirement to form resource owner groups under the </w:t>
      </w:r>
      <w:r w:rsidRPr="00071CFC">
        <w:rPr>
          <w:i/>
          <w:iCs/>
          <w:sz w:val="20"/>
          <w:szCs w:val="20"/>
        </w:rPr>
        <w:t xml:space="preserve">Land Groups Incorporation Act </w:t>
      </w:r>
      <w:r w:rsidRPr="00071CFC">
        <w:rPr>
          <w:sz w:val="20"/>
          <w:szCs w:val="20"/>
        </w:rPr>
        <w:t>(Holzknecht 1996).  As the 2003/2004 Review Team (2004, 28) explains:</w:t>
      </w:r>
    </w:p>
    <w:p w14:paraId="2E2E37FC" w14:textId="77777777" w:rsidR="009F661C" w:rsidRPr="00071CFC" w:rsidRDefault="009F661C" w:rsidP="00380955">
      <w:pPr>
        <w:jc w:val="both"/>
        <w:rPr>
          <w:sz w:val="20"/>
          <w:szCs w:val="20"/>
        </w:rPr>
      </w:pPr>
    </w:p>
    <w:p w14:paraId="3E269829" w14:textId="77777777" w:rsidR="009F661C" w:rsidRPr="00175696" w:rsidRDefault="009F661C" w:rsidP="00F125E4">
      <w:pPr>
        <w:ind w:left="284" w:right="284"/>
        <w:jc w:val="both"/>
        <w:rPr>
          <w:sz w:val="18"/>
          <w:szCs w:val="20"/>
        </w:rPr>
      </w:pPr>
      <w:r w:rsidRPr="00175696">
        <w:rPr>
          <w:sz w:val="18"/>
          <w:szCs w:val="20"/>
        </w:rPr>
        <w:t>Under the Forestry Act 1991, where landowners wish to develop a logging project, they are required to incorporate themselves under the Land Groups Incorporation Act 1974. The State then enters into a Forest Management Agreement with the Incorporated Land Groups. The objective of this change was to ensure improved representation of landowners.</w:t>
      </w:r>
    </w:p>
    <w:p w14:paraId="69A84006" w14:textId="77777777" w:rsidR="009F661C" w:rsidRPr="00071CFC" w:rsidRDefault="009F661C" w:rsidP="00DD170E">
      <w:pPr>
        <w:pStyle w:val="DLText"/>
      </w:pPr>
    </w:p>
    <w:p w14:paraId="76AD0BEE" w14:textId="77777777" w:rsidR="009F661C" w:rsidRPr="00071CFC" w:rsidRDefault="009F661C" w:rsidP="004D6926">
      <w:pPr>
        <w:ind w:firstLine="284"/>
        <w:jc w:val="both"/>
        <w:rPr>
          <w:sz w:val="20"/>
          <w:szCs w:val="20"/>
        </w:rPr>
      </w:pPr>
      <w:r w:rsidRPr="00071CFC">
        <w:rPr>
          <w:sz w:val="20"/>
          <w:szCs w:val="20"/>
        </w:rPr>
        <w:t>Supposedly, these customary groups (sometimes clans), as empowered by the Act, can make fundamental decisions about their land without reference to any other group or approval from any other group (Holznecht 1996, 9).  One needs to keep in mind that they are distinct from landowner companies (formed under the Papua New Guinea Companies Act, itself based on the very similar Acts then pertaining in Queensland and Australia) that do not have to exhibit a customary relationship between shareholders. However the forestry sector has also met with less than successful results in its implementation of the incorporated land group system. More often than not they reflect the initiatives of the developers, in this case the international loggers rather than initiatives of the indigenous people themselves.  The artificiality of the arrangement is therefore difficult to overcome.  This has led to numerous anomalies which have been mentioned elsewhere due to insufficient land owner awareness and ‘inadequately documented’ ILGs (Lea 2005).</w:t>
      </w:r>
    </w:p>
    <w:p w14:paraId="67AF9CEC" w14:textId="77777777" w:rsidR="009F661C" w:rsidRPr="00071CFC" w:rsidRDefault="009F661C" w:rsidP="00380955">
      <w:pPr>
        <w:jc w:val="both"/>
        <w:rPr>
          <w:sz w:val="20"/>
          <w:szCs w:val="20"/>
        </w:rPr>
      </w:pPr>
    </w:p>
    <w:p w14:paraId="5724067D" w14:textId="77777777" w:rsidR="009F661C" w:rsidRPr="00071CFC" w:rsidRDefault="009F661C" w:rsidP="00380955">
      <w:pPr>
        <w:jc w:val="both"/>
        <w:rPr>
          <w:b/>
          <w:bCs/>
          <w:sz w:val="20"/>
          <w:szCs w:val="20"/>
        </w:rPr>
      </w:pPr>
    </w:p>
    <w:p w14:paraId="1C19D3D0" w14:textId="77777777" w:rsidR="009F661C" w:rsidRPr="00071CFC" w:rsidRDefault="009F661C" w:rsidP="00380955">
      <w:pPr>
        <w:jc w:val="both"/>
        <w:rPr>
          <w:b/>
          <w:bCs/>
          <w:sz w:val="20"/>
          <w:szCs w:val="20"/>
        </w:rPr>
      </w:pPr>
    </w:p>
    <w:p w14:paraId="25DF8358" w14:textId="77777777" w:rsidR="009F661C" w:rsidRPr="00071CFC" w:rsidRDefault="009F661C" w:rsidP="00380955">
      <w:pPr>
        <w:jc w:val="both"/>
        <w:rPr>
          <w:b/>
          <w:bCs/>
          <w:sz w:val="20"/>
          <w:szCs w:val="20"/>
        </w:rPr>
      </w:pPr>
    </w:p>
    <w:p w14:paraId="0ABE83F7" w14:textId="77777777" w:rsidR="009F661C" w:rsidRPr="00071CFC" w:rsidRDefault="009F661C" w:rsidP="00380955">
      <w:pPr>
        <w:jc w:val="both"/>
        <w:rPr>
          <w:sz w:val="20"/>
          <w:szCs w:val="20"/>
        </w:rPr>
      </w:pPr>
    </w:p>
    <w:p w14:paraId="49D948A9" w14:textId="77777777" w:rsidR="009F661C" w:rsidRPr="00071CFC" w:rsidRDefault="009F661C" w:rsidP="00380955">
      <w:pPr>
        <w:jc w:val="both"/>
        <w:rPr>
          <w:sz w:val="20"/>
          <w:szCs w:val="20"/>
        </w:rPr>
      </w:pPr>
    </w:p>
    <w:p w14:paraId="2FC5627F" w14:textId="77777777" w:rsidR="009F661C" w:rsidRPr="00071CFC" w:rsidRDefault="009F661C" w:rsidP="00380955">
      <w:pPr>
        <w:jc w:val="both"/>
        <w:rPr>
          <w:sz w:val="20"/>
          <w:szCs w:val="20"/>
        </w:rPr>
        <w:sectPr w:rsidR="009F661C" w:rsidRPr="00071CFC" w:rsidSect="00503FDD">
          <w:headerReference w:type="even" r:id="rId13"/>
          <w:headerReference w:type="default" r:id="rId14"/>
          <w:footerReference w:type="first" r:id="rId15"/>
          <w:footnotePr>
            <w:numRestart w:val="eachSect"/>
          </w:footnotePr>
          <w:type w:val="oddPage"/>
          <w:pgSz w:w="8392" w:h="11907" w:code="11"/>
          <w:pgMar w:top="1418" w:right="1191" w:bottom="851" w:left="1191" w:header="851" w:footer="0" w:gutter="0"/>
          <w:cols w:space="708"/>
          <w:titlePg/>
          <w:docGrid w:linePitch="360"/>
        </w:sectPr>
      </w:pPr>
    </w:p>
    <w:p w14:paraId="42607994" w14:textId="77777777" w:rsidR="009F661C" w:rsidRPr="00175696" w:rsidRDefault="009F661C" w:rsidP="00F125E4">
      <w:pPr>
        <w:pStyle w:val="h1"/>
        <w:rPr>
          <w:b/>
        </w:rPr>
      </w:pPr>
      <w:r w:rsidRPr="00175696">
        <w:lastRenderedPageBreak/>
        <w:t>Chapter Three</w:t>
      </w:r>
    </w:p>
    <w:p w14:paraId="0A24FBA2" w14:textId="77777777" w:rsidR="009F661C" w:rsidRPr="00175696" w:rsidRDefault="009F661C" w:rsidP="00F125E4">
      <w:pPr>
        <w:pStyle w:val="h1"/>
      </w:pPr>
      <w:r w:rsidRPr="00175696">
        <w:t xml:space="preserve">The Integration of Custom </w:t>
      </w:r>
      <w:r w:rsidRPr="00175696">
        <w:br/>
        <w:t>into Papua New Guinea Law</w:t>
      </w:r>
    </w:p>
    <w:p w14:paraId="47D639A9" w14:textId="77777777" w:rsidR="009F661C" w:rsidRDefault="009F661C" w:rsidP="003E764F">
      <w:pPr>
        <w:pStyle w:val="DLText"/>
      </w:pPr>
    </w:p>
    <w:p w14:paraId="006EF100" w14:textId="77777777" w:rsidR="009F661C" w:rsidRDefault="009F661C" w:rsidP="003E764F">
      <w:pPr>
        <w:pStyle w:val="DLText"/>
      </w:pPr>
    </w:p>
    <w:p w14:paraId="3B202FFE" w14:textId="77777777" w:rsidR="009F661C" w:rsidRPr="00071CFC" w:rsidRDefault="009F661C" w:rsidP="003E764F">
      <w:pPr>
        <w:pStyle w:val="DLText"/>
      </w:pPr>
    </w:p>
    <w:p w14:paraId="5CDDF672" w14:textId="77777777" w:rsidR="009F661C" w:rsidRPr="00071CFC" w:rsidRDefault="009F661C" w:rsidP="003E764F">
      <w:pPr>
        <w:pStyle w:val="DLText"/>
      </w:pPr>
      <w:r w:rsidRPr="00071CFC">
        <w:t>At Independence (16 September 1975) Papua New Guinea's Constitution states intent to "enforce custom as part of the underlying law". At the time most of its law was perforce based on English common law including until replaced by its own statutes many adopted English and Australian statutes (for example,  the Criminal Code Ch.262 and until 1996 Queensland's version of England's Companies Act, Ch.46).</w:t>
      </w:r>
    </w:p>
    <w:p w14:paraId="4A444A2E" w14:textId="77777777" w:rsidR="009F661C" w:rsidRPr="00071CFC" w:rsidRDefault="009F661C" w:rsidP="003E764F">
      <w:pPr>
        <w:pStyle w:val="DLText"/>
      </w:pPr>
      <w:r w:rsidRPr="00071CFC">
        <w:t>It is well known in circles associated with legal philosophy and jurisprudence that the English philosopher of law, H.L.A. Hart (1961, 89-91), did not believe that custom could discharge the functions of a true legal system.</w:t>
      </w:r>
      <w:r w:rsidRPr="00071CFC">
        <w:rPr>
          <w:b/>
          <w:bCs/>
        </w:rPr>
        <w:t xml:space="preserve"> </w:t>
      </w:r>
      <w:r w:rsidRPr="00071CFC">
        <w:t xml:space="preserve">In his </w:t>
      </w:r>
      <w:r w:rsidRPr="00071CFC">
        <w:rPr>
          <w:i/>
          <w:iCs/>
        </w:rPr>
        <w:t>Concept of Law</w:t>
      </w:r>
      <w:r w:rsidRPr="00071CFC">
        <w:t xml:space="preserve"> Hart sought to provide a comprehensive account of the essential characteristics of a legal system that would incorporate and extend the traditions described by John Austin (1995) and Hans Kelsen (1945) among others. Hart necessarily found himself distinguishing law from related phenomena such as custom and ethics.  He argued that custom is defective in three respects. The first defect he termed the ‘defect of uncertainty’, the second, the defect of the ‘static character’, and the third, the ‘defect of inefficiency’.  The defect of uncertainty refers to the absence of an independent authority to identify the relevant principle. The defect of ‘static character’ refers to the lack of a formal procedure for changing or modifying the rules. The ‘defect of inefficiency’ means the lack of an independent judiciary to adjudicate violations. Therefore, a society that relies on custom alone to govern its activities is deficient in these areas.</w:t>
      </w:r>
    </w:p>
    <w:p w14:paraId="38DEAD97" w14:textId="77777777" w:rsidR="009F661C" w:rsidRPr="00071CFC" w:rsidRDefault="009F661C" w:rsidP="003E764F">
      <w:pPr>
        <w:pStyle w:val="DLText"/>
      </w:pPr>
      <w:r w:rsidRPr="00071CFC">
        <w:t xml:space="preserve">One can summarize and state that for Hart the central defect posed by custom when operating as law is the defect of “uncertainty”, which means we do not have the necessary criteria to certify the validity of an alleged custom independent of the statements of the “authorities”. Thus the use of custom creates a level of uncertainty for a putative legal system, which must struggle to interact with and interpret a possible diversity of local customs.  For example, formal legal systems often make use of published codes to which one can refer to verify the reality of an alleged law. In order to make </w:t>
      </w:r>
      <w:r w:rsidRPr="00071CFC">
        <w:lastRenderedPageBreak/>
        <w:t xml:space="preserve">custom operative in legal decision making, authorities must work to learn and identify customary practice without the aid of a published code and recorded legal precedent. However, custom does overcome the defect of uncertainty when it is incorporated into legal decision making in some published form, which then becomes a precedent for future decisions as in the English common law.  Of course this means that custom to be viable must be consistently applied once it is incorporated into an existing body of law. </w:t>
      </w:r>
    </w:p>
    <w:p w14:paraId="51B63C64" w14:textId="77777777" w:rsidR="009F661C" w:rsidRPr="00071CFC" w:rsidRDefault="009F661C" w:rsidP="003E764F">
      <w:pPr>
        <w:pStyle w:val="DLText"/>
      </w:pPr>
      <w:r w:rsidRPr="00071CFC">
        <w:t xml:space="preserve">In this chapter we consider the status of custom as law.  Those who regard custom as a functioning system of law also tend to regard ownership's titles, 'incidents', rights and liabilities, to be defined by custom no less ambiguously that than by formal codified law. Customary rights and liabilities, it is claimed, may be accessed through oral traditions just as property rights in modern Western countries are understood either through codified laws as in much of western Europe including Scotland with its Roman-Dutch law, or else by common law as in England. Proponents therefore, assume that custom can be relied upon as with codified law to provide a set of unambiguous objectively recognized rules that can serve as reliable guides to settle disputes and determine rights. </w:t>
      </w:r>
    </w:p>
    <w:p w14:paraId="5737AD8E" w14:textId="77777777" w:rsidR="009F661C" w:rsidRDefault="009F661C" w:rsidP="003E764F">
      <w:pPr>
        <w:pStyle w:val="DLText"/>
      </w:pPr>
      <w:r w:rsidRPr="00071CFC">
        <w:t xml:space="preserve">Indeed, there are areas of everyday life in Papua New Guinea where customary law does function as well as, perhaps even better than, common or code law. For example, customary systems of inheritance, whether </w:t>
      </w:r>
      <w:r w:rsidRPr="00C719F8">
        <w:rPr>
          <w:spacing w:val="-2"/>
        </w:rPr>
        <w:t>matrilineal or patrilineal, provide rules for determining rights of succession</w:t>
      </w:r>
      <w:r w:rsidRPr="00071CFC">
        <w:t xml:space="preserve"> to assets of deceased persons, whereas in the absence of such general rules, English common law has failed to prevent constant litigation by those contesting wills that conflict with perceived but failed rights of inheritance. But here custom may also have its limitations. </w:t>
      </w:r>
    </w:p>
    <w:p w14:paraId="0E0A09A4" w14:textId="77777777" w:rsidR="009F661C" w:rsidRPr="00071CFC" w:rsidRDefault="009F661C" w:rsidP="003E764F">
      <w:pPr>
        <w:pStyle w:val="DLText"/>
      </w:pPr>
      <w:r w:rsidRPr="00071CFC">
        <w:t xml:space="preserve">Some have seen the immediate </w:t>
      </w:r>
      <w:r w:rsidRPr="00071CFC">
        <w:rPr>
          <w:i/>
          <w:iCs/>
        </w:rPr>
        <w:t>casus belli</w:t>
      </w:r>
      <w:r w:rsidRPr="00071CFC">
        <w:t xml:space="preserve"> - or cause of conflict - in the case of the Panguna mine in Bougainville in the discontent of Francis Ona (the leader of the secessionist movement and its campaign to close the mine) with his likely nil inheritance of rights to royalty and other income from the mine, because under the matrilineal system, on his mother's death her rights would revert not to her son but to her brother </w:t>
      </w:r>
      <w:r>
        <w:t xml:space="preserve">Matthew Kove </w:t>
      </w:r>
      <w:r w:rsidRPr="00071CFC">
        <w:t>(</w:t>
      </w:r>
      <w:r>
        <w:t xml:space="preserve">a  known recipient of large compensation payments, </w:t>
      </w:r>
      <w:r w:rsidRPr="00071CFC">
        <w:t>who</w:t>
      </w:r>
      <w:r>
        <w:t>se “disappearance</w:t>
      </w:r>
      <w:r w:rsidRPr="00071CFC">
        <w:t xml:space="preserve"> </w:t>
      </w:r>
      <w:r>
        <w:t>and apparent demise” in January 1989,  has never been explained, although it has been suggested that he was</w:t>
      </w:r>
      <w:r w:rsidRPr="00071CFC">
        <w:t xml:space="preserve"> murdered by Ona</w:t>
      </w:r>
      <w:r>
        <w:t xml:space="preserve"> or his associate militants to secure reversion of his rights to Ona). As Carruthers (1990) puts it, “it is not widely known that this disharmony over the distribution of the compensation money, </w:t>
      </w:r>
      <w:r w:rsidRPr="00E043ED">
        <w:rPr>
          <w:i/>
        </w:rPr>
        <w:t>which had its roots in the problems of clan, kinship and traditional land rights, was at the origin and heart of the crisis</w:t>
      </w:r>
      <w:r>
        <w:t>”</w:t>
      </w:r>
      <w:r w:rsidRPr="00071CFC">
        <w:t xml:space="preserve"> </w:t>
      </w:r>
      <w:r>
        <w:t xml:space="preserve">(in May and Spriggs, 1990:40, our italics; see also Filer 1990 on the </w:t>
      </w:r>
      <w:r>
        <w:lastRenderedPageBreak/>
        <w:t>“assassination of Matthew Kove….by the ‘militants’…” in May and Spriggs 1990:94).</w:t>
      </w:r>
    </w:p>
    <w:p w14:paraId="32207F04" w14:textId="77777777" w:rsidR="009F661C" w:rsidRPr="00071CFC" w:rsidRDefault="009F661C" w:rsidP="003E764F">
      <w:pPr>
        <w:pStyle w:val="DLText"/>
      </w:pPr>
      <w:r w:rsidRPr="00071CFC">
        <w:t>Although there is a strong tradition in the literature on the South Pacific that contends that custom can supply all the answers posed by laws in other countries (Ward 1975; Power 1988; Cooter 1991),</w:t>
      </w:r>
      <w:r w:rsidRPr="00071CFC">
        <w:rPr>
          <w:rStyle w:val="FootnoteReference"/>
          <w:b/>
          <w:bCs/>
        </w:rPr>
        <w:t xml:space="preserve"> </w:t>
      </w:r>
      <w:r w:rsidRPr="00071CFC">
        <w:t>that tradition discounts the reality noted by Rod Taylor (1997) that "custom is unwritten, constantly evolving, and differs from place to place. Customary authority is not administered by discrete and accessible institutions, but pervades all facets of village life." Taylor (1997, 261) goes on to cite the suggestion by Ward and Kingdon (1995, 15) that many practices adopted in the Pacific islands to meet new circumstances are "neither traditional, nor customary, nor legal". On the other hand, Robert Cooter (1991), a well known American constitutional lawyer states with reference to custom in Papua New Guinea, "…customary law is living law, with the power to adapt, not as a static list of regulations."  However what Cooter meant was that customary law was much like English common law, developing on the basis of experience, as opposed to more codified legal systems like Roman-Dutch law or the Code Napoleon. But it is possible Cooter did not recognize the risk that customary law's very adaptability could destroy that certainty which is the cornerstone of the rule of law. In other words, custom suffers from what Hart called the “defect of uncertainty”.</w:t>
      </w:r>
    </w:p>
    <w:p w14:paraId="23B59D43" w14:textId="77777777" w:rsidR="009F661C" w:rsidRPr="00071CFC" w:rsidRDefault="009F661C" w:rsidP="003E764F">
      <w:pPr>
        <w:pStyle w:val="DLText"/>
      </w:pPr>
      <w:r w:rsidRPr="00071CFC">
        <w:t xml:space="preserve">However Arnold Amet, (later Chief Justice) who heard a case brought in 1991 by claimants to the area of the Hides Gas Project in Southern Highlands Province, cited Cooter's earlier work (Cooter 1989) in his judgment. In this case the defendants had been identified by the project's developer, British Petroleum, as presently occupying and using the land, whilst the complainants were clans of the Tuguba tribe then living in Komo. The Tuguba clans claimed that they were the true and original owners by custom, as both their genealogies and the fact that the physical features of the project area had all been named after their ancestors showed them to be the original discoverers and inhabitants. The defendants, from the Hiwa tribe, also relied on genealogies going back 16 generations (i.e. to the 16th century), but could also point to their influence on the style of houses and on the Huli language actually spoken in the project area. </w:t>
      </w:r>
    </w:p>
    <w:p w14:paraId="095EE0E5" w14:textId="77777777" w:rsidR="009F661C" w:rsidRPr="00071CFC" w:rsidRDefault="009F661C" w:rsidP="003E764F">
      <w:pPr>
        <w:pStyle w:val="DLText"/>
      </w:pPr>
      <w:r w:rsidRPr="00071CFC">
        <w:t xml:space="preserve">Judge Amet's conclusion was that the defendants' case conformed to Cooter's "principles" of Melanesian customary law, for example that they had "adverse possession" - "a group that resides upon or improves land without the permission or active opposition from others thereby owns it" - and that the Tuguba had no "unqualified right of return" to their ancestral lands. In effect customary law as interpreted by Cooter and Amet in this case reached the same conclusion to be expected from common law, since </w:t>
      </w:r>
      <w:r w:rsidRPr="00071CFC">
        <w:lastRenderedPageBreak/>
        <w:t>clearly the Hiwa had not been paying rent or showing other obligations to the Tuguba as the putative original owners. The Tuguba's interest in the project area only resurfaced after they became aware of the possibility of the Hides gas project being developed.</w:t>
      </w:r>
    </w:p>
    <w:p w14:paraId="17E66498" w14:textId="77777777" w:rsidR="009F661C" w:rsidRPr="00071CFC" w:rsidRDefault="009F661C" w:rsidP="003E764F">
      <w:pPr>
        <w:pStyle w:val="DLText"/>
      </w:pPr>
      <w:r w:rsidRPr="00071CFC">
        <w:t>In finding for the defendants, Judge Amet stressed the importance in such disputes of the need for some stability, consistency and certainty of decision making as to ownership of land and natural resources for the purposes of harvesting, exploitation, and development of the same in the long term national interest. "To this end the decisions of conflict-resolving tribunals need to be based on principles that are fashioned on facts and circumstances which are relatively current and recent, and not too ancient" (Amet 1993).</w:t>
      </w:r>
    </w:p>
    <w:p w14:paraId="7CADE5EB" w14:textId="77777777" w:rsidR="009F661C" w:rsidRPr="00071CFC" w:rsidRDefault="009F661C" w:rsidP="003E764F">
      <w:pPr>
        <w:pStyle w:val="DLText"/>
      </w:pPr>
      <w:r w:rsidRPr="00071CFC">
        <w:t xml:space="preserve">Cooter would not have dissented. His 1989 monograph dealt not only with the absorption of customary law into Papua New Guinea's inherited English common law but also with the practicalities of land registration. We shall discuss Cooter's views on registration in Chapter Nine. Here we notice his descriptions of how in many instances customary law, at least in regard to land ownership disputes, came to much the same conclusions as one would find in adjudications of land disputes in England in the sixteenth and seventeenth centuries. </w:t>
      </w:r>
    </w:p>
    <w:p w14:paraId="365A6C3F" w14:textId="77777777" w:rsidR="009F661C" w:rsidRPr="00071CFC" w:rsidRDefault="009F661C" w:rsidP="003E764F">
      <w:pPr>
        <w:pStyle w:val="DLText"/>
      </w:pPr>
      <w:r w:rsidRPr="00071CFC">
        <w:rPr>
          <w:lang w:val="en-GB"/>
        </w:rPr>
        <w:t xml:space="preserve">In many cases custom has been successfully incorporated into the law where a series of judgments has to some extent succeeded in bridging the divide between custom and law. For example, judgment in the case Golpak v Kali and others steered a course between customary forms of inheritance and ownership of land on one side and contract law on the other: </w:t>
      </w:r>
    </w:p>
    <w:p w14:paraId="45F77ABD" w14:textId="77777777" w:rsidR="009F661C" w:rsidRPr="00071CFC" w:rsidRDefault="009F661C" w:rsidP="00DD170E">
      <w:pPr>
        <w:pStyle w:val="DLText"/>
      </w:pPr>
    </w:p>
    <w:p w14:paraId="422C73EF" w14:textId="77777777" w:rsidR="009F661C" w:rsidRPr="00175696" w:rsidRDefault="009F661C" w:rsidP="00C719F8">
      <w:pPr>
        <w:pStyle w:val="DLQuotes"/>
        <w:rPr>
          <w:szCs w:val="20"/>
          <w:lang w:val="en-GB"/>
        </w:rPr>
      </w:pPr>
      <w:r w:rsidRPr="00175696">
        <w:rPr>
          <w:szCs w:val="20"/>
          <w:lang w:val="en-GB"/>
        </w:rPr>
        <w:t>The plaintiff claimed to have acquired land under the matrilineal system of inheritance, whilst the fifth and sixth defendants' claim was on the basis of a different (patrilineal) inheritance system. The plaintiff sought declarations and mandatory injunctions relating to a contract for the use of the disputed land entered into by the defendants. He claimed that the defendants had no customary title to the land and therefore could not make the contract (Doherty 1996).</w:t>
      </w:r>
    </w:p>
    <w:p w14:paraId="3E687868" w14:textId="77777777" w:rsidR="009F661C" w:rsidRPr="00071CFC" w:rsidRDefault="009F661C" w:rsidP="00DD170E">
      <w:pPr>
        <w:pStyle w:val="DLText"/>
      </w:pPr>
    </w:p>
    <w:p w14:paraId="48E00CCA" w14:textId="77777777" w:rsidR="009F661C" w:rsidRPr="00071CFC" w:rsidRDefault="009F661C" w:rsidP="00DD170E">
      <w:pPr>
        <w:pStyle w:val="DLText"/>
      </w:pPr>
      <w:r w:rsidRPr="00071CFC">
        <w:t xml:space="preserve">The judge (T. Doherty) ruled first that if the land is customary land, Part IX of the Land Act would apply to it, and second that the dispute over which form of inheritance should apply was a matter for the Land Disputes Settlement Act, which however in turn stated at Section 26 that Local Land Courts had general jurisdiction over a dispute over land within its area. Thus whilst the National Court (1996) resiled from its rights to adjudicate in terms of the Constitution of Papua New Guinea (s.155), it passed on its rights to the Local Land Court, at least so far as the determination of ownership of </w:t>
      </w:r>
      <w:r w:rsidRPr="00071CFC">
        <w:lastRenderedPageBreak/>
        <w:t xml:space="preserve">the land in issue. In this way an apparently harmonious compromise was reached between customary and statute law. </w:t>
      </w:r>
    </w:p>
    <w:p w14:paraId="56578782" w14:textId="77777777" w:rsidR="009F661C" w:rsidRPr="00175696" w:rsidRDefault="009F661C" w:rsidP="00C719F8">
      <w:pPr>
        <w:pStyle w:val="h2"/>
        <w:ind w:firstLine="0"/>
      </w:pPr>
      <w:r w:rsidRPr="00175696">
        <w:t>Identification of Relevant Customs</w:t>
      </w:r>
    </w:p>
    <w:p w14:paraId="76F6762B" w14:textId="77777777" w:rsidR="009F661C" w:rsidRPr="00071CFC" w:rsidRDefault="009F661C" w:rsidP="003E764F">
      <w:pPr>
        <w:pStyle w:val="DLText"/>
        <w:rPr>
          <w:b/>
          <w:bCs/>
        </w:rPr>
      </w:pPr>
      <w:r w:rsidRPr="00071CFC">
        <w:t xml:space="preserve">Notwithstanding whether custom in content improves or detracts from the existing Anglo-Australian common law, the underlying problem is one of identifying and establishing the existence of a given custom. Once custom is introduced into an existing body of published law the problem of uncertainty begins to be solved. However, what methodology do we utilize to certify that a specific practice exists and has the status of custom and is not just a manufactured response to a given set of specific circumstances. John Nonggor, a respected Papua New Guinean constitutional lawyer and Law professor, notes that Ch.19 of the </w:t>
      </w:r>
      <w:r w:rsidRPr="00071CFC">
        <w:rPr>
          <w:i/>
          <w:iCs/>
        </w:rPr>
        <w:t>Customs Recognition Act</w:t>
      </w:r>
      <w:r w:rsidRPr="00071CFC">
        <w:t xml:space="preserve"> retains a "colonial principle" laid down by the Privy Council in a case from the then Gold Coast (now Ghana), that customary law has to be proved as fact:</w:t>
      </w:r>
    </w:p>
    <w:p w14:paraId="682037B2" w14:textId="77777777" w:rsidR="009F661C" w:rsidRPr="00071CFC" w:rsidRDefault="009F661C" w:rsidP="00380955">
      <w:pPr>
        <w:pStyle w:val="BodyText"/>
        <w:ind w:firstLine="540"/>
        <w:jc w:val="both"/>
        <w:rPr>
          <w:b w:val="0"/>
          <w:bCs w:val="0"/>
          <w:sz w:val="20"/>
          <w:szCs w:val="20"/>
        </w:rPr>
      </w:pPr>
    </w:p>
    <w:p w14:paraId="37058D0B" w14:textId="77777777" w:rsidR="009F661C" w:rsidRPr="00175696" w:rsidRDefault="009F661C" w:rsidP="00C719F8">
      <w:pPr>
        <w:ind w:left="284" w:right="284"/>
        <w:jc w:val="both"/>
        <w:rPr>
          <w:sz w:val="18"/>
        </w:rPr>
      </w:pPr>
      <w:r w:rsidRPr="00175696">
        <w:rPr>
          <w:sz w:val="18"/>
        </w:rPr>
        <w:t>As is the case with all customary law, it has to be proved in the first instance by calling witnesses acquainted with the native customs until the particular customs have, by frequent proof in the courts, become so notorious that the courts will take judicious notice of them (Nonggor 1995, 73).</w:t>
      </w:r>
    </w:p>
    <w:p w14:paraId="6B00AF9E" w14:textId="77777777" w:rsidR="009F661C" w:rsidRPr="00071CFC" w:rsidRDefault="009F661C" w:rsidP="00380955">
      <w:pPr>
        <w:pStyle w:val="BodyText"/>
        <w:ind w:left="540"/>
        <w:jc w:val="both"/>
        <w:rPr>
          <w:b w:val="0"/>
          <w:bCs w:val="0"/>
          <w:sz w:val="20"/>
          <w:szCs w:val="20"/>
        </w:rPr>
      </w:pPr>
    </w:p>
    <w:p w14:paraId="145E2B53" w14:textId="77777777" w:rsidR="009F661C" w:rsidRPr="00071CFC" w:rsidRDefault="009F661C" w:rsidP="003E764F">
      <w:pPr>
        <w:pStyle w:val="DLText"/>
        <w:rPr>
          <w:b/>
          <w:bCs/>
        </w:rPr>
      </w:pPr>
      <w:r w:rsidRPr="00071CFC">
        <w:t xml:space="preserve">These remarks underline an additional problem in so far as a given practice may have a local origin and lack application beyond a limited locality and therefore the need to rely heavily on local authorities.  In each case one must go beyond existing law and identify relevant witnesses to attest to the relevance of a given local custom that can serve as the principle by which to decide the case at hand. This puts an additional strain on the legal system because it adds an additional evidentiary process to establish the relevant custom which is presumed to have the appropriate legal effect. This additional step is simply absent when courts apply existing published law.  Nonggor states that this principle of proof of existence of customary law in particular instances had tended to be ignored in Papua New Guinea, with common law being applied in most cases (Nonggor 1995, 74). This seems pragmatic rather than perverse, given that English common law itself largely grew out of custom almost exactly as described by the Privy Council - our common humanity ensures that we have common predispositions as to what is right, and common tendencies to deviations from both what is right and law emerges from their repetition. Moreover the long tradition of “natural law” theory offers strong evidence of the reasonableness of a belief in the universal human recognition of underlying principles of right and wrong.  However, Nonggor goes on to note specific areas of law where </w:t>
      </w:r>
      <w:r w:rsidRPr="00071CFC">
        <w:lastRenderedPageBreak/>
        <w:t xml:space="preserve">custom has been entrenched, as in the Wills, Probate and Administration Act Ch. 291 and in regard to marriage, divorce, and custody, but that "in the criminal law area customary law has played a relatively limited role"(Dinnen 1995). </w:t>
      </w:r>
    </w:p>
    <w:p w14:paraId="7BB0CA6B" w14:textId="77777777" w:rsidR="009F661C" w:rsidRPr="00175696" w:rsidRDefault="009F661C" w:rsidP="003E764F">
      <w:pPr>
        <w:pStyle w:val="DLHeading2"/>
      </w:pPr>
      <w:r w:rsidRPr="00175696">
        <w:t>The Issue of Consistency</w:t>
      </w:r>
    </w:p>
    <w:p w14:paraId="48525EB6" w14:textId="77777777" w:rsidR="009F661C" w:rsidRPr="00071CFC" w:rsidRDefault="009F661C" w:rsidP="00222F74">
      <w:pPr>
        <w:pStyle w:val="DLText"/>
        <w:rPr>
          <w:b/>
          <w:bCs/>
        </w:rPr>
      </w:pPr>
      <w:r w:rsidRPr="00071CFC">
        <w:t xml:space="preserve">Having established the factuality of certain customary practices, custom can only continue to serve as a viable source of law if it is articulated in general principles that are consistently followed. But general principles will prove to be difficult to maintain in circumstances where one deals with a diversity of different local customs, as this diversity strains and complicates a legal fabric of general principles by introducing numerous qualifications and exceptions tied to local practices and traditions. As the body of recorded law expands to include this diversity, the required legal expertise must also keep apace.  Accordingly Robert Cooter, for example, urged that training of land magistrates should go beyond study of legislation like the </w:t>
      </w:r>
      <w:r w:rsidRPr="00071CFC">
        <w:rPr>
          <w:i/>
          <w:iCs/>
        </w:rPr>
        <w:t>Land Disputes Settlement</w:t>
      </w:r>
      <w:r w:rsidRPr="00071CFC">
        <w:t xml:space="preserve"> </w:t>
      </w:r>
      <w:r w:rsidRPr="00071CFC">
        <w:rPr>
          <w:i/>
          <w:iCs/>
        </w:rPr>
        <w:t>Act</w:t>
      </w:r>
      <w:r w:rsidRPr="00071CFC">
        <w:t xml:space="preserve"> - "in addition to the legislation they need to read, discuss, and analyse cases in which the courts find the general principles that underlie customary practices... [also] the land magistrates need to circulate and discuss their written opinions. The common law process is carried out by an intellectual community consisting of court officials, lawyers, and scholars" (Cooter 1989, 5).</w:t>
      </w:r>
    </w:p>
    <w:p w14:paraId="1B083F11" w14:textId="77777777" w:rsidR="009F661C" w:rsidRPr="00071CFC" w:rsidRDefault="009F661C" w:rsidP="007E432E">
      <w:pPr>
        <w:pStyle w:val="DLText"/>
      </w:pPr>
      <w:r w:rsidRPr="00071CFC">
        <w:t>As of 1994 the lower level Local Land Court system was in fact operating perfectly well, in East New Britain at least, as shown by another case that came before Judge Doherty in Rabaul, Meriba Tomakala v Robin Meriba (the latter being son of the former) (</w:t>
      </w:r>
      <w:r w:rsidRPr="00071CFC">
        <w:rPr>
          <w:i/>
          <w:iCs/>
        </w:rPr>
        <w:t>Papua New Guinea Law Reports 1994</w:t>
      </w:r>
      <w:r w:rsidRPr="00071CFC">
        <w:t xml:space="preserve">, 10-14). The Local Land Court had found for the appellant (the father) as being the sole and exclusive owner of the disputed land, on the grounds that "he developed the land, he bought the land, he spent most of his time and money on the land, and the improvements were expensive". On appeal, the Provincial Land Court upheld the order but added that the owner's children could apply for an injunction if he tried to bequeath the land to his customary clansmen rather than to them, an interesting attempt at modifying customary inheritance rules. The appellant then applied to have his land registered under the </w:t>
      </w:r>
      <w:r w:rsidRPr="00071CFC">
        <w:rPr>
          <w:i/>
          <w:iCs/>
        </w:rPr>
        <w:t xml:space="preserve">Land (Tenure </w:t>
      </w:r>
      <w:r w:rsidRPr="00C719F8">
        <w:rPr>
          <w:i/>
          <w:iCs/>
          <w:spacing w:val="-2"/>
        </w:rPr>
        <w:t>Conversion) Act</w:t>
      </w:r>
      <w:r w:rsidRPr="00C719F8">
        <w:rPr>
          <w:spacing w:val="-2"/>
        </w:rPr>
        <w:t>, and the children objected. The Land Titles Commissioner</w:t>
      </w:r>
      <w:r w:rsidRPr="00071CFC">
        <w:t xml:space="preserve"> refused to approve the registration "because all persons interested were not in agreement". </w:t>
      </w:r>
    </w:p>
    <w:p w14:paraId="26682593" w14:textId="77777777" w:rsidR="009F661C" w:rsidRPr="00071CFC" w:rsidRDefault="009F661C" w:rsidP="00380955">
      <w:pPr>
        <w:ind w:firstLine="720"/>
        <w:jc w:val="both"/>
        <w:rPr>
          <w:sz w:val="20"/>
          <w:szCs w:val="20"/>
        </w:rPr>
      </w:pPr>
    </w:p>
    <w:p w14:paraId="04764D4D" w14:textId="77777777" w:rsidR="009F661C" w:rsidRPr="00071CFC" w:rsidRDefault="009F661C" w:rsidP="0035258A">
      <w:pPr>
        <w:pStyle w:val="DLText"/>
      </w:pPr>
      <w:r w:rsidRPr="00071CFC">
        <w:t>Hence the appeal to the National Court. Judge Doherty held that:</w:t>
      </w:r>
    </w:p>
    <w:p w14:paraId="49802EBB" w14:textId="77777777" w:rsidR="009F661C" w:rsidRPr="00071CFC" w:rsidRDefault="009F661C" w:rsidP="00E70287">
      <w:pPr>
        <w:numPr>
          <w:ilvl w:val="0"/>
          <w:numId w:val="8"/>
        </w:numPr>
        <w:tabs>
          <w:tab w:val="clear" w:pos="787"/>
          <w:tab w:val="num" w:pos="567"/>
        </w:tabs>
        <w:ind w:left="567" w:hanging="283"/>
        <w:jc w:val="both"/>
        <w:rPr>
          <w:sz w:val="20"/>
          <w:szCs w:val="20"/>
        </w:rPr>
      </w:pPr>
      <w:r w:rsidRPr="00071CFC">
        <w:rPr>
          <w:sz w:val="20"/>
          <w:szCs w:val="20"/>
        </w:rPr>
        <w:lastRenderedPageBreak/>
        <w:t>The Provincial Land Court had no power to both uphold and vary the Local Land Court's  decision;</w:t>
      </w:r>
    </w:p>
    <w:p w14:paraId="558D98C5" w14:textId="77777777" w:rsidR="009F661C" w:rsidRPr="00071CFC" w:rsidRDefault="009F661C" w:rsidP="00E70287">
      <w:pPr>
        <w:numPr>
          <w:ilvl w:val="0"/>
          <w:numId w:val="8"/>
        </w:numPr>
        <w:tabs>
          <w:tab w:val="clear" w:pos="787"/>
          <w:tab w:val="num" w:pos="567"/>
        </w:tabs>
        <w:ind w:left="567" w:hanging="283"/>
        <w:jc w:val="both"/>
        <w:rPr>
          <w:sz w:val="20"/>
          <w:szCs w:val="20"/>
        </w:rPr>
      </w:pPr>
      <w:r w:rsidRPr="00071CFC">
        <w:rPr>
          <w:sz w:val="20"/>
          <w:szCs w:val="20"/>
        </w:rPr>
        <w:t>The Lands Title Commissioner did not have the power to refuse registration on the grounds stated of a potential future interest in the land of the appellant's children;</w:t>
      </w:r>
    </w:p>
    <w:p w14:paraId="342A996E" w14:textId="77777777" w:rsidR="009F661C" w:rsidRPr="00071CFC" w:rsidRDefault="009F661C" w:rsidP="00E70287">
      <w:pPr>
        <w:numPr>
          <w:ilvl w:val="0"/>
          <w:numId w:val="8"/>
        </w:numPr>
        <w:tabs>
          <w:tab w:val="clear" w:pos="787"/>
          <w:tab w:val="num" w:pos="567"/>
        </w:tabs>
        <w:ind w:left="567" w:hanging="283"/>
        <w:jc w:val="both"/>
        <w:rPr>
          <w:sz w:val="20"/>
          <w:szCs w:val="20"/>
        </w:rPr>
      </w:pPr>
      <w:r w:rsidRPr="00071CFC">
        <w:rPr>
          <w:sz w:val="20"/>
          <w:szCs w:val="20"/>
        </w:rPr>
        <w:t>The Local Land Court's decision to grant exclusive title to the appellant (the father) was correct in law;</w:t>
      </w:r>
    </w:p>
    <w:p w14:paraId="614CDEF6" w14:textId="77777777" w:rsidR="009F661C" w:rsidRPr="00071CFC" w:rsidRDefault="009F661C" w:rsidP="00E70287">
      <w:pPr>
        <w:numPr>
          <w:ilvl w:val="0"/>
          <w:numId w:val="8"/>
        </w:numPr>
        <w:tabs>
          <w:tab w:val="clear" w:pos="787"/>
          <w:tab w:val="num" w:pos="567"/>
        </w:tabs>
        <w:ind w:left="567" w:hanging="283"/>
        <w:jc w:val="both"/>
        <w:rPr>
          <w:sz w:val="20"/>
          <w:szCs w:val="20"/>
        </w:rPr>
      </w:pPr>
      <w:r w:rsidRPr="00071CFC">
        <w:rPr>
          <w:sz w:val="20"/>
          <w:szCs w:val="20"/>
        </w:rPr>
        <w:t>The appeal was upheld.</w:t>
      </w:r>
    </w:p>
    <w:p w14:paraId="5D126094" w14:textId="77777777" w:rsidR="009F661C" w:rsidRPr="00071CFC" w:rsidRDefault="009F661C" w:rsidP="007D0690">
      <w:pPr>
        <w:pStyle w:val="DLText"/>
      </w:pPr>
    </w:p>
    <w:p w14:paraId="250FE61C" w14:textId="77777777" w:rsidR="009F661C" w:rsidRPr="00071CFC" w:rsidRDefault="009F661C" w:rsidP="007D0690">
      <w:pPr>
        <w:pStyle w:val="DLText"/>
      </w:pPr>
      <w:r w:rsidRPr="00071CFC">
        <w:t>These cases illustrate what appears to be a harmonious integration of law and custom for the settlement of land disputes, and suggest that over time in some parts of Papua New Guinea at least there is a move towards formalising land tenure along the lines advocated in this Chapter.</w:t>
      </w:r>
    </w:p>
    <w:p w14:paraId="6DFB7991" w14:textId="77777777" w:rsidR="009F661C" w:rsidRPr="00071CFC" w:rsidRDefault="009F661C" w:rsidP="007D0690">
      <w:pPr>
        <w:pStyle w:val="DLText"/>
      </w:pPr>
      <w:r w:rsidRPr="00071CFC">
        <w:t>Unfortunately optimism that Papua New Guinea was making good progress in integrating customary land law into the country's statute and common law was looking rather fragile by the turn of the century. In a "shock decision" in January 2003 the local land court in Madang ruled that Ramu Sugar Ltd, a long established operation, had been making lease rentals and other payments to the "wrong landowners" (see Box # 2.3.). Subject to confirmation by the National Court, the local land court seems to have disregarded the precedent established by Judge Amet in the Hides gas field case noted above, that land groups claiming to be the "original" landowners would need to do more than merely assert their priority over longstanding current residents.</w:t>
      </w:r>
    </w:p>
    <w:p w14:paraId="63738EC2" w14:textId="77777777" w:rsidR="009F661C" w:rsidRPr="00071CFC" w:rsidRDefault="009F661C" w:rsidP="007D0690">
      <w:pPr>
        <w:pStyle w:val="DLText"/>
      </w:pPr>
      <w:r w:rsidRPr="00071CFC">
        <w:t>There could be situations where custom may well operate in opposition to the rule of law and perform other roles that frustrate the designs of a formal legal system, including its more dynamic functions. A good example of this potential for inconsistency is contained in Box #2.4, where a commonplace marital dispute escalated into a small scale tribal war following a resort to custom instead of the laws of Papua New Guinea. The immediate resort to 'custom' in this case of alleged adultery led to a customary solution but one whereby the country's constitution's guarantee of freedom of movement was to be abrogated for a period of ten years in the localities in question, with extra-judicial penalties for transgressions across the putative boundary line between the two villages up to and including death, again without reference to the courts or the laws of the land. That sad tale is far from being an isolated example of the kind of outcome that may result when 'custom' supplants law.</w:t>
      </w:r>
    </w:p>
    <w:p w14:paraId="633895A5" w14:textId="77777777" w:rsidR="009F661C" w:rsidRPr="00071CFC" w:rsidRDefault="009F661C" w:rsidP="007D0690">
      <w:pPr>
        <w:pStyle w:val="DLText"/>
      </w:pPr>
      <w:r w:rsidRPr="00071CFC">
        <w:t xml:space="preserve">Thus we can see the necessity for some constraint on the use of custom in so far as it should not undermine constitutional rights or sensible practice. In addition one should also note that John Nonggor has described the </w:t>
      </w:r>
      <w:r w:rsidRPr="00071CFC">
        <w:lastRenderedPageBreak/>
        <w:t xml:space="preserve">problematic replacement of the colonial Native Customs (Recognition) Act by the </w:t>
      </w:r>
      <w:r w:rsidRPr="00071CFC">
        <w:rPr>
          <w:i/>
          <w:iCs/>
        </w:rPr>
        <w:t>Customs Recognition Act</w:t>
      </w:r>
      <w:r w:rsidRPr="00071CFC">
        <w:t xml:space="preserve"> Ch.19, with its qualification of such recognition by excluding customs "repugnant to the general principles of humanity". </w:t>
      </w:r>
    </w:p>
    <w:p w14:paraId="0CD1CDBC" w14:textId="77777777" w:rsidR="009F661C" w:rsidRPr="00071CFC" w:rsidRDefault="009F661C" w:rsidP="007D0690">
      <w:pPr>
        <w:pStyle w:val="DLText"/>
      </w:pPr>
      <w:r w:rsidRPr="00071CFC">
        <w:t xml:space="preserve">Moreover, custom should be sensibly integrated into existing law. However, Papua New Guinea’s respected legal authorities have on occasion rashly promoted customary practice as wholesale replacement for existing law. We mentioned that at Independence (16 September 1975) Papua New Guinea's Constitution states intent to "enforce custom as part of the underlying law", while most of its law was perforce based on English common law. But according to Arnold Amet in 1995, the then about to be appointed Chief Justice of Papua New Guinea, stated this "umbilical cord of dependency upon principles of Anglo-Australian law and equity...needs to be severed if we truly desire to develop an </w:t>
      </w:r>
      <w:r w:rsidRPr="00C719F8">
        <w:rPr>
          <w:spacing w:val="-2"/>
        </w:rPr>
        <w:t>indigenous jurisprudence" (Amet 1995, 62). Amet took particular exception</w:t>
      </w:r>
      <w:r w:rsidRPr="00071CFC">
        <w:t xml:space="preserve"> to citations of cases in Australian and other jurisdictions by Papua New Guinea's superior courts without "subjecting them to custom", and quoted with approval John Kaputin's (then Minister for Foreign Affairs) comment 20 years previously that the law as applied by the Australian administration was "an instrument of domination and oppression ... and colonialism...and a means whereby the economic domination of the white man was established over us"(Amet 1995, 64).</w:t>
      </w:r>
    </w:p>
    <w:p w14:paraId="67CE6343" w14:textId="77777777" w:rsidR="009F661C" w:rsidRPr="00071CFC" w:rsidRDefault="009F661C" w:rsidP="007D0690">
      <w:pPr>
        <w:pStyle w:val="DLText"/>
      </w:pPr>
      <w:r w:rsidRPr="00071CFC">
        <w:t>Former Chief Justice Amet seems to have overlooked that the common law is "law made by judges", so that once Papua New Guinea became independent, it would be its own judges who perforce adapted common law into indigenous law through their own judgments, bringing in elements of customary law as appropriate. Amet also did not include any concrete suggestions for how it might be possible to replace as he proposed "the whole legal system, the court system, the legal profession, the teaching of the law, the rules of evidence" and so forth, and once he became Chief Justice nothing much was heard from him on this subject</w:t>
      </w:r>
    </w:p>
    <w:p w14:paraId="73C2E37E" w14:textId="77777777" w:rsidR="009F661C" w:rsidRPr="00071CFC" w:rsidRDefault="009F661C" w:rsidP="007D0690">
      <w:pPr>
        <w:pStyle w:val="DLText"/>
      </w:pPr>
      <w:r w:rsidRPr="00071CFC">
        <w:t xml:space="preserve">Nevertheless, the process of incorporating custom will on occasion involve overturning the established principles of law obtaining in Australia and New Zealand.  But the process Amet desired has already begun in </w:t>
      </w:r>
      <w:r w:rsidRPr="00C719F8">
        <w:rPr>
          <w:spacing w:val="-2"/>
        </w:rPr>
        <w:t>some areas, without necessarily bringing about improvements. For example</w:t>
      </w:r>
      <w:r w:rsidRPr="00071CFC">
        <w:t xml:space="preserve">, the </w:t>
      </w:r>
      <w:r w:rsidRPr="00071CFC">
        <w:rPr>
          <w:i/>
          <w:iCs/>
        </w:rPr>
        <w:t>Business Groups Incorporation Act</w:t>
      </w:r>
      <w:r w:rsidRPr="00071CFC">
        <w:t xml:space="preserve"> Ch.144 allows the formation of a type of company "with less onerous compliance requirements than under the Companies Act" (Nonggor 1995, 71).  In other cases, as with the Mining Act 1992 which repealed and replaced the Mining Act Ch.195 that had been based on the Queensland Act, there was logical development presumptively more suitable to Papua New Guinea's circumstances.</w:t>
      </w:r>
    </w:p>
    <w:p w14:paraId="169E5708" w14:textId="77777777" w:rsidR="009F661C" w:rsidRPr="00175696" w:rsidRDefault="009F661C" w:rsidP="007D0690">
      <w:pPr>
        <w:pStyle w:val="DLHeading2"/>
      </w:pPr>
      <w:r w:rsidRPr="00175696">
        <w:lastRenderedPageBreak/>
        <w:t>Custom and Land Ownership</w:t>
      </w:r>
    </w:p>
    <w:p w14:paraId="537D83EE" w14:textId="77777777" w:rsidR="009F661C" w:rsidRPr="00071CFC" w:rsidRDefault="009F661C" w:rsidP="007D0690">
      <w:pPr>
        <w:pStyle w:val="DLText"/>
        <w:rPr>
          <w:b/>
          <w:bCs/>
        </w:rPr>
      </w:pPr>
      <w:r w:rsidRPr="00071CFC">
        <w:t>Under the Land Groups Incorporation Act, Ch No. 147</w:t>
      </w:r>
    </w:p>
    <w:p w14:paraId="113B19E1" w14:textId="77777777" w:rsidR="009F661C" w:rsidRPr="00071CFC" w:rsidRDefault="009F661C" w:rsidP="007D0690">
      <w:pPr>
        <w:pStyle w:val="DLText"/>
      </w:pPr>
    </w:p>
    <w:p w14:paraId="235C8D1B" w14:textId="77777777" w:rsidR="009F661C" w:rsidRPr="00175696" w:rsidRDefault="009F661C" w:rsidP="00C719F8">
      <w:pPr>
        <w:pStyle w:val="DLQuotes"/>
        <w:rPr>
          <w:b/>
          <w:bCs/>
          <w:szCs w:val="20"/>
        </w:rPr>
      </w:pPr>
      <w:r w:rsidRPr="00175696">
        <w:rPr>
          <w:szCs w:val="20"/>
        </w:rPr>
        <w:t>The Registrar may recognize as an incorporated land group a group consisting of incorporated land groups, if he is satisfied that  (a) The member groups possess common interests and coherence independently of the proposed recognition and share or are prepared to share common customs; and  (b) The association between groups represents a customary form of organization.</w:t>
      </w:r>
    </w:p>
    <w:p w14:paraId="309DF969" w14:textId="77777777" w:rsidR="009F661C" w:rsidRPr="00071CFC" w:rsidRDefault="009F661C" w:rsidP="007D0690">
      <w:pPr>
        <w:pStyle w:val="DLText"/>
      </w:pPr>
    </w:p>
    <w:p w14:paraId="3775F841" w14:textId="77777777" w:rsidR="009F661C" w:rsidRPr="00071CFC" w:rsidRDefault="009F661C" w:rsidP="007D0690">
      <w:pPr>
        <w:pStyle w:val="DLText"/>
      </w:pPr>
      <w:r w:rsidRPr="00071CFC">
        <w:t xml:space="preserve">Although we continue, throughout the text, to criticize the assumption that customary ownership is group ownership, Papua New Guinea law has accepted this principle and has preferred to assign land ownership rights to groups rather than individuals through the incorporated land groups.  Jim Fingleton (2007), the principal architect behind the legislation, has pointed to shortcomings both with regard to the legislation itself, and the administration of the Act. With respect to the former point, he notes that the Act failed to tie these incorporated groups to specific parcels of land. </w:t>
      </w:r>
    </w:p>
    <w:p w14:paraId="43C1978D" w14:textId="77777777" w:rsidR="009F661C" w:rsidRPr="00071CFC" w:rsidRDefault="009F661C" w:rsidP="007D0690">
      <w:pPr>
        <w:pStyle w:val="DLText"/>
        <w:rPr>
          <w:b/>
          <w:bCs/>
        </w:rPr>
      </w:pPr>
      <w:r w:rsidRPr="00071CFC">
        <w:t xml:space="preserve">As a result there have been difficult cases where the underlying land </w:t>
      </w:r>
      <w:r w:rsidRPr="00C719F8">
        <w:rPr>
          <w:spacing w:val="-3"/>
        </w:rPr>
        <w:t>ownership is disputed.  For example, in Vaniak and others v Muvamastrum</w:t>
      </w:r>
      <w:r w:rsidRPr="00071CFC">
        <w:t xml:space="preserve"> Pty Ltd, Bismarck Industries Pty Ltd and the State, the plaintiffs disputed the legality of contracts for the cutting of timber and control of a Timber Rights Purchase Area (TRP) on the grounds that they were not members of and had no connections with the second defendant which claimed to be the landowner company, while they themselves were members of the Mali clan which they alleged was the traditional owner of the land subject to the TRP. Judge Doherty concluded that the National Court could not determine the ownership of the land, which was a matter for the Local Land Court in terms of the Land Disputes Settlement Act (Papua New Guinea Law Reports 1994, 427). No doubt the judge was right, but the actual capacity of the Local Land Court to reach a correct determination of ownership of the land in dispute may be questioned, given the progressive decline in competency of most Papua New Guinean institutions as one moves from the national to the provincial and local levels. </w:t>
      </w:r>
    </w:p>
    <w:p w14:paraId="74DFD011" w14:textId="77777777" w:rsidR="009F661C" w:rsidRPr="00071CFC" w:rsidRDefault="009F661C" w:rsidP="007D0690">
      <w:pPr>
        <w:pStyle w:val="DLText"/>
        <w:rPr>
          <w:b/>
          <w:bCs/>
        </w:rPr>
      </w:pPr>
      <w:r w:rsidRPr="00071CFC">
        <w:t xml:space="preserve">Also to be noted in this case is that one group of putative landowners was represented not by an ILG but by a company, Bismarck Industries Pty Ltd. - but for either form of organization lack of registered title would have proved equally fatal. In the absence of registered title held by either plaintiff or defendant, any adjudication by the Local Land Court was likely to have been arbitrary. It might have been helpful not to say decisive if the legislation under which TRPs are granted (Forests Act), like the one in </w:t>
      </w:r>
      <w:r w:rsidRPr="00071CFC">
        <w:lastRenderedPageBreak/>
        <w:t>dispute in this case, had provided that they could only be granted after survey of boundaries and issue of title, with that to be conditional on prior public hearings on the spot at which all claimants could declare their interests.</w:t>
      </w:r>
    </w:p>
    <w:p w14:paraId="493DFFD5" w14:textId="77777777" w:rsidR="009F661C" w:rsidRPr="00071CFC" w:rsidRDefault="009F661C" w:rsidP="00E210D3">
      <w:pPr>
        <w:pStyle w:val="DLText"/>
        <w:rPr>
          <w:b/>
          <w:bCs/>
        </w:rPr>
      </w:pPr>
      <w:r w:rsidRPr="00071CFC">
        <w:t>Legislative amendments to the Act, passed in 2009, have made provision for voluntary registration and these modifications will be discussed more extensively in chapter five. With respect to the administrative issue, Fingleton (2004, 117) observes that the State in its role as administering authority or regulator of the Act has proved incapable of allocating resources adequate to the task, with a single officer in the Lands and Physical Planning Department of the central government being responsible as of March 2004 for no fewer than existing 10,000 ILGs and processing as many 10-15 applications for new incorporations every day.</w:t>
      </w:r>
    </w:p>
    <w:p w14:paraId="6A8C5855" w14:textId="77777777" w:rsidR="009F661C" w:rsidRPr="00071CFC" w:rsidRDefault="009F661C" w:rsidP="007D0690">
      <w:pPr>
        <w:pStyle w:val="DLText"/>
        <w:rPr>
          <w:b/>
          <w:bCs/>
        </w:rPr>
      </w:pPr>
      <w:r w:rsidRPr="00071CFC">
        <w:t>With regard to the proliferation of ILGs, such data suggest that it is not costly enough to register ILGs, which suggests an obvious solution to the problem of supervision overlooked by Fingleton, that significant annual registration fees could  be charged and made payable to a private firm contracted to do the supervision. An existing model is the Securities Exchange Commission in many countries including the USA, and Thailand, Australia's Stock Exchange (ASX) and Papua New Guinea's own Port Moresby Stock Exchange (POMSOX) - these are private sector entities and subsist on fees and charges paid by their members.</w:t>
      </w:r>
    </w:p>
    <w:p w14:paraId="2525996F" w14:textId="77777777" w:rsidR="009F661C" w:rsidRPr="00071CFC" w:rsidRDefault="009F661C" w:rsidP="007D0690">
      <w:pPr>
        <w:pStyle w:val="DLText"/>
        <w:rPr>
          <w:b/>
          <w:bCs/>
        </w:rPr>
      </w:pPr>
      <w:r w:rsidRPr="00071CFC">
        <w:t xml:space="preserve">It has been historically the case that ILGs have been entirely lacking in principles of governance and organizational structure. The only regulatory requirement has been the act of registration.  But registration itself has been virtually unregulated in so far as the lack of a cadre of trained officers means there is no real verification that the membership conforms to some allegedly customary group. Again the amendments to the legislation passed by parliament in 2009 have sought to prescribe specific rules of corporate governance and these will be discussed in chapter five.  However, we point out that these amendments are insufficient in so far as they continue to maintain the problematic emphasis on group rather than individual title. </w:t>
      </w:r>
    </w:p>
    <w:p w14:paraId="2E7C0806" w14:textId="77777777" w:rsidR="009F661C" w:rsidRPr="00175696" w:rsidRDefault="009F661C" w:rsidP="007D0690">
      <w:pPr>
        <w:pStyle w:val="DLHeading2"/>
      </w:pPr>
      <w:r w:rsidRPr="00175696">
        <w:t>Land Disputes Settlement Act</w:t>
      </w:r>
    </w:p>
    <w:p w14:paraId="674C99B5" w14:textId="77777777" w:rsidR="009F661C" w:rsidRPr="00071CFC" w:rsidRDefault="009F661C" w:rsidP="00E210D3">
      <w:pPr>
        <w:pStyle w:val="DLText"/>
        <w:rPr>
          <w:b/>
          <w:bCs/>
        </w:rPr>
      </w:pPr>
      <w:r w:rsidRPr="00071CFC">
        <w:t xml:space="preserve">The danger is that custom, as Margret Rodman (1995, 67) states with reference to Vanuatu, can create a “zone of Abandonment” leaving matters beyond the law and state control.   When Papua New Guinea's inherited body of law has specificity to particular cases, local custom might well not be able to provide alternative possibly more appropriate guidelines. For example, Papua New Guinea's </w:t>
      </w:r>
      <w:r w:rsidRPr="00071CFC">
        <w:rPr>
          <w:i/>
          <w:iCs/>
        </w:rPr>
        <w:t xml:space="preserve">Land Disputes Settlement Act </w:t>
      </w:r>
      <w:r w:rsidRPr="00071CFC">
        <w:t xml:space="preserve">(Ch. No. 45), </w:t>
      </w:r>
      <w:r w:rsidRPr="00071CFC">
        <w:lastRenderedPageBreak/>
        <w:t xml:space="preserve">states its purpose to be "to provide a just efficient and effective machinery for the settlement of disputes in customary land by (a) encouraging self-reliance through the involvement of the people in the settlement of their own disputes; and (b) the use of the principles underlying traditional dispute settlement processes" (Section 1). In effect this Act abrogated the existing body of law in Papua New Guinea pertaining to property rights. Yet the Act's terms are so vague and lacking in justiciable content that almost "anything goes". Thus under the Sections detailing ‘Practice and Procedure of Local Land Courts,’ these courts are supposed "to endeavour to do substantial justice between all persons interested, in accordance with the Act and relevant custom (S.35), while S.68 enables both a local land court and a Provincial Land Court to determine and apply relevant customs (whatever they may be). One old fashioned principle of law is that it should be certain. Papua New Guinea's </w:t>
      </w:r>
      <w:r w:rsidRPr="00071CFC">
        <w:rPr>
          <w:i/>
          <w:iCs/>
        </w:rPr>
        <w:t>Land Disputes Settlement Act</w:t>
      </w:r>
      <w:r w:rsidRPr="00071CFC">
        <w:t xml:space="preserve"> provides no guidance as to what "relevant customs" are or how they should be interpreted.</w:t>
      </w:r>
    </w:p>
    <w:p w14:paraId="00B19232" w14:textId="77777777" w:rsidR="009F661C" w:rsidRPr="00071CFC" w:rsidRDefault="009F661C" w:rsidP="004E309A">
      <w:pPr>
        <w:pStyle w:val="DLText"/>
        <w:rPr>
          <w:b/>
          <w:bCs/>
        </w:rPr>
      </w:pPr>
      <w:r w:rsidRPr="00071CFC">
        <w:t>Epstein (1969) describes litigation concerning land disputes amongst the Tolai of Matupit in East New Britain that turned on genealogical issues of ancestry and descent. One dispute concerned a claim to ownership of the land on which a stand of coconuts had been planted by relatives of the claimant (see box #1). The case ended inconclusively. Epstein makes the point that the hearings were more in the nature of a "moot" than a court of law, presided over by a committee of prominent men of the village, with the aim being to achieve a consensus rather than the adversarial winner takes all outcomes of western jurisprudence. [text of box #2.1from Epstein, (1969) 180-183]</w:t>
      </w:r>
    </w:p>
    <w:p w14:paraId="374228AF" w14:textId="77777777" w:rsidR="009F661C" w:rsidRPr="00071CFC" w:rsidRDefault="009F661C" w:rsidP="004E309A">
      <w:pPr>
        <w:pStyle w:val="DLText"/>
        <w:rPr>
          <w:b/>
          <w:bCs/>
        </w:rPr>
      </w:pPr>
      <w:r w:rsidRPr="00071CFC">
        <w:t xml:space="preserve">However, the failure to derive recognizable general principles that have application across a wide spectrum of cases rather than reliance on the contingencies of group agreement, have consequences for the successful interaction of law and economics. The reason this is important is especially relevant in the case of property and the ownership of assets like land. De Soto (2000) in his </w:t>
      </w:r>
      <w:r w:rsidRPr="00071CFC">
        <w:rPr>
          <w:i/>
          <w:iCs/>
        </w:rPr>
        <w:t>The Mystery of Capital,</w:t>
      </w:r>
      <w:r w:rsidRPr="00071CFC">
        <w:t xml:space="preserve"> argues that the formalized principles of property law adopted by the capitalist states allowed for universal recognition of one’s property interests, which could not be the case when interests are dependent on informal arrangements and agreements among local parties. Formal law with universal rather than local application effectively removes one’s entitlements and assets from the closed system of social relations that are internal to the group and endows one’s property with an existence that is ascertainable outside the group and thereby a value that is independent of local relations and group politics. Property then has economic value that did not exist before, explains de Soto. When property is endowed with this characteristic, it allows the owners to </w:t>
      </w:r>
      <w:r w:rsidRPr="00071CFC">
        <w:lastRenderedPageBreak/>
        <w:t xml:space="preserve">expand their activities beyond mere local and group interaction and participate in trade and commerce that has a national and international reach.  There is no need to go much further on this point because as Adam Smith demonstrated over two hundred years ago in </w:t>
      </w:r>
      <w:r w:rsidRPr="00071CFC">
        <w:rPr>
          <w:i/>
          <w:iCs/>
        </w:rPr>
        <w:t>The Wealth of Nations,</w:t>
      </w:r>
      <w:r w:rsidRPr="00071CFC">
        <w:t xml:space="preserve"> the size of the market is the </w:t>
      </w:r>
      <w:r w:rsidRPr="00071CFC">
        <w:rPr>
          <w:i/>
          <w:iCs/>
        </w:rPr>
        <w:t xml:space="preserve">sine qua non </w:t>
      </w:r>
      <w:r w:rsidRPr="00071CFC">
        <w:t xml:space="preserve">for specialization and the division of labour and thus the generation of wealth. </w:t>
      </w:r>
    </w:p>
    <w:p w14:paraId="001F94FA" w14:textId="77777777" w:rsidR="009F661C" w:rsidRPr="00071CFC" w:rsidRDefault="009F661C" w:rsidP="004E309A">
      <w:pPr>
        <w:pStyle w:val="DLText"/>
        <w:rPr>
          <w:b/>
          <w:bCs/>
        </w:rPr>
      </w:pPr>
      <w:r w:rsidRPr="00071CFC">
        <w:t>Robert Cooter (1989) in his well received Monograph on land issues in Papua New Guinea, also  criticized the ban on direct dealings in customary land under current laws, whereby the government is required to act as an intermediary - "the owner must lease the land to the government, who leases it back to the tenant". This "lease-lease back" system is cumbersome and time consuming, and as Cooter noted, was often ignored, with consequent loss of certainty of title to the leasee (Cooter 1989, 6). It originated with the paternalistic colonial administration, and Cooter considered there to be no reason why customary land owners cannot be trusted to make their own leasing arrangements - indeed they may well be more to be trusted than the often incompetent even when not corrupt central and provincial governments and their Lands Departments. However the lease to government for on-leasing to tenants does address the aversion of many Papua New Guineans and anthropologists to the alienation that could result from direct leases - the sub-lease from government in principle allows a mortgage sale of the sub-lease by lenders without affecting title to the head lease.</w:t>
      </w:r>
    </w:p>
    <w:p w14:paraId="56A2D9C4" w14:textId="77777777" w:rsidR="009F661C" w:rsidRPr="00071CFC" w:rsidRDefault="009F661C" w:rsidP="00E210D3">
      <w:pPr>
        <w:pStyle w:val="DLText"/>
        <w:rPr>
          <w:b/>
          <w:bCs/>
        </w:rPr>
      </w:pPr>
      <w:r w:rsidRPr="00071CFC">
        <w:t xml:space="preserve">The problems of development in Papua New Guinea were summed up by Cooter (1989, 7) in his conclusion that "the main obstacles to development are uncertainty over property rights, costly transportation that prevents villagers from marketing their products, and lack of technical education. Property law in Papua New Guinea, as in England, is primarily common law. The work of clarifying and modernizing property rights is to be performed in the land courts. Legislation and central administration play a secondary role. Uncertainty over property rights can only be removed through the evolution of customary law and </w:t>
      </w:r>
      <w:r w:rsidRPr="00071CFC">
        <w:rPr>
          <w:i/>
          <w:iCs/>
        </w:rPr>
        <w:t>the registration of customary boundaries</w:t>
      </w:r>
      <w:r w:rsidRPr="00071CFC">
        <w:t>" (our italics). Remaining chapters of this book will in part offer detailed argument for the application of Cooter's judgment.</w:t>
      </w:r>
    </w:p>
    <w:p w14:paraId="40890EB8" w14:textId="121138B8" w:rsidR="009F661C" w:rsidRPr="00071CFC" w:rsidRDefault="00A32961" w:rsidP="00380955">
      <w:pPr>
        <w:ind w:firstLine="720"/>
        <w:jc w:val="both"/>
        <w:rPr>
          <w:sz w:val="20"/>
          <w:szCs w:val="20"/>
          <w:lang w:val="en-GB"/>
        </w:rPr>
      </w:pPr>
      <w:r>
        <w:rPr>
          <w:noProof/>
          <w:lang w:eastAsia="en-AU"/>
        </w:rPr>
        <mc:AlternateContent>
          <mc:Choice Requires="wps">
            <w:drawing>
              <wp:anchor distT="0" distB="0" distL="114300" distR="114300" simplePos="0" relativeHeight="251658240" behindDoc="0" locked="0" layoutInCell="1" allowOverlap="1" wp14:anchorId="42D921FD" wp14:editId="5F992AF1">
                <wp:simplePos x="0" y="0"/>
                <wp:positionH relativeFrom="column">
                  <wp:posOffset>-3810</wp:posOffset>
                </wp:positionH>
                <wp:positionV relativeFrom="paragraph">
                  <wp:posOffset>140970</wp:posOffset>
                </wp:positionV>
                <wp:extent cx="3800475" cy="4810125"/>
                <wp:effectExtent l="0" t="1270" r="13335" b="14605"/>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0475" cy="4810125"/>
                        </a:xfrm>
                        <a:prstGeom prst="rect">
                          <a:avLst/>
                        </a:prstGeom>
                        <a:solidFill>
                          <a:srgbClr val="FFFFFF"/>
                        </a:solidFill>
                        <a:ln w="9525">
                          <a:solidFill>
                            <a:srgbClr val="000000"/>
                          </a:solidFill>
                          <a:miter lim="800000"/>
                          <a:headEnd/>
                          <a:tailEnd/>
                        </a:ln>
                      </wps:spPr>
                      <wps:txbx>
                        <w:txbxContent>
                          <w:p w14:paraId="74872196" w14:textId="77777777" w:rsidR="009F661C" w:rsidRPr="00A548BF" w:rsidRDefault="009F661C" w:rsidP="004C2EB6">
                            <w:pPr>
                              <w:rPr>
                                <w:sz w:val="20"/>
                                <w:szCs w:val="20"/>
                              </w:rPr>
                            </w:pPr>
                            <w:r w:rsidRPr="00A548BF">
                              <w:rPr>
                                <w:b/>
                                <w:bCs/>
                                <w:sz w:val="20"/>
                                <w:szCs w:val="20"/>
                              </w:rPr>
                              <w:t>Box #2.2 Indefeasibility of the Torrens system in Papua New Guinea?</w:t>
                            </w:r>
                          </w:p>
                          <w:p w14:paraId="7F206AF4" w14:textId="77777777" w:rsidR="009F661C" w:rsidRPr="00A548BF" w:rsidRDefault="009F661C" w:rsidP="004C2EB6">
                            <w:pPr>
                              <w:jc w:val="both"/>
                              <w:rPr>
                                <w:sz w:val="20"/>
                                <w:szCs w:val="20"/>
                              </w:rPr>
                            </w:pPr>
                          </w:p>
                          <w:p w14:paraId="19B40F66" w14:textId="77777777" w:rsidR="009F661C" w:rsidRPr="00A548BF" w:rsidRDefault="009F661C" w:rsidP="004C2EB6">
                            <w:pPr>
                              <w:jc w:val="both"/>
                              <w:rPr>
                                <w:sz w:val="20"/>
                                <w:szCs w:val="20"/>
                              </w:rPr>
                            </w:pPr>
                            <w:r w:rsidRPr="00A548BF">
                              <w:rPr>
                                <w:sz w:val="20"/>
                                <w:szCs w:val="20"/>
                              </w:rPr>
                              <w:t>An appeal heard in the Supreme Court of Papua New Guinea in 1993 cast in doubt the applicability of the indefeasibility of titles under the Torrens system of land registration. This principle means that once a person has been registered as the owner of a parcel of land, his or her title cannot be attacked or divested by rival claims. The principle of indefeasibility had been upheld in the Papua New Guinea courts in the case of Mudge and Mudge v Secretary for Lands and others in 1985. In the 1993 case, Emas Estate Development Pty Ltd v John Mea and another, the appellant (Emas) was appealing against a lower court decision rescinding title it had received in 1991 over the head of the first respondent (John Mea) who was the owner of a State lease that had allegedly been forfeited by him on grounds of lack of maintenance. The Lands Board had then granted a new lease to Emas Estate registered in July 1991. John Mea contended that he had never received notice of forfeiture and had demolished the old rundown house in 1990 and built a new one at a cost of K70, 000. Amet J. stated that "the issue at the end of the day is whether the registration of the lease vests in the appellant's [Emas Estate's] indefeasibility of title as against the first respondent [John Mea]", and concluded that in the circumstances, which included irregular conduct by the Lands Board, such as failure to serve notice of forfeiture or tender the new lease, the appeal should be dismissed, notwithstanding the supposed absolute indefeasibility of title once registered.  Judge Brown dissented, but Judge Salika concurred with Amet J, and the appeal by Emas Estate was dismissed.</w:t>
                            </w:r>
                          </w:p>
                          <w:p w14:paraId="2BBF802B" w14:textId="77777777" w:rsidR="009F661C" w:rsidRPr="00A548BF" w:rsidRDefault="009F661C" w:rsidP="004C2EB6">
                            <w:pPr>
                              <w:jc w:val="both"/>
                              <w:rPr>
                                <w:sz w:val="20"/>
                                <w:szCs w:val="20"/>
                              </w:rPr>
                            </w:pPr>
                          </w:p>
                          <w:p w14:paraId="6CA4A95E" w14:textId="77777777" w:rsidR="009F661C" w:rsidRPr="00A548BF" w:rsidRDefault="009F661C" w:rsidP="004C2EB6">
                            <w:pPr>
                              <w:jc w:val="both"/>
                              <w:rPr>
                                <w:sz w:val="20"/>
                                <w:szCs w:val="20"/>
                              </w:rPr>
                            </w:pPr>
                            <w:r w:rsidRPr="00A548BF">
                              <w:rPr>
                                <w:sz w:val="20"/>
                                <w:szCs w:val="20"/>
                              </w:rPr>
                              <w:t xml:space="preserve">Source: John T Mugambwa and Harrison A Amankwah, </w:t>
                            </w:r>
                            <w:r w:rsidRPr="00A548BF">
                              <w:rPr>
                                <w:i/>
                                <w:iCs/>
                                <w:sz w:val="20"/>
                                <w:szCs w:val="20"/>
                              </w:rPr>
                              <w:t>Land Law and Policy in Papua New Guinea</w:t>
                            </w:r>
                            <w:r w:rsidRPr="00A548BF">
                              <w:rPr>
                                <w:sz w:val="20"/>
                                <w:szCs w:val="20"/>
                              </w:rPr>
                              <w:t>, London and Sydney: Cavendish, 2nd edition, 2002, 434-439.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D921FD" id="_x0000_t202" coordsize="21600,21600" o:spt="202" path="m0,0l0,21600,21600,21600,21600,0xe">
                <v:stroke joinstyle="miter"/>
                <v:path gradientshapeok="t" o:connecttype="rect"/>
              </v:shapetype>
              <v:shape id="Text Box 2" o:spid="_x0000_s1026" type="#_x0000_t202" style="position:absolute;left:0;text-align:left;margin-left:-.3pt;margin-top:11.1pt;width:299.25pt;height:37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ExWCsCAABSBAAADgAAAGRycy9lMm9Eb2MueG1srFTbbtswDH0fsH8Q9L7YcZM1NeIUXboMA7oL&#10;0O4DZFm2hUmiJimxu68fJadpdsEehvlBIEXqkDwkvb4etSIH4bwEU9H5LKdEGA6NNF1FvzzsXq0o&#10;8YGZhikwoqKPwtPrzcsX68GWooAeVCMcQRDjy8FWtA/BllnmeS808zOwwqCxBadZQNV1WePYgOha&#10;ZUWev84GcI11wIX3eHs7Gekm4bet4OFT23oRiKoo5hbS6dJZxzPbrFnZOWZ7yY9psH/IQjNpMOgJ&#10;6pYFRvZO/galJXfgoQ0zDjqDtpVcpBqwmnn+SzX3PbMi1YLkeHuiyf8/WP7x8NkR2VS0uKDEMI09&#10;ehBjIG9gJEWkZ7C+RK97i35hxGtscyrV2zvgXz0xsO2Z6cSNczD0gjWY3jy+zM6eTjg+gtTDB2gw&#10;DNsHSEBj63TkDtkgiI5tejy1JqbC8fJileeLyyUlHG2L1TyfF8sUg5VPz63z4Z0ATaJQUYe9T/Ds&#10;cOdDTIeVTy4xmgclm51UKimuq7fKkQPDOdml74j+k5syZKjo1RJj/x0iT9+fILQMOPBK6opiSfhF&#10;J1ZG3t6aJsmBSTXJmLIyRyIjdxOLYaxHdIzs1tA8IqUOpsHGRUShB/edkgGHuqL+2545QYl6b7At&#10;V/PFIm5BUhbLywIVd26pzy3McISqaKBkErdh2py9dbLrMdI0CAZusJWtTCQ/Z3XMGwc3cX9csrgZ&#10;53ryev4VbH4AAAD//wMAUEsDBBQABgAIAAAAIQAfWmtd3wAAAAgBAAAPAAAAZHJzL2Rvd25yZXYu&#10;eG1sTI/BTsMwEETvSPyDtUhcUOsQIG5CnAohgegNCoKrG2+TCHsdbDcNf485wXE0o5k39Xq2hk3o&#10;w+BIwuUyA4bUOj1QJ+Ht9WGxAhaiIq2MI5TwjQHWzelJrSrtjvSC0zZ2LJVQqJSEPsax4jy0PVoV&#10;lm5ESt7eeatikr7j2qtjKreG51lWcKsGSgu9GvG+x/Zze7ASVtdP00fYXD2/t8XelPFCTI9fXsrz&#10;s/nuFljEOf6F4Rc/oUOTmHbuQDowI2FRpKCEPM+BJfumFCWwnQQhSgG8qfn/A80PAAAA//8DAFBL&#10;AQItABQABgAIAAAAIQDkmcPA+wAAAOEBAAATAAAAAAAAAAAAAAAAAAAAAABbQ29udGVudF9UeXBl&#10;c10ueG1sUEsBAi0AFAAGAAgAAAAhACOyauHXAAAAlAEAAAsAAAAAAAAAAAAAAAAALAEAAF9yZWxz&#10;Ly5yZWxzUEsBAi0AFAAGAAgAAAAhAGfBMVgrAgAAUgQAAA4AAAAAAAAAAAAAAAAALAIAAGRycy9l&#10;Mm9Eb2MueG1sUEsBAi0AFAAGAAgAAAAhAB9aa13fAAAACAEAAA8AAAAAAAAAAAAAAAAAgwQAAGRy&#10;cy9kb3ducmV2LnhtbFBLBQYAAAAABAAEAPMAAACPBQAAAAA=&#10;">
                <v:textbox>
                  <w:txbxContent>
                    <w:p w14:paraId="74872196" w14:textId="77777777" w:rsidR="009F661C" w:rsidRPr="00A548BF" w:rsidRDefault="009F661C" w:rsidP="004C2EB6">
                      <w:pPr>
                        <w:rPr>
                          <w:sz w:val="20"/>
                          <w:szCs w:val="20"/>
                        </w:rPr>
                      </w:pPr>
                      <w:r w:rsidRPr="00A548BF">
                        <w:rPr>
                          <w:b/>
                          <w:bCs/>
                          <w:sz w:val="20"/>
                          <w:szCs w:val="20"/>
                        </w:rPr>
                        <w:t>Box #2.2 Indefeasibility of the Torrens system in Papua New Guinea?</w:t>
                      </w:r>
                    </w:p>
                    <w:p w14:paraId="7F206AF4" w14:textId="77777777" w:rsidR="009F661C" w:rsidRPr="00A548BF" w:rsidRDefault="009F661C" w:rsidP="004C2EB6">
                      <w:pPr>
                        <w:jc w:val="both"/>
                        <w:rPr>
                          <w:sz w:val="20"/>
                          <w:szCs w:val="20"/>
                        </w:rPr>
                      </w:pPr>
                    </w:p>
                    <w:p w14:paraId="19B40F66" w14:textId="77777777" w:rsidR="009F661C" w:rsidRPr="00A548BF" w:rsidRDefault="009F661C" w:rsidP="004C2EB6">
                      <w:pPr>
                        <w:jc w:val="both"/>
                        <w:rPr>
                          <w:sz w:val="20"/>
                          <w:szCs w:val="20"/>
                        </w:rPr>
                      </w:pPr>
                      <w:r w:rsidRPr="00A548BF">
                        <w:rPr>
                          <w:sz w:val="20"/>
                          <w:szCs w:val="20"/>
                        </w:rPr>
                        <w:t>An appeal heard in the Supreme Court of Papua New Guinea in 1993 cast in doubt the applicability of the indefeasibility of titles under the Torrens system of land registration. This principle means that once a person has been registered as the owner of a parcel of land, his or her title cannot be attacked or divested by rival claims. The principle of indefeasibility had been upheld in the Papua New Guinea courts in the case of Mudge and Mudge v Secretary for Lands and others in 1985. In the 1993 case, Emas Estate Development Pty Ltd v John Mea and another, the appellant (Emas) was appealing against a lower court decision rescinding title it had received in 1991 over the head of the first respondent (John Mea) who was the owner of a State lease that had allegedly been forfeited by him on grounds of lack of maintenance. The Lands Board had then granted a new lease to Emas Estate registered in July 1991. John Mea contended that he had never received notice of forfeiture and had demolished the old rundown house in 1990 and built a new one at a cost of K70, 000. Amet J. stated that "the issue at the end of the day is whether the registration of the lease vests in the appellant's [Emas Estate's] indefeasibility of title as against the first respondent [John Mea]", and concluded that in the circumstances, which included irregular conduct by the Lands Board, such as failure to serve notice of forfeiture or tender the new lease, the appeal should be dismissed, notwithstanding the supposed absolute indefeasibility of title once registered.  Judge Brown dissented, but Judge Salika concurred with Amet J, and the appeal by Emas Estate was dismissed.</w:t>
                      </w:r>
                    </w:p>
                    <w:p w14:paraId="2BBF802B" w14:textId="77777777" w:rsidR="009F661C" w:rsidRPr="00A548BF" w:rsidRDefault="009F661C" w:rsidP="004C2EB6">
                      <w:pPr>
                        <w:jc w:val="both"/>
                        <w:rPr>
                          <w:sz w:val="20"/>
                          <w:szCs w:val="20"/>
                        </w:rPr>
                      </w:pPr>
                    </w:p>
                    <w:p w14:paraId="6CA4A95E" w14:textId="77777777" w:rsidR="009F661C" w:rsidRPr="00A548BF" w:rsidRDefault="009F661C" w:rsidP="004C2EB6">
                      <w:pPr>
                        <w:jc w:val="both"/>
                        <w:rPr>
                          <w:sz w:val="20"/>
                          <w:szCs w:val="20"/>
                        </w:rPr>
                      </w:pPr>
                      <w:r w:rsidRPr="00A548BF">
                        <w:rPr>
                          <w:sz w:val="20"/>
                          <w:szCs w:val="20"/>
                        </w:rPr>
                        <w:t xml:space="preserve">Source: John T Mugambwa and Harrison A Amankwah, </w:t>
                      </w:r>
                      <w:r w:rsidRPr="00A548BF">
                        <w:rPr>
                          <w:i/>
                          <w:iCs/>
                          <w:sz w:val="20"/>
                          <w:szCs w:val="20"/>
                        </w:rPr>
                        <w:t>Land Law and Policy in Papua New Guinea</w:t>
                      </w:r>
                      <w:r w:rsidRPr="00A548BF">
                        <w:rPr>
                          <w:sz w:val="20"/>
                          <w:szCs w:val="20"/>
                        </w:rPr>
                        <w:t>, London and Sydney: Cavendish, 2nd edition, 2002, 434-439.</w:t>
                      </w:r>
                    </w:p>
                  </w:txbxContent>
                </v:textbox>
              </v:shape>
            </w:pict>
          </mc:Fallback>
        </mc:AlternateContent>
      </w:r>
    </w:p>
    <w:p w14:paraId="65067AE3" w14:textId="77777777" w:rsidR="009F661C" w:rsidRPr="00071CFC" w:rsidRDefault="009F661C" w:rsidP="00380955">
      <w:pPr>
        <w:pStyle w:val="BodyText"/>
        <w:jc w:val="both"/>
        <w:rPr>
          <w:b w:val="0"/>
          <w:bCs w:val="0"/>
          <w:sz w:val="20"/>
          <w:szCs w:val="20"/>
        </w:rPr>
      </w:pPr>
    </w:p>
    <w:p w14:paraId="44A552B2" w14:textId="77777777" w:rsidR="009F661C" w:rsidRPr="00071CFC" w:rsidRDefault="009F661C" w:rsidP="00380955">
      <w:pPr>
        <w:pStyle w:val="BodyText"/>
        <w:ind w:firstLine="720"/>
        <w:jc w:val="both"/>
        <w:rPr>
          <w:b w:val="0"/>
          <w:bCs w:val="0"/>
          <w:sz w:val="20"/>
          <w:szCs w:val="20"/>
        </w:rPr>
      </w:pPr>
    </w:p>
    <w:p w14:paraId="156256A6" w14:textId="77777777" w:rsidR="009F661C" w:rsidRPr="00071CFC" w:rsidRDefault="009F661C" w:rsidP="00380955">
      <w:pPr>
        <w:pStyle w:val="BodyText"/>
        <w:ind w:firstLine="720"/>
        <w:jc w:val="both"/>
        <w:rPr>
          <w:b w:val="0"/>
          <w:bCs w:val="0"/>
          <w:sz w:val="20"/>
          <w:szCs w:val="20"/>
        </w:rPr>
      </w:pPr>
    </w:p>
    <w:p w14:paraId="78A2EBED" w14:textId="77777777" w:rsidR="009F661C" w:rsidRPr="00071CFC" w:rsidRDefault="009F661C" w:rsidP="00380955">
      <w:pPr>
        <w:pStyle w:val="BodyText"/>
        <w:ind w:firstLine="720"/>
        <w:jc w:val="both"/>
        <w:rPr>
          <w:b w:val="0"/>
          <w:bCs w:val="0"/>
          <w:sz w:val="20"/>
          <w:szCs w:val="20"/>
        </w:rPr>
      </w:pPr>
      <w:r w:rsidRPr="00071CFC">
        <w:rPr>
          <w:b w:val="0"/>
          <w:bCs w:val="0"/>
          <w:sz w:val="20"/>
          <w:szCs w:val="20"/>
        </w:rPr>
        <w:t xml:space="preserve">  </w:t>
      </w:r>
    </w:p>
    <w:p w14:paraId="1D41EA32" w14:textId="77777777" w:rsidR="009F661C" w:rsidRPr="00071CFC" w:rsidRDefault="009F661C" w:rsidP="00380955">
      <w:pPr>
        <w:pStyle w:val="BodyText"/>
        <w:jc w:val="both"/>
        <w:rPr>
          <w:sz w:val="20"/>
          <w:szCs w:val="20"/>
        </w:rPr>
      </w:pPr>
      <w:r w:rsidRPr="00071CFC">
        <w:rPr>
          <w:sz w:val="20"/>
          <w:szCs w:val="20"/>
        </w:rPr>
        <w:br w:type="page"/>
      </w:r>
    </w:p>
    <w:p w14:paraId="04C246D3" w14:textId="50F0E9C6" w:rsidR="009F661C" w:rsidRPr="00071CFC" w:rsidRDefault="00A32961" w:rsidP="00380955">
      <w:pPr>
        <w:pStyle w:val="BodyText"/>
        <w:ind w:firstLine="720"/>
        <w:jc w:val="both"/>
        <w:rPr>
          <w:b w:val="0"/>
          <w:bCs w:val="0"/>
          <w:sz w:val="20"/>
          <w:szCs w:val="20"/>
        </w:rPr>
      </w:pPr>
      <w:r>
        <w:rPr>
          <w:noProof/>
          <w:lang w:eastAsia="en-AU"/>
        </w:rPr>
        <w:lastRenderedPageBreak/>
        <mc:AlternateContent>
          <mc:Choice Requires="wps">
            <w:drawing>
              <wp:anchor distT="0" distB="0" distL="114300" distR="114300" simplePos="0" relativeHeight="251659264" behindDoc="0" locked="0" layoutInCell="1" allowOverlap="1" wp14:anchorId="1EF9B2E4" wp14:editId="49DA2602">
                <wp:simplePos x="0" y="0"/>
                <wp:positionH relativeFrom="column">
                  <wp:posOffset>-22860</wp:posOffset>
                </wp:positionH>
                <wp:positionV relativeFrom="paragraph">
                  <wp:posOffset>-161290</wp:posOffset>
                </wp:positionV>
                <wp:extent cx="3800475" cy="4543425"/>
                <wp:effectExtent l="2540" t="3810" r="6985" b="12065"/>
                <wp:wrapNone/>
                <wp:docPr id="2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0475" cy="4543425"/>
                        </a:xfrm>
                        <a:prstGeom prst="rect">
                          <a:avLst/>
                        </a:prstGeom>
                        <a:solidFill>
                          <a:srgbClr val="FFFFFF"/>
                        </a:solidFill>
                        <a:ln w="9525">
                          <a:solidFill>
                            <a:srgbClr val="000000"/>
                          </a:solidFill>
                          <a:miter lim="800000"/>
                          <a:headEnd/>
                          <a:tailEnd/>
                        </a:ln>
                      </wps:spPr>
                      <wps:txbx>
                        <w:txbxContent>
                          <w:p w14:paraId="69523658" w14:textId="77777777" w:rsidR="009F661C" w:rsidRPr="00A548BF" w:rsidRDefault="009F661C" w:rsidP="00965E39">
                            <w:pPr>
                              <w:widowControl w:val="0"/>
                              <w:autoSpaceDE w:val="0"/>
                              <w:autoSpaceDN w:val="0"/>
                              <w:adjustRightInd w:val="0"/>
                              <w:jc w:val="both"/>
                              <w:outlineLvl w:val="0"/>
                              <w:rPr>
                                <w:b/>
                                <w:bCs/>
                                <w:sz w:val="20"/>
                                <w:szCs w:val="20"/>
                                <w:lang w:val="en-US"/>
                              </w:rPr>
                            </w:pPr>
                            <w:r w:rsidRPr="00A548BF">
                              <w:rPr>
                                <w:b/>
                                <w:bCs/>
                                <w:sz w:val="20"/>
                                <w:szCs w:val="20"/>
                                <w:lang w:val="en-US"/>
                              </w:rPr>
                              <w:t>Box #2.3 Ramu Sugar in shock land ruling</w:t>
                            </w:r>
                          </w:p>
                          <w:p w14:paraId="11FBB885" w14:textId="77777777" w:rsidR="009F661C" w:rsidRPr="00A548BF" w:rsidRDefault="009F661C" w:rsidP="00965E39">
                            <w:pPr>
                              <w:widowControl w:val="0"/>
                              <w:autoSpaceDE w:val="0"/>
                              <w:autoSpaceDN w:val="0"/>
                              <w:adjustRightInd w:val="0"/>
                              <w:jc w:val="both"/>
                              <w:outlineLvl w:val="0"/>
                              <w:rPr>
                                <w:b/>
                                <w:bCs/>
                                <w:sz w:val="20"/>
                                <w:szCs w:val="20"/>
                                <w:lang w:val="en-US"/>
                              </w:rPr>
                            </w:pPr>
                          </w:p>
                          <w:p w14:paraId="00E28509" w14:textId="77777777" w:rsidR="009F661C" w:rsidRPr="00A548BF" w:rsidRDefault="009F661C" w:rsidP="00965E39">
                            <w:pPr>
                              <w:widowControl w:val="0"/>
                              <w:autoSpaceDE w:val="0"/>
                              <w:autoSpaceDN w:val="0"/>
                              <w:adjustRightInd w:val="0"/>
                              <w:jc w:val="both"/>
                              <w:outlineLvl w:val="0"/>
                              <w:rPr>
                                <w:sz w:val="20"/>
                                <w:szCs w:val="20"/>
                                <w:lang w:val="en-US"/>
                              </w:rPr>
                            </w:pPr>
                            <w:r w:rsidRPr="00A548BF">
                              <w:rPr>
                                <w:sz w:val="20"/>
                                <w:szCs w:val="20"/>
                                <w:lang w:val="en-US"/>
                              </w:rPr>
                              <w:t xml:space="preserve">Ramu Sugar Limited has been paying land lease, cane, tonnage and quality bonuses and other payments due to customary landowners to the wrong people since the project started in the late 1970s. This is the effect of a local land court decision handed down in Madang two weeks ago. The local land court awarded the ownership of the customary land to the Dumuna Akiki clan of Naho Rawa, Raicoast in Madang. A large portion of the land is crown land, purchased from a company called NGI, which had earlier purchased it from the Mari clan of Usino Bundi. </w:t>
                            </w:r>
                          </w:p>
                          <w:p w14:paraId="0D165F06" w14:textId="77777777" w:rsidR="009F661C" w:rsidRPr="00A548BF" w:rsidRDefault="009F661C" w:rsidP="00965E39">
                            <w:pPr>
                              <w:widowControl w:val="0"/>
                              <w:autoSpaceDE w:val="0"/>
                              <w:autoSpaceDN w:val="0"/>
                              <w:adjustRightInd w:val="0"/>
                              <w:jc w:val="both"/>
                              <w:outlineLvl w:val="0"/>
                              <w:rPr>
                                <w:sz w:val="20"/>
                                <w:szCs w:val="20"/>
                                <w:lang w:val="en-US"/>
                              </w:rPr>
                            </w:pPr>
                          </w:p>
                          <w:p w14:paraId="2E4817DD" w14:textId="77777777" w:rsidR="009F661C" w:rsidRPr="00A548BF" w:rsidRDefault="009F661C" w:rsidP="00965E39">
                            <w:pPr>
                              <w:widowControl w:val="0"/>
                              <w:autoSpaceDE w:val="0"/>
                              <w:autoSpaceDN w:val="0"/>
                              <w:adjustRightInd w:val="0"/>
                              <w:jc w:val="both"/>
                              <w:outlineLvl w:val="0"/>
                              <w:rPr>
                                <w:sz w:val="20"/>
                                <w:szCs w:val="20"/>
                                <w:lang w:val="en-US"/>
                              </w:rPr>
                            </w:pPr>
                            <w:r w:rsidRPr="00A548BF">
                              <w:rPr>
                                <w:sz w:val="20"/>
                                <w:szCs w:val="20"/>
                                <w:lang w:val="en-US"/>
                              </w:rPr>
                              <w:t>The Mari people, the land court heard, were originally from the Leron area of Kaiapit, Morobe Province, who had settled in Ramu. From the start of the project, landowner benefits have been paid to the Mari clan. The court ruled that the Dumuna Akik clan is the “true and rightful original customary owners of all the customary lands of Ramu Sugar estate”. “The Dumuna Akiki clan, therefore, has exclusive rights of all interests of occupation, possession, usage and control over these lands,” the court ruling said. It stated that the people of Mari did not have control over the land, but had rights to usage, occupation and possession.</w:t>
                            </w:r>
                          </w:p>
                          <w:p w14:paraId="1EC83E7C" w14:textId="77777777" w:rsidR="009F661C" w:rsidRPr="00A548BF" w:rsidRDefault="009F661C" w:rsidP="00965E39">
                            <w:pPr>
                              <w:widowControl w:val="0"/>
                              <w:autoSpaceDE w:val="0"/>
                              <w:autoSpaceDN w:val="0"/>
                              <w:adjustRightInd w:val="0"/>
                              <w:jc w:val="both"/>
                              <w:outlineLvl w:val="0"/>
                              <w:rPr>
                                <w:sz w:val="20"/>
                                <w:szCs w:val="20"/>
                                <w:lang w:val="en-US"/>
                              </w:rPr>
                            </w:pPr>
                          </w:p>
                          <w:p w14:paraId="0311D7EE" w14:textId="77777777" w:rsidR="009F661C" w:rsidRPr="00A548BF" w:rsidRDefault="009F661C" w:rsidP="00965E39">
                            <w:pPr>
                              <w:widowControl w:val="0"/>
                              <w:autoSpaceDE w:val="0"/>
                              <w:autoSpaceDN w:val="0"/>
                              <w:adjustRightInd w:val="0"/>
                              <w:jc w:val="both"/>
                              <w:outlineLvl w:val="0"/>
                              <w:rPr>
                                <w:sz w:val="20"/>
                                <w:szCs w:val="20"/>
                                <w:lang w:val="en-US"/>
                              </w:rPr>
                            </w:pPr>
                            <w:r w:rsidRPr="00A548BF">
                              <w:rPr>
                                <w:sz w:val="20"/>
                                <w:szCs w:val="20"/>
                                <w:lang w:val="en-US"/>
                              </w:rPr>
                              <w:t>The court ordered Ramu Sugar to terminate agreements it had entered with the Mari people and sign a new agreement with the Dumuna Akiki people. The two disputing parties have been ordered not to cause damage or any disturbance to the normal operation of Ramu Sugar.</w:t>
                            </w:r>
                          </w:p>
                          <w:p w14:paraId="5E957C1F" w14:textId="77777777" w:rsidR="009F661C" w:rsidRPr="00A548BF" w:rsidRDefault="009F661C" w:rsidP="00965E39">
                            <w:pPr>
                              <w:jc w:val="both"/>
                              <w:rPr>
                                <w:sz w:val="20"/>
                                <w:szCs w:val="20"/>
                              </w:rPr>
                            </w:pPr>
                            <w:r w:rsidRPr="00A548BF">
                              <w:rPr>
                                <w:b/>
                                <w:bCs/>
                                <w:sz w:val="20"/>
                                <w:szCs w:val="20"/>
                              </w:rPr>
                              <w:br w:type="page"/>
                              <w:t>Report in Post-Courier, 2nd January, 2003.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F9B2E4" id="Text Box 3" o:spid="_x0000_s1027" type="#_x0000_t202" style="position:absolute;left:0;text-align:left;margin-left:-1.8pt;margin-top:-12.65pt;width:299.25pt;height:357.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WqrJS4CAABZBAAADgAAAGRycy9lMm9Eb2MueG1srFTbbtswDH0fsH8Q9L7YcZy1NeIUXboMA7oL&#10;0O4DZFmOhUmiJimxu68fJadpdsEehvlBIEXqkDwkvboetSIH4bwEU9P5LKdEGA6tNLuafnnYvrqk&#10;xAdmWqbAiJo+Ck+v1y9frAZbiQJ6UK1wBEGMrwZb0z4EW2WZ573QzM/ACoPGDpxmAVW3y1rHBkTX&#10;Kivy/HU2gGutAy68x9vbyUjXCb/rBA+fus6LQFRNMbeQTpfOJp7ZesWqnWO2l/yYBvuHLDSTBoOe&#10;oG5ZYGTv5G9QWnIHHrow46Az6DrJRaoBq5nnv1Rz3zMrUi1Ijrcnmvz/g+UfD58dkW1Ni4ISwzT2&#10;6EGMgbyBkSwiPYP1FXrdW/QLI15jm1Op3t4B/+qJgU3PzE7cOAdDL1iL6c3jy+zs6YTjI0gzfIAW&#10;w7B9gAQ0dk5H7pANgujYpsdTa2IqHC8Xl3leXiwp4Wgrl+WiLJYpBquenlvnwzsBmkShpg57n+DZ&#10;4c6HmA6rnlxiNA9KtlupVFLcrtkoRw4M52SbviP6T27KkKGmV0uM/XeIPH1/gtAy4MArqWuKJeEX&#10;nVgVeXtr2iQHJtUkY8rKHImM3E0shrEZU8sSy5HkBtpHZNbBNN+4jyj04L5TMuBs19R/2zMnKFHv&#10;DXbnal6WcRmSUi4vClTcuaU5tzDDEaqmgZJJ3IRpgfbWyV2PkaZ5MHCDHe1k4vo5q2P6OL+pBcdd&#10;iwtyriev5z/C+gcAAAD//wMAUEsDBBQABgAIAAAAIQAR8UoD4QAAAAoBAAAPAAAAZHJzL2Rvd25y&#10;ZXYueG1sTI/BTsMwDIbvSLxDZCQuaEtpt7KWphNCArEbbBNcs8ZrKxKnJFlX3p5wgpNl+dPv76/W&#10;k9FsROd7SwJu5wkwpMaqnloB+93TbAXMB0lKakso4Bs9rOvLi0qWyp7pDcdtaFkMIV9KAV0IQ8m5&#10;bzo00s/tgBRvR+uMDHF1LVdOnmO40TxNkpwb2VP80MkBHztsPrcnI2C1eBk//CZ7fW/yoy7Czd34&#10;/OWEuL6aHu6BBZzCHwy/+lEd6uh0sCdSnmkBsyyPZJzpMgMWgWWxKIAdBORFkgKvK/6/Qv0DAAD/&#10;/wMAUEsBAi0AFAAGAAgAAAAhAOSZw8D7AAAA4QEAABMAAAAAAAAAAAAAAAAAAAAAAFtDb250ZW50&#10;X1R5cGVzXS54bWxQSwECLQAUAAYACAAAACEAI7Jq4dcAAACUAQAACwAAAAAAAAAAAAAAAAAsAQAA&#10;X3JlbHMvLnJlbHNQSwECLQAUAAYACAAAACEAsWqrJS4CAABZBAAADgAAAAAAAAAAAAAAAAAsAgAA&#10;ZHJzL2Uyb0RvYy54bWxQSwECLQAUAAYACAAAACEAEfFKA+EAAAAKAQAADwAAAAAAAAAAAAAAAACG&#10;BAAAZHJzL2Rvd25yZXYueG1sUEsFBgAAAAAEAAQA8wAAAJQFAAAAAA==&#10;">
                <v:textbox>
                  <w:txbxContent>
                    <w:p w14:paraId="69523658" w14:textId="77777777" w:rsidR="009F661C" w:rsidRPr="00A548BF" w:rsidRDefault="009F661C" w:rsidP="00965E39">
                      <w:pPr>
                        <w:widowControl w:val="0"/>
                        <w:autoSpaceDE w:val="0"/>
                        <w:autoSpaceDN w:val="0"/>
                        <w:adjustRightInd w:val="0"/>
                        <w:jc w:val="both"/>
                        <w:outlineLvl w:val="0"/>
                        <w:rPr>
                          <w:b/>
                          <w:bCs/>
                          <w:sz w:val="20"/>
                          <w:szCs w:val="20"/>
                          <w:lang w:val="en-US"/>
                        </w:rPr>
                      </w:pPr>
                      <w:r w:rsidRPr="00A548BF">
                        <w:rPr>
                          <w:b/>
                          <w:bCs/>
                          <w:sz w:val="20"/>
                          <w:szCs w:val="20"/>
                          <w:lang w:val="en-US"/>
                        </w:rPr>
                        <w:t>Box #2.3 Ramu Sugar in shock land ruling</w:t>
                      </w:r>
                    </w:p>
                    <w:p w14:paraId="11FBB885" w14:textId="77777777" w:rsidR="009F661C" w:rsidRPr="00A548BF" w:rsidRDefault="009F661C" w:rsidP="00965E39">
                      <w:pPr>
                        <w:widowControl w:val="0"/>
                        <w:autoSpaceDE w:val="0"/>
                        <w:autoSpaceDN w:val="0"/>
                        <w:adjustRightInd w:val="0"/>
                        <w:jc w:val="both"/>
                        <w:outlineLvl w:val="0"/>
                        <w:rPr>
                          <w:b/>
                          <w:bCs/>
                          <w:sz w:val="20"/>
                          <w:szCs w:val="20"/>
                          <w:lang w:val="en-US"/>
                        </w:rPr>
                      </w:pPr>
                    </w:p>
                    <w:p w14:paraId="00E28509" w14:textId="77777777" w:rsidR="009F661C" w:rsidRPr="00A548BF" w:rsidRDefault="009F661C" w:rsidP="00965E39">
                      <w:pPr>
                        <w:widowControl w:val="0"/>
                        <w:autoSpaceDE w:val="0"/>
                        <w:autoSpaceDN w:val="0"/>
                        <w:adjustRightInd w:val="0"/>
                        <w:jc w:val="both"/>
                        <w:outlineLvl w:val="0"/>
                        <w:rPr>
                          <w:sz w:val="20"/>
                          <w:szCs w:val="20"/>
                          <w:lang w:val="en-US"/>
                        </w:rPr>
                      </w:pPr>
                      <w:r w:rsidRPr="00A548BF">
                        <w:rPr>
                          <w:sz w:val="20"/>
                          <w:szCs w:val="20"/>
                          <w:lang w:val="en-US"/>
                        </w:rPr>
                        <w:t xml:space="preserve">Ramu Sugar Limited has been paying land lease, cane, tonnage and quality bonuses and other payments due to customary landowners to the wrong people since the project started in the late 1970s. This is the effect of a local land court decision handed down in Madang two weeks ago. The local land court awarded the ownership of the customary land to the Dumuna Akiki clan of Naho Rawa, Raicoast in Madang. A large portion of the land is crown land, purchased from a company called NGI, which had earlier purchased it from the Mari clan of Usino Bundi. </w:t>
                      </w:r>
                    </w:p>
                    <w:p w14:paraId="0D165F06" w14:textId="77777777" w:rsidR="009F661C" w:rsidRPr="00A548BF" w:rsidRDefault="009F661C" w:rsidP="00965E39">
                      <w:pPr>
                        <w:widowControl w:val="0"/>
                        <w:autoSpaceDE w:val="0"/>
                        <w:autoSpaceDN w:val="0"/>
                        <w:adjustRightInd w:val="0"/>
                        <w:jc w:val="both"/>
                        <w:outlineLvl w:val="0"/>
                        <w:rPr>
                          <w:sz w:val="20"/>
                          <w:szCs w:val="20"/>
                          <w:lang w:val="en-US"/>
                        </w:rPr>
                      </w:pPr>
                    </w:p>
                    <w:p w14:paraId="2E4817DD" w14:textId="77777777" w:rsidR="009F661C" w:rsidRPr="00A548BF" w:rsidRDefault="009F661C" w:rsidP="00965E39">
                      <w:pPr>
                        <w:widowControl w:val="0"/>
                        <w:autoSpaceDE w:val="0"/>
                        <w:autoSpaceDN w:val="0"/>
                        <w:adjustRightInd w:val="0"/>
                        <w:jc w:val="both"/>
                        <w:outlineLvl w:val="0"/>
                        <w:rPr>
                          <w:sz w:val="20"/>
                          <w:szCs w:val="20"/>
                          <w:lang w:val="en-US"/>
                        </w:rPr>
                      </w:pPr>
                      <w:r w:rsidRPr="00A548BF">
                        <w:rPr>
                          <w:sz w:val="20"/>
                          <w:szCs w:val="20"/>
                          <w:lang w:val="en-US"/>
                        </w:rPr>
                        <w:t>The Mari people, the land court heard, were originally from the Leron area of Kaiapit, Morobe Province, who had settled in Ramu. From the start of the project, landowner benefits have been paid to the Mari clan. The court ruled that the Dumuna Akik clan is the “true and rightful original customary owners of all the customary lands of Ramu Sugar estate”. “The Dumuna Akiki clan, therefore, has exclusive rights of all interests of occupation, possession, usage and control over these lands,” the court ruling said. It stated that the people of Mari did not have control over the land, but had rights to usage, occupation and possession.</w:t>
                      </w:r>
                    </w:p>
                    <w:p w14:paraId="1EC83E7C" w14:textId="77777777" w:rsidR="009F661C" w:rsidRPr="00A548BF" w:rsidRDefault="009F661C" w:rsidP="00965E39">
                      <w:pPr>
                        <w:widowControl w:val="0"/>
                        <w:autoSpaceDE w:val="0"/>
                        <w:autoSpaceDN w:val="0"/>
                        <w:adjustRightInd w:val="0"/>
                        <w:jc w:val="both"/>
                        <w:outlineLvl w:val="0"/>
                        <w:rPr>
                          <w:sz w:val="20"/>
                          <w:szCs w:val="20"/>
                          <w:lang w:val="en-US"/>
                        </w:rPr>
                      </w:pPr>
                    </w:p>
                    <w:p w14:paraId="0311D7EE" w14:textId="77777777" w:rsidR="009F661C" w:rsidRPr="00A548BF" w:rsidRDefault="009F661C" w:rsidP="00965E39">
                      <w:pPr>
                        <w:widowControl w:val="0"/>
                        <w:autoSpaceDE w:val="0"/>
                        <w:autoSpaceDN w:val="0"/>
                        <w:adjustRightInd w:val="0"/>
                        <w:jc w:val="both"/>
                        <w:outlineLvl w:val="0"/>
                        <w:rPr>
                          <w:sz w:val="20"/>
                          <w:szCs w:val="20"/>
                          <w:lang w:val="en-US"/>
                        </w:rPr>
                      </w:pPr>
                      <w:r w:rsidRPr="00A548BF">
                        <w:rPr>
                          <w:sz w:val="20"/>
                          <w:szCs w:val="20"/>
                          <w:lang w:val="en-US"/>
                        </w:rPr>
                        <w:t>The court ordered Ramu Sugar to terminate agreements it had entered with the Mari people and sign a new agreement with the Dumuna Akiki people. The two disputing parties have been ordered not to cause damage or any disturbance to the normal operation of Ramu Sugar.</w:t>
                      </w:r>
                    </w:p>
                    <w:p w14:paraId="5E957C1F" w14:textId="77777777" w:rsidR="009F661C" w:rsidRPr="00A548BF" w:rsidRDefault="009F661C" w:rsidP="00965E39">
                      <w:pPr>
                        <w:jc w:val="both"/>
                        <w:rPr>
                          <w:sz w:val="20"/>
                          <w:szCs w:val="20"/>
                        </w:rPr>
                      </w:pPr>
                      <w:r w:rsidRPr="00A548BF">
                        <w:rPr>
                          <w:b/>
                          <w:bCs/>
                          <w:sz w:val="20"/>
                          <w:szCs w:val="20"/>
                        </w:rPr>
                        <w:br w:type="page"/>
                        <w:t>Report in Post-Courier, 2nd January, 2003.</w:t>
                      </w:r>
                    </w:p>
                  </w:txbxContent>
                </v:textbox>
              </v:shape>
            </w:pict>
          </mc:Fallback>
        </mc:AlternateContent>
      </w:r>
      <w:r w:rsidR="009F661C" w:rsidRPr="00071CFC">
        <w:rPr>
          <w:b w:val="0"/>
          <w:bCs w:val="0"/>
          <w:sz w:val="20"/>
          <w:szCs w:val="20"/>
        </w:rPr>
        <w:br w:type="page"/>
      </w:r>
    </w:p>
    <w:p w14:paraId="2C23CB25" w14:textId="71958687" w:rsidR="009F661C" w:rsidRPr="00071CFC" w:rsidRDefault="00A32961" w:rsidP="00380955">
      <w:pPr>
        <w:pStyle w:val="BodyText"/>
        <w:ind w:firstLine="720"/>
        <w:jc w:val="both"/>
        <w:rPr>
          <w:b w:val="0"/>
          <w:bCs w:val="0"/>
          <w:sz w:val="20"/>
          <w:szCs w:val="20"/>
        </w:rPr>
      </w:pPr>
      <w:r>
        <w:rPr>
          <w:noProof/>
          <w:lang w:eastAsia="en-AU"/>
        </w:rPr>
        <w:lastRenderedPageBreak/>
        <mc:AlternateContent>
          <mc:Choice Requires="wps">
            <w:drawing>
              <wp:anchor distT="0" distB="0" distL="114300" distR="114300" simplePos="0" relativeHeight="251660288" behindDoc="0" locked="0" layoutInCell="1" allowOverlap="1" wp14:anchorId="6C508F58" wp14:editId="64D59A83">
                <wp:simplePos x="0" y="0"/>
                <wp:positionH relativeFrom="column">
                  <wp:posOffset>5715</wp:posOffset>
                </wp:positionH>
                <wp:positionV relativeFrom="paragraph">
                  <wp:posOffset>-48895</wp:posOffset>
                </wp:positionV>
                <wp:extent cx="3800475" cy="6267450"/>
                <wp:effectExtent l="5715" t="1905" r="16510" b="17145"/>
                <wp:wrapNone/>
                <wp:docPr id="2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0475" cy="6267450"/>
                        </a:xfrm>
                        <a:prstGeom prst="rect">
                          <a:avLst/>
                        </a:prstGeom>
                        <a:solidFill>
                          <a:srgbClr val="FFFFFF"/>
                        </a:solidFill>
                        <a:ln w="9525">
                          <a:solidFill>
                            <a:srgbClr val="000000"/>
                          </a:solidFill>
                          <a:miter lim="800000"/>
                          <a:headEnd/>
                          <a:tailEnd/>
                        </a:ln>
                      </wps:spPr>
                      <wps:txbx>
                        <w:txbxContent>
                          <w:p w14:paraId="2D3A5CA2" w14:textId="77777777" w:rsidR="009F661C" w:rsidRPr="00A548BF" w:rsidRDefault="009F661C" w:rsidP="00020DE7">
                            <w:pPr>
                              <w:pStyle w:val="BodyText"/>
                              <w:rPr>
                                <w:sz w:val="20"/>
                                <w:szCs w:val="20"/>
                              </w:rPr>
                            </w:pPr>
                            <w:r w:rsidRPr="00A548BF">
                              <w:rPr>
                                <w:sz w:val="20"/>
                                <w:szCs w:val="20"/>
                              </w:rPr>
                              <w:t xml:space="preserve">Box #2.4 Absurdity behind tribal conflicts </w:t>
                            </w:r>
                          </w:p>
                          <w:p w14:paraId="33007145" w14:textId="77777777" w:rsidR="009F661C" w:rsidRPr="00A548BF" w:rsidRDefault="009F661C" w:rsidP="00052837">
                            <w:pPr>
                              <w:pStyle w:val="BodyText"/>
                              <w:jc w:val="center"/>
                              <w:rPr>
                                <w:sz w:val="20"/>
                                <w:szCs w:val="20"/>
                              </w:rPr>
                            </w:pPr>
                            <w:r w:rsidRPr="00A548BF">
                              <w:rPr>
                                <w:sz w:val="20"/>
                                <w:szCs w:val="20"/>
                              </w:rPr>
                              <w:t xml:space="preserve"> </w:t>
                            </w:r>
                          </w:p>
                          <w:p w14:paraId="3306234F" w14:textId="77777777" w:rsidR="009F661C" w:rsidRPr="00A548BF" w:rsidRDefault="009F661C" w:rsidP="00052837">
                            <w:pPr>
                              <w:jc w:val="both"/>
                              <w:rPr>
                                <w:sz w:val="20"/>
                                <w:szCs w:val="20"/>
                              </w:rPr>
                            </w:pPr>
                            <w:r w:rsidRPr="00A548BF">
                              <w:rPr>
                                <w:sz w:val="20"/>
                                <w:szCs w:val="20"/>
                              </w:rPr>
                              <w:t>A certain man passed by his humble abode one evening in 2002 and heard excited whispers between his wife and her sister-in-law.  He pressed himself close to the walls of his house and heard something that he was to regret having overheard later.  His good wife was telling his sister that she was having an adulterous affair with a man from a nearby clan who had been her boyfriend before she got married to our eavesdropper.  The enraged man went to the next village the following morning and demanded that the adulterer pay compensation for the crime...</w:t>
                            </w:r>
                          </w:p>
                          <w:p w14:paraId="0D854CDE" w14:textId="77777777" w:rsidR="009F661C" w:rsidRPr="00A548BF" w:rsidRDefault="009F661C" w:rsidP="00857FE7">
                            <w:pPr>
                              <w:jc w:val="both"/>
                              <w:rPr>
                                <w:sz w:val="20"/>
                                <w:szCs w:val="20"/>
                              </w:rPr>
                            </w:pPr>
                            <w:r w:rsidRPr="00A548BF">
                              <w:rPr>
                                <w:sz w:val="20"/>
                                <w:szCs w:val="20"/>
                              </w:rPr>
                              <w:t xml:space="preserve"> The two parties –– the clansmen of our eavesdropper and that of the adulterer –– met on the common meeting ground the next day.  Harsh words were exchanged but in the end compensation was agreed to and paid. Then one man, it is not certain who, from the adulterer’s clan mouthed a remarkable declaration. He called for the two tribes not to meet in any public forum or to cross each other’s path for five years. He said the two tribes had been brothers but the dispute over the adultery case had opened up a huge gulf that could not be closed for a long time. Five years, he said, would be the time it took for the wound to close. The other party, after some mumbled consultation among its members, agreed and extended the period to ten years. Men of the two sides were not to meet openly during this period. However, food gardens were to be found in each other’s territory and it was an unsaid understanding that private violations of the solemn declaration could be entertained.</w:t>
                            </w:r>
                          </w:p>
                          <w:p w14:paraId="4DE298D8" w14:textId="77777777" w:rsidR="009F661C" w:rsidRDefault="009F661C" w:rsidP="00A018EF">
                            <w:pPr>
                              <w:jc w:val="both"/>
                              <w:rPr>
                                <w:color w:val="000080"/>
                              </w:rPr>
                            </w:pPr>
                            <w:r w:rsidRPr="00A548BF">
                              <w:rPr>
                                <w:sz w:val="20"/>
                                <w:szCs w:val="20"/>
                              </w:rPr>
                              <w:br/>
                              <w:t>Animals are never party to the exertions of human beings (otherwise they would never be around to agree to their own slaughter), and the pig that was given in compensation crossed the great divide between the two tribes the very next day back to the familiar home of its previous owner. Its new owner, desperate to reclaim the unexpected windfall in his family fortunes, crossed the divide in hot but silent pursuit.  He experienced soon enough the full measure of his transgression when the adulterer’s clansmen discovered him on the other side of the divide early in the morning. They thrashed him up to an inch of his life and left him at the border just inside their side of the divide lest they violate the solemn undertaking as well. As can be expected the other side saw this as a further affront and an incitement. The solemn declaration was forgotten and a tribal war erupted on the divide the following morning.</w:t>
                            </w:r>
                            <w:r w:rsidRPr="00857FE7">
                              <w:rPr>
                                <w:color w:val="000080"/>
                              </w:rPr>
                              <w:t xml:space="preserve"> </w:t>
                            </w:r>
                          </w:p>
                          <w:p w14:paraId="090E7927" w14:textId="77777777" w:rsidR="009F661C" w:rsidRPr="00857FE7" w:rsidRDefault="009F661C" w:rsidP="00A018EF">
                            <w:pPr>
                              <w:jc w:val="both"/>
                              <w:rPr>
                                <w:b/>
                                <w:bCs/>
                                <w:sz w:val="20"/>
                                <w:szCs w:val="20"/>
                              </w:rPr>
                            </w:pPr>
                            <w:r w:rsidRPr="00857FE7">
                              <w:rPr>
                                <w:b/>
                                <w:bCs/>
                                <w:sz w:val="20"/>
                                <w:szCs w:val="20"/>
                              </w:rPr>
                              <w:t xml:space="preserve">Anon., </w:t>
                            </w:r>
                            <w:r w:rsidRPr="00857FE7">
                              <w:rPr>
                                <w:rStyle w:val="Emphasis"/>
                                <w:sz w:val="20"/>
                                <w:szCs w:val="20"/>
                              </w:rPr>
                              <w:t>Post-Courier,</w:t>
                            </w:r>
                            <w:r w:rsidRPr="00857FE7">
                              <w:rPr>
                                <w:b/>
                                <w:bCs/>
                                <w:sz w:val="20"/>
                                <w:szCs w:val="20"/>
                              </w:rPr>
                              <w:t xml:space="preserve"> 2 August 2004</w:t>
                            </w:r>
                          </w:p>
                          <w:p w14:paraId="0B4A891D" w14:textId="77777777" w:rsidR="009F661C" w:rsidRPr="00A548BF" w:rsidRDefault="009F661C" w:rsidP="00A018EF">
                            <w:pPr>
                              <w:jc w:val="both"/>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508F58" id="Text Box 4" o:spid="_x0000_s1028" type="#_x0000_t202" style="position:absolute;left:0;text-align:left;margin-left:.45pt;margin-top:-3.8pt;width:299.25pt;height:49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ctPwjACAABZBAAADgAAAGRycy9lMm9Eb2MueG1srFTbbtswDH0fsH8Q9L7Y8ZykNeIUXboMA7oL&#10;0O4DZFm2hcmiJimxs68fJadp0G0vw/wgiCJ1RJ5Den0z9oochHUSdEnns5QSoTnUUrcl/fa4e3NF&#10;ifNM10yBFiU9CkdvNq9frQdTiAw6ULWwBEG0KwZT0s57UySJ453omZuBERqdDdieeTRtm9SWDYje&#10;qyRL02UygK2NBS6cw9O7yUk3Eb9pBPdfmsYJT1RJMTcfVxvXKqzJZs2K1jLTSX5Kg/1DFj2TGh89&#10;Q90xz8jeyt+gesktOGj8jEOfQNNILmINWM08fVHNQ8eMiLUgOc6caXL/D5Z/Pny1RNYlzeaUaNaj&#10;Ro9i9OQdjCQP9AzGFRj1YDDOj3iMMsdSnbkH/t0RDduO6VbcWgtDJ1iN6c3DzeTi6oTjAkg1fIIa&#10;n2F7DxFobGwfuEM2CKKjTMezNCEVjodvr9I0Xy0o4ehbZstVvojiJax4um6s8x8E9CRsSmpR+wjP&#10;DvfOh3RY8RQSXnOgZL2TSkXDttVWWXJg2Ce7+MUKXoQpTYaSXi+yxcTAXyHS+P0JopceG17JvqRY&#10;En4hiBWBt/e6jnvPpJr2mLLSJyIDdxOLfqzGSbJwN5BcQX1EZi1M/Y3ziJsO7E9KBuztkrofe2YF&#10;JeqjRnWu53kehiEa+WKVoWEvPdWlh2mOUCX1lEzbrZ8GaG+sbDt8aeoHDbeoaCMj189ZndLH/o0S&#10;nGYtDMilHaOe/wibXwAAAP//AwBQSwMEFAAGAAgAAAAhABtT2+/dAAAABwEAAA8AAABkcnMvZG93&#10;bnJldi54bWxMjsFOwzAQRO9I/IO1SFxQ6wAlaUKcCiGB6A3aCq5usk0i7HWw3TT8PcsJbrMzo9lX&#10;riZrxIg+9I4UXM8TEEi1a3pqFey2T7MliBA1Ndo4QgXfGGBVnZ+Vumjcid5w3MRW8AiFQivoYhwK&#10;KUPdodVh7gYkzg7OWx359K1svD7xuDXyJklSaXVP/KHTAz52WH9ujlbBcvEyfoT17et7nR5MHq+y&#10;8fnLK3V5MT3cg4g4xb8y/OIzOlTMtHdHaoIwCnLuKZhlKQhO7/J8AWLPdsZCVqX8z1/9AAAA//8D&#10;AFBLAQItABQABgAIAAAAIQDkmcPA+wAAAOEBAAATAAAAAAAAAAAAAAAAAAAAAABbQ29udGVudF9U&#10;eXBlc10ueG1sUEsBAi0AFAAGAAgAAAAhACOyauHXAAAAlAEAAAsAAAAAAAAAAAAAAAAALAEAAF9y&#10;ZWxzLy5yZWxzUEsBAi0AFAAGAAgAAAAhAJXLT8IwAgAAWQQAAA4AAAAAAAAAAAAAAAAALAIAAGRy&#10;cy9lMm9Eb2MueG1sUEsBAi0AFAAGAAgAAAAhABtT2+/dAAAABwEAAA8AAAAAAAAAAAAAAAAAiAQA&#10;AGRycy9kb3ducmV2LnhtbFBLBQYAAAAABAAEAPMAAACSBQAAAAA=&#10;">
                <v:textbox>
                  <w:txbxContent>
                    <w:p w14:paraId="2D3A5CA2" w14:textId="77777777" w:rsidR="009F661C" w:rsidRPr="00A548BF" w:rsidRDefault="009F661C" w:rsidP="00020DE7">
                      <w:pPr>
                        <w:pStyle w:val="BodyText"/>
                        <w:rPr>
                          <w:sz w:val="20"/>
                          <w:szCs w:val="20"/>
                        </w:rPr>
                      </w:pPr>
                      <w:r w:rsidRPr="00A548BF">
                        <w:rPr>
                          <w:sz w:val="20"/>
                          <w:szCs w:val="20"/>
                        </w:rPr>
                        <w:t xml:space="preserve">Box #2.4 Absurdity behind tribal conflicts </w:t>
                      </w:r>
                    </w:p>
                    <w:p w14:paraId="33007145" w14:textId="77777777" w:rsidR="009F661C" w:rsidRPr="00A548BF" w:rsidRDefault="009F661C" w:rsidP="00052837">
                      <w:pPr>
                        <w:pStyle w:val="BodyText"/>
                        <w:jc w:val="center"/>
                        <w:rPr>
                          <w:sz w:val="20"/>
                          <w:szCs w:val="20"/>
                        </w:rPr>
                      </w:pPr>
                      <w:r w:rsidRPr="00A548BF">
                        <w:rPr>
                          <w:sz w:val="20"/>
                          <w:szCs w:val="20"/>
                        </w:rPr>
                        <w:t xml:space="preserve"> </w:t>
                      </w:r>
                    </w:p>
                    <w:p w14:paraId="3306234F" w14:textId="77777777" w:rsidR="009F661C" w:rsidRPr="00A548BF" w:rsidRDefault="009F661C" w:rsidP="00052837">
                      <w:pPr>
                        <w:jc w:val="both"/>
                        <w:rPr>
                          <w:sz w:val="20"/>
                          <w:szCs w:val="20"/>
                        </w:rPr>
                      </w:pPr>
                      <w:r w:rsidRPr="00A548BF">
                        <w:rPr>
                          <w:sz w:val="20"/>
                          <w:szCs w:val="20"/>
                        </w:rPr>
                        <w:t>A certain man passed by his humble abode one evening in 2002 and heard excited whispers between his wife and her sister-in-law.  He pressed himself close to the walls of his house and heard something that he was to regret having overheard later.  His good wife was telling his sister that she was having an adulterous affair with a man from a nearby clan who had been her boyfriend before she got married to our eavesdropper.  The enraged man went to the next village the following morning and demanded that the adulterer pay compensation for the crime...</w:t>
                      </w:r>
                    </w:p>
                    <w:p w14:paraId="0D854CDE" w14:textId="77777777" w:rsidR="009F661C" w:rsidRPr="00A548BF" w:rsidRDefault="009F661C" w:rsidP="00857FE7">
                      <w:pPr>
                        <w:jc w:val="both"/>
                        <w:rPr>
                          <w:sz w:val="20"/>
                          <w:szCs w:val="20"/>
                        </w:rPr>
                      </w:pPr>
                      <w:r w:rsidRPr="00A548BF">
                        <w:rPr>
                          <w:sz w:val="20"/>
                          <w:szCs w:val="20"/>
                        </w:rPr>
                        <w:t xml:space="preserve"> The two parties –– the clansmen of our eavesdropper and that of the adulterer –– met on the common meeting ground the next day.  Harsh words were exchanged but in the end compensation was agreed to and paid. Then one man, it is not certain who, from the adulterer’s clan mouthed a remarkable declaration. He called for the two tribes not to meet in any public forum or to cross each other’s path for five years. He said the two tribes had been brothers but the dispute over the adultery case had opened up a huge gulf that could not be closed for a long time. Five years, he said, would be the time it took for the wound to close. The other party, after some mumbled consultation among its members, agreed and extended the period to ten years. Men of the two sides were not to meet openly during this period. However, food gardens were to be found in each other’s territory and it was an unsaid understanding that private violations of the solemn declaration could be entertained.</w:t>
                      </w:r>
                    </w:p>
                    <w:p w14:paraId="4DE298D8" w14:textId="77777777" w:rsidR="009F661C" w:rsidRDefault="009F661C" w:rsidP="00A018EF">
                      <w:pPr>
                        <w:jc w:val="both"/>
                        <w:rPr>
                          <w:color w:val="000080"/>
                        </w:rPr>
                      </w:pPr>
                      <w:r w:rsidRPr="00A548BF">
                        <w:rPr>
                          <w:sz w:val="20"/>
                          <w:szCs w:val="20"/>
                        </w:rPr>
                        <w:br/>
                        <w:t>Animals are never party to the exertions of human beings (otherwise they would never be around to agree to their own slaughter), and the pig that was given in compensation crossed the great divide between the two tribes the very next day back to the familiar home of its previous owner. Its new owner, desperate to reclaim the unexpected windfall in his family fortunes, crossed the divide in hot but silent pursuit.  He experienced soon enough the full measure of his transgression when the adulterer’s clansmen discovered him on the other side of the divide early in the morning. They thrashed him up to an inch of his life and left him at the border just inside their side of the divide lest they violate the solemn undertaking as well. As can be expected the other side saw this as a further affront and an incitement. The solemn declaration was forgotten and a tribal war erupted on the divide the following morning.</w:t>
                      </w:r>
                      <w:r w:rsidRPr="00857FE7">
                        <w:rPr>
                          <w:color w:val="000080"/>
                        </w:rPr>
                        <w:t xml:space="preserve"> </w:t>
                      </w:r>
                    </w:p>
                    <w:p w14:paraId="090E7927" w14:textId="77777777" w:rsidR="009F661C" w:rsidRPr="00857FE7" w:rsidRDefault="009F661C" w:rsidP="00A018EF">
                      <w:pPr>
                        <w:jc w:val="both"/>
                        <w:rPr>
                          <w:b/>
                          <w:bCs/>
                          <w:sz w:val="20"/>
                          <w:szCs w:val="20"/>
                        </w:rPr>
                      </w:pPr>
                      <w:r w:rsidRPr="00857FE7">
                        <w:rPr>
                          <w:b/>
                          <w:bCs/>
                          <w:sz w:val="20"/>
                          <w:szCs w:val="20"/>
                        </w:rPr>
                        <w:t xml:space="preserve">Anon., </w:t>
                      </w:r>
                      <w:r w:rsidRPr="00857FE7">
                        <w:rPr>
                          <w:rStyle w:val="Emphasis"/>
                          <w:sz w:val="20"/>
                          <w:szCs w:val="20"/>
                        </w:rPr>
                        <w:t>Post-Courier,</w:t>
                      </w:r>
                      <w:r w:rsidRPr="00857FE7">
                        <w:rPr>
                          <w:b/>
                          <w:bCs/>
                          <w:sz w:val="20"/>
                          <w:szCs w:val="20"/>
                        </w:rPr>
                        <w:t xml:space="preserve"> 2 August 2004</w:t>
                      </w:r>
                    </w:p>
                    <w:p w14:paraId="0B4A891D" w14:textId="77777777" w:rsidR="009F661C" w:rsidRPr="00A548BF" w:rsidRDefault="009F661C" w:rsidP="00A018EF">
                      <w:pPr>
                        <w:jc w:val="both"/>
                        <w:rPr>
                          <w:sz w:val="20"/>
                          <w:szCs w:val="20"/>
                        </w:rPr>
                      </w:pPr>
                    </w:p>
                  </w:txbxContent>
                </v:textbox>
              </v:shape>
            </w:pict>
          </mc:Fallback>
        </mc:AlternateContent>
      </w:r>
    </w:p>
    <w:p w14:paraId="743510A5" w14:textId="77777777" w:rsidR="009F661C" w:rsidRPr="00071CFC" w:rsidRDefault="009F661C" w:rsidP="00380955">
      <w:pPr>
        <w:pStyle w:val="BodyText"/>
        <w:ind w:firstLine="720"/>
        <w:jc w:val="both"/>
        <w:rPr>
          <w:b w:val="0"/>
          <w:bCs w:val="0"/>
          <w:sz w:val="20"/>
          <w:szCs w:val="20"/>
        </w:rPr>
      </w:pPr>
    </w:p>
    <w:p w14:paraId="32CC91B6" w14:textId="77777777" w:rsidR="009F661C" w:rsidRPr="00071CFC" w:rsidRDefault="009F661C" w:rsidP="00380955">
      <w:pPr>
        <w:pStyle w:val="BodyText"/>
        <w:ind w:firstLine="720"/>
        <w:jc w:val="both"/>
        <w:rPr>
          <w:b w:val="0"/>
          <w:bCs w:val="0"/>
          <w:sz w:val="20"/>
          <w:szCs w:val="20"/>
        </w:rPr>
      </w:pPr>
    </w:p>
    <w:p w14:paraId="6CFED20D" w14:textId="77777777" w:rsidR="009F661C" w:rsidRPr="00071CFC" w:rsidRDefault="009F661C" w:rsidP="00380955">
      <w:pPr>
        <w:pStyle w:val="BodyText"/>
        <w:ind w:firstLine="720"/>
        <w:jc w:val="both"/>
        <w:rPr>
          <w:b w:val="0"/>
          <w:bCs w:val="0"/>
          <w:sz w:val="20"/>
          <w:szCs w:val="20"/>
        </w:rPr>
      </w:pPr>
    </w:p>
    <w:p w14:paraId="06CD1BE3" w14:textId="77777777" w:rsidR="009F661C" w:rsidRPr="00071CFC" w:rsidRDefault="009F661C" w:rsidP="00380955">
      <w:pPr>
        <w:pStyle w:val="BodyText"/>
        <w:ind w:firstLine="720"/>
        <w:jc w:val="both"/>
        <w:rPr>
          <w:b w:val="0"/>
          <w:bCs w:val="0"/>
          <w:sz w:val="20"/>
          <w:szCs w:val="20"/>
        </w:rPr>
      </w:pPr>
    </w:p>
    <w:p w14:paraId="05B37AF5" w14:textId="77777777" w:rsidR="009F661C" w:rsidRPr="00071CFC" w:rsidRDefault="009F661C" w:rsidP="00380955">
      <w:pPr>
        <w:pStyle w:val="BodyText"/>
        <w:ind w:firstLine="720"/>
        <w:jc w:val="both"/>
        <w:rPr>
          <w:b w:val="0"/>
          <w:bCs w:val="0"/>
          <w:sz w:val="20"/>
          <w:szCs w:val="20"/>
        </w:rPr>
      </w:pPr>
    </w:p>
    <w:p w14:paraId="5180B1EA" w14:textId="77777777" w:rsidR="009F661C" w:rsidRPr="00071CFC" w:rsidRDefault="009F661C" w:rsidP="00380955">
      <w:pPr>
        <w:pStyle w:val="BodyText"/>
        <w:ind w:firstLine="720"/>
        <w:jc w:val="both"/>
        <w:rPr>
          <w:b w:val="0"/>
          <w:bCs w:val="0"/>
          <w:sz w:val="20"/>
          <w:szCs w:val="20"/>
        </w:rPr>
      </w:pPr>
    </w:p>
    <w:p w14:paraId="51363E97" w14:textId="77777777" w:rsidR="009F661C" w:rsidRPr="00071CFC" w:rsidRDefault="009F661C" w:rsidP="00380955">
      <w:pPr>
        <w:pStyle w:val="BodyText"/>
        <w:ind w:firstLine="720"/>
        <w:jc w:val="both"/>
        <w:rPr>
          <w:b w:val="0"/>
          <w:bCs w:val="0"/>
          <w:sz w:val="20"/>
          <w:szCs w:val="20"/>
        </w:rPr>
      </w:pPr>
    </w:p>
    <w:p w14:paraId="290C05DE" w14:textId="77777777" w:rsidR="009F661C" w:rsidRPr="00071CFC" w:rsidRDefault="009F661C" w:rsidP="00380955">
      <w:pPr>
        <w:pStyle w:val="BodyText"/>
        <w:ind w:firstLine="720"/>
        <w:jc w:val="both"/>
        <w:rPr>
          <w:b w:val="0"/>
          <w:bCs w:val="0"/>
          <w:sz w:val="20"/>
          <w:szCs w:val="20"/>
        </w:rPr>
      </w:pPr>
    </w:p>
    <w:p w14:paraId="4D49D569" w14:textId="77777777" w:rsidR="009F661C" w:rsidRPr="00071CFC" w:rsidRDefault="009F661C" w:rsidP="00380955">
      <w:pPr>
        <w:pStyle w:val="BodyText"/>
        <w:ind w:firstLine="720"/>
        <w:jc w:val="both"/>
        <w:rPr>
          <w:b w:val="0"/>
          <w:bCs w:val="0"/>
          <w:sz w:val="20"/>
          <w:szCs w:val="20"/>
        </w:rPr>
      </w:pPr>
    </w:p>
    <w:p w14:paraId="248D0D17" w14:textId="77777777" w:rsidR="009F661C" w:rsidRPr="00071CFC" w:rsidRDefault="009F661C" w:rsidP="00380955">
      <w:pPr>
        <w:pStyle w:val="BodyText"/>
        <w:ind w:firstLine="720"/>
        <w:jc w:val="both"/>
        <w:rPr>
          <w:b w:val="0"/>
          <w:bCs w:val="0"/>
          <w:sz w:val="20"/>
          <w:szCs w:val="20"/>
        </w:rPr>
      </w:pPr>
    </w:p>
    <w:p w14:paraId="523BED11" w14:textId="77777777" w:rsidR="009F661C" w:rsidRPr="00071CFC" w:rsidRDefault="009F661C" w:rsidP="00380955">
      <w:pPr>
        <w:pStyle w:val="BodyText"/>
        <w:ind w:firstLine="720"/>
        <w:jc w:val="both"/>
        <w:rPr>
          <w:b w:val="0"/>
          <w:bCs w:val="0"/>
          <w:sz w:val="20"/>
          <w:szCs w:val="20"/>
        </w:rPr>
      </w:pPr>
    </w:p>
    <w:p w14:paraId="60028A7A" w14:textId="77777777" w:rsidR="009F661C" w:rsidRPr="00071CFC" w:rsidRDefault="009F661C" w:rsidP="00380955">
      <w:pPr>
        <w:pStyle w:val="BodyText"/>
        <w:ind w:firstLine="720"/>
        <w:jc w:val="both"/>
        <w:rPr>
          <w:b w:val="0"/>
          <w:bCs w:val="0"/>
          <w:sz w:val="20"/>
          <w:szCs w:val="20"/>
        </w:rPr>
      </w:pPr>
    </w:p>
    <w:p w14:paraId="5C875A56" w14:textId="77777777" w:rsidR="009F661C" w:rsidRPr="00071CFC" w:rsidRDefault="009F661C" w:rsidP="00380955">
      <w:pPr>
        <w:pStyle w:val="BodyText"/>
        <w:ind w:firstLine="720"/>
        <w:jc w:val="both"/>
        <w:rPr>
          <w:b w:val="0"/>
          <w:bCs w:val="0"/>
          <w:sz w:val="20"/>
          <w:szCs w:val="20"/>
        </w:rPr>
      </w:pPr>
    </w:p>
    <w:p w14:paraId="4FA18449" w14:textId="77777777" w:rsidR="009F661C" w:rsidRPr="00071CFC" w:rsidRDefault="009F661C" w:rsidP="00380955">
      <w:pPr>
        <w:pStyle w:val="BodyText"/>
        <w:ind w:firstLine="720"/>
        <w:jc w:val="both"/>
        <w:rPr>
          <w:b w:val="0"/>
          <w:bCs w:val="0"/>
          <w:sz w:val="20"/>
          <w:szCs w:val="20"/>
        </w:rPr>
      </w:pPr>
    </w:p>
    <w:p w14:paraId="025CC5B5" w14:textId="77777777" w:rsidR="009F661C" w:rsidRPr="00071CFC" w:rsidRDefault="009F661C" w:rsidP="00380955">
      <w:pPr>
        <w:pStyle w:val="BodyText"/>
        <w:ind w:firstLine="720"/>
        <w:jc w:val="both"/>
        <w:rPr>
          <w:b w:val="0"/>
          <w:bCs w:val="0"/>
          <w:sz w:val="20"/>
          <w:szCs w:val="20"/>
        </w:rPr>
      </w:pPr>
    </w:p>
    <w:p w14:paraId="3C19546C" w14:textId="77777777" w:rsidR="009F661C" w:rsidRPr="00071CFC" w:rsidRDefault="009F661C" w:rsidP="00380955">
      <w:pPr>
        <w:pStyle w:val="BodyText"/>
        <w:ind w:firstLine="720"/>
        <w:jc w:val="both"/>
        <w:rPr>
          <w:b w:val="0"/>
          <w:bCs w:val="0"/>
          <w:sz w:val="20"/>
          <w:szCs w:val="20"/>
        </w:rPr>
      </w:pPr>
    </w:p>
    <w:p w14:paraId="32C87866" w14:textId="77777777" w:rsidR="009F661C" w:rsidRPr="00071CFC" w:rsidRDefault="009F661C" w:rsidP="00380955">
      <w:pPr>
        <w:pStyle w:val="BodyText"/>
        <w:ind w:firstLine="720"/>
        <w:jc w:val="both"/>
        <w:rPr>
          <w:b w:val="0"/>
          <w:bCs w:val="0"/>
          <w:sz w:val="20"/>
          <w:szCs w:val="20"/>
        </w:rPr>
      </w:pPr>
    </w:p>
    <w:p w14:paraId="4FBF9E45" w14:textId="77777777" w:rsidR="009F661C" w:rsidRPr="00071CFC" w:rsidRDefault="009F661C" w:rsidP="00380955">
      <w:pPr>
        <w:pStyle w:val="BodyText"/>
        <w:ind w:firstLine="720"/>
        <w:jc w:val="both"/>
        <w:rPr>
          <w:b w:val="0"/>
          <w:bCs w:val="0"/>
          <w:sz w:val="20"/>
          <w:szCs w:val="20"/>
        </w:rPr>
      </w:pPr>
    </w:p>
    <w:p w14:paraId="0527A645" w14:textId="77777777" w:rsidR="009F661C" w:rsidRPr="00071CFC" w:rsidRDefault="009F661C" w:rsidP="00380955">
      <w:pPr>
        <w:pStyle w:val="BodyText"/>
        <w:ind w:firstLine="720"/>
        <w:jc w:val="both"/>
        <w:rPr>
          <w:b w:val="0"/>
          <w:bCs w:val="0"/>
          <w:sz w:val="20"/>
          <w:szCs w:val="20"/>
        </w:rPr>
      </w:pPr>
    </w:p>
    <w:p w14:paraId="5D225971" w14:textId="77777777" w:rsidR="009F661C" w:rsidRPr="00071CFC" w:rsidRDefault="009F661C" w:rsidP="00380955">
      <w:pPr>
        <w:pStyle w:val="BodyText"/>
        <w:ind w:firstLine="720"/>
        <w:jc w:val="both"/>
        <w:rPr>
          <w:b w:val="0"/>
          <w:bCs w:val="0"/>
          <w:sz w:val="20"/>
          <w:szCs w:val="20"/>
        </w:rPr>
      </w:pPr>
    </w:p>
    <w:p w14:paraId="09CE1C9F" w14:textId="77777777" w:rsidR="009F661C" w:rsidRPr="00071CFC" w:rsidRDefault="009F661C" w:rsidP="00380955">
      <w:pPr>
        <w:pStyle w:val="BodyText"/>
        <w:ind w:firstLine="720"/>
        <w:jc w:val="both"/>
        <w:rPr>
          <w:b w:val="0"/>
          <w:bCs w:val="0"/>
          <w:sz w:val="20"/>
          <w:szCs w:val="20"/>
        </w:rPr>
      </w:pPr>
    </w:p>
    <w:p w14:paraId="432CA7B3" w14:textId="77777777" w:rsidR="009F661C" w:rsidRPr="00071CFC" w:rsidRDefault="009F661C" w:rsidP="00380955">
      <w:pPr>
        <w:pStyle w:val="BodyText"/>
        <w:ind w:firstLine="720"/>
        <w:jc w:val="both"/>
        <w:rPr>
          <w:b w:val="0"/>
          <w:bCs w:val="0"/>
          <w:sz w:val="20"/>
          <w:szCs w:val="20"/>
        </w:rPr>
      </w:pPr>
    </w:p>
    <w:p w14:paraId="232A50C0" w14:textId="77777777" w:rsidR="009F661C" w:rsidRPr="00071CFC" w:rsidRDefault="009F661C" w:rsidP="00380955">
      <w:pPr>
        <w:pStyle w:val="BodyText"/>
        <w:ind w:firstLine="720"/>
        <w:jc w:val="both"/>
        <w:rPr>
          <w:b w:val="0"/>
          <w:bCs w:val="0"/>
          <w:sz w:val="20"/>
          <w:szCs w:val="20"/>
        </w:rPr>
      </w:pPr>
    </w:p>
    <w:p w14:paraId="29689D9C" w14:textId="77777777" w:rsidR="009F661C" w:rsidRPr="00071CFC" w:rsidRDefault="009F661C" w:rsidP="00380955">
      <w:pPr>
        <w:pStyle w:val="BodyText"/>
        <w:ind w:firstLine="720"/>
        <w:jc w:val="both"/>
        <w:rPr>
          <w:b w:val="0"/>
          <w:bCs w:val="0"/>
          <w:sz w:val="20"/>
          <w:szCs w:val="20"/>
        </w:rPr>
      </w:pPr>
    </w:p>
    <w:p w14:paraId="2D732491" w14:textId="77777777" w:rsidR="009F661C" w:rsidRPr="00071CFC" w:rsidRDefault="009F661C" w:rsidP="00380955">
      <w:pPr>
        <w:pStyle w:val="BodyText"/>
        <w:ind w:firstLine="720"/>
        <w:jc w:val="both"/>
        <w:rPr>
          <w:b w:val="0"/>
          <w:bCs w:val="0"/>
          <w:sz w:val="20"/>
          <w:szCs w:val="20"/>
        </w:rPr>
      </w:pPr>
    </w:p>
    <w:p w14:paraId="354E9FAD" w14:textId="77777777" w:rsidR="009F661C" w:rsidRPr="00071CFC" w:rsidRDefault="009F661C" w:rsidP="00380955">
      <w:pPr>
        <w:pStyle w:val="BodyText"/>
        <w:ind w:firstLine="720"/>
        <w:jc w:val="both"/>
        <w:rPr>
          <w:b w:val="0"/>
          <w:bCs w:val="0"/>
          <w:sz w:val="20"/>
          <w:szCs w:val="20"/>
        </w:rPr>
      </w:pPr>
    </w:p>
    <w:p w14:paraId="245070E3" w14:textId="77777777" w:rsidR="009F661C" w:rsidRPr="00071CFC" w:rsidRDefault="009F661C" w:rsidP="00380955">
      <w:pPr>
        <w:pStyle w:val="BodyText"/>
        <w:ind w:firstLine="720"/>
        <w:jc w:val="both"/>
        <w:rPr>
          <w:b w:val="0"/>
          <w:bCs w:val="0"/>
          <w:sz w:val="20"/>
          <w:szCs w:val="20"/>
        </w:rPr>
      </w:pPr>
    </w:p>
    <w:p w14:paraId="3D07816B" w14:textId="77777777" w:rsidR="009F661C" w:rsidRPr="00071CFC" w:rsidRDefault="009F661C" w:rsidP="00380955">
      <w:pPr>
        <w:pStyle w:val="BodyText"/>
        <w:ind w:firstLine="720"/>
        <w:jc w:val="both"/>
        <w:rPr>
          <w:b w:val="0"/>
          <w:bCs w:val="0"/>
          <w:sz w:val="20"/>
          <w:szCs w:val="20"/>
        </w:rPr>
      </w:pPr>
    </w:p>
    <w:p w14:paraId="63FCAE40" w14:textId="77777777" w:rsidR="009F661C" w:rsidRPr="00071CFC" w:rsidRDefault="009F661C" w:rsidP="00380955">
      <w:pPr>
        <w:pStyle w:val="BodyText"/>
        <w:ind w:firstLine="720"/>
        <w:jc w:val="both"/>
        <w:rPr>
          <w:b w:val="0"/>
          <w:bCs w:val="0"/>
          <w:sz w:val="20"/>
          <w:szCs w:val="20"/>
        </w:rPr>
      </w:pPr>
    </w:p>
    <w:p w14:paraId="6FB5B8EB" w14:textId="77777777" w:rsidR="009F661C" w:rsidRPr="00071CFC" w:rsidRDefault="009F661C" w:rsidP="00380955">
      <w:pPr>
        <w:pStyle w:val="BodyText"/>
        <w:ind w:firstLine="720"/>
        <w:jc w:val="both"/>
        <w:rPr>
          <w:b w:val="0"/>
          <w:bCs w:val="0"/>
          <w:sz w:val="20"/>
          <w:szCs w:val="20"/>
        </w:rPr>
      </w:pPr>
    </w:p>
    <w:p w14:paraId="29841040" w14:textId="77777777" w:rsidR="009F661C" w:rsidRPr="00071CFC" w:rsidRDefault="009F661C" w:rsidP="00380955">
      <w:pPr>
        <w:pStyle w:val="BodyText"/>
        <w:ind w:firstLine="720"/>
        <w:jc w:val="both"/>
        <w:rPr>
          <w:b w:val="0"/>
          <w:bCs w:val="0"/>
          <w:sz w:val="20"/>
          <w:szCs w:val="20"/>
        </w:rPr>
      </w:pPr>
    </w:p>
    <w:p w14:paraId="4A702AE9" w14:textId="77777777" w:rsidR="009F661C" w:rsidRPr="00071CFC" w:rsidRDefault="009F661C" w:rsidP="00020DE7">
      <w:pPr>
        <w:pStyle w:val="BodyText"/>
        <w:jc w:val="both"/>
        <w:rPr>
          <w:b w:val="0"/>
          <w:bCs w:val="0"/>
          <w:sz w:val="20"/>
          <w:szCs w:val="20"/>
        </w:rPr>
      </w:pPr>
      <w:r w:rsidRPr="00071CFC">
        <w:rPr>
          <w:sz w:val="20"/>
          <w:szCs w:val="20"/>
          <w:lang w:val="en-GB"/>
        </w:rPr>
        <w:br w:type="page"/>
      </w:r>
    </w:p>
    <w:p w14:paraId="4C2B074F" w14:textId="7B09C056" w:rsidR="009F661C" w:rsidRPr="00071CFC" w:rsidRDefault="00A32961" w:rsidP="00380955">
      <w:pPr>
        <w:jc w:val="both"/>
        <w:rPr>
          <w:b/>
          <w:bCs/>
          <w:sz w:val="20"/>
          <w:szCs w:val="20"/>
          <w:lang w:val="en-GB"/>
        </w:rPr>
      </w:pPr>
      <w:r>
        <w:rPr>
          <w:noProof/>
          <w:lang w:eastAsia="en-AU"/>
        </w:rPr>
        <w:lastRenderedPageBreak/>
        <mc:AlternateContent>
          <mc:Choice Requires="wps">
            <w:drawing>
              <wp:anchor distT="0" distB="0" distL="114300" distR="114300" simplePos="0" relativeHeight="251661312" behindDoc="0" locked="0" layoutInCell="1" allowOverlap="1" wp14:anchorId="69981DD9" wp14:editId="4DA982BF">
                <wp:simplePos x="0" y="0"/>
                <wp:positionH relativeFrom="column">
                  <wp:posOffset>-51435</wp:posOffset>
                </wp:positionH>
                <wp:positionV relativeFrom="paragraph">
                  <wp:posOffset>-48895</wp:posOffset>
                </wp:positionV>
                <wp:extent cx="3800475" cy="4229100"/>
                <wp:effectExtent l="0" t="1905" r="10160" b="10795"/>
                <wp:wrapNone/>
                <wp:docPr id="2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0475" cy="4229100"/>
                        </a:xfrm>
                        <a:prstGeom prst="rect">
                          <a:avLst/>
                        </a:prstGeom>
                        <a:solidFill>
                          <a:srgbClr val="FFFFFF"/>
                        </a:solidFill>
                        <a:ln w="9525">
                          <a:solidFill>
                            <a:srgbClr val="000000"/>
                          </a:solidFill>
                          <a:miter lim="800000"/>
                          <a:headEnd/>
                          <a:tailEnd/>
                        </a:ln>
                      </wps:spPr>
                      <wps:txbx>
                        <w:txbxContent>
                          <w:p w14:paraId="157D1D13" w14:textId="77777777" w:rsidR="009F661C" w:rsidRPr="00A548BF" w:rsidRDefault="009F661C" w:rsidP="00A018EF">
                            <w:pPr>
                              <w:jc w:val="both"/>
                              <w:rPr>
                                <w:sz w:val="20"/>
                                <w:szCs w:val="20"/>
                              </w:rPr>
                            </w:pPr>
                            <w:r w:rsidRPr="00A548BF">
                              <w:rPr>
                                <w:sz w:val="20"/>
                                <w:szCs w:val="20"/>
                              </w:rPr>
                              <w:t xml:space="preserve">A young man belonging to the adulteress’ clan was the first to fall in battle. His elder brother did not leave the battlefield. He stepped on the head of his dead brother as he lay on the battlefield and pledged that he would avenge him that very instant. At his call two men with guns left the protection of the war shields and fired at the man who had shot this friend. One aimed for the head and the other for the leg. The one who aimed for the leg misfired but the other’s shot went true. Mortally wounded in the head, he was borne on young shoulders over 60km to his home. A warrior of tremendous renown and with a reputation to match, this man passed away within days. </w:t>
                            </w:r>
                          </w:p>
                          <w:p w14:paraId="7BD10DBB" w14:textId="77777777" w:rsidR="009F661C" w:rsidRPr="00A548BF" w:rsidRDefault="009F661C" w:rsidP="00A018EF">
                            <w:pPr>
                              <w:jc w:val="both"/>
                              <w:rPr>
                                <w:sz w:val="20"/>
                                <w:szCs w:val="20"/>
                              </w:rPr>
                            </w:pPr>
                          </w:p>
                          <w:p w14:paraId="1E08C91B" w14:textId="77777777" w:rsidR="009F661C" w:rsidRPr="00A548BF" w:rsidRDefault="009F661C" w:rsidP="00A018EF">
                            <w:pPr>
                              <w:jc w:val="both"/>
                              <w:rPr>
                                <w:sz w:val="20"/>
                                <w:szCs w:val="20"/>
                              </w:rPr>
                            </w:pPr>
                            <w:r w:rsidRPr="00A548BF">
                              <w:rPr>
                                <w:sz w:val="20"/>
                                <w:szCs w:val="20"/>
                              </w:rPr>
                              <w:t>In the ensuing melee and tension and clashes, word reached me that somehow I was responsible for the conflict! A demand went out to my tribe that I was to pay compensation of a certain sum. My only crime, if standing for elections can be called a crime, was that I had gained the support of many [More?}</w:t>
                            </w:r>
                          </w:p>
                          <w:p w14:paraId="5217C230" w14:textId="77777777" w:rsidR="009F661C" w:rsidRPr="00A548BF" w:rsidRDefault="009F661C" w:rsidP="00A018EF">
                            <w:pPr>
                              <w:jc w:val="both"/>
                              <w:rPr>
                                <w:rFonts w:ascii="Tahoma" w:hAnsi="Tahoma" w:cs="Tahoma"/>
                                <w:sz w:val="20"/>
                                <w:szCs w:val="20"/>
                              </w:rPr>
                            </w:pPr>
                            <w:r w:rsidRPr="00A548BF">
                              <w:rPr>
                                <w:sz w:val="20"/>
                                <w:szCs w:val="20"/>
                              </w:rPr>
                              <w:t xml:space="preserve"> of the people who were now embroiled in this horrendous conflict. The slain boy was a committee member. I sent some money with a condolence message to the relatives of the boy. I said the money was for the support he had given me during my election campaign and would they please accept it with my deepest condolences.  I had never reckoned for the devious ingenuity of my people. They contrived once again that what I had done with my gift was an admission of culpability and that the money I had sent was first payment and the actual compensation would follow. </w:t>
                            </w:r>
                          </w:p>
                          <w:p w14:paraId="748179CF" w14:textId="77777777" w:rsidR="009F661C" w:rsidRPr="00A548BF" w:rsidRDefault="009F661C" w:rsidP="00A018EF">
                            <w:pPr>
                              <w:pStyle w:val="BodyText"/>
                              <w:rPr>
                                <w:b w:val="0"/>
                                <w:bCs w:val="0"/>
                                <w:sz w:val="20"/>
                                <w:szCs w:val="20"/>
                              </w:rPr>
                            </w:pPr>
                          </w:p>
                          <w:p w14:paraId="262AFA41" w14:textId="77777777" w:rsidR="009F661C" w:rsidRPr="00A548BF" w:rsidRDefault="009F661C" w:rsidP="00A018EF">
                            <w:pPr>
                              <w:pStyle w:val="BodyText"/>
                              <w:rPr>
                                <w:b w:val="0"/>
                                <w:bCs w:val="0"/>
                                <w:sz w:val="20"/>
                                <w:szCs w:val="20"/>
                              </w:rPr>
                            </w:pPr>
                            <w:r w:rsidRPr="00A548BF">
                              <w:rPr>
                                <w:sz w:val="20"/>
                                <w:szCs w:val="20"/>
                              </w:rPr>
                              <w:t xml:space="preserve">(from an article by Frank Senge Kolma, </w:t>
                            </w:r>
                            <w:r w:rsidRPr="00A548BF">
                              <w:rPr>
                                <w:i/>
                                <w:iCs/>
                                <w:sz w:val="20"/>
                                <w:szCs w:val="20"/>
                              </w:rPr>
                              <w:t xml:space="preserve">The National, </w:t>
                            </w:r>
                            <w:r w:rsidRPr="00A548BF">
                              <w:rPr>
                                <w:sz w:val="20"/>
                                <w:szCs w:val="20"/>
                              </w:rPr>
                              <w:t>2nd August 2004</w:t>
                            </w:r>
                          </w:p>
                          <w:p w14:paraId="59CF536C" w14:textId="77777777" w:rsidR="009F661C" w:rsidRPr="00A548BF" w:rsidRDefault="009F661C" w:rsidP="00A018EF">
                            <w:pP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981DD9" id="Text Box 5" o:spid="_x0000_s1029" type="#_x0000_t202" style="position:absolute;left:0;text-align:left;margin-left:-4.05pt;margin-top:-3.8pt;width:299.25pt;height:33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3gVjACAABZBAAADgAAAGRycy9lMm9Eb2MueG1srFTbbtswDH0fsH8Q9L7YcZO1MeIUXboMA7oL&#10;0O4DZFm2hUmiJimxu68fJadp0G0vw/wgUCJ1dHhIen09akUOwnkJpqLzWU6JMBwaabqKfnvYvbmi&#10;xAdmGqbAiIo+Ck+vN69frQdbigJ6UI1wBEGMLwdb0T4EW2aZ573QzM/ACoPOFpxmAbeuyxrHBkTX&#10;Kivy/G02gGusAy68x9PbyUk3Cb9tBQ9f2taLQFRFkVtIq0trHddss2Zl55jtJT/SYP/AQjNp8NET&#10;1C0LjOyd/A1KS+7AQxtmHHQGbSu5SDlgNvP8RTb3PbMi5YLieHuSyf8/WP758NUR2VS0QHkM01ij&#10;BzEG8g5GsozyDNaXGHVvMS6MeIxlTql6ewf8uycGtj0znbhxDoZesAbpzePN7OzqhOMjSD18ggaf&#10;YfsACWhsnY7aoRoE0ZHH46k0kQrHw4urPF9cLinh6FsUxWqep+JlrHy6bp0PHwRoEo2KOqx9gmeH&#10;Ox8iHVY+hcTXPCjZ7KRSaeO6eqscOTDsk136UgYvwpQhQ0VXy2I5KfBXiDx9f4LQMmDDK6kriinh&#10;F4NYGXV7b5pkBybVZCNlZY5CRu0mFcNYj6lkF/FuFLmG5hGVdTD1N84jGj24n5QM2NsV9T/2zAlK&#10;1EeD1VnNF4s4DGmzWF7G0rtzT33uYYYjVEUDJZO5DdMA7a2TXY8vTf1g4AYr2sqk9TOrI33s31SC&#10;46zFATnfp6jnP8LmFwAAAP//AwBQSwMEFAAGAAgAAAAhADvv9CTgAAAACQEAAA8AAABkcnMvZG93&#10;bnJldi54bWxMj8FOwzAQRO9I/IO1SFxQ6xTSNA1xKoQEojcoCK5usk0i7HWw3TT8PcsJTqPVjGbe&#10;lpvJGjGiD70jBYt5AgKpdk1PrYK314dZDiJETY02jlDBNwbYVOdnpS4ad6IXHHexFVxCodAKuhiH&#10;QspQd2h1mLsBib2D81ZHPn0rG69PXG6NvE6STFrdEy90esD7DuvP3dEqyNOn8SNsb57f6+xg1vFq&#10;NT5+eaUuL6a7WxARp/gXhl98RoeKmfbuSE0QRsEsX3CSdZWBYH+5TlIQewXZMk9BVqX8/0H1AwAA&#10;//8DAFBLAQItABQABgAIAAAAIQDkmcPA+wAAAOEBAAATAAAAAAAAAAAAAAAAAAAAAABbQ29udGVu&#10;dF9UeXBlc10ueG1sUEsBAi0AFAAGAAgAAAAhACOyauHXAAAAlAEAAAsAAAAAAAAAAAAAAAAALAEA&#10;AF9yZWxzLy5yZWxzUEsBAi0AFAAGAAgAAAAhALu94FYwAgAAWQQAAA4AAAAAAAAAAAAAAAAALAIA&#10;AGRycy9lMm9Eb2MueG1sUEsBAi0AFAAGAAgAAAAhADvv9CTgAAAACQEAAA8AAAAAAAAAAAAAAAAA&#10;iAQAAGRycy9kb3ducmV2LnhtbFBLBQYAAAAABAAEAPMAAACVBQAAAAA=&#10;">
                <v:textbox>
                  <w:txbxContent>
                    <w:p w14:paraId="157D1D13" w14:textId="77777777" w:rsidR="009F661C" w:rsidRPr="00A548BF" w:rsidRDefault="009F661C" w:rsidP="00A018EF">
                      <w:pPr>
                        <w:jc w:val="both"/>
                        <w:rPr>
                          <w:sz w:val="20"/>
                          <w:szCs w:val="20"/>
                        </w:rPr>
                      </w:pPr>
                      <w:r w:rsidRPr="00A548BF">
                        <w:rPr>
                          <w:sz w:val="20"/>
                          <w:szCs w:val="20"/>
                        </w:rPr>
                        <w:t xml:space="preserve">A young man belonging to the adulteress’ clan was the first to fall in battle. His elder brother did not leave the battlefield. He stepped on the head of his dead brother as he lay on the battlefield and pledged that he would avenge him that very instant. At his call two men with guns left the protection of the war shields and fired at the man who had shot this friend. One aimed for the head and the other for the leg. The one who aimed for the leg misfired but the other’s shot went true. Mortally wounded in the head, he was borne on young shoulders over 60km to his home. A warrior of tremendous renown and with a reputation to match, this man passed away within days. </w:t>
                      </w:r>
                    </w:p>
                    <w:p w14:paraId="7BD10DBB" w14:textId="77777777" w:rsidR="009F661C" w:rsidRPr="00A548BF" w:rsidRDefault="009F661C" w:rsidP="00A018EF">
                      <w:pPr>
                        <w:jc w:val="both"/>
                        <w:rPr>
                          <w:sz w:val="20"/>
                          <w:szCs w:val="20"/>
                        </w:rPr>
                      </w:pPr>
                    </w:p>
                    <w:p w14:paraId="1E08C91B" w14:textId="77777777" w:rsidR="009F661C" w:rsidRPr="00A548BF" w:rsidRDefault="009F661C" w:rsidP="00A018EF">
                      <w:pPr>
                        <w:jc w:val="both"/>
                        <w:rPr>
                          <w:sz w:val="20"/>
                          <w:szCs w:val="20"/>
                        </w:rPr>
                      </w:pPr>
                      <w:r w:rsidRPr="00A548BF">
                        <w:rPr>
                          <w:sz w:val="20"/>
                          <w:szCs w:val="20"/>
                        </w:rPr>
                        <w:t>In the ensuing melee and tension and clashes, word reached me that somehow I was responsible for the conflict! A demand went out to my tribe that I was to pay compensation of a certain sum. My only crime, if standing for elections can be called a crime, was that I had gained the support of many [More?}</w:t>
                      </w:r>
                    </w:p>
                    <w:p w14:paraId="5217C230" w14:textId="77777777" w:rsidR="009F661C" w:rsidRPr="00A548BF" w:rsidRDefault="009F661C" w:rsidP="00A018EF">
                      <w:pPr>
                        <w:jc w:val="both"/>
                        <w:rPr>
                          <w:rFonts w:ascii="Tahoma" w:hAnsi="Tahoma" w:cs="Tahoma"/>
                          <w:sz w:val="20"/>
                          <w:szCs w:val="20"/>
                        </w:rPr>
                      </w:pPr>
                      <w:r w:rsidRPr="00A548BF">
                        <w:rPr>
                          <w:sz w:val="20"/>
                          <w:szCs w:val="20"/>
                        </w:rPr>
                        <w:t xml:space="preserve"> of the people who were now embroiled in this horrendous conflict. The slain boy was a committee member. I sent some money with a condolence message to the relatives of the boy. I said the money was for the support he had given me during my election campaign and would they please accept it with my deepest condolences.  I had never reckoned for the devious ingenuity of my people. They contrived once again that what I had done with my gift was an admission of culpability and that the money I had sent was first payment and the actual compensation would follow. </w:t>
                      </w:r>
                    </w:p>
                    <w:p w14:paraId="748179CF" w14:textId="77777777" w:rsidR="009F661C" w:rsidRPr="00A548BF" w:rsidRDefault="009F661C" w:rsidP="00A018EF">
                      <w:pPr>
                        <w:pStyle w:val="BodyText"/>
                        <w:rPr>
                          <w:b w:val="0"/>
                          <w:bCs w:val="0"/>
                          <w:sz w:val="20"/>
                          <w:szCs w:val="20"/>
                        </w:rPr>
                      </w:pPr>
                    </w:p>
                    <w:p w14:paraId="262AFA41" w14:textId="77777777" w:rsidR="009F661C" w:rsidRPr="00A548BF" w:rsidRDefault="009F661C" w:rsidP="00A018EF">
                      <w:pPr>
                        <w:pStyle w:val="BodyText"/>
                        <w:rPr>
                          <w:b w:val="0"/>
                          <w:bCs w:val="0"/>
                          <w:sz w:val="20"/>
                          <w:szCs w:val="20"/>
                        </w:rPr>
                      </w:pPr>
                      <w:r w:rsidRPr="00A548BF">
                        <w:rPr>
                          <w:sz w:val="20"/>
                          <w:szCs w:val="20"/>
                        </w:rPr>
                        <w:t xml:space="preserve">(from an article by Frank Senge Kolma, </w:t>
                      </w:r>
                      <w:r w:rsidRPr="00A548BF">
                        <w:rPr>
                          <w:i/>
                          <w:iCs/>
                          <w:sz w:val="20"/>
                          <w:szCs w:val="20"/>
                        </w:rPr>
                        <w:t xml:space="preserve">The National, </w:t>
                      </w:r>
                      <w:r w:rsidRPr="00A548BF">
                        <w:rPr>
                          <w:sz w:val="20"/>
                          <w:szCs w:val="20"/>
                        </w:rPr>
                        <w:t>2nd August 2004</w:t>
                      </w:r>
                    </w:p>
                    <w:p w14:paraId="59CF536C" w14:textId="77777777" w:rsidR="009F661C" w:rsidRPr="00A548BF" w:rsidRDefault="009F661C" w:rsidP="00A018EF">
                      <w:pPr>
                        <w:rPr>
                          <w:sz w:val="20"/>
                          <w:szCs w:val="20"/>
                        </w:rPr>
                      </w:pPr>
                    </w:p>
                  </w:txbxContent>
                </v:textbox>
              </v:shape>
            </w:pict>
          </mc:Fallback>
        </mc:AlternateContent>
      </w:r>
    </w:p>
    <w:p w14:paraId="29C4334C" w14:textId="77777777" w:rsidR="009F661C" w:rsidRPr="00071CFC" w:rsidRDefault="009F661C" w:rsidP="00380955">
      <w:pPr>
        <w:jc w:val="both"/>
        <w:rPr>
          <w:b/>
          <w:bCs/>
          <w:sz w:val="20"/>
          <w:szCs w:val="20"/>
          <w:lang w:val="en-GB"/>
        </w:rPr>
      </w:pPr>
    </w:p>
    <w:p w14:paraId="66F0BD07" w14:textId="77777777" w:rsidR="009F661C" w:rsidRPr="00071CFC" w:rsidRDefault="009F661C" w:rsidP="00380955">
      <w:pPr>
        <w:jc w:val="both"/>
        <w:rPr>
          <w:b/>
          <w:bCs/>
          <w:sz w:val="20"/>
          <w:szCs w:val="20"/>
          <w:lang w:val="en-GB"/>
        </w:rPr>
      </w:pPr>
    </w:p>
    <w:p w14:paraId="3C90AE41" w14:textId="77777777" w:rsidR="009F661C" w:rsidRPr="00071CFC" w:rsidRDefault="009F661C" w:rsidP="00380955">
      <w:pPr>
        <w:jc w:val="both"/>
        <w:rPr>
          <w:b/>
          <w:bCs/>
          <w:sz w:val="20"/>
          <w:szCs w:val="20"/>
          <w:lang w:val="en-GB"/>
        </w:rPr>
      </w:pPr>
    </w:p>
    <w:p w14:paraId="1579BEFE" w14:textId="77777777" w:rsidR="009F661C" w:rsidRPr="00071CFC" w:rsidRDefault="009F661C" w:rsidP="00380955">
      <w:pPr>
        <w:jc w:val="both"/>
        <w:rPr>
          <w:b/>
          <w:bCs/>
          <w:sz w:val="20"/>
          <w:szCs w:val="20"/>
          <w:lang w:val="en-GB"/>
        </w:rPr>
      </w:pPr>
    </w:p>
    <w:p w14:paraId="7AA0E5C5" w14:textId="77777777" w:rsidR="009F661C" w:rsidRPr="00071CFC" w:rsidRDefault="009F661C" w:rsidP="00380955">
      <w:pPr>
        <w:jc w:val="both"/>
        <w:rPr>
          <w:b/>
          <w:bCs/>
          <w:sz w:val="20"/>
          <w:szCs w:val="20"/>
          <w:lang w:val="en-GB"/>
        </w:rPr>
      </w:pPr>
    </w:p>
    <w:p w14:paraId="099BAC0F" w14:textId="77777777" w:rsidR="009F661C" w:rsidRPr="00071CFC" w:rsidRDefault="009F661C" w:rsidP="00380955">
      <w:pPr>
        <w:jc w:val="both"/>
        <w:rPr>
          <w:b/>
          <w:bCs/>
          <w:sz w:val="20"/>
          <w:szCs w:val="20"/>
          <w:lang w:val="en-GB"/>
        </w:rPr>
      </w:pPr>
    </w:p>
    <w:p w14:paraId="342467BC" w14:textId="77777777" w:rsidR="009F661C" w:rsidRPr="00071CFC" w:rsidRDefault="009F661C" w:rsidP="00380955">
      <w:pPr>
        <w:jc w:val="both"/>
        <w:rPr>
          <w:b/>
          <w:bCs/>
          <w:sz w:val="20"/>
          <w:szCs w:val="20"/>
          <w:lang w:val="en-GB"/>
        </w:rPr>
      </w:pPr>
    </w:p>
    <w:p w14:paraId="73AC582F" w14:textId="77777777" w:rsidR="009F661C" w:rsidRPr="00071CFC" w:rsidRDefault="009F661C" w:rsidP="00380955">
      <w:pPr>
        <w:jc w:val="both"/>
        <w:rPr>
          <w:b/>
          <w:bCs/>
          <w:sz w:val="20"/>
          <w:szCs w:val="20"/>
          <w:lang w:val="en-GB"/>
        </w:rPr>
      </w:pPr>
    </w:p>
    <w:p w14:paraId="35BFE874" w14:textId="77777777" w:rsidR="009F661C" w:rsidRPr="00071CFC" w:rsidRDefault="009F661C" w:rsidP="00380955">
      <w:pPr>
        <w:jc w:val="both"/>
        <w:rPr>
          <w:b/>
          <w:bCs/>
          <w:sz w:val="20"/>
          <w:szCs w:val="20"/>
          <w:lang w:val="en-GB"/>
        </w:rPr>
      </w:pPr>
    </w:p>
    <w:p w14:paraId="1E457AD7" w14:textId="77777777" w:rsidR="009F661C" w:rsidRPr="00071CFC" w:rsidRDefault="009F661C" w:rsidP="00380955">
      <w:pPr>
        <w:jc w:val="both"/>
        <w:rPr>
          <w:b/>
          <w:bCs/>
          <w:sz w:val="20"/>
          <w:szCs w:val="20"/>
          <w:lang w:val="en-GB"/>
        </w:rPr>
      </w:pPr>
    </w:p>
    <w:p w14:paraId="6A8655A2" w14:textId="77777777" w:rsidR="009F661C" w:rsidRPr="00071CFC" w:rsidRDefault="009F661C" w:rsidP="00380955">
      <w:pPr>
        <w:jc w:val="both"/>
        <w:rPr>
          <w:b/>
          <w:bCs/>
          <w:sz w:val="20"/>
          <w:szCs w:val="20"/>
          <w:lang w:val="en-GB"/>
        </w:rPr>
      </w:pPr>
    </w:p>
    <w:p w14:paraId="3E90054A" w14:textId="77777777" w:rsidR="009F661C" w:rsidRPr="00071CFC" w:rsidRDefault="009F661C" w:rsidP="00380955">
      <w:pPr>
        <w:jc w:val="both"/>
        <w:rPr>
          <w:b/>
          <w:bCs/>
          <w:sz w:val="20"/>
          <w:szCs w:val="20"/>
          <w:lang w:val="en-GB"/>
        </w:rPr>
      </w:pPr>
    </w:p>
    <w:p w14:paraId="3627AEC4" w14:textId="77777777" w:rsidR="009F661C" w:rsidRPr="00071CFC" w:rsidRDefault="009F661C" w:rsidP="00380955">
      <w:pPr>
        <w:jc w:val="both"/>
        <w:rPr>
          <w:b/>
          <w:bCs/>
          <w:sz w:val="20"/>
          <w:szCs w:val="20"/>
          <w:lang w:val="en-GB"/>
        </w:rPr>
      </w:pPr>
    </w:p>
    <w:p w14:paraId="2B68689A" w14:textId="77777777" w:rsidR="009F661C" w:rsidRPr="00071CFC" w:rsidRDefault="009F661C" w:rsidP="00380955">
      <w:pPr>
        <w:jc w:val="both"/>
        <w:rPr>
          <w:b/>
          <w:bCs/>
          <w:sz w:val="20"/>
          <w:szCs w:val="20"/>
          <w:lang w:val="en-GB"/>
        </w:rPr>
      </w:pPr>
    </w:p>
    <w:p w14:paraId="5F8195CA" w14:textId="77777777" w:rsidR="009F661C" w:rsidRPr="00071CFC" w:rsidRDefault="009F661C" w:rsidP="00380955">
      <w:pPr>
        <w:jc w:val="both"/>
        <w:rPr>
          <w:b/>
          <w:bCs/>
          <w:sz w:val="20"/>
          <w:szCs w:val="20"/>
          <w:lang w:val="en-GB"/>
        </w:rPr>
      </w:pPr>
    </w:p>
    <w:p w14:paraId="095C48EB" w14:textId="77777777" w:rsidR="009F661C" w:rsidRPr="00071CFC" w:rsidRDefault="009F661C" w:rsidP="00380955">
      <w:pPr>
        <w:jc w:val="both"/>
        <w:rPr>
          <w:b/>
          <w:bCs/>
          <w:sz w:val="20"/>
          <w:szCs w:val="20"/>
          <w:lang w:val="en-GB"/>
        </w:rPr>
      </w:pPr>
    </w:p>
    <w:p w14:paraId="34660D61" w14:textId="77777777" w:rsidR="009F661C" w:rsidRPr="00071CFC" w:rsidRDefault="009F661C" w:rsidP="00380955">
      <w:pPr>
        <w:jc w:val="both"/>
        <w:rPr>
          <w:b/>
          <w:bCs/>
          <w:sz w:val="20"/>
          <w:szCs w:val="20"/>
          <w:lang w:val="en-GB"/>
        </w:rPr>
      </w:pPr>
    </w:p>
    <w:p w14:paraId="4A1C09F2" w14:textId="77777777" w:rsidR="009F661C" w:rsidRPr="00071CFC" w:rsidRDefault="009F661C" w:rsidP="00380955">
      <w:pPr>
        <w:jc w:val="both"/>
        <w:rPr>
          <w:b/>
          <w:bCs/>
          <w:sz w:val="20"/>
          <w:szCs w:val="20"/>
          <w:lang w:val="en-GB"/>
        </w:rPr>
      </w:pPr>
    </w:p>
    <w:p w14:paraId="30B65C3C" w14:textId="77777777" w:rsidR="009F661C" w:rsidRPr="00071CFC" w:rsidRDefault="009F661C" w:rsidP="00380955">
      <w:pPr>
        <w:jc w:val="both"/>
        <w:rPr>
          <w:b/>
          <w:bCs/>
          <w:sz w:val="20"/>
          <w:szCs w:val="20"/>
          <w:lang w:val="en-GB"/>
        </w:rPr>
      </w:pPr>
    </w:p>
    <w:p w14:paraId="5EFD4309" w14:textId="77777777" w:rsidR="009F661C" w:rsidRPr="00071CFC" w:rsidRDefault="009F661C" w:rsidP="00380955">
      <w:pPr>
        <w:jc w:val="both"/>
        <w:rPr>
          <w:b/>
          <w:bCs/>
          <w:sz w:val="20"/>
          <w:szCs w:val="20"/>
          <w:lang w:val="en-GB"/>
        </w:rPr>
      </w:pPr>
    </w:p>
    <w:p w14:paraId="350196EC" w14:textId="77777777" w:rsidR="009F661C" w:rsidRPr="00071CFC" w:rsidRDefault="009F661C" w:rsidP="00380955">
      <w:pPr>
        <w:jc w:val="both"/>
        <w:rPr>
          <w:b/>
          <w:bCs/>
          <w:sz w:val="20"/>
          <w:szCs w:val="20"/>
          <w:lang w:val="en-GB"/>
        </w:rPr>
      </w:pPr>
    </w:p>
    <w:p w14:paraId="1907AFBB" w14:textId="77777777" w:rsidR="009F661C" w:rsidRPr="00071CFC" w:rsidRDefault="009F661C" w:rsidP="00380955">
      <w:pPr>
        <w:jc w:val="both"/>
        <w:rPr>
          <w:b/>
          <w:bCs/>
          <w:sz w:val="20"/>
          <w:szCs w:val="20"/>
          <w:lang w:val="en-GB"/>
        </w:rPr>
      </w:pPr>
    </w:p>
    <w:p w14:paraId="56ED6429" w14:textId="77777777" w:rsidR="009F661C" w:rsidRPr="00071CFC" w:rsidRDefault="009F661C" w:rsidP="00380955">
      <w:pPr>
        <w:jc w:val="both"/>
        <w:rPr>
          <w:b/>
          <w:bCs/>
          <w:sz w:val="20"/>
          <w:szCs w:val="20"/>
          <w:lang w:val="en-GB"/>
        </w:rPr>
      </w:pPr>
    </w:p>
    <w:p w14:paraId="6C2860D1" w14:textId="77777777" w:rsidR="009F661C" w:rsidRPr="00071CFC" w:rsidRDefault="009F661C" w:rsidP="00380955">
      <w:pPr>
        <w:jc w:val="both"/>
        <w:rPr>
          <w:b/>
          <w:bCs/>
          <w:sz w:val="20"/>
          <w:szCs w:val="20"/>
          <w:lang w:val="en-GB"/>
        </w:rPr>
      </w:pPr>
    </w:p>
    <w:p w14:paraId="64172FA7" w14:textId="77777777" w:rsidR="009F661C" w:rsidRPr="00071CFC" w:rsidRDefault="009F661C" w:rsidP="00380955">
      <w:pPr>
        <w:jc w:val="both"/>
        <w:rPr>
          <w:b/>
          <w:bCs/>
          <w:sz w:val="20"/>
          <w:szCs w:val="20"/>
          <w:lang w:val="en-GB"/>
        </w:rPr>
      </w:pPr>
    </w:p>
    <w:p w14:paraId="688C1213" w14:textId="77777777" w:rsidR="009F661C" w:rsidRPr="00071CFC" w:rsidRDefault="009F661C" w:rsidP="00380955">
      <w:pPr>
        <w:jc w:val="both"/>
        <w:rPr>
          <w:b/>
          <w:bCs/>
          <w:sz w:val="20"/>
          <w:szCs w:val="20"/>
          <w:lang w:val="en-GB"/>
        </w:rPr>
      </w:pPr>
    </w:p>
    <w:p w14:paraId="609E5F22" w14:textId="77777777" w:rsidR="009F661C" w:rsidRPr="00071CFC" w:rsidRDefault="009F661C" w:rsidP="00380955">
      <w:pPr>
        <w:jc w:val="both"/>
        <w:rPr>
          <w:b/>
          <w:bCs/>
          <w:sz w:val="20"/>
          <w:szCs w:val="20"/>
          <w:lang w:val="en-GB"/>
        </w:rPr>
      </w:pPr>
    </w:p>
    <w:p w14:paraId="36B47B56" w14:textId="77777777" w:rsidR="009F661C" w:rsidRPr="00071CFC" w:rsidRDefault="009F661C" w:rsidP="00380955">
      <w:pPr>
        <w:jc w:val="both"/>
        <w:rPr>
          <w:b/>
          <w:bCs/>
          <w:sz w:val="20"/>
          <w:szCs w:val="20"/>
          <w:lang w:val="en-GB"/>
        </w:rPr>
      </w:pPr>
    </w:p>
    <w:p w14:paraId="44EC5FDE" w14:textId="77777777" w:rsidR="009F661C" w:rsidRPr="00175696" w:rsidRDefault="009F661C" w:rsidP="002160FB">
      <w:pPr>
        <w:pStyle w:val="DLHeading2"/>
      </w:pPr>
      <w:r>
        <w:t>C</w:t>
      </w:r>
      <w:r w:rsidRPr="00175696">
        <w:t xml:space="preserve">onclusion </w:t>
      </w:r>
    </w:p>
    <w:p w14:paraId="3B26A862" w14:textId="77777777" w:rsidR="009F661C" w:rsidRPr="00071CFC" w:rsidRDefault="009F661C" w:rsidP="00381DFF">
      <w:pPr>
        <w:pStyle w:val="DLText"/>
      </w:pPr>
      <w:r w:rsidRPr="00071CFC">
        <w:t xml:space="preserve">This chapter has sought to assess attempts in Papua New Guinea to incorporate custom into its inherited Anglo Australian legal system with particular focus on land tenure decisions.  We cited problems involving the evidentiary recognition of relevant customs and the necessity to formulate these identified practices through a statement of general principles, which can then be referenced in subsequent decisions. To a great extent the project has been menaced by the lack of trained public officials. Also, as John Nonggor points out, in many cases judges have simply found the task of incorporating custom too daunting and have fallen back on the more </w:t>
      </w:r>
      <w:r w:rsidRPr="00071CFC">
        <w:lastRenderedPageBreak/>
        <w:t xml:space="preserve">familiar Anglo-Australian common law.  However, he mentions that custom has been entrenched, as in the </w:t>
      </w:r>
      <w:r w:rsidRPr="00071CFC">
        <w:rPr>
          <w:i/>
          <w:iCs/>
        </w:rPr>
        <w:t>Wills, Probate and Administration Act</w:t>
      </w:r>
      <w:r w:rsidRPr="00071CFC">
        <w:t xml:space="preserve"> Ch. 291 and in regard to marriage, divorce, and custody, whereas custom has played a limited role in criminal law. </w:t>
      </w:r>
    </w:p>
    <w:p w14:paraId="55167E2F" w14:textId="77777777" w:rsidR="009F661C" w:rsidRPr="00071CFC" w:rsidRDefault="009F661C" w:rsidP="00381DFF">
      <w:pPr>
        <w:pStyle w:val="DLText"/>
      </w:pPr>
      <w:r w:rsidRPr="00071CFC">
        <w:t xml:space="preserve">However, rather than applying recognized general principles the authorities as in decisions under the </w:t>
      </w:r>
      <w:r w:rsidRPr="00071CFC">
        <w:rPr>
          <w:i/>
          <w:iCs/>
        </w:rPr>
        <w:t>Land Disputes Settlement Act</w:t>
      </w:r>
      <w:r w:rsidRPr="00071CFC">
        <w:t>, tend to leave matters to be  debated and resolved by some form of political consensus.  Unfortunately this usually means the law has no function in the identification and recognition of ownership rights in the sense that the law fails to provide a set of accessible general principles or rules and has simply abandoned the issue to local politics. In turn these facts then undermine development and successful trade and commerce. De Soto (2000) explains that formal legal systems allow for property rights to gain independence from local political and informal arrangements and thus assets gain an economic value in which trade and commerce become more viable. We also mentioned that when cases are decided by reference to some general principle involving custom, the principle should be adhered to in subsequent decisions. Unfortunately this has not been the case as we have seen, for example, the decision in the Ramu sugar case, which departs significantly from the established reasoning in Hides gas field case.  This has only added to uncertainty in important land tenure issues.</w:t>
      </w:r>
    </w:p>
    <w:p w14:paraId="5AF3AEF5" w14:textId="77777777" w:rsidR="009F661C" w:rsidRPr="00071CFC" w:rsidRDefault="009F661C" w:rsidP="00380955">
      <w:pPr>
        <w:ind w:firstLine="720"/>
        <w:jc w:val="both"/>
        <w:rPr>
          <w:sz w:val="20"/>
          <w:szCs w:val="20"/>
          <w:lang w:val="en-GB"/>
        </w:rPr>
      </w:pPr>
    </w:p>
    <w:p w14:paraId="518BDDB2" w14:textId="77777777" w:rsidR="009F661C" w:rsidRPr="00071CFC" w:rsidRDefault="009F661C" w:rsidP="00380955">
      <w:pPr>
        <w:jc w:val="both"/>
        <w:rPr>
          <w:sz w:val="20"/>
          <w:szCs w:val="20"/>
          <w:lang w:val="en-GB"/>
        </w:rPr>
        <w:sectPr w:rsidR="009F661C" w:rsidRPr="00071CFC" w:rsidSect="00503FDD">
          <w:headerReference w:type="even" r:id="rId16"/>
          <w:headerReference w:type="default" r:id="rId17"/>
          <w:footnotePr>
            <w:numRestart w:val="eachSect"/>
          </w:footnotePr>
          <w:type w:val="oddPage"/>
          <w:pgSz w:w="8392" w:h="11907" w:code="11"/>
          <w:pgMar w:top="1418" w:right="1191" w:bottom="851" w:left="1191" w:header="851" w:footer="0" w:gutter="0"/>
          <w:cols w:space="708"/>
          <w:titlePg/>
          <w:docGrid w:linePitch="360"/>
        </w:sectPr>
      </w:pPr>
      <w:r w:rsidRPr="00071CFC">
        <w:rPr>
          <w:sz w:val="20"/>
          <w:szCs w:val="20"/>
          <w:lang w:val="en-GB"/>
        </w:rPr>
        <w:t xml:space="preserve"> </w:t>
      </w:r>
    </w:p>
    <w:p w14:paraId="7DC4D6B1" w14:textId="77777777" w:rsidR="009F661C" w:rsidRPr="00175696" w:rsidRDefault="009F661C" w:rsidP="009B0451">
      <w:pPr>
        <w:pStyle w:val="DLHeading"/>
        <w:rPr>
          <w:szCs w:val="20"/>
        </w:rPr>
      </w:pPr>
      <w:r w:rsidRPr="00175696">
        <w:rPr>
          <w:szCs w:val="20"/>
        </w:rPr>
        <w:lastRenderedPageBreak/>
        <w:t>Chapter Four</w:t>
      </w:r>
    </w:p>
    <w:p w14:paraId="036D4D20" w14:textId="77777777" w:rsidR="009F661C" w:rsidRPr="00175696" w:rsidRDefault="009F661C" w:rsidP="00381DFF">
      <w:pPr>
        <w:pStyle w:val="DLHeading"/>
        <w:rPr>
          <w:szCs w:val="20"/>
        </w:rPr>
      </w:pPr>
      <w:r w:rsidRPr="00175696">
        <w:rPr>
          <w:szCs w:val="20"/>
        </w:rPr>
        <w:t>Customary and Alienated Land</w:t>
      </w:r>
    </w:p>
    <w:p w14:paraId="13346BD1" w14:textId="77777777" w:rsidR="009F661C" w:rsidRDefault="009F661C" w:rsidP="006B32A9">
      <w:pPr>
        <w:pStyle w:val="DLText"/>
      </w:pPr>
    </w:p>
    <w:p w14:paraId="5D18E453" w14:textId="77777777" w:rsidR="009F661C" w:rsidRDefault="009F661C" w:rsidP="006B32A9">
      <w:pPr>
        <w:pStyle w:val="DLText"/>
      </w:pPr>
    </w:p>
    <w:p w14:paraId="1EFC3539" w14:textId="77777777" w:rsidR="009F661C" w:rsidRDefault="009F661C" w:rsidP="006B32A9">
      <w:pPr>
        <w:pStyle w:val="DLText"/>
      </w:pPr>
    </w:p>
    <w:p w14:paraId="4C9282DB" w14:textId="77777777" w:rsidR="009F661C" w:rsidRPr="00071CFC" w:rsidRDefault="009F661C" w:rsidP="006B32A9">
      <w:pPr>
        <w:pStyle w:val="DLText"/>
      </w:pPr>
      <w:r w:rsidRPr="00071CFC">
        <w:t xml:space="preserve">We will have much to say in this and the next chapter on recent debates focused on the issue of economic viability of customary land in Papua New Guinea. The issue is necessarily how does one address the issue of mobilizing customary land when economic development is required? The country’s constitution stipulates that unalienated customary land is subject to local customs and that transactions between customary owners and non-citizens are void. Economic transactions with respect to customary land are limited in that land can only be dealt with according to customary principles recognized by the membership of the customary group and moreover, it is usually held that such land is held by groups rather than individuals and thereby found lacking in customary principles that define the distribution of monetary income from the use or abuse of land.  Additionally before 1960 there existed no mechanism to register customary land. </w:t>
      </w:r>
    </w:p>
    <w:p w14:paraId="2BB2D969" w14:textId="77777777" w:rsidR="009F661C" w:rsidRPr="00071CFC" w:rsidRDefault="009F661C" w:rsidP="006B32A9">
      <w:pPr>
        <w:pStyle w:val="DLText"/>
      </w:pPr>
      <w:r w:rsidRPr="00071CFC">
        <w:t>However, given that customary land tenure receives its legal definition in Papua New Guinea’s statutes, it is an illusion to believe we are addressing two entirely distinct systems: customary land, and land that has been alienated from customary land. Both receive their definition through the same legal system that has been the inheritance of the colonial era. Thus, when we discuss land tenure issues we need to consider how the entire system functions both with respect to customary and alienated land. Customary land is said to account for 97 percent of the country’s surface area, although the argument has been made that this figure may not accurately reflect reality due to an increase in the proportion of ‘customary’ land which is subject to specific forms of the modern property right; and on the other hand, a simultaneous increase in the area of ‘alienated’ land which is subject to successful rental claims by customary landowners (Filer 2009).</w:t>
      </w:r>
    </w:p>
    <w:p w14:paraId="074B606C" w14:textId="77777777" w:rsidR="009F661C" w:rsidRPr="00071CFC" w:rsidRDefault="009F661C" w:rsidP="00381DFF">
      <w:pPr>
        <w:pStyle w:val="DLText"/>
      </w:pPr>
      <w:r w:rsidRPr="00071CFC">
        <w:t xml:space="preserve">The implication is necessarily that the designation ‘customary land’ may not be particularly significant in so far as relationships are evolving in which so called customary land is becoming increasingly subject to modern property rights and non-customary land is becoming increasingly subject to ‘custom’.   A further implicit point may well be that the rights and mechanisms apparently belonging to one particular form of land tenure are </w:t>
      </w:r>
      <w:r w:rsidRPr="00071CFC">
        <w:lastRenderedPageBreak/>
        <w:t xml:space="preserve">being applied to the other form, and thus it is appropriate to evaluate the system as a whole, viewing both customary and alienated land as interrelated components within the entire system of land tenure as administered in Papua New Guinea.   </w:t>
      </w:r>
    </w:p>
    <w:p w14:paraId="71BEC973" w14:textId="77777777" w:rsidR="009F661C" w:rsidRPr="00071CFC" w:rsidRDefault="009F661C" w:rsidP="00973470">
      <w:pPr>
        <w:pStyle w:val="DLText"/>
      </w:pPr>
      <w:r w:rsidRPr="00071CFC">
        <w:t xml:space="preserve">We should now mention briefly some of the specifics that Filer describes as </w:t>
      </w:r>
      <w:r w:rsidRPr="00071CFC">
        <w:rPr>
          <w:i/>
          <w:iCs/>
        </w:rPr>
        <w:t>the partial alienation of customary land</w:t>
      </w:r>
      <w:r w:rsidRPr="00071CFC">
        <w:t xml:space="preserve"> and the </w:t>
      </w:r>
      <w:r w:rsidRPr="00071CFC">
        <w:rPr>
          <w:i/>
          <w:iCs/>
        </w:rPr>
        <w:t>partial customisation of alienated land</w:t>
      </w:r>
      <w:r w:rsidRPr="00071CFC">
        <w:t>.  Filer (2009) argues that the absence of a legal framework for the registration of customary land titles has not stopped landowners from ‘selling’ or ‘leasing’ blocks of land to ‘squatters’ or ‘settlers’ who have migrated out of their own traditional homelands.  Informal land transactions of this sort now seem to be commonplace in urban and semi-urban locations or in areas of intense cash-cropping activity.  Filer calls this partial alienation because there was no way to measure the extent of such transactions or the point at which transactions ceased to be customary. It was hoped the decisions of land court magistrates under the Land Disputes Settlement Act would create a body of case law that could act as a precedent.  However, the magistrates have generally failed to record and communicate their decisions in a way that would allow for the evolution of a ‘common law’ relating to the private sale or lease of customary land (Oliver and Fingleton 2008).</w:t>
      </w:r>
    </w:p>
    <w:p w14:paraId="3F434626" w14:textId="77777777" w:rsidR="009F661C" w:rsidRPr="00071CFC" w:rsidRDefault="009F661C" w:rsidP="00381DFF">
      <w:pPr>
        <w:pStyle w:val="DLText"/>
      </w:pPr>
      <w:r w:rsidRPr="00071CFC">
        <w:t xml:space="preserve">Another form of partial alienation originated in 1979, when  the </w:t>
      </w:r>
      <w:r w:rsidRPr="00071CFC">
        <w:rPr>
          <w:i/>
          <w:iCs/>
        </w:rPr>
        <w:t>Land Act</w:t>
      </w:r>
      <w:r w:rsidRPr="00071CFC">
        <w:t xml:space="preserve"> was amended to allow the government to negotiate the acquisition of ‘special agricultural and business leases’ over blocks of customary land, for periods of up to 99 years, on condition that these would then be ‘leased back’ to persons or organisations approved by the customary owners.  The </w:t>
      </w:r>
      <w:r w:rsidRPr="00071CFC">
        <w:rPr>
          <w:i/>
          <w:iCs/>
        </w:rPr>
        <w:t>Forestry Act</w:t>
      </w:r>
      <w:r w:rsidRPr="00071CFC">
        <w:t xml:space="preserve">, the </w:t>
      </w:r>
      <w:r w:rsidRPr="00071CFC">
        <w:rPr>
          <w:i/>
          <w:iCs/>
        </w:rPr>
        <w:t>Mining Act</w:t>
      </w:r>
      <w:r w:rsidRPr="00071CFC">
        <w:t xml:space="preserve"> and the </w:t>
      </w:r>
      <w:r w:rsidRPr="00071CFC">
        <w:rPr>
          <w:i/>
          <w:iCs/>
        </w:rPr>
        <w:t>Oil and Gas Act</w:t>
      </w:r>
      <w:r w:rsidRPr="00071CFC">
        <w:t xml:space="preserve"> authorise agents of the State to negotiate the acquisition of specific rights to the use of customary land from the customary owners for specific periods of time and then to allocate these rights to logging, mining or petroleum companies.  An area of 15.2 million hectares (almost one third of Papua New Guinea’s land area) has been acquired by the country’s Forest Authority through Timber Rights Purchases and Forest Management Agreements, and most of this area has been allocated to logging concessions (Bird et al. 2007: 9).</w:t>
      </w:r>
    </w:p>
    <w:p w14:paraId="12E705EF" w14:textId="77777777" w:rsidR="009F661C" w:rsidRPr="00071CFC" w:rsidRDefault="009F661C" w:rsidP="00381DFF">
      <w:pPr>
        <w:pStyle w:val="DLText"/>
      </w:pPr>
      <w:r w:rsidRPr="00071CFC">
        <w:t xml:space="preserve">The </w:t>
      </w:r>
      <w:r w:rsidRPr="00071CFC">
        <w:rPr>
          <w:i/>
          <w:iCs/>
        </w:rPr>
        <w:t>partial customisation of alienated land</w:t>
      </w:r>
      <w:r w:rsidRPr="00071CFC">
        <w:t xml:space="preserve"> is associated with the following developments. Firstly, the disappearance of public records relating to the alienation of customary land and the subsequent transfer of alienated land titles is now said to have become a ‘systemic’ feature of the contest over land rights.</w:t>
      </w:r>
      <w:r w:rsidRPr="00071CFC">
        <w:rPr>
          <w:rStyle w:val="FootnoteReference"/>
        </w:rPr>
        <w:footnoteReference w:id="4"/>
      </w:r>
      <w:r w:rsidRPr="00071CFC">
        <w:t xml:space="preserve">  However, if this means that part of the former stock of alienated land has been customised by default, it is not the only </w:t>
      </w:r>
      <w:r w:rsidRPr="00071CFC">
        <w:lastRenderedPageBreak/>
        <w:t xml:space="preserve">form of partial customisation. There are some areas of land that were alienated in the early colonial period, but not subsequently used for any form of ‘development’ that would have obstructed their ongoing use and effective occupation by the customary owners.  For example, the British colonial administration declared 95 percent of Woodlark Island (in Milne Bay Province) public land.  Even where land had been alienated for the development of plantations that were still operating under expatriate management in the late colonial period, a process of partial customisation was set in train by the Plantation Redistribution Scheme that was set up to conform with the findings of the 1973 Commission of Inquiry.  The State acquired 68 plantations under the terms of the </w:t>
      </w:r>
      <w:r w:rsidRPr="00071CFC">
        <w:rPr>
          <w:i/>
          <w:iCs/>
        </w:rPr>
        <w:t>Land Acquisition Act</w:t>
      </w:r>
      <w:r w:rsidRPr="00071CFC">
        <w:t xml:space="preserve"> between 1974 and 1979 with the intention of restoring them to corporate </w:t>
      </w:r>
      <w:r w:rsidRPr="00047669">
        <w:rPr>
          <w:spacing w:val="-2"/>
        </w:rPr>
        <w:t>bodies representing the customary owners, but the reassertion of customary</w:t>
      </w:r>
      <w:r w:rsidRPr="00071CFC">
        <w:t xml:space="preserve"> rights sometimes followed the failure of the new national owners to maintain or rehabilitate their assets, and some plantations were informally divided between local households in areas of land scarcity. The process of partial customisation has not only consumed most of the land alienated for the development of a colonial agricultural economy, but has also made its mark on the timber plantations established and managed by the colonial administration. The area of timber plantations on state land has shrunk quite dramatically since the late colonial period, and part of this shrinkage is apparently due to deals done between the national government and customary landowners which allow the latter to share in the benefits of harvesting the timber while no-one takes responsibility for planting a new stock of trees. The partial customisation of land alienated for the construction of urban, economic and social infrastructure has taken a somewhat different form because of the intensity of its use by people other than the customary owners.  This creates an opportunity for customary owners to threaten (and sometimes to damage or destroy) public assets in their pursuit of additional ‘compensation’ from the State.  Claims based on customary ownership appear to be magnified, and even legitimated, when the value of alienated land is transformed by a new development proposal.  For example, when a derelict plantation on the island of Lihir was earmarked for the construction of a modern mining township in the 1990s, the descendants of the customary owners were treated like the owners of customary land required for other functions of the mining operation.</w:t>
      </w:r>
    </w:p>
    <w:p w14:paraId="43DB6B67" w14:textId="77777777" w:rsidR="009F661C" w:rsidRPr="00071CFC" w:rsidRDefault="009F661C" w:rsidP="00381DFF">
      <w:pPr>
        <w:pStyle w:val="DLText"/>
      </w:pPr>
      <w:r w:rsidRPr="00071CFC">
        <w:t xml:space="preserve">The reality described by Filer is one in which both customary and non-customary land have become subject to numerous informal arrangements and </w:t>
      </w:r>
      <w:r w:rsidRPr="00071CFC">
        <w:rPr>
          <w:i/>
          <w:iCs/>
        </w:rPr>
        <w:t>ad hoc</w:t>
      </w:r>
      <w:r w:rsidRPr="00071CFC">
        <w:t xml:space="preserve"> forms of legislation that often blur the distinction between the customary and non customary. With respect to so called customary land, mobilization and forms of economic development are being realized despite </w:t>
      </w:r>
      <w:r w:rsidRPr="00071CFC">
        <w:lastRenderedPageBreak/>
        <w:t xml:space="preserve">the impediments which are associated with customary land tenure. With respect to </w:t>
      </w:r>
      <w:r w:rsidRPr="00071CFC">
        <w:rPr>
          <w:i/>
          <w:iCs/>
        </w:rPr>
        <w:t>partial customisation of alienated land,</w:t>
      </w:r>
      <w:r w:rsidRPr="00071CFC">
        <w:t xml:space="preserve"> we are essentially seeing the growth of reclaimed control rights over under developed alienated land and the assertion of income rights over alienated land which has been subject to ongoing significant economic development. In conclusion, these facts may lead us to conclude there is no reason to fret over perceived difficulties with respect to the mobilization of customary land or to regard the alienation and the extinction of title to large areas of customary land as the ultimate answer.    </w:t>
      </w:r>
    </w:p>
    <w:p w14:paraId="53B4367E" w14:textId="77777777" w:rsidR="009F661C" w:rsidRPr="00175696" w:rsidRDefault="009F661C" w:rsidP="00381DFF">
      <w:pPr>
        <w:pStyle w:val="DLHeading2"/>
      </w:pPr>
      <w:r w:rsidRPr="00175696">
        <w:t xml:space="preserve">Hernando De Soto, Capitalism </w:t>
      </w:r>
      <w:r>
        <w:br/>
      </w:r>
      <w:r w:rsidRPr="00175696">
        <w:t>and Western Property Rights</w:t>
      </w:r>
    </w:p>
    <w:p w14:paraId="439B6514" w14:textId="77777777" w:rsidR="009F661C" w:rsidRPr="00071CFC" w:rsidRDefault="009F661C" w:rsidP="00381DFF">
      <w:pPr>
        <w:pStyle w:val="DLText"/>
      </w:pPr>
      <w:r w:rsidRPr="00047669">
        <w:rPr>
          <w:spacing w:val="-2"/>
        </w:rPr>
        <w:t>However, the question remains whether these developments sufficiently</w:t>
      </w:r>
      <w:r w:rsidRPr="00071CFC">
        <w:t xml:space="preserve"> lay to rest concerns over impediments to wealth generation posed by customary land tenure.  Hernando De Soto (2000) linked the success of modern capitalism to the institution of ownership that is prevalent in Western capitalist economies.</w:t>
      </w:r>
      <w:r w:rsidRPr="00071CFC">
        <w:rPr>
          <w:rStyle w:val="FootnoteReference"/>
        </w:rPr>
        <w:footnoteReference w:id="5"/>
      </w:r>
      <w:r w:rsidRPr="00071CFC">
        <w:t xml:space="preserve"> Western property rights possess certain specific characteristics that render it amenable to successful capitalist endeavour. These distinct characteristics include  a recorded representation of economically and socially useful aspects of the asset, a single system of integrated information rather than dispersed data, orientation to individual rather than group accountability, a fungible system in which property is capable of being divided, combined and moulded to suit economic potentialities, a network of connections with both the government and the private sector, and record-keeping systems that protect not only the security of ownership but more importantly the security of transactions. Customary land in Papua New Guinea by virtue of its nature is virtually the antithesis of this description. It is unregistered, allegedly collectively owned, unrecorded, lacking in integrated information and lacking in uniform formalized laws that protect the security of title and possible transactions.  For example, with respect to the partial alienation of customary land, Filer mentions the transactions between customary owners and squatters in urban areas, but points out that case law governing these tractions has never been realized. Clearly in such instances the law offers neither security of title nor security of one’s transactions. But at the same time alienated land also suffers from the lack of a reliable record-keeping system as mentioned. Thus, many of the necessary aspects of Western property rights that </w:t>
      </w:r>
      <w:r w:rsidRPr="00071CFC">
        <w:lastRenderedPageBreak/>
        <w:t>facilitate successful capitalism are absent with respect to both the customary and non-customary forms of land tenure.</w:t>
      </w:r>
    </w:p>
    <w:p w14:paraId="3B8179EC" w14:textId="77777777" w:rsidR="009F661C" w:rsidRPr="00071CFC" w:rsidRDefault="009F661C" w:rsidP="00381DFF">
      <w:pPr>
        <w:pStyle w:val="DLText"/>
      </w:pPr>
      <w:r w:rsidRPr="00071CFC">
        <w:t>Successful capitalism, as de Soto explains, benefits from a wide network of information and relationships that can be utilized when uniform principles of ownership are known, recorded and universally protected.  Customary land transactions are merely local arrangements subject to local politics and local protection and thereby cannot reliably function within the wider network of non local relationships. Moreover, the important issue of accountability is blurred because a presumed system of collective ownership often makes it difficult to assign unambiguous forms of individual responsibility.  De Soto claims that individual forms of ownership evolved in the West with the integration of a diversity of local property systems under one formal property law. This, he claims, shifted the legitimacy of the rights of owners from the politicized context of local communities to the impersonal context of law. This, he said, created individuals from masses by transforming people with property interests into accountable individuals.</w:t>
      </w:r>
    </w:p>
    <w:p w14:paraId="712F1B6A" w14:textId="77777777" w:rsidR="009F661C" w:rsidRPr="00071CFC" w:rsidRDefault="009F661C" w:rsidP="00381DFF">
      <w:pPr>
        <w:pStyle w:val="DLText"/>
      </w:pPr>
      <w:r w:rsidRPr="00071CFC">
        <w:t xml:space="preserve">The importance of this relates also to the financing and organizational commitment to economic activities. Despite the individualistic ethic, successful capitalism is an organizational undertaking in which a diversity of interests frequently commit its wealth to a collective enterprise. This is possible if there exists security of title backed by registration and other record and information systems. Since the latter do not exist with respect to customary land, this fact coupled with the prohibition against non-customary transactions, also renders such financing problematic.       </w:t>
      </w:r>
    </w:p>
    <w:p w14:paraId="373B92B1" w14:textId="77777777" w:rsidR="009F661C" w:rsidRPr="00071CFC" w:rsidRDefault="009F661C" w:rsidP="00381DFF">
      <w:pPr>
        <w:pStyle w:val="DLText"/>
      </w:pPr>
      <w:r w:rsidRPr="00047669">
        <w:rPr>
          <w:spacing w:val="-2"/>
        </w:rPr>
        <w:t>In the capitalist world individual financial commitments are coordinated through financial institutions. Financial institutions are generally indispensable for providing the financing that allows entrepreneurial</w:t>
      </w:r>
      <w:r w:rsidRPr="00071CFC">
        <w:t xml:space="preserve"> ventures to achieve a form of reality.  However, these institutions demand security for such largesse, which usually requires the mortgaging of interests.  However, customary land lacks the essential characteristics, such as registered interests and other aspects of security of title whose absence renders it unacceptable as a form of security for loans. One must also recognize that customary land owners usually refuse to recognize the loss, extinction or deprivation of customary rights. Hence as Filer has stated, customary land owners often continue to demand compensation from the developers of land that has been alienated from customary tenure. This partially explains why, as Curtin  (2004) has documented, banks in Papua New Guinea have been loath to lend money that could be used to finance significant development. Although they have been awash with liquidity and could have lent much more than the AUD 3.78 billion the country received </w:t>
      </w:r>
      <w:r w:rsidRPr="00071CFC">
        <w:lastRenderedPageBreak/>
        <w:t xml:space="preserve">in foreign aid from  1990 to 2004, they lent out a mere AUD 600 million. Thus, although in certain specific cases, the alleged customary owners have been able to assert adventitious and opportunistic rights to income over land that legally is no longer subject to their interests, the longer term consequences may well be inimical to economic development, as even alienated land may be a questionable form of security.  These facts may well confirm de Soto’s remarks concerning alleged owners of unformalized forms of property. “Because they have no property to lose, they are taken seriously as contracting parties only by their immediate family and neighbours. People with nothing to lose are trapped in the grubby basement of the pre-capitalist world.” (de Soto 2000, 48). </w:t>
      </w:r>
    </w:p>
    <w:p w14:paraId="03775A69" w14:textId="77777777" w:rsidR="009F661C" w:rsidRPr="00071CFC" w:rsidRDefault="009F661C" w:rsidP="00381DFF">
      <w:pPr>
        <w:pStyle w:val="DLText"/>
      </w:pPr>
      <w:r w:rsidRPr="00071CFC">
        <w:t xml:space="preserve">However, the concept of “unlocking the capital value of land” which means using it as collateral to borrow money has been criticized in light of recent events in the world’s financial markets. Weiner (2009) states that  uninformed borrowers around the world have used this device to their peril by borrowing money not knowing  how to use this money wisely and of course this has contributed significantly to the financial crisis of the first decade of the twenty first century.  Weiner’s point is that this form of borrowing could create more problems than benefits for Papua New Guineans. Wiener’s somewhat general remarks have more specific reference to the so called subprime mortgage crisis in the USA which signalled the initial unravelling of the global financial system. However, even given these facts, potential Papua New Guinean entrepreneurs should not be denied the opportunity to acquire financing through this device, which at present can only be obtained through the formally recognized property rights described by de Soto. Moreover, with reference to the so called subprime crisis, in which mortgages were granted to individuals with poor credit ratings, meaning there existed significant doubts as to whether they possessed wealth generating skills, or opportunities which would enable them to service these loans successfully, one can say with confidence that the inevitable failure of these borrowers or mortgagors to service their loans has been erroneously regarded as the central cause of this financial meltdown. In fact, those who acquired property or money using real estate through so called sub prime mortgages merely provided the contextual opportunity for speculators to repackage their debts and sell them as sophisticated financial products to unsuspecting investors who were unaware of the risks.  In reality it was the trading of these debts, as disguised sound financial assets that became the fundamental causal link to the global financial markets and the essential lynchpin that ensured that when the debtors defaulted the reverberations would be felt throughout the entire global financial system (see also below).  Beyond issues such as registration </w:t>
      </w:r>
      <w:r w:rsidRPr="00071CFC">
        <w:lastRenderedPageBreak/>
        <w:t xml:space="preserve">and record keeping, a formal system of property rights consisting of universal principles is extremely beneficial because the generation of wealth is dependent on the ability of capital to move efficiently through a wide range of distanced interlocking relationships to finance economic endeavours that address the material needs of humanity.   As Adam Smith explained, the generation of wealth depends on the size of the market which ultimately means extensive communication and transportation links. When these links are tightly circumscribed within a limited local area, specialization and surplus productivity lose their meaning, and subsistence productivity becomes the alternative. Hence a formalized uniform system of property rights makes sense, as opposed to a diversity of local customary arrangements, because distant contracting partners depend on such principles to communicate reliable information concerning security of title and other recorded information that give substance to reliable economic transactions.  Papua New Guinea’s land tenure system suffers particularly from a diversity of complex local customs relating to land tenure, together with a patchwork of partially alienated customary land, partially customized alienated land, poor record keeping and heavy transaction costs occasioned by inefficiency of the relevant government agencies, all of which undermine the realization of wider economic market for local goods and services.       </w:t>
      </w:r>
    </w:p>
    <w:p w14:paraId="14D413E9" w14:textId="77777777" w:rsidR="009F661C" w:rsidRPr="00071CFC" w:rsidRDefault="009F661C" w:rsidP="00973470">
      <w:pPr>
        <w:pStyle w:val="DLText"/>
      </w:pPr>
      <w:r w:rsidRPr="00071CFC">
        <w:t xml:space="preserve">De Soto utilizes metaphysical analogies and makes the point that non-western forms of ownership have remained fixated on the material </w:t>
      </w:r>
      <w:r w:rsidRPr="00047669">
        <w:rPr>
          <w:spacing w:val="-2"/>
        </w:rPr>
        <w:t>substrate and have been unable to appreciate the economic and transactional</w:t>
      </w:r>
      <w:r w:rsidRPr="00071CFC">
        <w:t xml:space="preserve"> aspects of property interests. The latter are said to be the intellectual qualities of property interests associated with commercial potential.  According to de Soto (2000), one of the central aspects of the Western ownership system is the ‘fungible’ character of the property interest. De Soto speaks of the uncoupling of the economic factors from the rigid physical state that makes the asset fungible - able to be fashioned to suit almost any transaction.  This is accomplished through a system of representations.  A representation contains the relevant economic features of assets as found in the records and titles of a formal property system. He states, “Whereas assets such as a factory may be an indivisible unit in the real world, in the conceptual world of formal property representation it can be subdivided into any number of portions” (de Soto 2000, 57). Assets can thus be split into shares, and a single factory can be owned by numerous investors, who can divest themselves of the asset without affecting the physical reality of the asset.</w:t>
      </w:r>
    </w:p>
    <w:p w14:paraId="270C9A1A" w14:textId="77777777" w:rsidR="009F661C" w:rsidRPr="00071CFC" w:rsidRDefault="009F661C" w:rsidP="00381DFF">
      <w:pPr>
        <w:pStyle w:val="DLText"/>
      </w:pPr>
      <w:r w:rsidRPr="00071CFC">
        <w:t xml:space="preserve">The problem therefore with Papua New Guinea’s system of land tenure is that its  failure to focus on economic potential means a failure to create the collective coordination of personal wealth and organization that enhances productivity.  In parallel, ambiguous diversity of rights </w:t>
      </w:r>
      <w:r w:rsidRPr="00071CFC">
        <w:lastRenderedPageBreak/>
        <w:t xml:space="preserve">undermines essential linkages that make productivity relevant to lives and needs of those in spatially divided markets. Consequently, the inexorable reality for most Papua New Guineans is one in which coordinated activity does not extend much beyond the family unit and productivity becomes limited to serving the family’s particular subsistence needs, or at best the modest needs of a limited locally based subsistence market.  </w:t>
      </w:r>
    </w:p>
    <w:p w14:paraId="2980A3B9" w14:textId="77777777" w:rsidR="009F661C" w:rsidRPr="00071CFC" w:rsidRDefault="009F661C" w:rsidP="00381DFF">
      <w:pPr>
        <w:pStyle w:val="DLText"/>
      </w:pPr>
      <w:r w:rsidRPr="00071CFC">
        <w:t>However, having apparently extolled the virtues of the capitalist system of ownership as explained by de Soto, it is worthwhile to keep in mind the basic truth behind the labour theory of value explained most prominently by Karl Marx. Precisely, one needs to remind oneself that economic value is only produced or increased through human labour that produces products or services that benefit human beings. Economic transactions in themselves do not produce wealth. De Soto sees the Western system of ownership as superior because it facilitates transactions between economic agents in distanced spatial locations, but transactions alone, unaccompanied by any increase in useful productivity do not signify any form of  wealth generation.</w:t>
      </w:r>
    </w:p>
    <w:p w14:paraId="4715C699" w14:textId="77777777" w:rsidR="009F661C" w:rsidRPr="00071CFC" w:rsidRDefault="009F661C" w:rsidP="00381DFF">
      <w:pPr>
        <w:pStyle w:val="DLText"/>
      </w:pPr>
      <w:r w:rsidRPr="00071CFC">
        <w:t xml:space="preserve">One can only rationally promote the acceptance of a more Western type system of uniform formal property rights in so far this will facilitate transactions that give meaning to coordinated efforts to achieve greater productivity. Capitalism as understood within this framework can be beneficial to the lives of people who desire to move beyond a subsistence existence.  However, Western capitalism has recently made a fatal mistake in believing that transactions alone can be the source of wealth generation.  De Soto explains that in the “…conceptual world of formal property representation it (tangible property) can be subdivided into any number of portions”.  This is both the great advantage of the capitalist system and also potentially problematic. Interests in the economic potential of a physical asset can be divided and subdivided into shares that gain an independent life as non-tangible assets and sold and resold moving effortlessly through proximate and distant economic markets. The late 2007-2008 subprime crisis that is believed to have precipitated a global credit crisis offers incontrovertible evidence concerning the inherent risks this can pose. One may erroneously believe that   transactions in themselves that occur in parallel financial markets are a source of wealth independent of the assets created for the tangible market of goods and services. This alone can be problematic but becomes even more so when the parallel financial market becomes overly responsive to rumour and belief systems that blend both real and unreal expectations and thereby become susceptible to fraud and illusion in the attribution of “value” that is often only tenuously connected to any current production of actual tangible goods and services directly useful to human beings.  Like other economies, Papua New Guinea needs </w:t>
      </w:r>
      <w:r w:rsidRPr="00071CFC">
        <w:lastRenderedPageBreak/>
        <w:t xml:space="preserve">to ensure this parallel market is regulated enough to obviate the potential for gross inflation of the value of non-tangible assets (financial interests). Without proper regulation, as has happened in Western financial markets, over-valued financial instruments may ultimately fail to reach their expected economic potential, and in failing, may create massive debts that choke the supply of credit and financial assistance to the productive activities they are intended to serve, thus negatively impacting the flow of basic necessities and improvements to the human condition. </w:t>
      </w:r>
    </w:p>
    <w:p w14:paraId="2970C5FB" w14:textId="77777777" w:rsidR="009F661C" w:rsidRPr="00071CFC" w:rsidRDefault="009F661C" w:rsidP="000F1BBA">
      <w:pPr>
        <w:pStyle w:val="DLText"/>
      </w:pPr>
      <w:r w:rsidRPr="00071CFC">
        <w:t xml:space="preserve">The possibility of facilitating numerous economic transactions is obviously an advantage offered by the capitalist system and its financial markets, and is an important component of the freedoms associated with Western ownership and the success of modern capitalism. The London share market was created in 1690 to allow for the uninterrupted flow of capital necessary for the continuous operation of the joint stock ventures. However, there exists no particular real productive advantage when the virtually unlimited possibilities of dividing and combining of various interests serve merely as vehicles for speculative ventures without reference to ongoing production or productive initiatives. One can specifically refer to the “sub-prime mortgage” crisis that originated in the United States and which should be prevented by prohibiting transactions that package a mortgagee’s interest as a financial instrument allowing it to be subdivided, blended with other interests, and sold and resold throughout the vast global financial market.  The mortgage arrangement or transaction should not be a vehicle for further financial transactions but needs to remain as intended, which is that of a relationship between property owner and the lending institution which exists for the benefit of both parties, a relationship that should not be disturbed through the sale of specific interests to third parties not participant in the original undertaking.  The numerous transactions which followed the packaging of sub prime mortgages did not add to or increase human wealth but were merely the pastime of speculators who sought to inflate the value of these interests, many of which were in actuality worthless non-performing debts, moving them through the system to other investors and speculators.  The huge fraud created massive debts that could not be met and certainly contributed to if not precipitated the ensuing financial crisis. </w:t>
      </w:r>
    </w:p>
    <w:p w14:paraId="66680553" w14:textId="77777777" w:rsidR="009F661C" w:rsidRPr="00071CFC" w:rsidRDefault="009F661C" w:rsidP="00381DFF">
      <w:pPr>
        <w:pStyle w:val="DLText"/>
      </w:pPr>
      <w:r w:rsidRPr="00071CFC">
        <w:t xml:space="preserve">It is worthwhile to refer to Dembinski (2009) in adding further support for our view.  He makes an insightful distinction between </w:t>
      </w:r>
      <w:bookmarkStart w:id="2" w:name="OLE_LINK7"/>
      <w:bookmarkStart w:id="3" w:name="OLE_LINK8"/>
      <w:r w:rsidRPr="00071CFC">
        <w:t>bank-based systems and financial-market systems</w:t>
      </w:r>
      <w:bookmarkEnd w:id="2"/>
      <w:bookmarkEnd w:id="3"/>
      <w:r w:rsidRPr="00071CFC">
        <w:t xml:space="preserve">.   He argues that Western economies over the last 20 years have moved away from the former towards the latter.   He argues that the “relative positions of financial relationships and financial transactions have been inverted, profoundly altering the role of finance in </w:t>
      </w:r>
      <w:r w:rsidRPr="00071CFC">
        <w:lastRenderedPageBreak/>
        <w:t xml:space="preserve">the economy and society” (Dembinski 2009, 84).This has happened because the instruments of financial transactions have become tradeable objects as these instruments have become transferable. This conversion of financial relationships into transferable objects is said to be the basis of the process referred to as financialization. In the bank-based system that no longer predominates in these centres, financial relationships are carefully managed and while there exists the possibility of renegotiation there is no scope for the substitution of financial parties. In the financial market economy financial instruments can be traded and financial partners substituted, and increasingly the production and exchange of such instruments becomes the principal economic activity.  This has led to more complex financial activities including the production of derivatives, such as credit default swaps, collateralized debt obligations as well as the notorious activity of reckless short selling.  These activities have occurred in an expanded global financial market with numerous partners and consequential increased risk. Dembinski (2009) affirms that the inability of the financial market to control these risks inevitably led to the current global financial crisis. </w:t>
      </w:r>
    </w:p>
    <w:p w14:paraId="3FA12482" w14:textId="77777777" w:rsidR="009F661C" w:rsidRPr="00071CFC" w:rsidRDefault="009F661C" w:rsidP="000F1BBA">
      <w:pPr>
        <w:pStyle w:val="DLText"/>
      </w:pPr>
      <w:r w:rsidRPr="00071CFC">
        <w:t>The bank based system that Dembinski (2009) advocates would maintain the originate to-hold mortgages in which the bank retains the mortgages they issue (as we recommend above) rather than originate-to-distribute model in which mortgages are bundled together in collaterized debt obligations (CDOs). Although some dispute that CDOs or derivative securities alone precipitated the current crisis (see Boatright 2009), it is certainly arguable that those least affected by the crisis were economies that did not indulge in these forms of financial activity. For example economies where Islamic banking predominates (Tutton 2009) and small European counties such as Moldovia, which did not over extend credit  have suffered least from the global financial meltdown.  Thus by way of answer to Weiner, we would argue that recent events in the global economy do not really counter de Soto’s argument that formal property rights are necessary for the expansion of credit and enhanced economic activity. Expanded access to credit becomes problematic when the creation of financial relationships becomes an end in itself without sufficient reference to inherent risk or the potential for enhanced productivity. Consequently, we would recommend that as Papua New Guinea develops it should maintain a bank based system rather than promote financial-market systems.</w:t>
      </w:r>
    </w:p>
    <w:p w14:paraId="24026386" w14:textId="77777777" w:rsidR="009F661C" w:rsidRPr="00071CFC" w:rsidRDefault="009F661C" w:rsidP="00381DFF">
      <w:pPr>
        <w:pStyle w:val="DLText"/>
      </w:pPr>
      <w:r w:rsidRPr="00071CFC">
        <w:t>Finally we should mention a further view with respect to the issue of land tenure that holds that</w:t>
      </w:r>
      <w:r w:rsidRPr="00071CFC">
        <w:rPr>
          <w:rFonts w:eastAsia="Arial Unicode MS"/>
        </w:rPr>
        <w:t xml:space="preserve"> appropriate development in rural Papua New Guinea cannot be attributed to the particular form of land holding per se. Weiner (2009) holds that it has much more to do with what anthropologists call the social relations of production and that such relations are not </w:t>
      </w:r>
      <w:r w:rsidRPr="00071CFC">
        <w:rPr>
          <w:rFonts w:eastAsia="Arial Unicode MS"/>
        </w:rPr>
        <w:lastRenderedPageBreak/>
        <w:t xml:space="preserve">determined by a particular form of land holding, although he accepts that registration of interests in land would facilitate the necessary organizational interaction that creates successful economic enterprise. Wiener finds that productive life among such groups as the Chimbu, Foi and Tolai have been mostly carried out at the level of individual families and small groups of closely related families and the customary nature of holdings has not been inimical to this form of individualism. There is certainly value in this point of view, but one needs still to address issues such as the distribution of income from large scale development projects and the use of custom to resolve complex land issues. In the following pages and in the subsequent chapters we will take a closer look at these issues. </w:t>
      </w:r>
    </w:p>
    <w:p w14:paraId="0AB0CC6C" w14:textId="77777777" w:rsidR="009F661C" w:rsidRPr="00175696" w:rsidRDefault="009F661C" w:rsidP="00047669">
      <w:pPr>
        <w:pStyle w:val="h2"/>
        <w:ind w:firstLine="0"/>
      </w:pPr>
      <w:r w:rsidRPr="00175696">
        <w:t>Conclusion</w:t>
      </w:r>
    </w:p>
    <w:p w14:paraId="3B9EFC50" w14:textId="77777777" w:rsidR="009F661C" w:rsidRPr="00071CFC" w:rsidRDefault="009F661C" w:rsidP="008C6949">
      <w:pPr>
        <w:pStyle w:val="DLText"/>
        <w:rPr>
          <w:bCs/>
        </w:rPr>
      </w:pPr>
      <w:r w:rsidRPr="00071CFC">
        <w:t>In this chapter we considered the distinction between</w:t>
      </w:r>
      <w:r w:rsidRPr="00071CFC">
        <w:rPr>
          <w:b/>
          <w:bCs/>
        </w:rPr>
        <w:t xml:space="preserve"> c</w:t>
      </w:r>
      <w:r w:rsidRPr="00071CFC">
        <w:t>ustomary and alienated land, the latter referring to land that has been removed from custom.  We discussed Professor Colin Filer’s observation in which he sees the distinction becoming blurred with what he labels as “</w:t>
      </w:r>
      <w:r w:rsidRPr="00071CFC">
        <w:rPr>
          <w:i/>
          <w:iCs/>
        </w:rPr>
        <w:t>the partial alienation of customary land</w:t>
      </w:r>
      <w:r w:rsidRPr="00071CFC">
        <w:t xml:space="preserve"> and the </w:t>
      </w:r>
      <w:r w:rsidRPr="00071CFC">
        <w:rPr>
          <w:i/>
          <w:iCs/>
        </w:rPr>
        <w:t>partial customisation of alienated land”</w:t>
      </w:r>
      <w:r w:rsidRPr="00071CFC">
        <w:t xml:space="preserve">.  With respect to so called customary land ,mobilization and forms of economic development are being realized despite the impediments which are associated with customary land tenure. With respect to the </w:t>
      </w:r>
      <w:r w:rsidRPr="00071CFC">
        <w:rPr>
          <w:i/>
          <w:iCs/>
        </w:rPr>
        <w:t>partial customisation of alienated land,</w:t>
      </w:r>
      <w:r w:rsidRPr="00071CFC">
        <w:t xml:space="preserve"> we are essentially seeing the growth of reclaimed control rights over under developed alienated land and the assertion of income rights over alienated land which has been subject to ongoing significant economic development. But following the insights of the Peruvian economist Hernando de Soto, we argue that in so far as land in Papua New Guinea is unregistered, allegedly collectively owned, unrecorded, lacking in integrated information and lacking in uniform formalized laws that protect the security of title and possible transactions, land cannot be mobilized for successful economic wealth generation.  </w:t>
      </w:r>
      <w:r w:rsidRPr="00071CFC">
        <w:rPr>
          <w:bCs/>
        </w:rPr>
        <w:t>Ultimately the partial alienation of customary land, the predominant form of land tenure, cannot protect customary land from the predations of an informal system of land tenure.</w:t>
      </w:r>
    </w:p>
    <w:p w14:paraId="5D4261ED" w14:textId="77777777" w:rsidR="009F661C" w:rsidRPr="00071CFC" w:rsidRDefault="009F661C" w:rsidP="002160FB">
      <w:pPr>
        <w:jc w:val="both"/>
        <w:rPr>
          <w:sz w:val="20"/>
          <w:szCs w:val="20"/>
        </w:rPr>
      </w:pPr>
    </w:p>
    <w:p w14:paraId="56B3AB45" w14:textId="77777777" w:rsidR="009F661C" w:rsidRPr="00071CFC" w:rsidRDefault="009F661C" w:rsidP="002160FB">
      <w:pPr>
        <w:pStyle w:val="DLText"/>
        <w:rPr>
          <w:lang w:val="en-AU"/>
        </w:rPr>
      </w:pPr>
    </w:p>
    <w:p w14:paraId="45BE5EAB" w14:textId="77777777" w:rsidR="009F661C" w:rsidRPr="00071CFC" w:rsidRDefault="009F661C" w:rsidP="00380955">
      <w:pPr>
        <w:jc w:val="both"/>
        <w:rPr>
          <w:sz w:val="20"/>
          <w:szCs w:val="20"/>
        </w:rPr>
      </w:pPr>
    </w:p>
    <w:p w14:paraId="33428F7A" w14:textId="77777777" w:rsidR="009F661C" w:rsidRPr="00071CFC" w:rsidRDefault="009F661C" w:rsidP="00380955">
      <w:pPr>
        <w:jc w:val="both"/>
        <w:rPr>
          <w:sz w:val="20"/>
          <w:szCs w:val="20"/>
        </w:rPr>
      </w:pPr>
    </w:p>
    <w:p w14:paraId="1B870E7E" w14:textId="77777777" w:rsidR="009F661C" w:rsidRPr="00071CFC" w:rsidRDefault="009F661C" w:rsidP="00381DFF">
      <w:pPr>
        <w:pStyle w:val="DLHeading"/>
        <w:rPr>
          <w:sz w:val="20"/>
          <w:szCs w:val="20"/>
        </w:rPr>
        <w:sectPr w:rsidR="009F661C" w:rsidRPr="00071CFC" w:rsidSect="00503FDD">
          <w:headerReference w:type="even" r:id="rId18"/>
          <w:headerReference w:type="default" r:id="rId19"/>
          <w:footnotePr>
            <w:numRestart w:val="eachSect"/>
          </w:footnotePr>
          <w:type w:val="oddPage"/>
          <w:pgSz w:w="8392" w:h="11907" w:code="11"/>
          <w:pgMar w:top="1418" w:right="1191" w:bottom="851" w:left="1191" w:header="851" w:footer="0" w:gutter="0"/>
          <w:cols w:space="708"/>
          <w:titlePg/>
          <w:docGrid w:linePitch="360"/>
        </w:sectPr>
      </w:pPr>
    </w:p>
    <w:p w14:paraId="2743C314" w14:textId="77777777" w:rsidR="009F661C" w:rsidRPr="00175696" w:rsidRDefault="009F661C" w:rsidP="00C75D79">
      <w:pPr>
        <w:pStyle w:val="DLHeading"/>
        <w:rPr>
          <w:szCs w:val="32"/>
        </w:rPr>
      </w:pPr>
      <w:r w:rsidRPr="00175696">
        <w:rPr>
          <w:szCs w:val="32"/>
        </w:rPr>
        <w:lastRenderedPageBreak/>
        <w:t>Chapter Five</w:t>
      </w:r>
    </w:p>
    <w:p w14:paraId="6D9F9ECB" w14:textId="77777777" w:rsidR="009F661C" w:rsidRPr="00175696" w:rsidRDefault="009F661C" w:rsidP="00381DFF">
      <w:pPr>
        <w:pStyle w:val="DLHeading"/>
        <w:rPr>
          <w:szCs w:val="32"/>
        </w:rPr>
      </w:pPr>
      <w:r w:rsidRPr="00175696">
        <w:rPr>
          <w:szCs w:val="32"/>
        </w:rPr>
        <w:t xml:space="preserve">New Initiatives in the Development </w:t>
      </w:r>
      <w:r>
        <w:rPr>
          <w:szCs w:val="32"/>
        </w:rPr>
        <w:br/>
      </w:r>
      <w:r w:rsidRPr="00175696">
        <w:rPr>
          <w:szCs w:val="32"/>
        </w:rPr>
        <w:t xml:space="preserve">of Customary Land: </w:t>
      </w:r>
      <w:r>
        <w:rPr>
          <w:szCs w:val="32"/>
        </w:rPr>
        <w:br/>
      </w:r>
      <w:r w:rsidRPr="00175696">
        <w:rPr>
          <w:szCs w:val="32"/>
        </w:rPr>
        <w:t>Groups versus Individuals</w:t>
      </w:r>
      <w:r w:rsidRPr="00047669">
        <w:rPr>
          <w:rStyle w:val="FootnoteReference"/>
          <w:sz w:val="28"/>
        </w:rPr>
        <w:footnoteReference w:id="6"/>
      </w:r>
    </w:p>
    <w:p w14:paraId="1F9BCB5B" w14:textId="77777777" w:rsidR="009F661C" w:rsidRPr="00071CFC" w:rsidRDefault="009F661C" w:rsidP="00486816">
      <w:pPr>
        <w:pStyle w:val="DLText"/>
      </w:pPr>
    </w:p>
    <w:p w14:paraId="36D53468" w14:textId="77777777" w:rsidR="009F661C" w:rsidRDefault="009F661C" w:rsidP="00486816">
      <w:pPr>
        <w:pStyle w:val="DLText"/>
      </w:pPr>
    </w:p>
    <w:p w14:paraId="2C484529" w14:textId="77777777" w:rsidR="009F661C" w:rsidRPr="00071CFC" w:rsidRDefault="009F661C" w:rsidP="00486816">
      <w:pPr>
        <w:pStyle w:val="DLText"/>
      </w:pPr>
    </w:p>
    <w:p w14:paraId="6B920564" w14:textId="77777777" w:rsidR="009F661C" w:rsidRPr="00175696" w:rsidRDefault="009F661C" w:rsidP="00047669">
      <w:pPr>
        <w:pStyle w:val="DLHeading2"/>
        <w:spacing w:before="0"/>
      </w:pPr>
      <w:r w:rsidRPr="00175696">
        <w:t>Introduction</w:t>
      </w:r>
    </w:p>
    <w:p w14:paraId="5BE5C2D0" w14:textId="77777777" w:rsidR="009F661C" w:rsidRPr="00071CFC" w:rsidRDefault="009F661C" w:rsidP="00486816">
      <w:pPr>
        <w:pStyle w:val="DLText"/>
      </w:pPr>
      <w:r w:rsidRPr="00071CFC">
        <w:t xml:space="preserve">Debates on the relative merits of customary and individual land tenure in Papua New Guinea have become a recurring theme of academic discourse on development issues in recent years. In 2004, the Australian Libertarian think tank, the Centre for Independent Studies (Gosarevski, S., </w:t>
      </w:r>
      <w:r w:rsidRPr="00047669">
        <w:rPr>
          <w:spacing w:val="-2"/>
        </w:rPr>
        <w:t>Hughes, H., Windybank S., 2004a; Gosarevski, S., Hughes, H., Windybank</w:t>
      </w:r>
      <w:r w:rsidRPr="00071CFC">
        <w:t xml:space="preserve"> S., 2004b) published several articles in which it argued that communal ownership has not permitted any country to develop economically. Even more strongly it was claimed that in a country where as in Papua New Guinea 90 per cent of people live on the land, the customary tenure system is the principal cause of poverty in that country (Gosarevski et. al 2004a: 137). Jim Fingleton, the principal architect of the country’s </w:t>
      </w:r>
      <w:r w:rsidRPr="00071CFC">
        <w:rPr>
          <w:i/>
          <w:iCs/>
        </w:rPr>
        <w:t>Incorporated Land Groups Act</w:t>
      </w:r>
      <w:r w:rsidRPr="00071CFC">
        <w:t xml:space="preserve"> that attempts to give legislative meaning to customary land tenure, responded with a collection of edited papers claiming as "demonstrably false the argument that customary land tenures are an impassable barrier to development" (2005: ix). Others in the following year also responded and added to the debate, including Curtin and Lea, (2006). Anthropologists James Weiner and Katie Glaskin (2007) sought to add fresh insight to the issue of customary land tenure with their </w:t>
      </w:r>
      <w:r w:rsidRPr="00071CFC">
        <w:rPr>
          <w:i/>
          <w:iCs/>
        </w:rPr>
        <w:t>Customary Land Tenure and Registration in Australia and Papua New Guinea: Anthropological Perspectives</w:t>
      </w:r>
      <w:r w:rsidRPr="00071CFC">
        <w:t xml:space="preserve"> (2009) The Australian Government (AusAID, 2008) also became involved and published a two volume text on land issues entitled </w:t>
      </w:r>
      <w:r w:rsidRPr="00071CFC">
        <w:rPr>
          <w:i/>
          <w:iCs/>
        </w:rPr>
        <w:t>Making Land Work</w:t>
      </w:r>
      <w:r w:rsidRPr="00071CFC">
        <w:t>, whose focus is a number of countries in the Pacific including Fiji and Papua New Guinea.</w:t>
      </w:r>
    </w:p>
    <w:p w14:paraId="186F9E93" w14:textId="77777777" w:rsidR="009F661C" w:rsidRPr="00071CFC" w:rsidRDefault="009F661C" w:rsidP="00486816">
      <w:pPr>
        <w:pStyle w:val="DLText"/>
      </w:pPr>
      <w:r w:rsidRPr="00071CFC">
        <w:t xml:space="preserve">At roughly the same time within Papua New Guinea, publications from the Divine Word University, the University of Papua New Guinea Law </w:t>
      </w:r>
      <w:r w:rsidRPr="00047669">
        <w:rPr>
          <w:spacing w:val="-2"/>
        </w:rPr>
        <w:lastRenderedPageBreak/>
        <w:t>School, and a number of conferences highlighted the need for a recalibration</w:t>
      </w:r>
      <w:r w:rsidRPr="00071CFC">
        <w:t xml:space="preserve"> of legislation governing customary land tenure. All this discussion appears to have generated political initiatives in Papua New Guinea itself. Reform initiatives started with the Land Summit in Lae.  Papua New Guinea’s own National Research Institute in 2007 published a report from the National Land Development Taskforce (2007) entitled</w:t>
      </w:r>
      <w:r w:rsidRPr="00071CFC">
        <w:rPr>
          <w:i/>
          <w:iCs/>
        </w:rPr>
        <w:t xml:space="preserve"> Land Administration, Land Dispute Settlement, and Customary land Development</w:t>
      </w:r>
      <w:r w:rsidRPr="00071CFC">
        <w:t>.  This document was followed by the</w:t>
      </w:r>
      <w:r w:rsidRPr="00071CFC">
        <w:rPr>
          <w:i/>
          <w:iCs/>
        </w:rPr>
        <w:t xml:space="preserve"> National Land Development Program Concept Design Document</w:t>
      </w:r>
      <w:r w:rsidRPr="00071CFC">
        <w:t xml:space="preserve"> (National Land Development Program, 2007)</w:t>
      </w:r>
      <w:r w:rsidRPr="00071CFC">
        <w:rPr>
          <w:i/>
          <w:iCs/>
        </w:rPr>
        <w:t>.</w:t>
      </w:r>
      <w:r w:rsidRPr="00071CFC">
        <w:t xml:space="preserve"> The program, outlined in this document, has been endorsed by the country’s Cabinet (14 June, 2008) and 28 million kina has been committed to its implementation in the 2009 budget.</w:t>
      </w:r>
      <w:r w:rsidRPr="00071CFC">
        <w:rPr>
          <w:rStyle w:val="FootnoteReference"/>
        </w:rPr>
        <w:footnoteReference w:id="7"/>
      </w:r>
      <w:r w:rsidRPr="00071CFC">
        <w:t xml:space="preserve"> This program attempts to maintain the customary land concept through the implementation of Incorporated Land Groups (ILGs) and the registration of land that allegedly belongs to the respective ILGs. Although the legislation that would allow for the registration of customary land does not yet exist, the program proposes changes to the ILG Act which would allow for this. The nature of the proposed changes to the existing Act have become clearer in a document produced by the Constitutional and Law Reform Commission (2008) entitled  </w:t>
      </w:r>
      <w:r w:rsidRPr="00071CFC">
        <w:rPr>
          <w:i/>
          <w:iCs/>
        </w:rPr>
        <w:t>Review of Incorporated Land Groups and Design of a System of voluntary Customary Registration</w:t>
      </w:r>
      <w:r w:rsidRPr="00071CFC">
        <w:t xml:space="preserve"> published in May 2008. The then Minister for Justice, Hon. Bire Kimisopa, instructed the CLRC to review the existing law in light of the recommendations from the National Land Development Task Force Report of 2007.  Pilot implementation projects were proposed for the periphery of Port Moresby and Lae (National land Development Program 2007:4). It was specified that implementation would be tied to defined development projects. The proposed changes to the legislation were then passed by parliament in early 2009.  In 2009 it was decided that three pilot projects were to be tried out in the Highlands and one in East Boroko, Port Moresby.</w:t>
      </w:r>
    </w:p>
    <w:p w14:paraId="0D232E4B" w14:textId="77777777" w:rsidR="009F661C" w:rsidRPr="00071CFC" w:rsidRDefault="009F661C" w:rsidP="00486816">
      <w:pPr>
        <w:pStyle w:val="DLText"/>
      </w:pPr>
      <w:r w:rsidRPr="00071CFC">
        <w:t xml:space="preserve">The majority of the papers appearing in the literature have been written by anthropologists. While anthropology has had much to say about customary land tenure, there may well be a role for philosophy, especially in clarifying our conceptualization. In the latter half of the twentieth century, linguistic analysis, popularized by the charismatic Ludwig Wittgenstein, became the preferred approach to philosophical problems. Linguistic analysis proceeded from the belief that a proper understanding of the usage of language would resolve many of the fundamental problems </w:t>
      </w:r>
      <w:r w:rsidRPr="006014E0">
        <w:rPr>
          <w:spacing w:val="-2"/>
        </w:rPr>
        <w:t xml:space="preserve">of philosophy, rendering them understandable and resolvable. Wittgenstein </w:t>
      </w:r>
      <w:r w:rsidRPr="00071CFC">
        <w:lastRenderedPageBreak/>
        <w:t xml:space="preserve">believed that once the appropriate comprehension of linguistic usage was realized, one would see that there were indeed no philosophical problems. Rather, the problems were simply confusions in linguistic usage. Once this was grasped the so-called philosophical problem would simply disappear. Thus linguistic analysis sought to demonstrate that philosophical literature from Parmenides to Plato and Bertram Russell was in reality anchored to a fundamental mistake: a response to illusory problems embedded in the confusions of our language. This idea proved to be a tantalizing diagnosis of philosophical thought for Wittgenstein’s disciples, but infuriating to Wittgenstein’s dissenting critics such as Bertram Russell and Karl Popper, who believed that fundamental philosophical problems could not simply disappear. </w:t>
      </w:r>
    </w:p>
    <w:p w14:paraId="19B3B243" w14:textId="77777777" w:rsidR="009F661C" w:rsidRPr="00071CFC" w:rsidRDefault="009F661C" w:rsidP="00486816">
      <w:pPr>
        <w:pStyle w:val="DLText"/>
      </w:pPr>
      <w:r w:rsidRPr="00071CFC">
        <w:t>But although it is doubtful that an analysis of language usage is going to satisfy the perennial hunger for answers to the meaning of life, it may well be useful in resolving some prominent issues that swirl around the concept of customary land tenure. In the introduction to their book the editors, Weiner and Glaskin (2007:12) explain the nature of the selection of anthropological studies in the following words: “The indigenous and the ‘Western’ are thus defined against each other and the articulation of each includes the other in its foundation.” These words underline a number of points, but mainly that customary land tenure is essentially conceptualized within the legal and socioeconomic language of the West. This is the understanding that appears to be recognized by the editors in the phrase “…the articulation of each includes the other in its foundation”. But in reality the relation is asymmetric. The volume offers an articulation of the Western understanding of ‘customary land tenure’ and its application to the diverse practices and activities of indigenous Australians and Melanesians in Papua New Guinea. What the activities have in common is what one could describe as attempts to secure ‘exclusive rights over land’. However, even to say something as minimal as that is to assume a great deal, specifically, to assume that the  competing linguistic or other groups have an understanding that mirrors our concept of a ‘right’. In Papua New Guinea, for example, with around 800 linguistic groups empirical validation would be a formidable task, as these groups are seldom in unchallenged occupation of their present locales. But even this is not really the point, which is that the study ineluctably struggles to define and make sense of certain activities and practices of exclusion and inclusion through terms belonging to the Western language of ‘land tenure’, ‘rights’, and ‘ownership’ etc. It is therefore necessary to determine if these terms are being applied appropriately and in contexts in which they have meaning and therefore make sense rather than nonsense.</w:t>
      </w:r>
    </w:p>
    <w:p w14:paraId="1DCA84F7" w14:textId="77777777" w:rsidR="009F661C" w:rsidRPr="00071CFC" w:rsidRDefault="009F661C" w:rsidP="00486816">
      <w:pPr>
        <w:pStyle w:val="DLText"/>
      </w:pPr>
      <w:r w:rsidRPr="00071CFC">
        <w:lastRenderedPageBreak/>
        <w:t xml:space="preserve">Of course, the question arises as to why an appropriate analysis of terms is important for those not too inclined to be pedantic about language usage. The key to the significance of the usage of terms might well be found in a further statement from the introduction: “Our goal in this volume is not in the first instance to make a case for customary land tenure per-se, but to understand the mechanics of the translation process in which non-Western cultural forms are incorporated and regulated by Western legal and statutory bodies…in a fundamental cultural sense the customary is a product of state and capital formations and not external to it”(Weiner and Glaskin 2007:2). The statement acknowledges that, once defined, ‘the customary’ is incorporated within the language of Western political discourse and inevitably within the Western definition of ‘capital’, thus giving these activities a functional role within the modern market economy. In other words, the form in which these indigenous activities are linguistically packaged and defined has far-reaching economic consequences. </w:t>
      </w:r>
    </w:p>
    <w:p w14:paraId="7D5BBC49" w14:textId="77777777" w:rsidR="009F661C" w:rsidRPr="00175696" w:rsidRDefault="009F661C" w:rsidP="00486816">
      <w:pPr>
        <w:pStyle w:val="DLHeading2"/>
      </w:pPr>
      <w:r w:rsidRPr="00175696">
        <w:t>Customary Land Tenure and Group Ownership</w:t>
      </w:r>
    </w:p>
    <w:p w14:paraId="43534471" w14:textId="77777777" w:rsidR="009F661C" w:rsidRPr="00071CFC" w:rsidRDefault="009F661C" w:rsidP="00486816">
      <w:pPr>
        <w:pStyle w:val="DLText"/>
      </w:pPr>
      <w:r w:rsidRPr="00071CFC">
        <w:t>An appropriate starting point would be a consideration of the term ‘ownership’ and its use within the discourse of ‘customary land tenure’. Burton, quoting Welsh, states: ‘Wopkaimin land tenure is essentially communal in nature…everyone in [the] community shares rights to a large tract of undeveloped forest land used for hunting and foraging’ (Burton 2007:190). The significance of their status as designated owners of these tracts led to the identification of the Wopkaimin as the traditional owners of Mt. Fabilon and therefore the primary group entitled to compensation from the OK Tedi mining development. Burton works diligently to illustrate how the received dogma that native title is always communal in nature rather than individual has confused matters where issues of individual entitlement are concerned. But the problem arises in so far as the term ‘ownership’ may not be an appropriate term to describe a situation in which a number of people have tacitly agreed to share access to a given territory to pursue activities such as hunting, fishing and gathering. In the accepted usage of the term ‘ownership’, shared access falls far short of ownership in its modern linguistic, legal and economic meaning.</w:t>
      </w:r>
    </w:p>
    <w:p w14:paraId="6C7569B5" w14:textId="77777777" w:rsidR="009F661C" w:rsidRPr="00071CFC" w:rsidRDefault="009F661C" w:rsidP="00486816">
      <w:pPr>
        <w:pStyle w:val="DLText"/>
      </w:pPr>
      <w:r w:rsidRPr="00071CFC">
        <w:t>Therefore, one critical linguistic confusion involves the identification and conflation of the concept of ownership, based as that is on the exclusion principle, to allow for the opposed right of inclusive access. This has led to various difficulties in which numerous individuals claim to be the owners of mountains on the basis of having at one time hunted on the lower slopes.</w:t>
      </w:r>
    </w:p>
    <w:p w14:paraId="6F65299B" w14:textId="77777777" w:rsidR="009F661C" w:rsidRPr="00071CFC" w:rsidRDefault="009F661C" w:rsidP="00486816">
      <w:pPr>
        <w:pStyle w:val="DLText"/>
      </w:pPr>
      <w:r w:rsidRPr="00071CFC">
        <w:lastRenderedPageBreak/>
        <w:t>In order to endow greater meaning or significance to activities that involve a general right of access for members of a particular group, the term ‘collective’, ‘community’, or ‘group ownership’ is often used. John Burton himself seems to prefer the term ‘owned commons’. However, very few commentators on matters of customary land tenure have bothered to note that this use of the term ownership is a serious departure from accepted usage and particularly the attempted identification of ownership with collective rather than individual rights.  Fingleton, in his paper “A Legal Regime for Issuing Group Titles to Customary Land: Lessons from the East Sepik,” states that the idea behind this legislation is based on a recognition that ‘customary land holding’ is ‘Community Landholding’. The ILG Act, he claims, allows for the legal recognition of community land holding and is a radical approach designed to give Western legal effect to customary practice (2007:23-25). In so far as the Act purports to translate the customary into legal practice it is said to be consistent with the constitution, which calls for development to be achieved “…primarily through the use of Papua New Guinean forms of social, political and economic organization” (Fingleton 2007: 18). Additionally, it is claimed to be consistent with the recommendations of the 1974 Commission of Inquiry into Land Matters (CILM), which prescribes that the basic pattern should be to register group title, and provide for the group to grant registrable rights (to group members) or leases (to non-members). Fingleton argues that it was anticipated that in order for the ILG effectively to hold, manage, and deal with customary land a customary land registration law would be enacted. He believes it to be unfortunate that such a law has not been forthcoming (Fingleton 2007:59). As we can see, this matter is being addressed through proposals to re-write the ILG Act so as to allow for the registration of untitled customary land.</w:t>
      </w:r>
    </w:p>
    <w:p w14:paraId="16FA0C08" w14:textId="77777777" w:rsidR="009F661C" w:rsidRPr="00071CFC" w:rsidRDefault="009F661C" w:rsidP="00486816">
      <w:pPr>
        <w:pStyle w:val="DLText"/>
      </w:pPr>
      <w:r w:rsidRPr="00071CFC">
        <w:t xml:space="preserve">The legislation articulated by the Constitutional and Law Reform Commission in 2008, and approved by Parliament in 2008, attempts to address these and other issues. Overall the central purpose of the legislation as stated by the commission is to empower the ILG with the tools necessary to manage and develop land “for economic development and wealth for the collective benefit of all its members”. The ancillary purposes appear to be those of strengthening procedures relating to accountability and the validity of the registered group (Constitution and Law Reform Commission 2008, XI).  Under the current system the ILG cannot deal directly with land because there is no provision for land registration. According to the current system customary land can only be leased through the “lease lease back” system under the Land Act 1996, which requires government participation as intermediary between the traditional owners and the subordinate lessor. Accordingly, the alleged owners of customary land first lease the designated </w:t>
      </w:r>
      <w:r w:rsidRPr="00071CFC">
        <w:lastRenderedPageBreak/>
        <w:t xml:space="preserve">land to the government which is then leased back. This device effectively suspends customary land use during the lease period.  As well as the lease lease-back system, customary land can also be accessed through the </w:t>
      </w:r>
      <w:r w:rsidRPr="00071CFC">
        <w:rPr>
          <w:i/>
          <w:iCs/>
        </w:rPr>
        <w:t>Land Tenure Conversion Ordinance</w:t>
      </w:r>
      <w:r w:rsidRPr="00071CFC">
        <w:t xml:space="preserve"> (1963), which allows for registered freehold in customary land interests, thereby freeing the land from custom.  Fingleton mentions that the Ordinance was discredited by the CILM and the Land Titles Commission which administered the Ordinance. The latter was replaced </w:t>
      </w:r>
      <w:r w:rsidRPr="006014E0">
        <w:rPr>
          <w:spacing w:val="-2"/>
        </w:rPr>
        <w:t xml:space="preserve">by the land dispute settlement machinery from the </w:t>
      </w:r>
      <w:r w:rsidRPr="006014E0">
        <w:rPr>
          <w:i/>
          <w:iCs/>
          <w:spacing w:val="-2"/>
        </w:rPr>
        <w:t>Land Dispute Settlement</w:t>
      </w:r>
      <w:r w:rsidRPr="00071CFC">
        <w:rPr>
          <w:i/>
          <w:iCs/>
        </w:rPr>
        <w:t xml:space="preserve"> Act.</w:t>
      </w:r>
      <w:r w:rsidRPr="00071CFC">
        <w:t xml:space="preserve"> The National Land Development Taskforce (2007: 18) advocates that the </w:t>
      </w:r>
      <w:r w:rsidRPr="00071CFC">
        <w:rPr>
          <w:i/>
          <w:iCs/>
        </w:rPr>
        <w:t>Land Tenure Conversion Act</w:t>
      </w:r>
      <w:r w:rsidRPr="00071CFC">
        <w:t xml:space="preserve"> be abolished. The CLRC also calls for the repeal of the </w:t>
      </w:r>
      <w:r w:rsidRPr="00071CFC">
        <w:rPr>
          <w:i/>
        </w:rPr>
        <w:t>Land</w:t>
      </w:r>
      <w:r w:rsidRPr="00071CFC">
        <w:rPr>
          <w:i/>
          <w:iCs/>
        </w:rPr>
        <w:t xml:space="preserve"> Tenure Conversion Act</w:t>
      </w:r>
      <w:r w:rsidRPr="00071CFC">
        <w:t xml:space="preserve"> and an amendment to the law to protect the ownership rights of the community (Constitutional and Law Reform Commission 2008, 12-13).</w:t>
      </w:r>
    </w:p>
    <w:p w14:paraId="11AC57F7" w14:textId="77777777" w:rsidR="009F661C" w:rsidRPr="00071CFC" w:rsidRDefault="009F661C" w:rsidP="00486816">
      <w:pPr>
        <w:pStyle w:val="DLText"/>
      </w:pPr>
      <w:r w:rsidRPr="00071CFC">
        <w:t xml:space="preserve">The legislation will allow the ILG to issue leases directly for the development of customary land without having to engage in the lease lease-back procedure. The changes seek to provide a mechanism to register land through the ILG on a purely voluntary basis.  The Constitutional and Law Reform Commission states that the land reforms embody two distinct voluntary processes, viz., the incorporation of landowners (ILGs) and registration of their land ownership (Constitutional and Law Reform Commission 2008, 39).  Thus the process of registration is described as purely voluntary, however, the alleged group, when registering as an ILG, must provide evidence of rights to land including a sketch map of the customary land which the group claims (Constitutional and Law Reform Commission 2008, 23). The absence of </w:t>
      </w:r>
      <w:r w:rsidRPr="00071CFC">
        <w:rPr>
          <w:i/>
        </w:rPr>
        <w:t>ab initio</w:t>
      </w:r>
      <w:r w:rsidRPr="00071CFC">
        <w:t xml:space="preserve"> procedures for undertaking surveyed demarcations of claimed lands is critical. It follows that it is not entirely correct to claim that there are two distinct processes because there is indeed </w:t>
      </w:r>
      <w:r w:rsidRPr="00071CFC">
        <w:rPr>
          <w:i/>
          <w:iCs/>
        </w:rPr>
        <w:t>prima facie</w:t>
      </w:r>
      <w:r w:rsidRPr="00071CFC">
        <w:t xml:space="preserve"> land registration at the incorporation level when the group must have provided evidence of the boundaries of the group’s holding. The only difference is that at the point of land registration proper, the claim must become formalized and disputes resolved through processes of “land adjudication” and “boundary demarcation”. Moreover, although it is emphasized that the registration process is purely voluntary it is stated that land registration is necessary when there is an intention to grant interests in or portions of land to a stranger, a clan member, or the association itself (Constitutional and Law Reform Commission 2008, 36). However, given the rationale for the incorporation of the land groups is that of issuing leases (Constitutional and Law Reform Commission 2008, XI), it is somewhat disingenuous to assert the process of registration is entirely voluntary  in so far as land registration is necessary if leases are to be issued.    </w:t>
      </w:r>
    </w:p>
    <w:p w14:paraId="1BB75608" w14:textId="77777777" w:rsidR="009F661C" w:rsidRPr="00071CFC" w:rsidRDefault="009F661C" w:rsidP="00486816">
      <w:pPr>
        <w:pStyle w:val="DLText"/>
      </w:pPr>
      <w:r w:rsidRPr="00071CFC">
        <w:lastRenderedPageBreak/>
        <w:t xml:space="preserve">The question still remains: does group ownership make sense? One can argue that in order to exercise rights of ownership fully these rights have to be ascribed to individuals rather than groups. Aside from the ‘free rider’ issue, which unavoidably arises when land or other assets are managed and developed by a large group, other issues emerge with respect to alienation and transfer, etc. Fingleton expresses regret that the ILG Act has failed to fulfil its intended legislative function, that of holding, managing and dealing with traditional lands. In reality, the majority of ILGs have been solely created for the purpose of distributing royalties from land, as  in  forestry and petroleum developments. But the onus falls on the proponents of the ILG to explain how rights to manage and dealings in land can be effectively realized on the collective level. Firstly, the transaction costs, which would require the approval of all the “owners”, would always be an insurmountable burden. The other option, which would involve empowering agents to act unilaterally on behalf of the group, exposes group interests to familiar agency costs problems, which have been difficult if not impossible to control in Papua New Guinea. </w:t>
      </w:r>
    </w:p>
    <w:p w14:paraId="636C2654" w14:textId="77777777" w:rsidR="009F661C" w:rsidRPr="00071CFC" w:rsidRDefault="009F661C" w:rsidP="00486816">
      <w:pPr>
        <w:pStyle w:val="DLText"/>
      </w:pPr>
      <w:r w:rsidRPr="00071CFC">
        <w:t>However, we should mention that Power, in a recent AusAID text, alleges that ILGs have played a role in the success of the West New Britain oil palm industry (Power, 2007). He reports that a number of adjacent landowning groups were incorporated to put to economic use large parcels of land that were unused or subject to ownership disputes. As a result the people subsequently benefited from returns generated by New Britain Oil Palm Limited. However Curtin (2003) has shown that two-thirds of the country’ palm oil was grown by foreign companies on alienated land, and the balance by smallholders – and that many of these, notably in West New Britain, also own their land as individual block holders. (Curtin 2003, 8) goes on to argue that those who believe in the development potential of customary land through the ILG have yet to explain why there has been no attempt by its ‘owners’ to organize palm oil production in other feasible areas (e.g. East New Britain, East Sepik and Madang). In other words, Curtin strongly disputes the belief in the efficacy of the ILG as a vehicle for economic development.</w:t>
      </w:r>
    </w:p>
    <w:p w14:paraId="470751E9" w14:textId="77777777" w:rsidR="009F661C" w:rsidRPr="00071CFC" w:rsidRDefault="009F661C" w:rsidP="00486816">
      <w:pPr>
        <w:pStyle w:val="DLText"/>
      </w:pPr>
      <w:r w:rsidRPr="00071CFC">
        <w:t xml:space="preserve">However, it remains true that the ILG has been used to some effect in New Britain within the palm oil industry using the lease lease-back mechanism, but this does not establish the utility of ILGs as productive entities for their respective groups in their own right. When used to develop land, one encounters a complex series of bureaucratic steps that have no reference to individual agency. These steps involve the initial organization of individuals into an ILG, subsequent leasing of customary land by this group to the government, followed by government leases to the developer. </w:t>
      </w:r>
      <w:r w:rsidRPr="00071CFC">
        <w:lastRenderedPageBreak/>
        <w:t>Since groups by definition are composed of individuals, it is difficult to see how individual rights can be protected through a complex legal process in which individual rights are left undefined or have yet to be defined by the group.</w:t>
      </w:r>
    </w:p>
    <w:p w14:paraId="7EDE38F9" w14:textId="77777777" w:rsidR="009F661C" w:rsidRPr="00071CFC" w:rsidRDefault="009F661C" w:rsidP="00486816">
      <w:pPr>
        <w:pStyle w:val="DLText"/>
      </w:pPr>
      <w:r w:rsidRPr="00071CFC">
        <w:t xml:space="preserve">Yala (2008) in discussing smallholder oil palm projects around Hoskins, East New Britain, describes a situation in which disregard of legal niceties has at times created legal anarchy. Yala mentions three groups with interests in land: one group that held 79 year leases on state land, another that worked customary land, and another that received their interest from alleged ‘customary owners’. Significantly, he reports that in 1991, 177 of the titleholders who held state leases were forcefully evicted by traditional ‘land owners’ and dispossessed without adequate compensation after the state agreed to allow the latter to take possession of the land. Yala’s use of the term ‘land owners’ to describe the group that forcefully seized control of state land is indeed problematic since it is indisputable that the land was owned by the state and legitimately leased out. Again this points to the frequent casual misuse of the term ‘ownership’ to describe a situation where there is demonstrative absence of legitimate ownership by groups claiming putative customary ownership. </w:t>
      </w:r>
    </w:p>
    <w:p w14:paraId="2E3CA6CA" w14:textId="77777777" w:rsidR="009F661C" w:rsidRPr="00071CFC" w:rsidRDefault="009F661C" w:rsidP="00486816">
      <w:pPr>
        <w:pStyle w:val="DLText"/>
      </w:pPr>
      <w:r w:rsidRPr="00071CFC">
        <w:t xml:space="preserve">Given the current realities, one can conclude that the most frequently encountered functional use of the ILG has been for identification purposes, which means to identify individuals who could claim interests in land and to compensate them when this area is used by others. But even in this context Fingleton admits the validity of criticisms that agency issues have beset ILGs when used as vehicles for royalty distribution. On this issue, Fingleton attempts to deflect criticism by reference to problems of implementation and specifically failures in supervision. But if, as Fingleton asserts, the Act merely recognizes custom rather than seeks to create it, that is, it gives legal effect to customary practice, thus implying that custom is sufficient unto itself, why then would it be necessary to introduce an external supervisory control? This supposedly would be  supervisory control by an individual or individuals external to the customary group, as in the current Registrar of  Incorporated Land Groups who is now, given the passage of recent amendments to the Act,  supposed to be responsible for the registration of the ILGs, or in the proposed Director of Customary Land Registration (Constitutional and Law Reform Commission 2008, 41), and therefore non-participant in the customary practice of the group, which undermines the foundational assumption that the Act merely gives legal effect to existing customary practice. </w:t>
      </w:r>
    </w:p>
    <w:p w14:paraId="67D75073" w14:textId="77777777" w:rsidR="009F661C" w:rsidRPr="00071CFC" w:rsidRDefault="009F661C" w:rsidP="00486816">
      <w:pPr>
        <w:pStyle w:val="DLText"/>
      </w:pPr>
      <w:r w:rsidRPr="00071CFC">
        <w:t xml:space="preserve">Given these fundamental problems and following this line of thought one could argue that the term ownership can only have content and meaning </w:t>
      </w:r>
      <w:r w:rsidRPr="00071CFC">
        <w:lastRenderedPageBreak/>
        <w:t xml:space="preserve">when it is ascribed to individuals rather than groups. One might do well by repeating the early definition of ownership offered by Blackstone‘s </w:t>
      </w:r>
      <w:r w:rsidRPr="00071CFC">
        <w:rPr>
          <w:i/>
          <w:iCs/>
        </w:rPr>
        <w:t>Commentaries on the Law of England,</w:t>
      </w:r>
      <w:r w:rsidRPr="00071CFC">
        <w:t xml:space="preserve"> penned in the 16</w:t>
      </w:r>
      <w:r w:rsidRPr="00071CFC">
        <w:rPr>
          <w:vertAlign w:val="superscript"/>
        </w:rPr>
        <w:t>th</w:t>
      </w:r>
      <w:r w:rsidRPr="00071CFC">
        <w:t xml:space="preserve"> century, in which it is pronounced that the “right of property” is “…that sole and despotic dominion which one man claims and exercises over the external things of the world in total exclusion of the right of any other individual in the universe” (Tully 1980: 73). It may be argued that in Western law there exist forms of ownership in which title is vested in more than one individual, as in joint tenancy and tenancy in common. However, joint tenancy is usually a form of ownership that involves two individuals, in which the survivor inherits the entire interest, rather than a group with no or ill-defined rights of succession. Tenancy in common is also unlike the envisioned collective ownership in that each ‘owner’ can act unilaterally to dispose of his share of the property. </w:t>
      </w:r>
    </w:p>
    <w:p w14:paraId="4A36270A" w14:textId="77777777" w:rsidR="009F661C" w:rsidRPr="00071CFC" w:rsidRDefault="009F661C" w:rsidP="00486816">
      <w:pPr>
        <w:pStyle w:val="DLText"/>
      </w:pPr>
      <w:r w:rsidRPr="00071CFC">
        <w:t xml:space="preserve">A further objection to the idea that the true meaning of ownership must be ownership by individuals rather than groups has been the reference to the corporate bodies in which interests are said to be group owned. Nevertheless, as in tenancy in common each individual owner of shares enjoys the exclusive right to dispose of his property without consent or reference to the interests of the other owners. Moreover it is important to establish what is meant by reference to incorporated body. An earlier legal view of the corporation saw the corporation as a form of property subject to ownership rights of its shareholders. This view has been largely discredited as a fundamental misconception. The now accepted interpretation does not envisage the corporation as a form of property owned by its shareholders. The collective enterprise described as a corporation has been interpreted according to a contractual model, which sees the corporation as a nexus of contracts. This alternative model envisions the corporation as offering an umbrella that allows private parties to contract with one another more efficiently than they could in a market by limiting the transaction costs. This view avoids the ontological issues that result when one regards the corporation as a thing that could possibly be owned. In any case, regarding the corporation and its assets as being owned by the shareholders is highly misleading insofar as shareholders usually have no right either to manage or sell these assets unilaterally or unlimited access to information and records relating to these assets. The corporation is therefore more accurately viewed as a device that operates as a nexus for all contracts that various individuals have voluntarily entered into for mutual benefit. Although theoretically the activities of the corporation could be done by individuals through individual contract in a market outside the corporate structure, the costs associated with enlisting cooperation would be significant. As R.H. </w:t>
      </w:r>
      <w:r w:rsidRPr="00071CFC">
        <w:lastRenderedPageBreak/>
        <w:t>Coase (1937) argued, the law in effect offers a standardized form of contract or a set of default rules that facilitate private ordering.</w:t>
      </w:r>
    </w:p>
    <w:p w14:paraId="1A848D9E" w14:textId="77777777" w:rsidR="009F661C" w:rsidRPr="00071CFC" w:rsidRDefault="009F661C" w:rsidP="00486816">
      <w:pPr>
        <w:pStyle w:val="DLText"/>
      </w:pPr>
      <w:r w:rsidRPr="00071CFC">
        <w:t>The above analysis demonstrates that ownership in its English language meaning denotes a context in which an individual exercises sovereign control over an asset that he/she is free to manage or at the very least dispose of unilaterally by sale or transfer. To claim that customary community land tenure represents a form of ownership of land comparable to the ownership rights of a shareholder in a corporation is highly misleading insofar as the shareholder does not own the corporation or its assets (strictly speaking the corporation owns the assets); rather the shareholder only owns shares in the company, shares that he controls unilaterally through rights to sell or transfer. The only Western form of ownership that limits the sovereignty of the individuals’ rights to dispose of owned property is joint tenancy but in this case we are really speaking of an arrangement in which two individuals, not a ‘group’, share a particular property and the limitations on individual initiative really arise through a contract or agreement between two individuals to apply the rule of survivorship.</w:t>
      </w:r>
    </w:p>
    <w:p w14:paraId="6A3997D9" w14:textId="77777777" w:rsidR="009F661C" w:rsidRPr="00071CFC" w:rsidRDefault="009F661C" w:rsidP="00486816">
      <w:pPr>
        <w:pStyle w:val="DLText"/>
      </w:pPr>
      <w:r w:rsidRPr="00071CFC">
        <w:t xml:space="preserve">The discourse of ‘ownership’ usually entails sovereignty, particularly individual sovereignty, which means that the rest of the world cannot use, manage or transfer one’s holding without consent. Clearly, individuals who make up a group that claims, for example, the ownership of a particular mountain, do not have the authority to stop other members from making use of the area. In reality, each individual has a usufruct, right of use, which falls well short of an ownership title. On the other hand, if we ascribe ownership to the ‘group’ rather than to the individuals who make it up, and the group represents all those sharing common customs who access a particular area, to the exclusion of other individuals and groups of individuals, we have a referent, which is not an individual or a designated number of distinct individuals but an abstraction. Abstractions, unlike human individuals, do not have desires, goals and interests or even a will (unless one resorts to the fiction of the collective will) and therefore cannot act to utilize their alleged holdings. To ascribe ownership to a group is to paralyze any development or dealing in land or other assets as we will see. </w:t>
      </w:r>
    </w:p>
    <w:p w14:paraId="3E835B8A" w14:textId="77777777" w:rsidR="009F661C" w:rsidRPr="00071CFC" w:rsidRDefault="009F661C" w:rsidP="00486816">
      <w:pPr>
        <w:pStyle w:val="DLText"/>
      </w:pPr>
      <w:r w:rsidRPr="00071CFC">
        <w:t xml:space="preserve">Certainly, the individuals who are said to belong to a group can act in concert or individually to prevent outsiders from using the land, but no single individual has the right to manage, develop or deal in the land individually and unilaterally. This right is supposed to belong to the ‘group’ and this can only mean in practice that nothing can be done with the land along these lines unless individuals belonging to the presumed ‘group’ agree. In other words, they must now contract amongst themselves to create rights to manage, develop, sublease, or alienate the land or part thereof. As </w:t>
      </w:r>
      <w:r w:rsidRPr="00071CFC">
        <w:lastRenderedPageBreak/>
        <w:t>with Coase’s interpretation of the corporation, the legal requirement that assets be held by a group, which according to the legislature requires the group become an incorporated body, is in reality to prescribe a set of agreements or contracts between designated individuals that must be entered into before land can be managed, developed or dealt with in any meaningful way. Of necessity the corollary is that if nothing is entered into nothing is done. In practice, the group, if it has a meaningful existence as an incorporated body, must, beyond mere registration, enact the agreements or contracts that bind these individuals together.</w:t>
      </w:r>
    </w:p>
    <w:p w14:paraId="505B92B3" w14:textId="77777777" w:rsidR="009F661C" w:rsidRPr="00071CFC" w:rsidRDefault="009F661C" w:rsidP="00486816">
      <w:pPr>
        <w:pStyle w:val="DLText"/>
      </w:pPr>
      <w:r w:rsidRPr="00071CFC">
        <w:t xml:space="preserve">In other words, rather than having sovereignty over their land, group ‘ownership’ imposes extremely difficult contractual requirements while severely limiting the individual’s ability to contract. What is imposed is a very limited freedom of contract. In order to utilize ‘their land’ individuals must enter into unanimous agreements with designated individuals who claim to be members of their group while at the same time denied the freedom to contract with those outside the group unless originally sanctioned by consensus if not unanimous agreement of those within the group. Moreover, it needs to be appreciated that we are not talking about the familiar bilateral agreements or covenants between two contracting parties but multiparty agreements, which must have universal consent of all designated parties within the group. </w:t>
      </w:r>
    </w:p>
    <w:p w14:paraId="6417C780" w14:textId="77777777" w:rsidR="009F661C" w:rsidRPr="00071CFC" w:rsidRDefault="009F661C" w:rsidP="00675562">
      <w:pPr>
        <w:pStyle w:val="DLText"/>
      </w:pPr>
      <w:r w:rsidRPr="00071CFC">
        <w:t xml:space="preserve">Therefore, if it is to gain legal reality, the land holding group represents a set of covenants (contracts) that individuals have agreed upon with respect to a particular designated area of land. If there are no agreements or contracts, the group is an empty set. Since, as Fingleton has pointed out, no incorporated land groups have managed to develop or deal with land outside the forestry and petroleum sectors, where ILGs are used merely as a mechanism to distribute royalty payments, the ILG is as mathematicians would say, an empty set. Realistically, how could it be otherwise? To impose on people the requirement that unanimous agreements must be formalized among relatively large numbers of people, usually clans, before land can be utilized is to stifle decision making and therefore any development. Of course, incorporation works in the West partly because only simple majorities of shareholdings are needed to take decisions, and partly because there is virtually unlimited freedom of contract such that corporations and/or individuals are free to contract with any other corporation or individual in the universe. In contrast, the ILG constrains individuals to achieve at least consensus but usually universal consent within their group and among all individuals belonging to the purported customary group on issues such as development plans, management, benefits, etc. Although in Papua New Guinea there are ILGs in the </w:t>
      </w:r>
      <w:r w:rsidRPr="00071CFC">
        <w:lastRenderedPageBreak/>
        <w:t xml:space="preserve">petroleum and forestry sectors, these ‘groups’ have no function other than receipt and distribution of royalties payable by the mining and logging companies, and are otherwise devoid of  content in terms of formal organization and entry into contractual obligations. In nearly all cases, as Burton points out, most lack provisions for governance (Burton 2007: 177) and often exist only on paper as they are simply created and registered through the payment of the appropriate fee. As Burton states, Papua New Guinea has many incorporated groups (over 10,000) that are entirely lacking in governance systems, and whereas corresponding bodies among Australian indigenes are not without governance structures, they still lack capacity to undertake autonomous economic activity. </w:t>
      </w:r>
    </w:p>
    <w:p w14:paraId="7F4D579B" w14:textId="77777777" w:rsidR="009F661C" w:rsidRPr="00071CFC" w:rsidRDefault="009F661C" w:rsidP="00486816">
      <w:pPr>
        <w:pStyle w:val="DLText"/>
      </w:pPr>
      <w:r w:rsidRPr="00071CFC">
        <w:t xml:space="preserve">Until the recent passage of amendments to the ILG Act little has been formally required beyond mere registration, however the reworked Act proposes provision for a management structure which requires, </w:t>
      </w:r>
      <w:r w:rsidRPr="00071CFC">
        <w:rPr>
          <w:i/>
          <w:iCs/>
        </w:rPr>
        <w:t>inter alia,</w:t>
      </w:r>
      <w:r w:rsidRPr="00071CFC">
        <w:t xml:space="preserve"> a constitution, the creation of a management committee, Annual General Meetings, annual chairman’s reports, financial reports </w:t>
      </w:r>
      <w:bookmarkStart w:id="4" w:name="OLE_LINK1"/>
      <w:bookmarkStart w:id="5" w:name="OLE_LINK2"/>
      <w:r w:rsidRPr="00071CFC">
        <w:t xml:space="preserve">(Constitutional and </w:t>
      </w:r>
      <w:r w:rsidRPr="006014E0">
        <w:rPr>
          <w:spacing w:val="-2"/>
        </w:rPr>
        <w:t>Law Reform Commission 2008, 27)</w:t>
      </w:r>
      <w:bookmarkEnd w:id="4"/>
      <w:bookmarkEnd w:id="5"/>
      <w:r w:rsidRPr="006014E0">
        <w:rPr>
          <w:spacing w:val="-2"/>
        </w:rPr>
        <w:t>.  Ironically, the proposed amendments</w:t>
      </w:r>
      <w:r w:rsidRPr="00071CFC">
        <w:t xml:space="preserve"> bring ILGs closer to the norms of the country’s Companies Act that Fingleton amongst other expatriate paternalists had earlier considered to be too sophisticated for use by ordinary Papua New Guineans. The proposed changes to the ILG Act will subject ILGs to the standardized form of contract or default rules needed to facilitate their engagement in economic activity. The question remains whether the changes overcome the difficulties associated with securing full agreement of all the ILGs’ members.  It now appears that except with regard to decisions on major issues by the Management Committee, unanimity is not required. In its explanation of the fiduciary duties of the Management Committee the proposed amendments imply that unless the constitution provides otherwise, decisions on major matters require unanimity (Constitutional and Law Reform Commission 2008, 33). However, in the sections of the Act referring to “meetings” of the membership, “resolutions” and specific requirements for the conduct of meetings, section 14D mandates an organizational structure in which decision making is achieved through a voting procedure (Constitutional and Law Reform Commission 2008, XVI). It is prescribed that for a decision to be effected, 60% of the membership must be present at the relevant meeting and at least 60% of those present must vote to support the resolution. These changes obviously address the issues raised with respect to problems associated with group decision making, which would otherwise seem to require unanimity.  However we can see that the Commission proposes a somewhat cumbersome mechanism to preserve the appearance of group decision making.     </w:t>
      </w:r>
    </w:p>
    <w:p w14:paraId="5526DAE8" w14:textId="77777777" w:rsidR="009F661C" w:rsidRPr="00071CFC" w:rsidRDefault="009F661C" w:rsidP="00486816">
      <w:pPr>
        <w:pStyle w:val="DLText"/>
      </w:pPr>
      <w:r w:rsidRPr="00071CFC">
        <w:lastRenderedPageBreak/>
        <w:t>Moreover, there are questions as to whether the process does indeed preserve the concept and ideal of group decision making. Theoretically according to the formula it is possible that 60% of the 60% of all members attending a given meeting can pass a resolution which is binding on the majority (64%) of the attending and non-attending members, who have not voted in favour of the resolution.  It is equally possible that the resolution which this 36% minority supports may embody policies that are contrary to the preferences or interests of  the remaining 64% majority of members. This means that the outlined voting procedure exposes the collective itself to the classic agency problem. Evidently, a minority can successfully implement decisions that bind the majority which would mean there is no assurance this minority as agents will not be acting to promote their own particular interest that may conflict with the interests of the group in its entirety.  Beyond reference to the implied fiduciary duties the Act cannot provide legal protection against this possible eventuality.</w:t>
      </w:r>
    </w:p>
    <w:p w14:paraId="4EA8CB06" w14:textId="77777777" w:rsidR="009F661C" w:rsidRPr="00071CFC" w:rsidRDefault="009F661C" w:rsidP="00486816">
      <w:pPr>
        <w:pStyle w:val="DLText"/>
      </w:pPr>
      <w:r w:rsidRPr="00071CFC">
        <w:t xml:space="preserve">In addition to the possibility that the proposed procedures may well result in policies that do not represent the will of the group or even a majority, there is, </w:t>
      </w:r>
      <w:r w:rsidRPr="00071CFC">
        <w:rPr>
          <w:i/>
          <w:iCs/>
        </w:rPr>
        <w:t>a fortiori</w:t>
      </w:r>
      <w:r w:rsidRPr="00071CFC">
        <w:t xml:space="preserve">, the issue of the protection of minority and individual interests. As Nozick (1974) convincingly argued, individual property rights serve as fundamental constraints against the collective suppression of individual and minority interests including expressions of personal liberty and preference. Individual ownership rights, in theory at least, give the individual sovereignty over his/her interest, which cannot be overcome by the decisions of the collective. Nozick calls these protections “moral side constraints”. However in the  articulation of group rights, in which property interests are defined in terms of group rather than individual interests, individual agency and individual interests have no protection against the decision making of the group and especially where the defined 60% majority of attendees  could represent a mere 36% of the total membership. </w:t>
      </w:r>
    </w:p>
    <w:p w14:paraId="3C818FBA" w14:textId="77777777" w:rsidR="009F661C" w:rsidRPr="00071CFC" w:rsidRDefault="009F661C" w:rsidP="00486816">
      <w:pPr>
        <w:pStyle w:val="DLText"/>
      </w:pPr>
      <w:r w:rsidRPr="00071CFC">
        <w:t xml:space="preserve">It is precisely at this point that comparisons of ILGs with commercial corporate bodies fail. In a commercial corporation, where individual interests are defined, minorities and individuals that disagree with company policies or decisions can resolve their disagreements by selling their interests. Within the ILG where individual interests remain undefined, there are really no avenues for the expression of individual interests where these conflict with the alleged will of the collective and especially if the collective itself is represented by a procedure that legitimizes an expression of minority interests.           </w:t>
      </w:r>
    </w:p>
    <w:p w14:paraId="5173B7A6" w14:textId="77777777" w:rsidR="009F661C" w:rsidRPr="00071CFC" w:rsidRDefault="009F661C" w:rsidP="00486816">
      <w:pPr>
        <w:pStyle w:val="DLText"/>
      </w:pPr>
      <w:r w:rsidRPr="00071CFC">
        <w:t xml:space="preserve">Moreover, in endowing the ILG with a detailed governance structure, the Constitutional and Law Reform Commission is perhaps recognizing that </w:t>
      </w:r>
      <w:r w:rsidRPr="00071CFC">
        <w:lastRenderedPageBreak/>
        <w:t>it has been a mistake to assume that the mere act of incorporating the “customary group” was sufficient to give legal effect to an effective customary decision making process. In fact customary practice never did  translate into efficient, fair and equitable management of customary land, and more often finding its most frequent use only as a mechanism for the distribution of royalties and compensation monies. Thus the new rules, which seek to formalize the decision making process, can also be seen as representing a significant departure from an earlier strategy that was supposed to leave matters to local custom. The new legislation with regard to the ILG stands open to the same criticism made by Sullivan (1997) with respect to indigenes’ corporate bodies in Australia, which sees these entities as really departures from customary tradition. For example, Sullivan points out that with respect to such corporate bodies the Registrar usually prefers that the method of decision making at meetings be by majority voting and that the method of appointment to the governing committee also be by election. He argues that this is contrary to indigenous custom.  Obviously similar observations could be applied to the recommendations outlined in Papua New Guinea’s Constitutional and Law Reform Commission Review.</w:t>
      </w:r>
    </w:p>
    <w:p w14:paraId="5F59366A" w14:textId="77777777" w:rsidR="009F661C" w:rsidRPr="00175696" w:rsidRDefault="009F661C" w:rsidP="00486816">
      <w:pPr>
        <w:pStyle w:val="DLHeading2"/>
      </w:pPr>
      <w:r w:rsidRPr="00175696">
        <w:t xml:space="preserve"> Primacy of Group Rights? </w:t>
      </w:r>
    </w:p>
    <w:p w14:paraId="7C897BE9" w14:textId="77777777" w:rsidR="009F661C" w:rsidRPr="00071CFC" w:rsidRDefault="009F661C" w:rsidP="00675562">
      <w:pPr>
        <w:pStyle w:val="DLText"/>
      </w:pPr>
      <w:r w:rsidRPr="00071CFC">
        <w:t>Fingleton’s approach to the issue of customary interests in land, we have suggested, centres on an unexplained and unproved assumption that customary land tenure entails collective or group ownership rather individual ownership, which would mean that traditional forms of life  never admitted the possibility of individual and exclusive interests in land. But it may well be that the concept of collective ownership is an imposed dogma derived from the legislation of the colonial and post-colonial administration rather than a term which had any tangible meaning in pre-colonial Melanesia.  Weiner (2007), for example, disputes the idea of a functional collective ownership and management of land in the Southern Highlands. Moreover, another ANU anthropologist in the same volume comes very close to endorsing the notion that the term ‘collective’ has a legislative rather than customary origin.</w:t>
      </w:r>
    </w:p>
    <w:p w14:paraId="4163A011" w14:textId="77777777" w:rsidR="009F661C" w:rsidRPr="00071CFC" w:rsidRDefault="009F661C" w:rsidP="00486816">
      <w:pPr>
        <w:pStyle w:val="DLText"/>
      </w:pPr>
      <w:r w:rsidRPr="00071CFC">
        <w:t>John Burton (2007) in a study of groups and ownership in Papua New Guinea and the Torres Strait Islands remarks that from a customary point of view, individuals can own land but that the legislative response to land matters in Papua New Guinea, as in Australia, places an equally heavy emphasis on collective ownership of land. Moreover he relates an encounter with an elderly councillor on Mer Island of the Torres Strait complaining about the inability to assert individual title. The counc</w:t>
      </w:r>
      <w:r>
        <w:t>i</w:t>
      </w:r>
      <w:r w:rsidRPr="00071CFC">
        <w:t xml:space="preserve">llor pointed out that </w:t>
      </w:r>
      <w:r w:rsidRPr="00071CFC">
        <w:lastRenderedPageBreak/>
        <w:t>although the famous Mabo decision may have appeared to promote Islander autonomy, the government subsequently has given what the islanders do not want by its forced collectivi</w:t>
      </w:r>
      <w:r>
        <w:t>z</w:t>
      </w:r>
      <w:r w:rsidRPr="00071CFC">
        <w:t>ation of traditional land (Burton</w:t>
      </w:r>
      <w:r>
        <w:t xml:space="preserve"> 2</w:t>
      </w:r>
      <w:r w:rsidRPr="00071CFC">
        <w:t xml:space="preserve">007: 195). </w:t>
      </w:r>
    </w:p>
    <w:p w14:paraId="260080EC" w14:textId="77777777" w:rsidR="009F661C" w:rsidRPr="00071CFC" w:rsidRDefault="009F661C" w:rsidP="00486816">
      <w:pPr>
        <w:pStyle w:val="DLText"/>
      </w:pPr>
      <w:r w:rsidRPr="00071CFC">
        <w:t xml:space="preserve">The point is that the majority of common disputes with regard to land tenure involve tussles between individuals and families over rights. Assigning rights to groups rather than individuals or even families does nothing to advance resolution; it is certainly significant that apparently the only time Papua New Guinea’s Melanesians have recourse to so called group rights through the ILG occurs when outside parties, developers, initiate projects in the fields of forestry or petroleum, thus confirming that the </w:t>
      </w:r>
      <w:r>
        <w:t>c</w:t>
      </w:r>
      <w:r w:rsidRPr="00071CFC">
        <w:t xml:space="preserve">ustomary is a product of state and capital formations and not external to it. </w:t>
      </w:r>
    </w:p>
    <w:p w14:paraId="7C5EA1EA" w14:textId="77777777" w:rsidR="009F661C" w:rsidRPr="00071CFC" w:rsidRDefault="009F661C" w:rsidP="00486816">
      <w:pPr>
        <w:pStyle w:val="DLText"/>
      </w:pPr>
      <w:r w:rsidRPr="00071CFC">
        <w:t>However, one should mention a further rationale for the primacy of the group interests over individual rights. This is the belief that individual interests in land do not extend beyond the putative territory and territorial boundaries of the customary group to which one belongs. It would follow therefore that all individual interests are founded on a primary interest held by all members of the group, such that there are no individual interests in land that are not also subject to the primary group interest and therefore the interests of all other members of the customary group. “Individual land usage rights did not remove the reality that the group was the basis for ownership and the basis for the defense of these rights” (Power 1988; de</w:t>
      </w:r>
      <w:r w:rsidRPr="005E04FE">
        <w:rPr>
          <w:lang w:val="en-GB"/>
        </w:rPr>
        <w:t xml:space="preserve"> Coppet</w:t>
      </w:r>
      <w:r w:rsidRPr="00071CFC">
        <w:t xml:space="preserve"> 1990). This creates the presumption that a definition of a given customary group implicitly defines a discrete area of land that circumscribes the interests in land held by all members of the group. However, one would not assume in a Western context that kinship and clan relations define individual interests in assets and land, but many assume with little evidence this is axiomatically the case in Melanesia, for example.</w:t>
      </w:r>
    </w:p>
    <w:p w14:paraId="55769973" w14:textId="77777777" w:rsidR="009F661C" w:rsidRPr="00071CFC" w:rsidRDefault="009F661C" w:rsidP="00486816">
      <w:pPr>
        <w:pStyle w:val="DLText"/>
      </w:pPr>
      <w:r w:rsidRPr="00071CFC">
        <w:t>However, there exist anecdotal accounts, which also give strong indication of instances of individual rather than communal forms of land interest that are not founded on some primary form of collective land tenure. For example, my late wife’s father exercises exclusive claims to land areas proximate to the</w:t>
      </w:r>
      <w:r w:rsidRPr="005E04FE">
        <w:rPr>
          <w:lang w:val="en-GB"/>
        </w:rPr>
        <w:t xml:space="preserve"> Kupiano</w:t>
      </w:r>
      <w:r w:rsidRPr="00071CFC">
        <w:t xml:space="preserve"> Station in Central Province to the exclusion of the rest of his clan, the Keruerupa of Gavone village east of Kupiano Station. As to whether other members of his clan or the clan itself can make a claim to this area, it appears that this is not possible because I was informed that if other members of his clan attempted to claim or make use of ‘his’ land they would be stopped and repulsed by the so called ‘inland people’ of Topol village. Evidently there exists an understanding between my late wife’s father and the Topol people as to the division of this area of land for exclusive use. The agreement dates back to a period when his parents first </w:t>
      </w:r>
      <w:r w:rsidRPr="00071CFC">
        <w:lastRenderedPageBreak/>
        <w:t xml:space="preserve">gardened and grew coconut and sago in the area and this exclusive use serves as the basis of his current interest. Moreover, beyond oral and behavioural evidence his interest is further supported through written documentation attested by means of individual ‘marks’. I refer to this story because clearly it represents a narrative of customary practice in which individual interests rather than collective are given prominence. Moreover, the individual rights asserted are in no way based on an underlying group title. Indeed, my father-in-law’s interest and title is asserted against and excludes the interests of the customary group to which he belongs, the Keruerupa clan of Gavone village. </w:t>
      </w:r>
    </w:p>
    <w:p w14:paraId="41E9ABF7" w14:textId="77777777" w:rsidR="009F661C" w:rsidRPr="00175696" w:rsidRDefault="009F661C" w:rsidP="00486816">
      <w:pPr>
        <w:pStyle w:val="DLHeading2"/>
      </w:pPr>
      <w:r w:rsidRPr="00175696">
        <w:t>Customary Land Tenure as Community Holdings</w:t>
      </w:r>
    </w:p>
    <w:p w14:paraId="3C76FEBE" w14:textId="77777777" w:rsidR="009F661C" w:rsidRPr="00071CFC" w:rsidRDefault="009F661C" w:rsidP="00486816">
      <w:pPr>
        <w:pStyle w:val="DLText"/>
      </w:pPr>
      <w:r w:rsidRPr="00071CFC">
        <w:t>One area which has been a focus of controversy is the identification of the group that can be satisfactorily registered as an ILG.  We have pointed out that unlike human individuals a group is really an abstraction. This is meant in the sense that inclusion with a given group is often only dependent on the selection of defining characteristics. The Act uses very general language and so it is reasonable to include within the definition, families, clans, villages and tribes. The Land Groups Incorporation Act Ch No. 147 requires that groups, which seek to be registered, must satisfy two conditions:</w:t>
      </w:r>
    </w:p>
    <w:p w14:paraId="3C179AF6" w14:textId="77777777" w:rsidR="009F661C" w:rsidRPr="00071CFC" w:rsidRDefault="009F661C" w:rsidP="00486816">
      <w:pPr>
        <w:pStyle w:val="DLText"/>
        <w:numPr>
          <w:ilvl w:val="0"/>
          <w:numId w:val="17"/>
        </w:numPr>
        <w:ind w:left="567" w:hanging="283"/>
      </w:pPr>
      <w:r w:rsidRPr="00071CFC">
        <w:t>The member groups possess common interests and coherence independently of the proposed recognition and share or are prepared to share common customs; and</w:t>
      </w:r>
    </w:p>
    <w:p w14:paraId="70A0A455" w14:textId="77777777" w:rsidR="009F661C" w:rsidRPr="00071CFC" w:rsidRDefault="009F661C" w:rsidP="00486816">
      <w:pPr>
        <w:pStyle w:val="DLText"/>
        <w:numPr>
          <w:ilvl w:val="0"/>
          <w:numId w:val="17"/>
        </w:numPr>
        <w:ind w:left="567" w:hanging="283"/>
      </w:pPr>
      <w:r w:rsidRPr="00071CFC">
        <w:t>The association between groups represents a customary form of organization.</w:t>
      </w:r>
    </w:p>
    <w:p w14:paraId="5DCD5055" w14:textId="77777777" w:rsidR="009F661C" w:rsidRPr="00071CFC" w:rsidRDefault="009F661C" w:rsidP="0059719D">
      <w:pPr>
        <w:ind w:firstLine="567"/>
        <w:jc w:val="both"/>
        <w:rPr>
          <w:sz w:val="20"/>
          <w:szCs w:val="20"/>
        </w:rPr>
      </w:pPr>
    </w:p>
    <w:p w14:paraId="288FA5AC" w14:textId="77777777" w:rsidR="009F661C" w:rsidRPr="00071CFC" w:rsidRDefault="009F661C" w:rsidP="00486816">
      <w:pPr>
        <w:pStyle w:val="DLText"/>
      </w:pPr>
      <w:r w:rsidRPr="00071CFC">
        <w:t xml:space="preserve">However, when families are registered this has caused great controversy. Nevertheless there is nothing within the specific language of the Act that explicitly excludes families.  From the discussion within the text provided by the CLRC it would appear that the group must be greater than a mere family and genetically related. However when one member recommended that the group provide genealogies for its membership this suggestion was rejected.  The Commission did decide that all members must provide copies of their birth certificates, which it was claimed would provide sufficient genealogical grounding through the requirements of the </w:t>
      </w:r>
      <w:r w:rsidRPr="00071CFC">
        <w:rPr>
          <w:i/>
          <w:iCs/>
        </w:rPr>
        <w:t>Civil Registration Act</w:t>
      </w:r>
      <w:r w:rsidRPr="00071CFC">
        <w:t xml:space="preserve"> (Constitutional and Law Reform Commission 2008, 21). However, this requirement only addresses the most blatant abuses when membership might include non-citizens and even non-persons, but does not sufficiently address the issue of group relatedness.  A group theoretically could refer to </w:t>
      </w:r>
      <w:r w:rsidRPr="00071CFC">
        <w:lastRenderedPageBreak/>
        <w:t xml:space="preserve">a tribe, but often tribes are dispersed among different communities and so the tribe might well be too large a unit.  Most people who look at the existing Act usually hold that the group means “clan” but this may also be less than satisfactory. For example, a local community might consist of several clans and subclans.  Surely the decisions of a given clan with respect to land may serious affect the lives and land holdings of other members of the village community who are not themselves clan members. Should not other members of the community who may not belong to the land holding clan have a say in the disposition of land that falls within the boundaries of the community.  One can see that the reference to the ‘group’ as the land holding unit is at best ambiguous and fraught with possible controversy. To settle disputes administrators and judges may find themselves simply guessing as to the intent of the original legislators.        </w:t>
      </w:r>
    </w:p>
    <w:p w14:paraId="29D37454" w14:textId="77777777" w:rsidR="009F661C" w:rsidRPr="00071CFC" w:rsidRDefault="009F661C" w:rsidP="00486816">
      <w:pPr>
        <w:pStyle w:val="DLText"/>
      </w:pPr>
      <w:r w:rsidRPr="00071CFC">
        <w:t xml:space="preserve"> Finally, I want to return to what I believe was a revealing statement on the part of Fingleton (2007), one of the architects of the original Act, in which he refers to the customary land holding as ‘community’ land holding. Through this statement Fingleton wishes to impress on us the conviction that the Incorporated Land Group is the expression of a reality in which land is held by the community rather than by individuals. This statement is significant not merely because it is the opinion of an informed commentator, but </w:t>
      </w:r>
      <w:r w:rsidRPr="00071CFC">
        <w:rPr>
          <w:i/>
          <w:iCs/>
        </w:rPr>
        <w:t xml:space="preserve">a fortiori </w:t>
      </w:r>
      <w:r w:rsidRPr="00071CFC">
        <w:t xml:space="preserve">because the source is a principal architect of the original legislation and therefore the statement is indicative of the intent of the legislator. However, what needs to be said is that the ‘community’, unlike concrete human individuals, may be ontologically problematic. Reference to the community may well elicit various connotations and feelings but what exactly is meant by the ‘community’? In the 1980s Benedict Anderson (2003) wrote a well received book about the emergence of nationhood entitled </w:t>
      </w:r>
      <w:r w:rsidRPr="00071CFC">
        <w:rPr>
          <w:i/>
          <w:iCs/>
        </w:rPr>
        <w:t xml:space="preserve">Imagined Communities: Reflections on the Origin and Spread of Nationalism </w:t>
      </w:r>
      <w:r w:rsidRPr="00071CFC">
        <w:t xml:space="preserve">in which he argued that all viable nations were in fact essentially imagined communities. Nations consist of people who have never met and mostly never will meet, but in order to achieve a sense of interconnection it is necessary for each member to imagine oneself as part of a vast community that includes all these unknown individuals. In other words, a ‘nation’ exists through an act of imagination in which all those who regard themselves as members of the ‘nation’ imagine themselves to belong to a vast community of unknown others. The ‘nation’, he claims, is this imagined community. For Anderson, the dawn of national consciousness was not so much awareness or a discovery of a set of facts, rather it was synonymous with a collective act of the imagination following the dissolution of dynastic regimes and universalized sacred communities such as Christendom. However, Anderson (2003:6) goes on to make the point </w:t>
      </w:r>
      <w:r w:rsidRPr="00071CFC">
        <w:lastRenderedPageBreak/>
        <w:t xml:space="preserve">that most communities, indeed all communities larger that primordial villages of face-to-face contact, and perhaps even these, are largely imagined. </w:t>
      </w:r>
    </w:p>
    <w:p w14:paraId="302280E0" w14:textId="77777777" w:rsidR="009F661C" w:rsidRPr="00071CFC" w:rsidRDefault="009F661C" w:rsidP="00486816">
      <w:pPr>
        <w:pStyle w:val="DLText"/>
      </w:pPr>
      <w:r w:rsidRPr="00071CFC">
        <w:t>One might also apply the same analysis to the Melanesian ‘village community’. It is also an imagined community that projects an interconnection between individuals existing in the present with a membership existing both in the past and the future. It has been held by anthropologists and others that the community sees itself as having a temporal as well as spatial dimension. With regard to the former it sees itself as having extended links with past ancestors, many of whom are now no longer known or remembered, and to the future through the children and the yet unborn (Mantovani 1987). The Melanesian community no less than the modern nation exists through an act of imagination, insofar as it consists of many persons who will never meet but exist and are related through the imagination of the present members. In reality this means that many of the essential relationships, which create this unity, are largely imagined even though they may inspire real feelings and emotional attachments.</w:t>
      </w:r>
    </w:p>
    <w:p w14:paraId="36B6DA5B" w14:textId="77777777" w:rsidR="009F661C" w:rsidRPr="00071CFC" w:rsidRDefault="009F661C" w:rsidP="00486816">
      <w:pPr>
        <w:pStyle w:val="DLText"/>
      </w:pPr>
      <w:r w:rsidRPr="00071CFC">
        <w:t xml:space="preserve">Moreover, the point has been made that Papua New Guineans often prefer to refer to themselves as ‘land owners’ rather than citizens. In other words, identification with the village and a particular village in which they have attachments to the land is stronger than their linkages with the modern state of Papua New Guinea. It is certainly possible that with the diversity of languages and cultural groups, individual Papua New Guineans, except when abroad, find it difficulty to imagine themselves as part of a unified nation named Papua New Guinea. Conditions in Papua New Guinea have yet to stimulate a collective act of the imagination in which diverse tribes of people see themselves as a part of a wider community defined by territorial boundaries of the present political state. Anderson (2003: 67-83) emphasizes that the creation of nations depended upon on the growth of vernacular or ‘national print languages’ that challenged the old sacred languages of Latin, Greek and Arabic. In Papua New Guinea there has broadly been  no general vernacular of the status of a ‘national print language’, which has been able to bind together diverse communities and tribal groupings, although “pidgin” is not only widely spoken throughout the country but has also been used by a weekly newspaper in Port Moresby. Even with two national English language newspapers, most individuals still feel the closest identification with those belonging to their own language group, that is their ‘wantoks’ or those who speak the same language. Given these realities, the sense of identity remains local and focuses upon one’s village. Moreover, the attachment to a local rather than a national identity has been even more pronounced in recent decades, especially in remote rural </w:t>
      </w:r>
      <w:r w:rsidRPr="00071CFC">
        <w:lastRenderedPageBreak/>
        <w:t xml:space="preserve">areas that are not regularly linked to the political centres by regional private airlines. </w:t>
      </w:r>
    </w:p>
    <w:p w14:paraId="1FE3ABC1" w14:textId="77777777" w:rsidR="009F661C" w:rsidRPr="00071CFC" w:rsidRDefault="009F661C" w:rsidP="00486816">
      <w:pPr>
        <w:pStyle w:val="DLText"/>
      </w:pPr>
      <w:r w:rsidRPr="00071CFC">
        <w:t>This may well explain why these Melanesian village dwellers might regard themselves as possessing the valleys, riverbeds and mountainous regions that encircle and define their immediate natural environment. In contrast, Westerners in the same context would tend to view these geographical features as belonging to the state as representative of the wider community, the nation state, while reserving the term ownership for the immediate private holdings they have acquired as individuals.</w:t>
      </w:r>
      <w:r w:rsidRPr="00071CFC">
        <w:rPr>
          <w:rStyle w:val="FootnoteReference"/>
        </w:rPr>
        <w:footnoteReference w:id="8"/>
      </w:r>
      <w:r w:rsidRPr="00071CFC">
        <w:t xml:space="preserve"> At the same time it is definitely arguable that the English term ‘ownership’ with its legal and economic implications has been inappropriately used to denote this feeling or emotional attachment to a locality or common territory that is shared by the members of a Melanesian community.</w:t>
      </w:r>
    </w:p>
    <w:p w14:paraId="7C40C4A8" w14:textId="77777777" w:rsidR="009F661C" w:rsidRPr="00071CFC" w:rsidRDefault="009F661C" w:rsidP="00486816">
      <w:pPr>
        <w:pStyle w:val="DLText"/>
      </w:pPr>
      <w:r w:rsidRPr="00071CFC">
        <w:t>However, our point is that imagined relationships, accompanied by strong feelings of local identity, may have real anarchic consequences, and thus cannot substitute for actual rules of governance that unambiguously specify individual entitlements that provide viable contexts for real contractual agreements. These organizational formalities are indeed necessary if land is to be effectively managed within the capital and political structures of the modern state.</w:t>
      </w:r>
    </w:p>
    <w:p w14:paraId="5BC54E0D" w14:textId="77777777" w:rsidR="009F661C" w:rsidRPr="00826C4D" w:rsidRDefault="009F661C" w:rsidP="00486816">
      <w:pPr>
        <w:pStyle w:val="DLHeading2"/>
      </w:pPr>
      <w:r w:rsidRPr="00826C4D">
        <w:t xml:space="preserve">Conclusion </w:t>
      </w:r>
    </w:p>
    <w:p w14:paraId="3B502DA7" w14:textId="77777777" w:rsidR="009F661C" w:rsidRPr="00071CFC" w:rsidRDefault="009F661C" w:rsidP="00486816">
      <w:pPr>
        <w:pStyle w:val="DLText"/>
      </w:pPr>
      <w:r w:rsidRPr="00071CFC">
        <w:t xml:space="preserve">Legislative changes that are under consideration with the intention of transforming the Incorporated Land Group into an efficient and effective mechanism for the development and mobilization of land for the benefit of the customary land ‘group’, are to some extent addressing the criticisms here of the original Act as it has played out. As we have explained, the recently proposed legislative changes are in part an admission that reliance on custom has not been successful and needs to be replaced by universal and specific rules of corporate governance that may well be contrary to local custom. The changes impose a universal template on the decision making process modelled on the political or democratic ideal of voting which can hardly claim to capture a diversity of customary procedures across multiple different ethnic groups.    Overall the proposed changes to the ILG Act may well facilitate more effective mobilization of land for income-generating purposes, especially with respect to the pilot projects proposed for Port </w:t>
      </w:r>
      <w:r w:rsidRPr="00071CFC">
        <w:lastRenderedPageBreak/>
        <w:t xml:space="preserve">Moresby and the Highlands. But as we have explained, development may well occur at the expense of individual and minority interests, not to mention the possibility that decisions may be simply contrary to the preferences of the majority. Given the new rules, it is not difficult to envision a politically active educated minority taking advantage of the voting procedures and pushing through policies and decisions which compromise the interests of the less active or less sophisticated majority. </w:t>
      </w:r>
    </w:p>
    <w:p w14:paraId="0DF42CD9" w14:textId="77777777" w:rsidR="009F661C" w:rsidRPr="00071CFC" w:rsidRDefault="009F661C" w:rsidP="00486816">
      <w:pPr>
        <w:pStyle w:val="DLText"/>
      </w:pPr>
      <w:r w:rsidRPr="00071CFC">
        <w:t>Overall there is a sense that the new legislation does not really address the issue of grass roots initiatives involving the development of customary land but may well be intended to facilitate fairly large scale development projects planned for the urban areas of Port Moresby and Lae.   This is understandable in so far as urban expansion has created a need to free up more customary land in order to allow for further development to meet needs that are generated by rapid urban expansion. However, land tenure issues at the grass roots level often have a more familial not to mention individualistic orientation.</w:t>
      </w:r>
      <w:r w:rsidRPr="00071CFC">
        <w:rPr>
          <w:rStyle w:val="FootnoteReference"/>
        </w:rPr>
        <w:footnoteReference w:id="9"/>
      </w:r>
      <w:r w:rsidRPr="00071CFC">
        <w:t xml:space="preserve"> Family and individual ownership rights address these issues and define specific interests, whereas the language of group rights elides these interests and thereby vitiates individual initiatives and fundamental issues that occur at this level.</w:t>
      </w:r>
    </w:p>
    <w:p w14:paraId="6B6937C1" w14:textId="77777777" w:rsidR="009F661C" w:rsidRPr="00071CFC" w:rsidRDefault="009F661C" w:rsidP="00486816">
      <w:pPr>
        <w:pStyle w:val="DLText"/>
        <w:sectPr w:rsidR="009F661C" w:rsidRPr="00071CFC" w:rsidSect="00503FDD">
          <w:headerReference w:type="even" r:id="rId20"/>
          <w:headerReference w:type="default" r:id="rId21"/>
          <w:headerReference w:type="first" r:id="rId22"/>
          <w:footnotePr>
            <w:numRestart w:val="eachSect"/>
          </w:footnotePr>
          <w:type w:val="oddPage"/>
          <w:pgSz w:w="8392" w:h="11907" w:code="11"/>
          <w:pgMar w:top="1418" w:right="1191" w:bottom="851" w:left="1191" w:header="851" w:footer="0" w:gutter="0"/>
          <w:cols w:space="708"/>
          <w:titlePg/>
          <w:docGrid w:linePitch="360"/>
        </w:sectPr>
      </w:pPr>
    </w:p>
    <w:p w14:paraId="3E8CC66C" w14:textId="77777777" w:rsidR="009F661C" w:rsidRPr="00826C4D" w:rsidRDefault="009F661C" w:rsidP="00B46EFA">
      <w:pPr>
        <w:pStyle w:val="DLHeading"/>
        <w:rPr>
          <w:szCs w:val="32"/>
        </w:rPr>
      </w:pPr>
      <w:r w:rsidRPr="00826C4D">
        <w:rPr>
          <w:szCs w:val="32"/>
        </w:rPr>
        <w:lastRenderedPageBreak/>
        <w:t>Chapter Six</w:t>
      </w:r>
    </w:p>
    <w:p w14:paraId="39A4F8DF" w14:textId="77777777" w:rsidR="009F661C" w:rsidRPr="00826C4D" w:rsidRDefault="009F661C" w:rsidP="00B46EFA">
      <w:pPr>
        <w:pStyle w:val="DLHeading"/>
        <w:rPr>
          <w:szCs w:val="32"/>
        </w:rPr>
      </w:pPr>
      <w:r w:rsidRPr="00826C4D">
        <w:rPr>
          <w:szCs w:val="32"/>
        </w:rPr>
        <w:t xml:space="preserve">A Freedom Based Defence </w:t>
      </w:r>
      <w:r>
        <w:rPr>
          <w:szCs w:val="32"/>
        </w:rPr>
        <w:br/>
      </w:r>
      <w:r w:rsidRPr="00826C4D">
        <w:rPr>
          <w:szCs w:val="32"/>
        </w:rPr>
        <w:t>of Private Ownership Rights</w:t>
      </w:r>
    </w:p>
    <w:p w14:paraId="08EC6279" w14:textId="77777777" w:rsidR="009F661C" w:rsidRPr="00071CFC" w:rsidRDefault="009F661C" w:rsidP="00B23A52">
      <w:pPr>
        <w:pStyle w:val="DLText"/>
      </w:pPr>
    </w:p>
    <w:p w14:paraId="6F8A7F2A" w14:textId="77777777" w:rsidR="009F661C" w:rsidRPr="00071CFC" w:rsidRDefault="009F661C" w:rsidP="00B23A52">
      <w:pPr>
        <w:pStyle w:val="DLText"/>
      </w:pPr>
    </w:p>
    <w:p w14:paraId="2F3D6BD7" w14:textId="77777777" w:rsidR="009F661C" w:rsidRPr="00071CFC" w:rsidRDefault="009F661C" w:rsidP="00B23A52">
      <w:pPr>
        <w:pStyle w:val="DLText"/>
      </w:pPr>
    </w:p>
    <w:p w14:paraId="625EDB10" w14:textId="77777777" w:rsidR="009F661C" w:rsidRPr="00071CFC" w:rsidRDefault="009F661C" w:rsidP="00B23A52">
      <w:pPr>
        <w:pStyle w:val="DLText"/>
      </w:pPr>
      <w:r w:rsidRPr="00071CFC">
        <w:t>As mentioned earlier, changes to the legislation regarding Incorporated Land Groups were   passed by the PNG parliament in early 2009.  Implementation will be tied to specific development projects. In 2009 it was decided that the pilot projects were to be tried out in the Highlands (3) and one in East Boroko, Port Moresby.</w:t>
      </w:r>
    </w:p>
    <w:p w14:paraId="6C06EB59" w14:textId="77777777" w:rsidR="009F661C" w:rsidRPr="00071CFC" w:rsidRDefault="009F661C" w:rsidP="00B23A52">
      <w:pPr>
        <w:pStyle w:val="DLText"/>
      </w:pPr>
      <w:r w:rsidRPr="00071CFC">
        <w:t xml:space="preserve">With regard to the nature of the changes, the original  legislation, as we said,  sought to maintain the customary land concept, which is thought to embody group rather than individual  forms of ownership through the implementation of Incorporated Land Groups (ILGs) as required by the </w:t>
      </w:r>
      <w:r w:rsidRPr="00071CFC">
        <w:rPr>
          <w:i/>
        </w:rPr>
        <w:t xml:space="preserve">PNG Land Groups Incorporation Act </w:t>
      </w:r>
      <w:r w:rsidRPr="00071CFC">
        <w:t>1974.  The legislation sought to enshrine custom, thereby giving legal effect to the myriad expressions of cultural diversity embodied across a wide spectrum of ethnic singularity.  This emphasis on the local customary decision making process and open ended reliance on informal procedures meant that  the original  Act did not prescribe rules of  corporate governance, for example annual meetings, voting procedures etc., nor did it require or provide procedures for the registration of land that allegedly belongs to the ILG. However lack of formality and absence of legally prescribed procedures left the institution open to abuse and manipulation. These negativities became prominently on display when Chevron used the vehicle of the incorporated land group to compensate the Foe in the development of Southern Highland’s oil fields (Lea 2008).   Much publicity highlighted the mismanagement of development funds and the gerrymandering of ILG groupings, which led to public recrimination and legal challenges (Lea 2008).  Indeed the incorporated land groups  have seldom  actually realized the stated intent of the Act, “…incorporation for the purposes of acquiring, holding, disposing and managing land  (</w:t>
      </w:r>
      <w:r w:rsidRPr="00071CFC">
        <w:rPr>
          <w:i/>
        </w:rPr>
        <w:t>Land Groups Incorporation Act</w:t>
      </w:r>
      <w:r w:rsidRPr="00071CFC">
        <w:t xml:space="preserve"> (1974) ch. 147, s1(e)).  They have been overwhelming used as vehicles for the distribution of compensation from the overseas developers, most prominently within  the petroleum and forestry sectors. Until now little has been formally required </w:t>
      </w:r>
      <w:r w:rsidRPr="00071CFC">
        <w:lastRenderedPageBreak/>
        <w:t xml:space="preserve">beyond mere registration of the Incorporated Land Group, however, as we have seen, the reworked Act now has provision for a management structure which requires </w:t>
      </w:r>
      <w:r w:rsidRPr="00071CFC">
        <w:rPr>
          <w:i/>
        </w:rPr>
        <w:t>inter alia</w:t>
      </w:r>
      <w:r w:rsidRPr="00071CFC">
        <w:t xml:space="preserve">: a constitution, the creation of a management committee, Annual General Meetings, annual chairman’s reports, financial reports etc. (Constitutional and Law Reform Commission 2008, 27).  The changes to the legislation would hopefully fill these lacunae in the original Act, and although registration of customary land is not mandatory, there are now procedures that enable the group to do this. </w:t>
      </w:r>
    </w:p>
    <w:p w14:paraId="607F9CCE" w14:textId="77777777" w:rsidR="009F661C" w:rsidRPr="00071CFC" w:rsidRDefault="009F661C" w:rsidP="00B23A52">
      <w:pPr>
        <w:pStyle w:val="DLText"/>
      </w:pPr>
      <w:r w:rsidRPr="00071CFC">
        <w:t xml:space="preserve">One might well question whether attempting to maintain the priority of group ownership, even with salutary legislative amendments, will remedy development failure. De Soto (2000), in his  highly influential work,  claims that property rights, or lack thereof, in the developing world are the principal obstacle to prosperity and participation in the wealth generating activities of the global economic market (see also Bethel 1998).  Although in 2009 the idea that prosperity is linked to globalization has fallen into disrepute in many circles, it is equally arguable that it is the absence of regulation especially with respect to the global financial market that has led to the economic crisis rather than globalization itself.  In any case, de Soto specifically points to a diversity of customary arrangements and lack of a formal system of property ownership that prevents the developing world developing its valuable assets into wealth generating capital.  Western  systems of ownership, as understood by de Soto, generally mean an emphasis on individual rather than collective rights, which promote individual accountability, universal principles rather than a diversity of local customs, and detailed records which embody the formal registration of ownership rights. Hernando de Soto strongly believes the developing world must embrace these initiatives if they are to transform holdings into live as opposed to dead capital.     </w:t>
      </w:r>
    </w:p>
    <w:p w14:paraId="1AAF8532" w14:textId="77777777" w:rsidR="009F661C" w:rsidRPr="00071CFC" w:rsidRDefault="009F661C" w:rsidP="00B23A52">
      <w:pPr>
        <w:pStyle w:val="DLText"/>
      </w:pPr>
      <w:r w:rsidRPr="00071CFC">
        <w:t xml:space="preserve">The question is whether the changes to the PNG legislation go far enough to meet the requirements that de Soto outlines. The legislative changes have introduced greater formality into the system, thus to a certain extent, constraining the operation of local custom, but continue to maintain the primacy of group over individual ownership rights thus blurring the issue of personal accountability.   According to de Soto’s insights wealth generation will not be foreseeable without a more individually  based form of ownership. Following de Soto’s recommendations, one could argue  that Papua New Guinea would be better served by a formal system of private ownership  rather than the current corporate model which strives to  maintain the presumed vestiges of customary group orientated land tenure. But if we accept this argument that essentially asserts that individual property rights are a necessary component of successful market economies  </w:t>
      </w:r>
      <w:r w:rsidRPr="00071CFC">
        <w:lastRenderedPageBreak/>
        <w:t>have we really silenced those who object  to implementation of the formal individualistic system of Western property ownership?</w:t>
      </w:r>
    </w:p>
    <w:p w14:paraId="5A959A64" w14:textId="77777777" w:rsidR="009F661C" w:rsidRPr="00071CFC" w:rsidRDefault="009F661C" w:rsidP="00B23A52">
      <w:pPr>
        <w:pStyle w:val="DLText"/>
      </w:pPr>
      <w:r w:rsidRPr="00071CFC">
        <w:t>The thrust of de Soto’s argument basically rests on the issue of economic efficiency, which is to say integration into the economic market with its global reach can only be efficiently achieved through the adoption of a Western model of private ownership. Although individuals such as de Soto offer cogent reasons based on the efficiency argument, policy makers and academics will continue to have reservations based on priorities that are independent of the efficiency argument, and certain of these reservations explain why there is strong support, both within PNG and by many informed overseas commentators, for maintaining a form of customary group ownership.</w:t>
      </w:r>
    </w:p>
    <w:p w14:paraId="3850D641" w14:textId="77777777" w:rsidR="009F661C" w:rsidRPr="00071CFC" w:rsidRDefault="009F661C" w:rsidP="00B23A52">
      <w:pPr>
        <w:pStyle w:val="DLText"/>
      </w:pPr>
      <w:r w:rsidRPr="00071CFC">
        <w:t>These reservations can be categorized as basic critiques of the Western system of private ownership. One particular author refers to three critiques of private ownership, which he labels as the “anti-commodification critique”, the “critique of expropri</w:t>
      </w:r>
      <w:r>
        <w:t>ation”, and the “</w:t>
      </w:r>
      <w:r w:rsidRPr="00071CFC">
        <w:t xml:space="preserve">productive organization </w:t>
      </w:r>
      <w:r w:rsidRPr="006014E0">
        <w:rPr>
          <w:spacing w:val="-2"/>
        </w:rPr>
        <w:t>critique” (Purdy 2005).  However, I believe the last critique, “the Productive</w:t>
      </w:r>
      <w:r w:rsidRPr="00071CFC">
        <w:t xml:space="preserve"> organization critique “has close affinities with critiques that decry the loss of cultural diversity. One might call this the “cultural homogenization critique”.  I would like to consider each of these critiques as applied to the proposal that Papua New Guinea land tenure be replaced by a more formal system that stresses registration, individuation of title and a published formulation of general principles. I will argue that there exist strong arguments that can be utilized to meet these various critiques.</w:t>
      </w:r>
    </w:p>
    <w:p w14:paraId="103852FC" w14:textId="77777777" w:rsidR="009F661C" w:rsidRPr="00071CFC" w:rsidRDefault="009F661C" w:rsidP="00CA011F">
      <w:pPr>
        <w:pStyle w:val="DLText"/>
      </w:pPr>
      <w:r w:rsidRPr="00071CFC">
        <w:t>I will now explain these four critiques in very brief terms. The anticommodification critique holds that the imposition of a formal system over traditional customary forms of land holding impoverishes the experience of value by subjecting qualitative and complex relations to the logic of the economic market.  The “critique of expropriation” holds that resources previously held in informal semi-communal arrangements or else open access commons, for example water, common land, cultural productions, are enclosed to the benefit of some group where the beneficiary is some relatively sophisticated class to the disadvantage of the collective. The critique of “productive organization” holds that property rights, which are associated with hierarchically organized production and the market, work</w:t>
      </w:r>
      <w:r w:rsidRPr="00071CFC">
        <w:rPr>
          <w:vertAlign w:val="superscript"/>
        </w:rPr>
        <w:t xml:space="preserve"> </w:t>
      </w:r>
      <w:r w:rsidRPr="00071CFC">
        <w:t xml:space="preserve">to constrain the freedom of the individual. Closely associated with this view is what I call the “cultural homogenization critique” that sees westernized legal systems as antithetical to cultural traditions and thus impacting on individual freedom. The “cultural homogenization critique” holds the values associated with cultural diversity are undermined when a strong centralized state imposes universal principles across its territories </w:t>
      </w:r>
      <w:r w:rsidRPr="00071CFC">
        <w:lastRenderedPageBreak/>
        <w:t xml:space="preserve">which refuse to recognize a diversity of local customs including traditional forms of ownership. This is an argument associated with the political writings of James Tully (1994a; 1994b; 1996) although he does not specifically target property rights in what he terms as the critique of “modern constitutionalism”.   </w:t>
      </w:r>
    </w:p>
    <w:p w14:paraId="5BD43914" w14:textId="77777777" w:rsidR="009F661C" w:rsidRPr="00071CFC" w:rsidRDefault="009F661C" w:rsidP="00CA011F">
      <w:pPr>
        <w:pStyle w:val="DLText"/>
      </w:pPr>
      <w:r w:rsidRPr="00071CFC">
        <w:t>This chapter argues that it is possible to go a considerable way in meeting these arguments through an emphasis on the linkage between private ownership and individual freedom rather than economic advantage, which is de Soto’s principal claim. The emphasis on individual freedom has received strong support historically in the writings of Adam Smith and more recently in the work of Amartya Sen (1993; 2002: 501-530; 2006).  This means that If we accept the argument that the economic market operates most efficiently through formalized systems of private ownership, a proposition for which de Soto marshals powerful evidence, it is worthwhile investigating exactly what this means in terms of individual freedom rather than concentrating on wealth generation.   Amartya Sen calls for the exploration of the relation between freedom and the market mechanisms and especially the links between welfare achievements and freedom achievements as the successes and failures of economic markets have tended to be judged entirely by achi</w:t>
      </w:r>
      <w:r>
        <w:t xml:space="preserve">evements of individual welfare </w:t>
      </w:r>
      <w:r w:rsidRPr="00071CFC">
        <w:t xml:space="preserve">(for example, in terms of utility based Pareto optimality). </w:t>
      </w:r>
    </w:p>
    <w:p w14:paraId="779EA28F" w14:textId="77777777" w:rsidR="009F661C" w:rsidRPr="00071CFC" w:rsidRDefault="009F661C" w:rsidP="00B23A52">
      <w:pPr>
        <w:pStyle w:val="DLText"/>
      </w:pPr>
      <w:r w:rsidRPr="00071CFC">
        <w:t xml:space="preserve">There are, he claims, two aspects to freedom.  The opportunity aspect of freedom refers to the freedom to achieve our objectives – things that we have reason to value.  Second, the process aspect of freedom is concerned with the procedure of free decision making by oneself, further refined into (i) decisional autonomy, which is self decision making – whether the choices are made by oneself and not by others or institutions, and (ii) immunity from interference often associated with negative freedom.   Sen’s analysis is at times extremely technical but the thrust of his argument holds that in assessing the extent of freedom there is a necessity to go beyond the holdings of commodities into actual opportunities of functioning and exploring different ways of living.  </w:t>
      </w:r>
    </w:p>
    <w:p w14:paraId="1BCF302D" w14:textId="77777777" w:rsidR="009F661C" w:rsidRPr="00071CFC" w:rsidRDefault="009F661C" w:rsidP="00675562">
      <w:pPr>
        <w:pStyle w:val="DLText"/>
      </w:pPr>
      <w:r w:rsidRPr="00071CFC">
        <w:t xml:space="preserve">Sen points out that there has been a tendency especially associated with libertarians to stress the process aspect of freedom. Friedrich Hayek (1973) and Robert Nozick (1974) are notable examples that stress </w:t>
      </w:r>
      <w:r w:rsidRPr="006014E0">
        <w:t>decisional autonomy and freedom from interference, regardless of opportunities</w:t>
      </w:r>
      <w:r w:rsidRPr="00071CFC">
        <w:t xml:space="preserve"> and options available.  In the competitive market the levers of decision and control are in the hands of the respective individuals (autonomy of decisions) and they are left free to operate them as they </w:t>
      </w:r>
      <w:r w:rsidRPr="006014E0">
        <w:rPr>
          <w:spacing w:val="-2"/>
        </w:rPr>
        <w:t>choose (immunity from encroachment).  On their view the market freedoms</w:t>
      </w:r>
      <w:r w:rsidRPr="00071CFC">
        <w:t xml:space="preserve"> to transact and exchange must be protected and be free of interference or hindrance from </w:t>
      </w:r>
      <w:r w:rsidRPr="00071CFC">
        <w:lastRenderedPageBreak/>
        <w:t xml:space="preserve">anyone including the state.  Sen (2002) argues that the libertarian line of reasoning is independent of outcomes, but argues Sen, the persuasive power of that line of reasoning cannot really be independent </w:t>
      </w:r>
      <w:r w:rsidRPr="006014E0">
        <w:rPr>
          <w:spacing w:val="-2"/>
        </w:rPr>
        <w:t>of results.  The issue becomes particularly important when the consequences</w:t>
      </w:r>
      <w:r w:rsidRPr="00071CFC">
        <w:t xml:space="preserve"> resulting from the exercise of libertarian rights and market allocation are especially poor in terms of individual well-being or in terms of individual freedom judged from the perspective of opportunity to achieve.  One could say that individuals need access to sufficient holdings and wealth to make use of opportunities, even if there is no obvious direct interference in their decision making. In short one needs sufficient resources (property to make use of one’s so called opportunities, even if one can exercise full control over the decision  making process).  What is new with Sen’s approach is the denial of the direct relation between opportunity freedom and access to so called “primary goods” because opportunity freedom is seen to vary according to the capability of the individual in a way which is partially independent of primary goods. </w:t>
      </w:r>
    </w:p>
    <w:p w14:paraId="7677FB4C" w14:textId="77777777" w:rsidR="009F661C" w:rsidRPr="00071CFC" w:rsidRDefault="009F661C" w:rsidP="00B23A52">
      <w:pPr>
        <w:pStyle w:val="DLText"/>
      </w:pPr>
      <w:r w:rsidRPr="00071CFC">
        <w:t xml:space="preserve">The opportunity aspect of freedom pays particular attention to achieving the best that can be achieved. However, as Sen notes, we need to move beyond this understanding from opportunity freedoms in commodity space to actual opportunities of function and the capability to function (Sen 2002, 525).   According to my understanding, it is not simply that we are offered a range of options, but that the options available can be utilized to achieve goals that are consistent with our set of values. With respect to the latter, we refer to the opportunity to get a better alternative which means the capacity to function in a different way and realize a different way of living. </w:t>
      </w:r>
    </w:p>
    <w:p w14:paraId="73F0815A" w14:textId="77777777" w:rsidR="009F661C" w:rsidRPr="00071CFC" w:rsidRDefault="009F661C" w:rsidP="00B23A52">
      <w:pPr>
        <w:pStyle w:val="DLText"/>
      </w:pPr>
      <w:r w:rsidRPr="00071CFC">
        <w:t xml:space="preserve">There is a tendency to equate opportunity freedom with access to commodities, which as we have mentioned, Sen denies. He also disavows a related assumption that self interested maximization is the universal motive of action.  An expansion of opportunity freedom requires not the simple expansion of options but rather options that allow for the opportunity to get a better alternative.  This means, argues Sen that opportunity freedom cannot be sensibly judged in terms of possession of commodities  but rather must take note of the opportunity of doing things and achieving results one has reason to value (Sen 2002, 519) . Sen’s rejection of self interested maximization as the universal motive of action has relevance in so far as he recognizes that individuals frequently desire to accomplish goals that cannot be explained through reference to personal self interest.  Thus, the freedom in question must involve the freedom to live the way one would like rather than judging freedom simply by commodity holdings, e.g. Rawlsian primary goods such as income.  Where opportunity freedom is more sensibly judged in terms of capability to achieve valued results rather than </w:t>
      </w:r>
      <w:r w:rsidRPr="00071CFC">
        <w:lastRenderedPageBreak/>
        <w:t>simply commodity holdings,  Sen states that a state of affairs is weakly efficient in terms of opportunity freedom if there is no alternative feasible state in which everyone’s opportunity freedom is surely unworsened and at least one person’s opportunity freedom is surely expanded. Ultimately Sen believes that given standard assumptions, competitive markets are weakly efficient in opportunity freedoms in terms of capabilities as well as commodities (Sen 2002, 523).</w:t>
      </w:r>
    </w:p>
    <w:p w14:paraId="6C9F4584" w14:textId="77777777" w:rsidR="009F661C" w:rsidRPr="00071CFC" w:rsidRDefault="009F661C" w:rsidP="00B23A52">
      <w:pPr>
        <w:pStyle w:val="DLText"/>
      </w:pPr>
      <w:r w:rsidRPr="00071CFC">
        <w:t>This is an approach, which conceives of freedom functionally, which emphasizes that which individuals are actually able to do. In evaluating the formal private property system one considers its effectiveness in turning human potential into actual capabilities. In other words, does the system of ownership open up options, which otherwise would not have been available. Purdy (2005, 1285) explains that ownership defines how people can recruit one another and the resources they control for collaborative projects.  Adam Smith, for example, remarks upon the realignment of relationships when the modern economic system replaced feudalism and the ensuing redefinition of property in human labour from one in which people are property to one in which all have property to alienate (Purdy 2005, 1237). With this transformation we encounter freedom of contract and the freedom to exit the bargaining relationship.  From this aspect one can view an expansion of individual freedom effected through the reinterpretation of the property relationship.  In essence, property rights define relations between individuals rather than relations between individuals and the non-human externality.  With respect to the reform of property rights the question to be asked is whether the relationships that are thereby created offer new opportunities from which individuals can choose to avail themselves. The point is that the relationships may well create options that for one reason or another were previously unavailable.  Property rights create relations between people and private property rights may well be a better vehicle than group ownership to create interpersonal relations that facilitate collective undertakings.  Personal freedom is thereby enhanced if there is a demonstrable link between private ownership and the expansion of options that unlock human potential.</w:t>
      </w:r>
    </w:p>
    <w:p w14:paraId="353AC17B" w14:textId="77777777" w:rsidR="009F661C" w:rsidRPr="00826C4D" w:rsidRDefault="009F661C" w:rsidP="00D83714">
      <w:pPr>
        <w:pStyle w:val="DLHeading2"/>
        <w:rPr>
          <w:sz w:val="22"/>
        </w:rPr>
      </w:pPr>
      <w:r w:rsidRPr="00826C4D">
        <w:rPr>
          <w:sz w:val="22"/>
        </w:rPr>
        <w:t>The Anticommodification Critique</w:t>
      </w:r>
    </w:p>
    <w:p w14:paraId="2A1D4E26" w14:textId="77777777" w:rsidR="009F661C" w:rsidRPr="00071CFC" w:rsidRDefault="009F661C" w:rsidP="00D83714">
      <w:pPr>
        <w:pStyle w:val="DLText"/>
      </w:pPr>
      <w:r w:rsidRPr="00071CFC">
        <w:t xml:space="preserve">We will now turn to the anticommodification critique. At its heart this argument is opposed to an instrumental approach to the environment in which the natural context is divided and defined in terms of assets that can be used and manipulated to increase personal wealth. There is, however, another way to view private ownership as an intersubjective relationship </w:t>
      </w:r>
      <w:r w:rsidRPr="00071CFC">
        <w:lastRenderedPageBreak/>
        <w:t xml:space="preserve">rather than a subject object relationship. Smith saw options expanding and the possibility of new forms of existence emerging with the transformation of property and relations of production which occurred in the movement from Feudalism to industrial capitalism.  One could make similar arguments with respect to the possible replacement of customary ownership in Papua New Guinea with  forms of private ownership. As we have seen, the passage of the </w:t>
      </w:r>
      <w:r w:rsidRPr="00071CFC">
        <w:rPr>
          <w:i/>
        </w:rPr>
        <w:t xml:space="preserve">PNG Land Groups Incorporation Act </w:t>
      </w:r>
      <w:r w:rsidRPr="00071CFC">
        <w:t xml:space="preserve">1974 gave substance to the view that in Papua New Guinea land is held by so called customary groups rather than the individuals that make up the group.   If we accept the argument promoted by de Soto that private ownership is a necessary condition for successful  market relations, which entails the individual capacity to exchange and trade and thereby participate in the economic market, then collective ownership, according to Sen’s terms does mean a diminution of personal liberty.  To use Sen’s terminology collective ownership is less efficient in terms of both process and opportunity-freedom. </w:t>
      </w:r>
    </w:p>
    <w:p w14:paraId="414BBFB4" w14:textId="77777777" w:rsidR="009F661C" w:rsidRPr="00071CFC" w:rsidRDefault="009F661C" w:rsidP="00D83714">
      <w:pPr>
        <w:pStyle w:val="DLText"/>
      </w:pPr>
      <w:r w:rsidRPr="00071CFC">
        <w:t>In plainer language we can point out that failure to implement private ownership can be seen to impact on both the process and opportunity aspects of personal freedom.  The former relates to the decisional autonomy feature of process freedom e.g., “…whether the choices are made by the person herself – not (on her behalf) by other institutions or individuals.” (Sen 1993, 524) Clearly in this instance, the individual’s interest in land – a Rawlsian primary good – is subject to the decisional procedures of the institution, the ILG, with the possibility that the majority may impose a decision contrary to the preferences of the individual.</w:t>
      </w:r>
    </w:p>
    <w:p w14:paraId="12062333" w14:textId="77777777" w:rsidR="009F661C" w:rsidRPr="00071CFC" w:rsidRDefault="009F661C" w:rsidP="00D83714">
      <w:pPr>
        <w:pStyle w:val="DLText"/>
      </w:pPr>
      <w:r w:rsidRPr="00071CFC">
        <w:t>Just as important or perhaps even more important, this state of affairs in which property is held collectively militates against the individuals opportunity freedom.  It can be argued that this arrangemen</w:t>
      </w:r>
      <w:r>
        <w:t xml:space="preserve">t undermines </w:t>
      </w:r>
      <w:r w:rsidRPr="00071CFC">
        <w:t>the capacity of people to recruit one another and the resources they control for collaborative projects.  Since land is held collectively, it has been traditionally assumed that a consensus must be reached between all members of the group before a collective enterprise can be undertaken. Theoretically this means that a small group within the customary membership or even one individual can prevent the initiation of a collective enterprise, although the current legislation has modified the assumed requirement of universal consent.  Collective ownership also opens up the free rider problem. This is to say there is the distinct possibility that individuals may withhold their participation in some collective undertaking while they stand to benefit from the collective efforts of others. The awareness of this possibility also works to inhibit collective collaboration.</w:t>
      </w:r>
    </w:p>
    <w:p w14:paraId="108127F5" w14:textId="77777777" w:rsidR="009F661C" w:rsidRPr="00071CFC" w:rsidRDefault="009F661C" w:rsidP="00D83714">
      <w:pPr>
        <w:pStyle w:val="DLText"/>
      </w:pPr>
      <w:r w:rsidRPr="00071CFC">
        <w:t xml:space="preserve">However, it could be argued that the ‘free rider’ issue is problematic only if the rest of the persons in the collective assign a heavy cost to it. If </w:t>
      </w:r>
      <w:r w:rsidRPr="00071CFC">
        <w:lastRenderedPageBreak/>
        <w:t>every individual acknowledges that  ‘free riders’ are bound to exist and consider it as a cost of keeping the collective together, this might not be considered as a serious obstacle.   However, the free rider issue becomes problematic because of the particular psychology which has come to be associated with group undertakings that lack defined parameters of individual responsibility.  If it is perceived that some are benefiting through reliance on a free rider strategy others may be tempted to adopt the same strategy. If the free rider phenomenon then becomes contagious and wide spread, collective enterprise will be rendered inope</w:t>
      </w:r>
      <w:r>
        <w:t xml:space="preserve">rative </w:t>
      </w:r>
      <w:r w:rsidRPr="00071CFC">
        <w:t>because of the possibility that too many individuals may entertain expectations of benefit without undertaking t</w:t>
      </w:r>
      <w:r>
        <w:t>he necessary work or committing</w:t>
      </w:r>
      <w:r w:rsidRPr="00071CFC">
        <w:t xml:space="preserve"> resources sufficient to ensure some minimum level of success.  Projects thus suffer paralysis because an insufficient number actually commit labor or resources to the enterprise. </w:t>
      </w:r>
    </w:p>
    <w:p w14:paraId="45E69FF8" w14:textId="77777777" w:rsidR="009F661C" w:rsidRPr="00071CFC" w:rsidRDefault="009F661C" w:rsidP="00D83714">
      <w:pPr>
        <w:pStyle w:val="DLText"/>
      </w:pPr>
      <w:r w:rsidRPr="00071CFC">
        <w:t xml:space="preserve">Thomas Bethel (1998) has made this </w:t>
      </w:r>
      <w:r>
        <w:t xml:space="preserve">argument in his explanation of </w:t>
      </w:r>
      <w:r w:rsidRPr="00071CFC">
        <w:t>the transformation of the North American colonies of Jamestown and Plymouth from initial failures to thriving communities.  Originally when the Jamestown company was set up, colonists were designated as indentured servants and expected to toil for seven years and contribute the fruits of their labour to a common store before becoming free men (Bethel 1998, 34). They did not have a modified interest in the soil or a partial ownership in the returns of their labour. Bethel argues that lacking either an interest in the means of production or the products of their labour, the colonists lacked the incentive to commit themselves to their labour. As a result, idleness and lack of industry led to insufficient productivity and eventual starvation.  Sir Thomas Dale, the first Governor, in 1611 sought to c</w:t>
      </w:r>
      <w:r>
        <w:t xml:space="preserve">hange matters through creating </w:t>
      </w:r>
      <w:r w:rsidRPr="00071CFC">
        <w:t>a workable incentive system through the introduction of private ownership (Bethel 1998, 35).  Each man was given a three-acre plot of land.  Subsequent to these events the colony becomes a success as productivity increases. Similarly the first Governor of the Plymouth colony encountered a distressed and demoralized population, which found expression in an unwillingness to work. Bethel notes from William Bradford's written comments that much of the colonist's discontent stemmed not from the 50% tax on wealth, which was to be returned to the investors, but the fact that the Pilgrims felt themselves to be labouring for other Pilgrims. (Bethel 1998, 42)  Bradford proceeded to introduce the conversion of communal land into private property</w:t>
      </w:r>
      <w:r>
        <w:t xml:space="preserve"> </w:t>
      </w:r>
      <w:r w:rsidRPr="00071CFC">
        <w:t>(Bethel 1998, 42).  Bethel notes that when land was converted into private property the colonists became responsible for their own actions and that of their immediate families and not the actions of the whole community.</w:t>
      </w:r>
    </w:p>
    <w:p w14:paraId="3B93CF40" w14:textId="77777777" w:rsidR="009F661C" w:rsidRPr="00071CFC" w:rsidRDefault="009F661C" w:rsidP="00D83714">
      <w:pPr>
        <w:pStyle w:val="DLText"/>
      </w:pPr>
      <w:r w:rsidRPr="00071CFC">
        <w:lastRenderedPageBreak/>
        <w:t>It is arguable therefore that decision making would be facilitated if individuals possessed defined alienable rights.    The implementation of private ownership would allow greater freedom to those who wish to commit to a particular collective enterprise by granting them the freedom to commit their resources, regardless of the decisions of the rest of the membership.  At the same time those who would reject the project would not be bound to commit their resources but obversely this means that  their failure to commit could not abnegate the decisions of  those who wished to  participate.  Private ownership also directly addresses the free rider issue in so far as each individual who stands to benefit from the collective enterprise must have given up or forgone personal use of his/her resources in devotion to the group enterprise. In this way, personal benefit is tied to a commitment of resources and sometimes labor.  Direct benefit is not possible without some contribution from the individual, although, of course, there is always the possibility of indirect benefit from any collective undertaking.</w:t>
      </w:r>
    </w:p>
    <w:p w14:paraId="3082A224" w14:textId="77777777" w:rsidR="009F661C" w:rsidRPr="00071CFC" w:rsidRDefault="009F661C" w:rsidP="00D83714">
      <w:pPr>
        <w:pStyle w:val="DLText"/>
      </w:pPr>
      <w:r w:rsidRPr="00071CFC">
        <w:t xml:space="preserve">One should address the recent legislative changes which affect ILG decision making that would obviate the requirement of consensus in favour of majority decision making.  But again this is far from a favourable solution in so far as it introduces the possibility that the property interests of the minority will become subject to the interests of the majority. The presence of individual rights necessarily avoids this outcome in so far as property rights act as so called “side constraints” that protect the non-consensual, which is the libertarian’s point.   </w:t>
      </w:r>
    </w:p>
    <w:p w14:paraId="1E931B64" w14:textId="77777777" w:rsidR="009F661C" w:rsidRPr="00071CFC" w:rsidRDefault="009F661C" w:rsidP="00D83714">
      <w:pPr>
        <w:pStyle w:val="DLText"/>
      </w:pPr>
      <w:r w:rsidRPr="00071CFC">
        <w:t xml:space="preserve">Notwithstanding the theoretical requirement for consensus before land can be put at the disposal of the collective enterprise, one is well aware that developments on customary land have occurred in the fields of mining, petroleum, forestry and agriculture among others. The belief that all members of relevant customary groups gave informed consent with full knowledge of the benefits and disadvantages that these developments represent is hardly plausible.  As evidence one need only point to the Bougainville crisis in which a rebellion and a secessionist movement were founded on the perceived injustices and disadvantages associated with the giant Panguna gold mine. In most cases it is more plausible to assume  that consent was manufactured through consultations with alleged and self styled leaders of the group rather than elicited through consultations with entire membership or the agreement of each individual member. Individual private property rights obviate the possibility that manufactured or implied consent can represent a consensual state of affairs, which is actually contrary to the wishes and intentions of particular members of the group. This is because the institution of private property requires the explicit consent be forthcoming from each individual whose specific defined </w:t>
      </w:r>
      <w:r w:rsidRPr="00071CFC">
        <w:lastRenderedPageBreak/>
        <w:t xml:space="preserve">interest is affected. This allows those who give their consent to make their holdings available while those who withhold consent to remain in full possession of their interests. </w:t>
      </w:r>
    </w:p>
    <w:p w14:paraId="0C8E9CC7" w14:textId="77777777" w:rsidR="009F661C" w:rsidRPr="00071CFC" w:rsidRDefault="009F661C" w:rsidP="00D83714">
      <w:pPr>
        <w:pStyle w:val="DLText"/>
      </w:pPr>
      <w:r w:rsidRPr="00071CFC">
        <w:t xml:space="preserve">Proposed legislative changes in PNG seek to facilitate group decision making by allowing collectively owned property to be developed through majority voting.  But again this does not address potential injustice with respect to the minority who will have to live with decisions that affect </w:t>
      </w:r>
      <w:r w:rsidRPr="006014E0">
        <w:rPr>
          <w:spacing w:val="-2"/>
        </w:rPr>
        <w:t>their property interests proceeding without their consent.    In contrast, individual</w:t>
      </w:r>
      <w:r w:rsidRPr="00071CFC">
        <w:t xml:space="preserve"> private property ensures that decisions concerning your interests in land cannot occur without your consent. However, let us move on to the   “critique of expropriation”,  which holds that the movement from collective to private ownership of resources really enhances the opportunities for a sophisticated minority to control resources that were previously available to the collective and thereby reduces the majority  to relatively deprived conditions.            </w:t>
      </w:r>
    </w:p>
    <w:p w14:paraId="562142C7" w14:textId="77777777" w:rsidR="009F661C" w:rsidRPr="00826C4D" w:rsidRDefault="009F661C" w:rsidP="00D83714">
      <w:pPr>
        <w:pStyle w:val="DLHeading2"/>
        <w:rPr>
          <w:sz w:val="22"/>
        </w:rPr>
      </w:pPr>
      <w:r w:rsidRPr="00826C4D">
        <w:rPr>
          <w:sz w:val="22"/>
        </w:rPr>
        <w:t>Critique of Expropriation</w:t>
      </w:r>
    </w:p>
    <w:p w14:paraId="550BA6E1" w14:textId="77777777" w:rsidR="009F661C" w:rsidRPr="00071CFC" w:rsidRDefault="009F661C" w:rsidP="00C86C7B">
      <w:pPr>
        <w:pStyle w:val="DLText"/>
      </w:pPr>
      <w:r w:rsidRPr="00071CFC">
        <w:t xml:space="preserve">Over the last twenty years Vanuatu has seen a movement from kastomary land title to Torrens Title (Fitzgerald 2009).  Fitzgerald (2009) argues that this has meant movement from a socially based form of land ownership to one where property developers are carving up an idyllic coastline with names like Barrier Beach. Tax policy has been massaged by vested interests so that the direct and costly administrative control of an island nation has been replaced by the invisible chains of land speculation, forcing up rents to unprecedented levels. It is alleged that some of the world’s most beautiful coastline is being sold off to an international coterie of property speculators who know that given enough time, they can sit back and buy and sell exotic locations for massive profits with just a few clicks of a mouse (Fitzgerald 2009). </w:t>
      </w:r>
    </w:p>
    <w:p w14:paraId="3B0DF6BB" w14:textId="77777777" w:rsidR="009F661C" w:rsidRPr="00071CFC" w:rsidRDefault="009F661C" w:rsidP="00D83714">
      <w:pPr>
        <w:pStyle w:val="DLText"/>
      </w:pPr>
      <w:r w:rsidRPr="00071CFC">
        <w:t xml:space="preserve">The possibility that inequalities exist within and even become magnified with an operative market mechanism associated with private ownership is a reality  of which Sen (1993, 537) is fully aware. Thus, there is a recognition that where inequalities may exist opportunity-freedom can make them even more pronounced or otherwise open the door to  pronounced inequalities that may be initially unpronounced.  </w:t>
      </w:r>
    </w:p>
    <w:p w14:paraId="21BF3A7A" w14:textId="77777777" w:rsidR="009F661C" w:rsidRPr="006014E0" w:rsidRDefault="009F661C" w:rsidP="00D83714">
      <w:pPr>
        <w:pStyle w:val="DLText"/>
        <w:rPr>
          <w:spacing w:val="-2"/>
        </w:rPr>
      </w:pPr>
      <w:r w:rsidRPr="00071CFC">
        <w:t xml:space="preserve">Against the critique of expropriation it can be argued that de Soto urges that reformers must ensure that the titling programs closely track existing possessory rights.  They must not create new rights that conflict with customary ones. The central idea is that customary possessions must be drawn into the formal asset market (de Soto 2000).  In point of fact reforms </w:t>
      </w:r>
      <w:r w:rsidRPr="00071CFC">
        <w:lastRenderedPageBreak/>
        <w:t xml:space="preserve">can protect the vulnerable, for example by converting eligible squatters rights in formal title because squatters are always susceptible to extralegal expropriation. Reforms always provide opportunities, however, land reform must ensure that any alignment of property rights is orientated towards promoting the freedom and options of the members of the affected group.  This is not a utilitarian consideration based on the efficient exploitation of resources but rather one in which primacy is attributed to the expansion of overall freedom.  An initial  inegalitarian assignment of rights that replaces an egalitarian informal system is to be rejected if it reduces the overall freedom of the members even if it ultimately generates greater monetary wealth than the pre-existing informal system.  Reforms, one could argue, must be disallowed if a significant number is denied </w:t>
      </w:r>
      <w:r w:rsidRPr="006014E0">
        <w:rPr>
          <w:spacing w:val="-2"/>
        </w:rPr>
        <w:t xml:space="preserve">effective access to resources with significant diminution of their capacities. </w:t>
      </w:r>
    </w:p>
    <w:p w14:paraId="40332C4B" w14:textId="77777777" w:rsidR="009F661C" w:rsidRPr="00071CFC" w:rsidRDefault="009F661C" w:rsidP="00D83714">
      <w:pPr>
        <w:pStyle w:val="DLText"/>
      </w:pPr>
      <w:r w:rsidRPr="00071CFC">
        <w:t>However, this move does not ent</w:t>
      </w:r>
      <w:r>
        <w:t xml:space="preserve">irely address the reality that </w:t>
      </w:r>
      <w:r w:rsidRPr="00071CFC">
        <w:t>opportunity-freedom engendered by the i</w:t>
      </w:r>
      <w:r>
        <w:t xml:space="preserve">nstitution of market relations </w:t>
      </w:r>
      <w:r w:rsidRPr="00071CFC">
        <w:t>promotes inequality because some  individuals will  suffer disadvantages in converting incomes or primary goods into opportunities of functioning. As Sen states “Ultimately, the challenge that market systems have to face must relate to problems of equity in the distribution of substantive freedoms” (Sen, 1993, 537). This of course can be remedied with social programs that in effect redistribute substantive freedoms. However, making space for “process freedom”, as found in market relations, may in fact inhibit such policies in so far as emphasis on process freedom may prohibit any moves towards egalitarian redistribution as argued by Nozick (1974). For example, once private ownership is established and market relations are enhanced, it may be necessary to introduce social programs to improve the condition of those who have become disadvantaged because they lack the capacity to take advantage of the opportunity freedom afforded by market relations.  But Nozick (1974), asserting the extreme libertarian position, views enforced taxation as theft because this constitutes direct interference in individual choice and control over holdings unless there is universal consent to the policy. It is hard to see how social programs aimed at enhancing opportunity freedom can be developed without a tax base or with a policy of revenue extraction that can only legitimately operate  with the universal consent of all tax payers.   It is clear, as we will see in the next section that Sen rejects this  extreme libertarian view that holds that publicly funded social programs should be eschewed in favour of private initiative.   Perhaps as a way to explore further the matters relating to inequality, we should proceed to consider the critique of expropriation through a consideration of the critique of productive organization.</w:t>
      </w:r>
    </w:p>
    <w:p w14:paraId="06370826" w14:textId="77777777" w:rsidR="009F661C" w:rsidRPr="00826C4D" w:rsidRDefault="009F661C" w:rsidP="00D83714">
      <w:pPr>
        <w:pStyle w:val="DLHeading2"/>
        <w:rPr>
          <w:sz w:val="22"/>
        </w:rPr>
      </w:pPr>
      <w:r w:rsidRPr="00826C4D">
        <w:rPr>
          <w:sz w:val="22"/>
        </w:rPr>
        <w:lastRenderedPageBreak/>
        <w:t>The Critique of Productive Organization</w:t>
      </w:r>
    </w:p>
    <w:p w14:paraId="0840578D" w14:textId="77777777" w:rsidR="009F661C" w:rsidRPr="00071CFC" w:rsidRDefault="009F661C" w:rsidP="00D83714">
      <w:pPr>
        <w:pStyle w:val="DLText"/>
      </w:pPr>
      <w:r w:rsidRPr="00071CFC">
        <w:t xml:space="preserve">This critique argues that the expansion of property rights closes off the possibility to structure productive activity along traditional lines because it imposes a hierarchical market orientated relations of production.  It can be responded that property relations </w:t>
      </w:r>
      <w:r w:rsidRPr="00071CFC">
        <w:rPr>
          <w:i/>
          <w:iCs/>
        </w:rPr>
        <w:t>per se</w:t>
      </w:r>
      <w:r w:rsidRPr="00071CFC">
        <w:t xml:space="preserve"> are not deterministic. Modern forms of industrial production are generated from a concatenation of technology, distribution politics and property law. Property rights are perhaps a tool to be utilized in order to address the opportunity occasioned by technological advance.  Nevertheless the institution of private property rights does not necessarily mean the implementation of relations of production associated with industrial capitalism, as much depends on cultural proclivities, technology levels, infrastructure and even geographical factors such as proximity to trade and transportation routes etc.  Property rights may in fact support a variety of productive relations from authoritarian hierarchical arrangements to dispersed forms of networking.</w:t>
      </w:r>
    </w:p>
    <w:p w14:paraId="276B631D" w14:textId="77777777" w:rsidR="009F661C" w:rsidRPr="00071CFC" w:rsidRDefault="009F661C" w:rsidP="00D83714">
      <w:pPr>
        <w:pStyle w:val="DLText"/>
      </w:pPr>
      <w:r w:rsidRPr="00071CFC">
        <w:t xml:space="preserve">One needs to reject this form of essentialism which understands property in a deterministic way so that it is interpreted to be synonymous with hierarchical factory situated production or extreme forms of unequal re-distribution of resources. If we return to the case of Vanuatu in which loss of access to the commons is associated with the institution of private ownership, it becomes clear that the substantive causes related to failure to regulate and a disastrous reformation of the tax law (Fitzgerald 2009).   </w:t>
      </w:r>
    </w:p>
    <w:p w14:paraId="5DC60D6D" w14:textId="77777777" w:rsidR="009F661C" w:rsidRPr="00071CFC" w:rsidRDefault="009F661C" w:rsidP="00D83714">
      <w:pPr>
        <w:pStyle w:val="DLText"/>
      </w:pPr>
      <w:r w:rsidRPr="00071CFC">
        <w:t xml:space="preserve">At this point I would offer Sen’s assessment of the market. He points out that no economy in world history has </w:t>
      </w:r>
      <w:r>
        <w:t>achieved wide spread prosperity</w:t>
      </w:r>
      <w:r w:rsidRPr="00071CFC">
        <w:t xml:space="preserve"> without  considerable use of “markets and  and productive conditions that depend on markets” (Sen 2006, 137).  Economic prosperity is simply not possible without making extensive use of the opportunities of exchange and specialization that market relations provide. But he emphasizes markets even the global market cannot operate alone.  A market inclusive overall system can generate widely diverse results depending on associate relations such as the existing mechanisms for the distribution of physical resources and the development of human resources, rules governing business relations, social insurance policies, the sharing of technical knowledge etc. (Sen 2006, 138). In other words, regulation and structure provide the context in which the market operates and it can be structured in such a way as to mitigate inequality and the negativities that flow from an inegalitarian distribution.  Moreover Sen (1999) tells us that sometimes substantive freedom relates directly to economic poverty including lack of public facilities for social care relating to health and education. These obstacles to freedoms that have an economic base are mentioned alongside obstacles that result from the denial of political and civil liberties as well as direct </w:t>
      </w:r>
      <w:r w:rsidRPr="00071CFC">
        <w:lastRenderedPageBreak/>
        <w:t>restrictions placed on the freedom to participate in the social, political and economic life of the community. These statements make it clear that the process freedom, we associate with market relations, must be mitigated to allow for a more equalitarian distribution of opportunity freedom.  In other words, it is difficult to see how such social programs that allow a wider dispersal of opportunity freedom can be instituted without imposing taxation that in effect redistributes resources from private sources to public agencies, something which the more extreme proponents of procedural freedom can never countenance (Nozick 1974). But others such as  Christman (1994, 31) also reaffirm the contextual nature of market relations and point out that  societies structure income rights in different ways to reflect foreseeable distribution consequences – full income rights amount to allowing bilateral trades without regulation or taxation for purposes of directing the distribution of goods.  Alternatives to full income rights would involve price regulation, wage controls, capital gains and income taxation. To varying degrees governments institute such policies and these policies provide the context in which the market operates; to demand untramme</w:t>
      </w:r>
      <w:r>
        <w:t xml:space="preserve">lled process freedom is simply </w:t>
      </w:r>
      <w:r w:rsidRPr="00071CFC">
        <w:t xml:space="preserve">unrealistic as no significant market operates independently of any governance structure or context.  </w:t>
      </w:r>
    </w:p>
    <w:p w14:paraId="11FDE9CA" w14:textId="77777777" w:rsidR="009F661C" w:rsidRPr="00071CFC" w:rsidRDefault="009F661C" w:rsidP="00C86C7B">
      <w:pPr>
        <w:pStyle w:val="DLText"/>
      </w:pPr>
      <w:r w:rsidRPr="00071CFC">
        <w:t xml:space="preserve">Let us consider what is also implicit within this critique and this is the potential of Western legal systems to undermine traditional cultures. I referred to this related critique as the critique of cultural homogenization.  Let us remember that de Soto recommends that a diversity of local customary arrangements be replaced by a single uniform formal system of property relations that shifts accountability from groups to individuals. Communitarians or culturalists may argue that this development has the potential not only to undermine the autonomy or self determination of the group but also that of the individual member. Tully (1994a; 1994b; 1996) is noted for presenting the former view while Kymlicka (1989; 1996) is a well known promoter of the latter view. </w:t>
      </w:r>
    </w:p>
    <w:p w14:paraId="54FEA008" w14:textId="77777777" w:rsidR="009F661C" w:rsidRPr="00071CFC" w:rsidRDefault="009F661C" w:rsidP="00D83714">
      <w:pPr>
        <w:pStyle w:val="DLText"/>
      </w:pPr>
      <w:r w:rsidRPr="00071CFC">
        <w:t>For example, in the late 1990s James Tully gave the communitarian/</w:t>
      </w:r>
      <w:r>
        <w:t xml:space="preserve"> </w:t>
      </w:r>
      <w:r w:rsidRPr="00071CFC">
        <w:t xml:space="preserve">multicultural debate an additional historical context locating this rejection of diversity in community and culture in the historical shift from 'ancient' to 'modern constitutionalism'. Tully sees the overlapping of various legal and political jurisdictions, as in the Roman Republic or the common law of England, providing the paradigm of the ancient constitution prior to the Peace of Westphalia in 1648. The contemporary dominance of 'modern constitutionalism,' alleges Tully, is the intellectual legacy of writers such as Hobbes, Bodin and Locke. The common theme is the centralization of authority and the exclusion of diversity (Tully 1994a, 1996).  Accordingly, the modern constitution demands seamless legal uniformity and abhors a </w:t>
      </w:r>
      <w:r w:rsidRPr="00071CFC">
        <w:lastRenderedPageBreak/>
        <w:t>multiplicity of local jurisdictions with their diverse jur</w:t>
      </w:r>
      <w:r>
        <w:t>idic</w:t>
      </w:r>
      <w:r w:rsidRPr="00071CFC">
        <w:t>al systems, social political structures and decentralized authority.  Tully argues that the language of m</w:t>
      </w:r>
      <w:r>
        <w:t>odern constitutionali</w:t>
      </w:r>
      <w:r w:rsidRPr="00071CFC">
        <w:t xml:space="preserve">sm has come to be authoritative and designed to exclude or assimilate cultural diversity and to justify uniformity. </w:t>
      </w:r>
    </w:p>
    <w:p w14:paraId="474E2ED8" w14:textId="77777777" w:rsidR="009F661C" w:rsidRPr="00071CFC" w:rsidRDefault="009F661C" w:rsidP="00D83714">
      <w:pPr>
        <w:pStyle w:val="DLText"/>
      </w:pPr>
      <w:r w:rsidRPr="00071CFC">
        <w:t>Tully demonstrates this through reference to the plight of the Amerindians, who are seen as victims of the new constitutionalism. Tully strongly feels that mistreatment of these indigenous peoples is traceable to attitudes of governance which fail to respect difference, and the alternatives to homogeneity. These attitudes have led North American states to breach the original understandings and accords between the settlers and indigenous that respected the autonomy of these two distinct groups. He argues that North American states continue to have fiduciary obligations requiring respect and recognition for the jurisdiction of these original Indian nations, even though agreements and treaties have since been breached.  For Tully therefore, the misguided imposition of the Westernized legal system not only breached the original covenants but also undermined the autonomy of the Indian groups and their communities in so far as indigenous traditions and tradi</w:t>
      </w:r>
      <w:r>
        <w:t xml:space="preserve">tional forms of life have been </w:t>
      </w:r>
      <w:r w:rsidRPr="00071CFC">
        <w:t>seriously threatened.</w:t>
      </w:r>
    </w:p>
    <w:p w14:paraId="1D67E971" w14:textId="77777777" w:rsidR="009F661C" w:rsidRPr="00071CFC" w:rsidRDefault="009F661C" w:rsidP="00D83714">
      <w:pPr>
        <w:pStyle w:val="DLText"/>
      </w:pPr>
      <w:r w:rsidRPr="00071CFC">
        <w:t>Ultimately, matters need to be rectified on the grounds that understandings have abrogated and the trusteeship relation breached.  However Will Kymlicka (1989; 1996), another Canadian philosopher,  also pushes for the maintenance of traditional customs and forms of life to maintain the cultural community, and provides us with additional reasons for rejecting de Soto’s program to formalize and universalize ownership relations. Kymlicka emphasizes that individual autonomy depends upon a cultural context of choice, i.e., options that are maintained within a particular cultural context.   If the cultural context is undermined, which means the community erodes due to external pressures, then the membership will suffer a loss of autonomy as the options previously available disappear.  Individuals that find themselves in such a situation face limited options in so far as the traditional roles are no longer viable while the same individuals are insufficiently socialized with respect to the prevailing dominant culture and cannot avail themselves of the options offered by Western society.  With the loss of autonomy the individual member experiences the anomie and disorientation, which he claims, is the fate of many of the original North American people.</w:t>
      </w:r>
    </w:p>
    <w:p w14:paraId="367346C7" w14:textId="77777777" w:rsidR="009F661C" w:rsidRPr="00071CFC" w:rsidRDefault="009F661C" w:rsidP="00D83714">
      <w:pPr>
        <w:pStyle w:val="DLText"/>
      </w:pPr>
      <w:r w:rsidRPr="00071CFC">
        <w:t xml:space="preserve">However, the introduction of a private ownership rights need not be viewed as a deterministic exercise that imposes a seamless uniformity, which suffocates diversity and alternative traditional forms of life. De Soto has argued that formalized private ownership enhances market relations, but as  Sen points out, the market is not monolithic or unqualified in its </w:t>
      </w:r>
      <w:r w:rsidRPr="00071CFC">
        <w:lastRenderedPageBreak/>
        <w:t>manifestations. It can be molded to suit different environments and modified in its distribution patterns.  Kymlicka, for example, recommends that public monies be utilized to support cultural activities and traditions which don’t elicit sufficient financial support from the market economy.</w:t>
      </w:r>
      <w:r w:rsidRPr="00071CFC">
        <w:rPr>
          <w:rStyle w:val="EndnoteReference"/>
        </w:rPr>
        <w:footnoteRef/>
      </w:r>
      <w:r w:rsidRPr="00071CFC">
        <w:t xml:space="preserve">  The point is that such an adjustment would allow those, who seek to maintain a traditional form of life, with the associated options to pursue traditional roles, to do so while opening up opportunities for those who seek to avail themselves of the options associated with the market economy. </w:t>
      </w:r>
    </w:p>
    <w:p w14:paraId="7F6F1901" w14:textId="77777777" w:rsidR="009F661C" w:rsidRPr="00071CFC" w:rsidRDefault="009F661C" w:rsidP="00D83714">
      <w:pPr>
        <w:pStyle w:val="DLText"/>
      </w:pPr>
      <w:r w:rsidRPr="00071CFC">
        <w:t xml:space="preserve">Of course, such a solution resonates well within the North American context and perhaps in other settler states where there a recognition of fiduciary duties owned to the original peoples. However it becomes more problematic to believe that a developing country such as PNG would be prepared to maintain a system of resource distribution that would support alternative cultural approaches. PNG cannot be viewed as being equivalent to a state dominated by a non indigenous group that has imposed their cultural traditions but which has continuing fiduciary responsibilities towards its original peoples.  However, it is the case that the judiciary system and the varied instruments of the state, for example the Westminster system of government and the common law are the products of non-indigenous cultural domination.  However following independence the indigenous leadership adopted these political and legal instruments and certainly to a considerable extent the current leadership elite owes its ascendancy to these very political and legal structures.  It is arguable, however, that the indigenous leadership elite as with the leadership in North America does have fiduciary responsibilities to support and maintain cultural diversity and local traditions that traditionally have offered a viable existence to local people.  Indeed the PNG constitution stipulates that governance should be consistent with the Melanesian ways, and in fact this principle is used as justification for maintaining the legal priority of the communal land system. The constitution explicitly states “…Land policy should be an evolution from a customary base and not on a sweeping agrarian revolution or total transformation of society” (James 1985: 50) However, it is worth mentioning that customary PNG land tenure in reality exhibits varied forms of group, family and individual ownership (Ward 1992; Lea 2008).  Nevertheless, there is no logical inconsistency in the state maintaining support for an individual forms of ownership consistent with de Soto’s guidelines, while at the same time offering support for those who seek to continue in the traditional forms of life. Support could in some cases take a form that to a certain extent follows the guidelines suggested by people such as Will Kymlicka.    </w:t>
      </w:r>
    </w:p>
    <w:p w14:paraId="641F3DF6" w14:textId="77777777" w:rsidR="009F661C" w:rsidRPr="00071CFC" w:rsidRDefault="009F661C" w:rsidP="00D83714">
      <w:pPr>
        <w:pStyle w:val="DLText"/>
      </w:pPr>
      <w:r w:rsidRPr="00071CFC">
        <w:lastRenderedPageBreak/>
        <w:t xml:space="preserve">I would urge that the transformation of customary holdings into private forms of ownership should proceed gradually and accordingly on a voluntary basis. This would accord with the expansion of personal freedom envisaged by Sen. As we mentioned earlier the system must track existing customary rights and entitlements. It must not </w:t>
      </w:r>
      <w:r>
        <w:t>produce</w:t>
      </w:r>
      <w:r w:rsidRPr="00071CFC">
        <w:t xml:space="preserve"> in</w:t>
      </w:r>
      <w:r>
        <w:t>-</w:t>
      </w:r>
      <w:r w:rsidRPr="00071CFC">
        <w:t xml:space="preserve">egalitarian reforms that mean a significant number is denied effective access to resources with corresponding diminution of their capacities.  A system of property rights may well have to exist within a framework of traditional rights that pertain to traditional activities such as hunting, gathering and fishing. Private ownership rights may well have to accommodate these customary rights associated with traditional life styles or ensure private claims leave “enough and as good” (John Locke’s familiar phrase) for these activities.  Moreover the proposal that private ownership can be accommodated within the existing context would not require some radical overhaul of PNG legislation.  At present there is existing legislation, the </w:t>
      </w:r>
      <w:r w:rsidRPr="00071CFC">
        <w:rPr>
          <w:i/>
        </w:rPr>
        <w:t>Land Tenure Conversion Act</w:t>
      </w:r>
      <w:r w:rsidRPr="00071CFC">
        <w:t xml:space="preserve">, which allows for this possibility but because of the commitment to community forms of land tenure and the insufficiency of resources, this mechanism has become virtually inoperative. Indeed in 2007 the National Land Development Taskforce (2007)  with the publication of </w:t>
      </w:r>
      <w:r w:rsidRPr="00071CFC">
        <w:rPr>
          <w:i/>
        </w:rPr>
        <w:t xml:space="preserve"> Land Administration, Land Dispute Settlement, and Customary land Development </w:t>
      </w:r>
      <w:r w:rsidRPr="00071CFC">
        <w:t xml:space="preserve">asserted  that the Act be repealed. However, we would argue to the contrary that the legislation should be retained and revitalized through the commitment of financial and human resources, which would allow it to be fully operative, as well as properly regulated.       </w:t>
      </w:r>
    </w:p>
    <w:p w14:paraId="1D98F749" w14:textId="77777777" w:rsidR="009F661C" w:rsidRPr="00826C4D" w:rsidRDefault="009F661C" w:rsidP="00D83714">
      <w:pPr>
        <w:pStyle w:val="DLHeading2"/>
        <w:rPr>
          <w:sz w:val="22"/>
        </w:rPr>
      </w:pPr>
      <w:r w:rsidRPr="00826C4D">
        <w:rPr>
          <w:sz w:val="22"/>
        </w:rPr>
        <w:t xml:space="preserve">Multicultural  </w:t>
      </w:r>
      <w:r>
        <w:rPr>
          <w:sz w:val="22"/>
        </w:rPr>
        <w:t>P</w:t>
      </w:r>
      <w:r w:rsidRPr="00826C4D">
        <w:rPr>
          <w:sz w:val="22"/>
        </w:rPr>
        <w:t>olicies and National Identity</w:t>
      </w:r>
    </w:p>
    <w:p w14:paraId="10537B19" w14:textId="77777777" w:rsidR="009F661C" w:rsidRPr="00071CFC" w:rsidRDefault="009F661C" w:rsidP="00D83714">
      <w:pPr>
        <w:pStyle w:val="DLText"/>
      </w:pPr>
      <w:r w:rsidRPr="00071CFC">
        <w:t xml:space="preserve">The problem with maintaining multicultural policies is whether this might impact negatively on the issue of national identity.  As mentioned earlier, Papua New Guineans often prefer to refer to themselves as ‘land owners’ rather than PNG citizens (Lea 2009) and identification with the village and a particular village in which they have attachments to the land is often stronger than a sense of identification with the modern state of Papua New Guinea. Papua New Guineans, except when abroad, find it difficult to imagine themselves as part of a unified national community called Papua New Guinea. </w:t>
      </w:r>
    </w:p>
    <w:p w14:paraId="6DA61DCF" w14:textId="77777777" w:rsidR="009F661C" w:rsidRPr="00071CFC" w:rsidRDefault="009F661C" w:rsidP="00D83714">
      <w:pPr>
        <w:pStyle w:val="DLText"/>
      </w:pPr>
      <w:r w:rsidRPr="00071CFC">
        <w:t xml:space="preserve">However Kymlicka (2008) has pointed to studies by Bloemraad (2006) that indicate that political integration and loyalty are higher among ethnic groups in Canada than among comparable ethnic groups in the United States who do not benefit from multicultural funding.  In other words multicultural policy might well improve a sense of national identity in PNG.  This is not </w:t>
      </w:r>
      <w:r w:rsidRPr="00071CFC">
        <w:lastRenderedPageBreak/>
        <w:t>to say that we must weaken the commitment to realize a formal system of property rights rather this means the government institutions must recognize a financial responsibility to support traditional forms of life that may lack the necessary resources.  As mentioned, for example, fishing and hunter gatherer rights might well have to receive special protections within the framework of a formal system of private property relations.</w:t>
      </w:r>
    </w:p>
    <w:p w14:paraId="18D28317" w14:textId="77777777" w:rsidR="009F661C" w:rsidRPr="00071CFC" w:rsidRDefault="009F661C" w:rsidP="00D83714">
      <w:pPr>
        <w:pStyle w:val="DLText"/>
      </w:pPr>
      <w:r w:rsidRPr="00071CFC">
        <w:t xml:space="preserve">Finally the remaining parts of the book are intended to illustrate how economic development would be improved through a market based on individual ownership.  This means development that offers greater access </w:t>
      </w:r>
      <w:r w:rsidRPr="006014E0">
        <w:rPr>
          <w:spacing w:val="-2"/>
        </w:rPr>
        <w:t>to wealth, enhanced individual opportunity, and increased public availability</w:t>
      </w:r>
      <w:r w:rsidRPr="00071CFC">
        <w:t xml:space="preserve"> of financial support for social programs to balance the inequalities of a market based economy.  </w:t>
      </w:r>
    </w:p>
    <w:p w14:paraId="5EFBCA9E" w14:textId="77777777" w:rsidR="009F661C" w:rsidRPr="00826C4D" w:rsidRDefault="009F661C" w:rsidP="006014E0">
      <w:pPr>
        <w:pStyle w:val="h2"/>
        <w:ind w:firstLine="0"/>
      </w:pPr>
      <w:r w:rsidRPr="00826C4D">
        <w:t>Conclusion</w:t>
      </w:r>
    </w:p>
    <w:p w14:paraId="7C98F140" w14:textId="77777777" w:rsidR="009F661C" w:rsidRPr="00071CFC" w:rsidRDefault="009F661C" w:rsidP="00B719B6">
      <w:pPr>
        <w:pStyle w:val="DLText"/>
        <w:rPr>
          <w:b/>
          <w:bCs/>
        </w:rPr>
      </w:pPr>
      <w:r w:rsidRPr="00071CFC">
        <w:t xml:space="preserve">We have argued for private ownership from arguments based on individual freedom rather than economic advantage. Despite alleged economic benefits of private ownership in terms of enhanced market relations various critiques have questioned the institution on other grounds. It has been argued, for example, that the imposition of a formal system over traditional customary forms of land holding impoverishes the experience of value by subjecting qualitative and complex relations to the logic of the economic market.  Another view holds that resources previously held in informal semi-communal arrangements or else open access commons, for example, common land, water, cultural productions, are frequently enclosed to the benefit of some group where the beneficiary is some relatively sophisticated class to the disadvantage of the collective. Finally, a third critique holds that property rights, which  are associated with hierarchically organized production and the market, work </w:t>
      </w:r>
      <w:r w:rsidRPr="00071CFC">
        <w:rPr>
          <w:vertAlign w:val="superscript"/>
        </w:rPr>
        <w:t xml:space="preserve"> </w:t>
      </w:r>
      <w:r w:rsidRPr="00071CFC">
        <w:t>to constrain the freedom of the individual. Closely associated with this view is what I call the “cultural homogenization critique” that sees westernized legal systems as antithetical to cultural traditions and thus impacting on individual freedom. But we argue that these critiques can be met through an emphasis that conceives of freedom functionally, which emphasizes that which individuals are actually able to do. Following the insights of Amartya Sen, who defines freedom in terms of opportunity, the opportunity to realize different forms of life, we argue that private ownership expands opportunities that allow people to recruit one another and the resources they control for collaborative projects.</w:t>
      </w:r>
    </w:p>
    <w:p w14:paraId="126C2CFF" w14:textId="77777777" w:rsidR="009F661C" w:rsidRPr="00071CFC" w:rsidRDefault="009F661C" w:rsidP="004B2D0A">
      <w:pPr>
        <w:jc w:val="both"/>
        <w:rPr>
          <w:sz w:val="20"/>
          <w:szCs w:val="20"/>
          <w:lang w:val="en-US"/>
        </w:rPr>
      </w:pPr>
    </w:p>
    <w:p w14:paraId="5B06F925" w14:textId="77777777" w:rsidR="009F661C" w:rsidRPr="00071CFC" w:rsidRDefault="009F661C" w:rsidP="00B46EFA">
      <w:pPr>
        <w:rPr>
          <w:sz w:val="20"/>
          <w:szCs w:val="20"/>
        </w:rPr>
      </w:pPr>
    </w:p>
    <w:p w14:paraId="3590D75C" w14:textId="77777777" w:rsidR="009F661C" w:rsidRPr="00071CFC" w:rsidRDefault="009F661C" w:rsidP="00B46EFA">
      <w:pPr>
        <w:rPr>
          <w:sz w:val="20"/>
          <w:szCs w:val="20"/>
        </w:rPr>
      </w:pPr>
    </w:p>
    <w:p w14:paraId="10A2B2E0" w14:textId="77777777" w:rsidR="009F661C" w:rsidRPr="00071CFC" w:rsidRDefault="009F661C" w:rsidP="00B46EFA">
      <w:pPr>
        <w:rPr>
          <w:sz w:val="20"/>
          <w:szCs w:val="20"/>
        </w:rPr>
      </w:pPr>
    </w:p>
    <w:p w14:paraId="4CB4F5AB" w14:textId="77777777" w:rsidR="009F661C" w:rsidRPr="00071CFC" w:rsidRDefault="009F661C" w:rsidP="00B46EFA">
      <w:pPr>
        <w:rPr>
          <w:sz w:val="20"/>
          <w:szCs w:val="20"/>
        </w:rPr>
      </w:pPr>
    </w:p>
    <w:p w14:paraId="55418719" w14:textId="77777777" w:rsidR="009F661C" w:rsidRPr="00071CFC" w:rsidRDefault="009F661C" w:rsidP="00B46EFA">
      <w:pPr>
        <w:rPr>
          <w:sz w:val="20"/>
          <w:szCs w:val="20"/>
        </w:rPr>
      </w:pPr>
    </w:p>
    <w:p w14:paraId="4DE8AC16" w14:textId="77777777" w:rsidR="009F661C" w:rsidRPr="00071CFC" w:rsidRDefault="009F661C" w:rsidP="00B46EFA">
      <w:pPr>
        <w:rPr>
          <w:sz w:val="20"/>
          <w:szCs w:val="20"/>
        </w:rPr>
      </w:pPr>
    </w:p>
    <w:p w14:paraId="721EB84F" w14:textId="77777777" w:rsidR="009F661C" w:rsidRPr="00071CFC" w:rsidRDefault="009F661C" w:rsidP="00B46EFA">
      <w:pPr>
        <w:rPr>
          <w:sz w:val="20"/>
          <w:szCs w:val="20"/>
        </w:rPr>
      </w:pPr>
    </w:p>
    <w:p w14:paraId="1F919341" w14:textId="77777777" w:rsidR="009F661C" w:rsidRPr="00071CFC" w:rsidRDefault="009F661C" w:rsidP="00B46EFA">
      <w:pPr>
        <w:rPr>
          <w:sz w:val="20"/>
          <w:szCs w:val="20"/>
        </w:rPr>
      </w:pPr>
    </w:p>
    <w:p w14:paraId="2ECAF576" w14:textId="77777777" w:rsidR="009F661C" w:rsidRPr="00071CFC" w:rsidRDefault="009F661C" w:rsidP="00B46EFA">
      <w:pPr>
        <w:rPr>
          <w:sz w:val="20"/>
          <w:szCs w:val="20"/>
        </w:rPr>
      </w:pPr>
    </w:p>
    <w:p w14:paraId="3B378955" w14:textId="77777777" w:rsidR="009F661C" w:rsidRPr="00071CFC" w:rsidRDefault="009F661C" w:rsidP="00B46EFA">
      <w:pPr>
        <w:rPr>
          <w:sz w:val="20"/>
          <w:szCs w:val="20"/>
        </w:rPr>
        <w:sectPr w:rsidR="009F661C" w:rsidRPr="00071CFC" w:rsidSect="00503FDD">
          <w:headerReference w:type="even" r:id="rId23"/>
          <w:headerReference w:type="default" r:id="rId24"/>
          <w:footnotePr>
            <w:numRestart w:val="eachSect"/>
          </w:footnotePr>
          <w:type w:val="oddPage"/>
          <w:pgSz w:w="8392" w:h="11907" w:code="11"/>
          <w:pgMar w:top="1418" w:right="1191" w:bottom="851" w:left="1191" w:header="851" w:footer="0" w:gutter="0"/>
          <w:cols w:space="708"/>
          <w:titlePg/>
          <w:docGrid w:linePitch="360"/>
        </w:sectPr>
      </w:pPr>
    </w:p>
    <w:p w14:paraId="5C9C5712" w14:textId="77777777" w:rsidR="009F661C" w:rsidRPr="00826C4D" w:rsidRDefault="009F661C" w:rsidP="00697103">
      <w:pPr>
        <w:pStyle w:val="DLHeading"/>
        <w:rPr>
          <w:szCs w:val="32"/>
        </w:rPr>
      </w:pPr>
      <w:r w:rsidRPr="00826C4D">
        <w:rPr>
          <w:szCs w:val="32"/>
        </w:rPr>
        <w:lastRenderedPageBreak/>
        <w:t>Chapter Seven</w:t>
      </w:r>
    </w:p>
    <w:p w14:paraId="74C53B88" w14:textId="77777777" w:rsidR="009F661C" w:rsidRPr="00826C4D" w:rsidRDefault="009F661C" w:rsidP="00697103">
      <w:pPr>
        <w:pStyle w:val="DLHeading"/>
        <w:rPr>
          <w:szCs w:val="32"/>
        </w:rPr>
      </w:pPr>
      <w:r w:rsidRPr="00826C4D">
        <w:rPr>
          <w:szCs w:val="32"/>
        </w:rPr>
        <w:t>Land Tenure Options</w:t>
      </w:r>
    </w:p>
    <w:p w14:paraId="4D89C31F" w14:textId="77777777" w:rsidR="009F661C" w:rsidRPr="00071CFC" w:rsidRDefault="009F661C" w:rsidP="00697103">
      <w:pPr>
        <w:pStyle w:val="DLText"/>
      </w:pPr>
    </w:p>
    <w:p w14:paraId="390F59B3" w14:textId="77777777" w:rsidR="009F661C" w:rsidRPr="00071CFC" w:rsidRDefault="009F661C" w:rsidP="00697103">
      <w:pPr>
        <w:pStyle w:val="DLText"/>
      </w:pPr>
    </w:p>
    <w:p w14:paraId="1CF0EEE9" w14:textId="77777777" w:rsidR="009F661C" w:rsidRPr="00071CFC" w:rsidRDefault="009F661C" w:rsidP="00697103">
      <w:pPr>
        <w:pStyle w:val="DLText"/>
      </w:pPr>
    </w:p>
    <w:p w14:paraId="620A340A" w14:textId="77777777" w:rsidR="009F661C" w:rsidRPr="00071CFC" w:rsidRDefault="009F661C" w:rsidP="00697103">
      <w:pPr>
        <w:pStyle w:val="DLText"/>
        <w:rPr>
          <w:b/>
          <w:bCs/>
        </w:rPr>
      </w:pPr>
      <w:r w:rsidRPr="00071CFC">
        <w:t>The previous chapters have indicated some of the shortcomings of customary land tenure arrangements in terms of providing either incentives to develop land to its full economic potential or equitable distribution of the income arising from such land development. Nevertheless there are those like Holzknecht (2003) and Bourke (2005) who insist that traditional land tenure is fully compatible with sustaining a high and rising standard of living in Papua New Guinea despite increasing population pressure on available land. Curtin has previously presented substantive counterfactual evidence showing how exports of cash crops have failed to keep pace with population growth since 1975, and Hughes has made the same point (Curtin, 2003:Figs. 1A and 1B; Hughes 2004).  However for Bourke that is less important than what he calls the decolonisation process whereby formerly alienated land used by estates and plantations is being resumed into customary tenure, especially in the Eastern and Western Highland provinces of the mainland. Bourke implies that customary ownership needs to be taken as a given, and that the declining availability of land for large-scale commercial production is irreversible. Contrarily, Benedikt</w:t>
      </w:r>
      <w:r>
        <w:t>s</w:t>
      </w:r>
      <w:r w:rsidRPr="00071CFC">
        <w:t>son has described how some individual tenure has emerged informally amongst some of the coffee growers in the Eastern Highlands province (“</w:t>
      </w:r>
      <w:r w:rsidRPr="00071CFC">
        <w:rPr>
          <w:i/>
        </w:rPr>
        <w:t>Harvesting Development</w:t>
      </w:r>
      <w:r w:rsidRPr="00071CFC">
        <w:t>” 2002). But Bourke (2005) also argues that smallholder agriculture does not require access to credit to perform adequately, and that therefore there is no need to institute land titling in Papua New Guinea.</w:t>
      </w:r>
    </w:p>
    <w:p w14:paraId="3C7B43D7" w14:textId="77777777" w:rsidR="009F661C" w:rsidRPr="00071CFC" w:rsidRDefault="009F661C" w:rsidP="00515EE4">
      <w:pPr>
        <w:pStyle w:val="DLText"/>
      </w:pPr>
      <w:r w:rsidRPr="00071CFC">
        <w:t xml:space="preserve">Bourke (2005:6) begins by contesting Helen Hughes' assertion that production of Papua New Guinea's main agricultural exports was lower in 2003 than in 1980. He is only half correct. It is true that there were increases in export volumes of coffee, cocoa, sugar, and especially palm oil, although not for copra, yet in general apart from palm oil, export volumes grew slower than the population itself, suggesting a long term fall in per person cash income from agriculture (see Fig.1). Bourke rightly points out that the slow growth of total export volumes masks somewhat faster growth of output from smallholders, which has however yet to offset the decline in production from plantations. On the other hand, Bourke also notes the </w:t>
      </w:r>
      <w:r w:rsidRPr="00071CFC">
        <w:lastRenderedPageBreak/>
        <w:t xml:space="preserve">tendency for smallholders' coffee production to have lower quality than that of plantation coffee, resulting in lower average prices per tonne.  He also comments (2005:14) on the sudden rapid growth of vanilla production and exports after the rising world prices of 2000-2004 as indicating the ability of the smallholder sector to respond to new opportunities, but the same tendency to poor quality is also apparent. </w:t>
      </w:r>
    </w:p>
    <w:p w14:paraId="5FE671A2" w14:textId="77777777" w:rsidR="009F661C" w:rsidRPr="00071CFC" w:rsidRDefault="009F661C" w:rsidP="00515EE4">
      <w:pPr>
        <w:pStyle w:val="DLText"/>
        <w:rPr>
          <w:b/>
        </w:rPr>
      </w:pPr>
      <w:r w:rsidRPr="00071CFC">
        <w:t xml:space="preserve">Evidently claims that Papua New Guinea’s system of traditional land tenure has not held back the country’s economic development need closer examination, together with detailed assessment of suggestions by Duncan (1994) and Hughes (2005) that only establishing individual land ownership will promote agricultural development in Papua New Guinea to its full potential. </w:t>
      </w:r>
      <w:r w:rsidRPr="00071CFC">
        <w:rPr>
          <w:iCs/>
        </w:rPr>
        <w:t>In addition to</w:t>
      </w:r>
      <w:r w:rsidRPr="00071CFC">
        <w:rPr>
          <w:i/>
        </w:rPr>
        <w:t xml:space="preserve"> </w:t>
      </w:r>
      <w:r w:rsidRPr="00071CFC">
        <w:t xml:space="preserve">the data in Fig.1 showing that output of those of Papua New Guinea’s exported cash crops that are mainly produced by smallholders using communal land has not kept pace with population growth, we also assess claims that at least the domestic production of food has grown more rapidly than the population. We also refer to experience in other countries that indicates land reform can be successful in raising productivity in the rural economy, and provide data indicating that tenure issues could explain the very low level of bank lending to agriculture in Papua New Guinea. Then we make some suggestions for how a land reform program could be managed in Papua New Guinea in such a way as to win the support of most of the country’s people by demonstrably expanding their income earning opportunities both as owners of land and as producers of crops of all kinds. </w:t>
      </w:r>
    </w:p>
    <w:p w14:paraId="26A24E96" w14:textId="77777777" w:rsidR="009F661C" w:rsidRPr="00826C4D" w:rsidRDefault="009F661C" w:rsidP="00515EE4">
      <w:pPr>
        <w:pStyle w:val="DLHeading2"/>
      </w:pPr>
      <w:r w:rsidRPr="00826C4D">
        <w:t>Land Ownership in Papua New Guinea</w:t>
      </w:r>
    </w:p>
    <w:p w14:paraId="3BAD9833" w14:textId="77777777" w:rsidR="009F661C" w:rsidRPr="00071CFC" w:rsidRDefault="009F661C" w:rsidP="00515EE4">
      <w:pPr>
        <w:pStyle w:val="DLText"/>
      </w:pPr>
      <w:r w:rsidRPr="00071CFC">
        <w:t xml:space="preserve">Individual land ownership confers a number of definite rights: principally the right to use the land, the right to exclude others from its use and enjoyment; the right to transfer it by sale, lease, or gift; and, perhaps most notably the right to receive income from the property independent of use. </w:t>
      </w:r>
      <w:r w:rsidRPr="00071CFC">
        <w:rPr>
          <w:i/>
          <w:iCs/>
        </w:rPr>
        <w:t>This particular combination of rights – use, exclusion, alienation, and income – does not occur in any Papua New Guinea society.</w:t>
      </w:r>
      <w:r w:rsidRPr="00071CFC">
        <w:t xml:space="preserve"> (Our emphasis)</w:t>
      </w:r>
      <w:r>
        <w:t xml:space="preserve"> </w:t>
      </w:r>
      <w:r w:rsidRPr="00071CFC">
        <w:t>(Harding 1973; 107).</w:t>
      </w:r>
    </w:p>
    <w:p w14:paraId="0DB4AFDA" w14:textId="77777777" w:rsidR="009F661C" w:rsidRPr="00071CFC" w:rsidRDefault="009F661C" w:rsidP="00515EE4">
      <w:pPr>
        <w:pStyle w:val="DLText"/>
        <w:rPr>
          <w:b/>
        </w:rPr>
      </w:pPr>
      <w:r w:rsidRPr="00071CFC">
        <w:t xml:space="preserve">We have already shown how all Papua New Guineans claim to be landowners, and that indeed they are, but only </w:t>
      </w:r>
      <w:r w:rsidRPr="00071CFC">
        <w:rPr>
          <w:i/>
          <w:iCs/>
        </w:rPr>
        <w:t>collectively</w:t>
      </w:r>
      <w:r w:rsidRPr="00071CFC">
        <w:t xml:space="preserve">, since they may not as </w:t>
      </w:r>
      <w:r w:rsidRPr="00071CFC">
        <w:rPr>
          <w:i/>
          <w:iCs/>
        </w:rPr>
        <w:t>individuals</w:t>
      </w:r>
      <w:r w:rsidRPr="00071CFC">
        <w:t xml:space="preserve"> freely buy, sell or otherwise dispose of the land they occupy and utilize for various purposes. This collective ownership has a variety of forms, one of which has been described as "sovereignty" by Epstein (1969; 119) and is in that sense not very different from say Australians, the English and Americans being said to be owners of </w:t>
      </w:r>
      <w:r w:rsidRPr="00071CFC">
        <w:lastRenderedPageBreak/>
        <w:t xml:space="preserve">Australia, England and America simply by virtue of their citizenry. Members of some clans in Papua New Guinea tend to assert exclusive land rights against other clans, and </w:t>
      </w:r>
      <w:r>
        <w:t xml:space="preserve">the </w:t>
      </w:r>
      <w:r w:rsidRPr="00071CFC">
        <w:t xml:space="preserve">actual warfare between rival clans contesting land rights that was endemic before the colonial period has resumed in the last twenty years, especially in the highland provinces of the mainland. Within particular clan "sovereignties" there will be both what Epstein (1969; 121) calls "commonalities" whereby clan members have hunting rights, including access to megapod egg-nests, and rights to collect wild fruits and plants, and proprietary rights related to cultivated areas amongst others.  </w:t>
      </w:r>
    </w:p>
    <w:p w14:paraId="67CAF112" w14:textId="77777777" w:rsidR="009F661C" w:rsidRPr="00071CFC" w:rsidRDefault="009F661C" w:rsidP="006C274B">
      <w:pPr>
        <w:pStyle w:val="DLText"/>
      </w:pPr>
      <w:r w:rsidRPr="00071CFC">
        <w:t xml:space="preserve">A recent court case in West New Britain illustrates an attempt by a land group to claim sovereignty not only over its land on the south coast of that province but also over the sea, when they went to court to attempt to force the shipping of the company already logging their land (with their agreement) to pay rental fees for passage of that shipping. The judge conceded that coastal peoples may have some form of tenure over reefs and coastal waters for fishing but dismissed the case on the grounds </w:t>
      </w:r>
      <w:r w:rsidRPr="00071CFC">
        <w:rPr>
          <w:i/>
          <w:iCs/>
        </w:rPr>
        <w:t xml:space="preserve">inter alia </w:t>
      </w:r>
      <w:r w:rsidRPr="00071CFC">
        <w:t>that the Independent State of Papua New Guinea alone had the right to control passage at sea (Woods 1998).</w:t>
      </w:r>
    </w:p>
    <w:p w14:paraId="6F8F2630" w14:textId="77777777" w:rsidR="009F661C" w:rsidRPr="00071CFC" w:rsidRDefault="009F661C" w:rsidP="006C274B">
      <w:pPr>
        <w:pStyle w:val="DLText"/>
        <w:rPr>
          <w:b/>
        </w:rPr>
      </w:pPr>
      <w:r w:rsidRPr="00071CFC">
        <w:t>What distinguishes Papua New Guinean clan members from citizens of say Australia is not only their inability to purchase additional land from other clans or to divest themselves of existing holdings within their own "sovereignties" in favour either of acquiring others or giving up agricultural land in favour of urban domicile, but also their apparent lack of interest in acquiring freedom to buy or sell land outside their own clan's boundaries.  Yet there is no doubt that Papua New Guineans have a keen appreciation of the value of land for mining and forestry, and have become adept at auctioning rights of access in exchange for what they call compensation but which is really rental, even though as described above, in the absence of documented title there is great difficulty in determining to whom these rentals should be paid.</w:t>
      </w:r>
    </w:p>
    <w:p w14:paraId="61B8F9CB" w14:textId="77777777" w:rsidR="009F661C" w:rsidRPr="00071CFC" w:rsidRDefault="009F661C" w:rsidP="006C274B">
      <w:pPr>
        <w:pStyle w:val="DLText"/>
      </w:pPr>
      <w:r w:rsidRPr="00071CFC">
        <w:t>Many anthropologists and agronomists continue like Michael Bourke to be staunch defenders of the belief that communal land tenure is compatible with economic development. But although it is true that at most only some 3 per cent of Papua New Guinea’s land area has been alienated from customary owners to the State, from which individual leasehold titles may be purchased, Holzknecht's statement that “the unequivocal corollary of this is that some 97 per cent of the land area and resources are currently held in private hands</w:t>
      </w:r>
      <w:r w:rsidRPr="00071CFC">
        <w:rPr>
          <w:i/>
          <w:iCs/>
        </w:rPr>
        <w:t xml:space="preserve"> </w:t>
      </w:r>
      <w:r w:rsidRPr="00071CFC">
        <w:t>(sic)” seems mistaken (Holzknecht 1999: 141).</w:t>
      </w:r>
    </w:p>
    <w:p w14:paraId="1053D26A" w14:textId="77777777" w:rsidR="009F661C" w:rsidRPr="00071CFC" w:rsidRDefault="009F661C" w:rsidP="006C274B">
      <w:pPr>
        <w:pStyle w:val="DLText"/>
      </w:pPr>
      <w:r w:rsidRPr="00071CFC">
        <w:t xml:space="preserve">This appears to be a failure to distinguish between usufruct rights, whereby land owned communally may well be worked by individuals who </w:t>
      </w:r>
      <w:r w:rsidRPr="00071CFC">
        <w:lastRenderedPageBreak/>
        <w:t xml:space="preserve">retain the benefits of that work for their own purposes, and full ownership rights over for example not only certain valuable trees but also the land on which they stand. This is clear from Holzknecht’s further comment that in a traditional land tenure system “development of any kind cannot proceed without the explicit approval of the customary owners…through decisions made by customary corporate groups”. That requirement to obtain collective consent to any development from groups, rather than such development being freely undertaken by </w:t>
      </w:r>
      <w:r w:rsidRPr="00071CFC">
        <w:rPr>
          <w:i/>
          <w:iCs/>
        </w:rPr>
        <w:t>private individuals acting independently of each other</w:t>
      </w:r>
      <w:r w:rsidRPr="00071CFC">
        <w:t xml:space="preserve">, contradicts two of the four criteria laid down by Harding (exclusion and alienation) and forms the crux of the land issue in Papua New Guinea. </w:t>
      </w:r>
    </w:p>
    <w:p w14:paraId="7ABBF509" w14:textId="77777777" w:rsidR="009F661C" w:rsidRPr="00071CFC" w:rsidRDefault="009F661C" w:rsidP="006C274B">
      <w:pPr>
        <w:pStyle w:val="DLText"/>
      </w:pPr>
      <w:r w:rsidRPr="00071CFC">
        <w:t>Attempts by the Government, with World Bank encouragement, to move towards a system of individual land tenure culminated in the student-led riots in Port Moresby in 1995 and 2001. The rioters apparently believed that introduction of land registration would inevitably lead to landlessness, either through nationalisation of land by the government, or even to transfer to foreign ownership (Lea 1997; Lea 2001). In reality the proposals under discussion did not contemplate more than widening the scope for leasehold arrangements for land that would remain under customary control (Henao 2001).</w:t>
      </w:r>
    </w:p>
    <w:p w14:paraId="17B453E2" w14:textId="77777777" w:rsidR="009F661C" w:rsidRPr="00071CFC" w:rsidRDefault="009F661C" w:rsidP="006C274B">
      <w:pPr>
        <w:pStyle w:val="DLText"/>
      </w:pPr>
      <w:r w:rsidRPr="00071CFC">
        <w:t xml:space="preserve">It is not widely appreciated that in 2000 every single Papua New Guinean man, woman, and child could have been allocated title to over 8 hectares each, for Papua New Guinea has a land area of over 452,000 sq. kilometres, not to mention its very large oceanic area between and beyond its hundreds of islands, and a population in 2000 of just over 5.2 million. This implies a crude population density of about 11 persons per sq.km. (i.e. per 100 hectares), up from 6.5 in 1980, but still very low compared with Indonesia’s 114, if not with Australia’s 2. To be sure, much of Papua New Guinea’s terrain is steeply mountainous (albeit not more so than the Swiss alps) and some coastal areas of the mainland are swampy (but not more than much of the Netherlands was even 100 years ago), but compared with say Afghanistan, with its 27 million people in 640,000 sq.km. of equally rugged but arid mountains (a density of 40 per 100 hectares, i.e. 2.5 hectares per person), Papua New Guinea’s land endowment cannot be considered either small or ill-favoured. Indeed, with the average family household comprising 5-6 persons, the land availability </w:t>
      </w:r>
      <w:r w:rsidRPr="00071CFC">
        <w:rPr>
          <w:i/>
          <w:iCs/>
        </w:rPr>
        <w:t xml:space="preserve">per household </w:t>
      </w:r>
      <w:r w:rsidRPr="00071CFC">
        <w:t xml:space="preserve">is about 45-50 hectares, almost all of it well wooded, with large potential for expansion of tree crop production, many unexploited arable areas that are also suitable for intensive livestock production, and all generally within relatively short distances of clean running water, although that becomes problematic in (relatively infrequent) drought years. </w:t>
      </w:r>
    </w:p>
    <w:p w14:paraId="7C02B115" w14:textId="77777777" w:rsidR="009F661C" w:rsidRPr="00071CFC" w:rsidRDefault="009F661C" w:rsidP="006C274B">
      <w:pPr>
        <w:pStyle w:val="DLText"/>
      </w:pPr>
      <w:r w:rsidRPr="00071CFC">
        <w:lastRenderedPageBreak/>
        <w:t xml:space="preserve">Yet despite the evident plentiful availability of land </w:t>
      </w:r>
      <w:r w:rsidRPr="00071CFC">
        <w:rPr>
          <w:i/>
          <w:iCs/>
        </w:rPr>
        <w:t>per se</w:t>
      </w:r>
      <w:r w:rsidRPr="00071CFC">
        <w:t xml:space="preserve">, almost none of it is available for purchase for agricultural, commercial, or residential purposes, and there is as a result a serious shortage of land for other than purely subsistence production and the relatively limited cash cropping. One potent sign of Papua New Guinea’s land scarcity for development is the extraordinary absence in the whole country of both modern housing - apart from the few and small towns - and large-scale agricultural and tree-crop plantations other than the remaining handful in the alienated areas of the colonial period. The lack of availability of land for development also largely explains the absence of tourist resorts along nearly the whole length of the country’s coastline. </w:t>
      </w:r>
    </w:p>
    <w:p w14:paraId="0E506460" w14:textId="77777777" w:rsidR="009F661C" w:rsidRPr="00071CFC" w:rsidRDefault="009F661C" w:rsidP="006C274B">
      <w:pPr>
        <w:pStyle w:val="DLText"/>
      </w:pPr>
      <w:r w:rsidRPr="00071CFC">
        <w:t>The low levels of mortgage financing for homes in Papua New Guinea are discussed below. In the case of tourism, while Papua New Guinea’s long southern coastlines face part of the Great Barrier Reef, and other similar reefs with world-renowned diving possibilities, there is but a single tourist resort (Loloata Island) that exploits this resource, in contrast to both the hundreds on the other side of the reef in northern Queensland and to the dozen tourist resorts that have been developed on the mainland's northern coast and the New Guinea islands, where there is access to alienated land, mostly on former copra plantations. Evidently Papua New Guinea’s southern coastline provides little access to the credit secured against title that is usually necessary to develop the infrastructure for tourism.</w:t>
      </w:r>
    </w:p>
    <w:p w14:paraId="3D276029" w14:textId="77777777" w:rsidR="009F661C" w:rsidRPr="00071CFC" w:rsidRDefault="009F661C" w:rsidP="006C274B">
      <w:pPr>
        <w:pStyle w:val="DLText"/>
      </w:pPr>
      <w:r w:rsidRPr="00071CFC">
        <w:t>The lack of development of Papua New Guinea’s tourist potential, which is as great in the highlands as along the coastline, results in total annual inflows of foreign visitors (including business visitors) of less than 40,000, compared with 1,100,000 in Kenya in 2003, or Australia’s 2.5 million. Tourist resorts are labour intensive, create markets for local farm produce, generate substantial net foreign exchange, and provide income opportunities for cultural groups.</w:t>
      </w:r>
    </w:p>
    <w:p w14:paraId="2AA0E1F5" w14:textId="77777777" w:rsidR="009F661C" w:rsidRPr="00071CFC" w:rsidRDefault="009F661C" w:rsidP="006C274B">
      <w:pPr>
        <w:pStyle w:val="DLText"/>
      </w:pPr>
      <w:r w:rsidRPr="00071CFC">
        <w:t>Moreover if land ownership were clearly demarcated, it would greatly facilitate both the development of Papua New Guinea’s still largely untapped mineral resources and the more equitable distribution of the royalties and compensation payments required of the developers. Disputes between putative landowners - many of whom have been, as at Porgera and Mount Kare, new arrivals in project areas whose claims could not easily be contested by residents who had no evidence to support their own claims  - helped to delay some projects (e.g. the Gobe and Moran oilfields) and prevent others from being developed at all (Mount Kare goldfield) (Filer 1997; Ballard 1997; Golub 2007).</w:t>
      </w:r>
    </w:p>
    <w:p w14:paraId="79093E68" w14:textId="77777777" w:rsidR="009F661C" w:rsidRPr="00071CFC" w:rsidRDefault="009F661C" w:rsidP="006C274B">
      <w:pPr>
        <w:pStyle w:val="DLText"/>
      </w:pPr>
      <w:r w:rsidRPr="00071CFC">
        <w:t xml:space="preserve"> Holzknecht (1999; 144)  excuses the student-led demonstrations against land reform in 2001 by contending that “it cannot be overemphasized how </w:t>
      </w:r>
      <w:r w:rsidRPr="00071CFC">
        <w:lastRenderedPageBreak/>
        <w:t xml:space="preserve">important land is for individual and group identity, survival, continuity, security, and well-being in Papua New Guinea: to be landless is to be a person without roots, without merit, unpredictable, and undependable, a </w:t>
      </w:r>
      <w:r w:rsidRPr="00071CFC">
        <w:rPr>
          <w:i/>
          <w:iCs/>
        </w:rPr>
        <w:t>tripman”</w:t>
      </w:r>
      <w:r w:rsidRPr="00071CFC">
        <w:t xml:space="preserve"> (Pidgin for a drifter). Yet whatever those psychic and cultural benefits Papua New Guineans may derive from their land, there is no doubt that the income it yields them under present arrangements is not impressive and may well be falling in real terms, certainly in terms of cash incomes from crops like copra, cocoa and coffee, and quite possibly also in terms of food consumption per head. </w:t>
      </w:r>
    </w:p>
    <w:p w14:paraId="72AC03C7" w14:textId="77777777" w:rsidR="009F661C" w:rsidRPr="00826C4D" w:rsidRDefault="009F661C" w:rsidP="006C274B">
      <w:pPr>
        <w:pStyle w:val="DLHeading2"/>
      </w:pPr>
      <w:r w:rsidRPr="00826C4D">
        <w:t xml:space="preserve">Agricultural Exports of Customary Landowners </w:t>
      </w:r>
      <w:r>
        <w:br/>
      </w:r>
      <w:r w:rsidRPr="00826C4D">
        <w:t>in Papua New Guinea</w:t>
      </w:r>
    </w:p>
    <w:p w14:paraId="4C19EDFE" w14:textId="77777777" w:rsidR="009F661C" w:rsidRPr="00071CFC" w:rsidRDefault="009F661C" w:rsidP="006C274B">
      <w:pPr>
        <w:pStyle w:val="DLText"/>
      </w:pPr>
      <w:r w:rsidRPr="00071CFC">
        <w:t xml:space="preserve">The data on population growth and growth of the main exported cash crops since 1980 in Fig.1A show how output of coffee, cocoa, and copra oil has fallen behind population growth in Papua New Guinea – the population increased by over 70 per cent between 1980 and 2000, at an annual rate of 2.7 per cent, and output of these crops in 2000 was higher than in 1980 by 31%, 32%, and 41% respectively, with annual growth rates of less than 2 per cent. The fall in the Kina since 1994 has exaggerated the money value of the exports of these crops and thereby concealed the extent of the fall in the real value of output per head implied by the comparative growth rates displayed in Fig.1A. </w:t>
      </w:r>
    </w:p>
    <w:p w14:paraId="19CBF720" w14:textId="77777777" w:rsidR="009F661C" w:rsidRPr="00071CFC" w:rsidRDefault="009F661C" w:rsidP="006C274B">
      <w:pPr>
        <w:pStyle w:val="DLText"/>
      </w:pPr>
      <w:r w:rsidRPr="00071CFC">
        <w:t>The minimal growth since 1980 of production of coffee, cocoa and copra (and others like pyrethrum and rubber) contrasts with the belief that since most of the total output of these crops derives from smallholders working on customary land, “customary tenure systems are not an impediment to economic development”. However Holzknecht (2002: 156) accepts - somewhat inconsistently with his optimistic view of agricultural production in Papua New Guinea - that despite Papua New Guinea’s “tremendous potential to harness the benefits of …its strong social capital… there is significant underdevelopment; a very large proportion of its rural population do not have access to basic services. They live in situations of great economic and social hardship, and …suffer from a great poverty of opportunity… to such an extent that life in many villages is now worse than it was 10 or even 20 or more years ago”.</w:t>
      </w:r>
    </w:p>
    <w:p w14:paraId="40D455E6" w14:textId="77777777" w:rsidR="009F661C" w:rsidRPr="00071CFC" w:rsidRDefault="009F661C" w:rsidP="006C274B">
      <w:pPr>
        <w:pStyle w:val="DLText"/>
      </w:pPr>
      <w:r w:rsidRPr="00071CFC">
        <w:t xml:space="preserve">That is certainly an accurate depiction of living conditions in most of rural Papua New Guinea, and seems more consistent with Hobbes' account of lives that are "nasty, brutish, and short" than with claims of "subsistence affluence", for with affluence the people would hardly be suffering "great economic and social hardship". However there are exceptions, mostly but </w:t>
      </w:r>
      <w:r w:rsidRPr="00071CFC">
        <w:lastRenderedPageBreak/>
        <w:t>not exclusively in and around the great oil palm plantations in New Ireland, West New Britain, Milne Bay, and Oro Provinces, and the Ramu sugar estate in Morobe province. The casual visitor to these can hardly fail to be impressed by the relative prosperity of the neighbouring villages, based not only on supply of labour to the estates, although some of that tends to come from other parts of the country/province, but on their own production of oil palm (or sugar-cane as at Ramu) and on the general economic activity and social services (like clinics and schools) underpinned by the estates. Indeed, in West New Britain it is often said that the province has two governments - and they do not include either the provincial or the national government! Those people living in reasonable proximity to the plantations of New Britain Palm Oil Ltd (NBPOL) and Hargy Oil Ltd have come to rely on them for education and health facilities, and even road maintenance.</w:t>
      </w:r>
    </w:p>
    <w:p w14:paraId="2CF03924" w14:textId="77777777" w:rsidR="009F661C" w:rsidRPr="00071CFC" w:rsidRDefault="009F661C" w:rsidP="006C274B">
      <w:pPr>
        <w:pStyle w:val="DLText"/>
      </w:pPr>
      <w:r w:rsidRPr="00071CFC">
        <w:t xml:space="preserve">It is also suggestive that oil palm is the only tree crop to have increased output consistently faster than the population growth rate (Fig.1B). But two-thirds of Papua New Guinea’s palm oil is grown on 5 plantations, in New Ireland, West New Britain (2), Oro, and Milne Bay provinces, all but one which are now owned  by NBPOL, a public company listed on both the London and Port Moresby stock exchanges, but majority owned by Malaysian interests. The only plantation not operated by NBPOL is the small one at Hargy (WNB) owned by a Belgian firm. All but one of the five oil palm plantations operate on land alienated under German rule before 1918 (the exception is Milne Bay), with a minor balance of their output produced by smallholders on land largely managed for them by the companies. In general it is only the smallholder producers at NBPOL’s Hoskins in West New Britain who own their land as individual block holders. There are some small-scale outgrowers working customary land and supplying fresh fruit bunches to the estates’ mills in Milne Bay, Oro, at Hargy in West New Britain, and New Ireland, and there also outgrowers of sugarcane at Ramu, but they depend heavily on the estates for a range of services as well as access to the mills, which are of course all on alienated land, and their productivity even so falls well short of the nucleus estates’, by as much as four times in the case of Milne Bay (Koczberski et al. 2002). </w:t>
      </w:r>
    </w:p>
    <w:p w14:paraId="16CCD2BA" w14:textId="77777777" w:rsidR="009F661C" w:rsidRPr="00071CFC" w:rsidRDefault="009F661C" w:rsidP="006C274B">
      <w:pPr>
        <w:pStyle w:val="DLText"/>
      </w:pPr>
      <w:r w:rsidRPr="00071CFC">
        <w:t xml:space="preserve">Believers in the commercial development potential of customarily owned land have yet to explain why there has been no attempt by any of its “owners” to organise palm oil production in other feasible areas (e.g. in both East and West New Britain, New Ireland, East Sepik and Madang). They could use the legislation for establishing Incorporated Land Groups (“ILG”) that have been proposed as an alternative to land alienation, to raise finance and build their own milling facilities, but as explained by Lea (2001) such groups may well fare no better than individuals offering only their </w:t>
      </w:r>
      <w:r w:rsidRPr="00071CFC">
        <w:lastRenderedPageBreak/>
        <w:t xml:space="preserve">customary land rights as collateral to banks (see below) when they still refuse to contemplate alienation. The ILGs need not fill the entrepreneurial and managerial role, and some have indeed leased their land to the government for on-lease to plantations like New Britain Palm Oil, but as yet none has embarked on production of anything on its own account. </w:t>
      </w:r>
    </w:p>
    <w:p w14:paraId="4ABCE955" w14:textId="77777777" w:rsidR="009F661C" w:rsidRPr="00071CFC" w:rsidRDefault="009F661C" w:rsidP="006C274B">
      <w:pPr>
        <w:pStyle w:val="DLText"/>
      </w:pPr>
      <w:r w:rsidRPr="00071CFC">
        <w:t>The absence of own-account agricultural and commercial activities based on the ILG Act suggests that Helen Hughes' (2004) claim that non-plantation-based growth of the oil palm sector could provide offsetting export growth to compensate for the projected rapid decline of Papua New Guinea's oil and mining exports after 2010 is unlikely to be realized. Michael Bourke has demonstrated the improbability of this being feasible with the following data:</w:t>
      </w:r>
    </w:p>
    <w:p w14:paraId="4C5051D2" w14:textId="77777777" w:rsidR="009F661C" w:rsidRPr="00071CFC" w:rsidRDefault="009F661C" w:rsidP="006C274B">
      <w:pPr>
        <w:pStyle w:val="DLText"/>
      </w:pPr>
      <w:r w:rsidRPr="00071CFC">
        <w:t>The [average] FOB value of crude oil and minerals in 2001, 2002 and 2003 was K5155.4 million The [average] FOB price for palm oil for this period was K1095/tonne. Production of palm oil is about 3 tonne per hectare of planted oil palm. PNG exports of palm oil in 2003 were 326,900 tonnes. Hence PNG would need to produce 4,700,000 tonne of palm oil to totally replace crude oil and minerals [from over 1.5 million hectares compared with the present 108,000 hectares].</w:t>
      </w:r>
    </w:p>
    <w:p w14:paraId="405FCD5D" w14:textId="77777777" w:rsidR="009F661C" w:rsidRPr="00071CFC" w:rsidRDefault="009F661C" w:rsidP="006C274B">
      <w:pPr>
        <w:pStyle w:val="DLText"/>
      </w:pPr>
      <w:r w:rsidRPr="00071CFC">
        <w:t xml:space="preserve">However Bourke's evaluation (2005:13) that there is not enough suitable land to permit the massive expansion of oil palm production needed to replace revenue from oil, gold, and copper is questionable. Kenya's larger agricultural exports from a smaller area than in Papua New Guinea, despite a much larger population needing to be fed, suggests that there is scope for significant increases in palm oil and other agricultural production if not to the extent needed to replace the latter’s mineral revenues. But it would be necessary to go beyond the present mix of subsistence agriculture and smallholder cash crop production </w:t>
      </w:r>
    </w:p>
    <w:p w14:paraId="36564E17" w14:textId="77777777" w:rsidR="009F661C" w:rsidRPr="00071CFC" w:rsidRDefault="009F661C" w:rsidP="00697103">
      <w:pPr>
        <w:jc w:val="both"/>
        <w:rPr>
          <w:sz w:val="20"/>
          <w:szCs w:val="20"/>
          <w:lang w:val="en-US"/>
        </w:rPr>
      </w:pPr>
    </w:p>
    <w:p w14:paraId="27FE9203" w14:textId="77777777" w:rsidR="009F661C" w:rsidRPr="00071CFC" w:rsidRDefault="009F661C" w:rsidP="006C274B">
      <w:pPr>
        <w:pStyle w:val="DLText"/>
      </w:pPr>
      <w:r w:rsidRPr="00071CFC">
        <w:t>Moreover there is scope for Papua New Guinea’s landowners to do much more to develop their livestock resources to their full potential. Hide has documented the low productivity of the country’s pig industry, citing Gibson and Rozelle (1998) who estimated a rural production figure of 60,000 tonnes a year in 1996, from a total stock of about 1.8 million animals, valued at K243 million. This does not compare well with Australia’s annual output of 370,000 tonnes p.a. from a total stock of 2.6 million animals in 1999 valued at K1.4 billion Kina (Hide 2002; Australian Bureau of Statistics 2001).</w:t>
      </w:r>
    </w:p>
    <w:p w14:paraId="6C3445C5" w14:textId="77777777" w:rsidR="009F661C" w:rsidRPr="00071CFC" w:rsidRDefault="009F661C" w:rsidP="00E704F6">
      <w:pPr>
        <w:pStyle w:val="DLText"/>
      </w:pPr>
      <w:r w:rsidRPr="00071CFC">
        <w:t xml:space="preserve">Logging is the only other of Papua New Guinea’s primary industries to have grown more rapidly than the population (Fig.1B), and then only until 1996, when the World Bank obliged the government to impose penal </w:t>
      </w:r>
      <w:r w:rsidRPr="00071CFC">
        <w:lastRenderedPageBreak/>
        <w:t xml:space="preserve">taxation on log exports. Thereafter logging exports showed little growth until the Somare government cancelled the World Bank tax in 2004 since when growth of timber exports has resumed. As with oil palm, it is foreign companies, mostly Japanese and Malaysian, which play the leading role in commercial forestry. These companies operate under licences issued by the Government, nominally with the approval of, or in association with, local “landowners”. The licenses are a form of lease, but do not constitute transfer of ownership of the logging areas, and that in itself is often enough to inhibit loggers from replanting trees whose useful life would only emerge after their licenses expired. </w:t>
      </w:r>
    </w:p>
    <w:p w14:paraId="2C6577C0" w14:textId="77777777" w:rsidR="009F661C" w:rsidRPr="00071CFC" w:rsidRDefault="009F661C" w:rsidP="00E704F6">
      <w:pPr>
        <w:pStyle w:val="DLText"/>
      </w:pPr>
      <w:r w:rsidRPr="00071CFC">
        <w:t xml:space="preserve">In chapter nine we discuss the many reports that have revealed the extent of malpractice in the logging industry, beginning with the bribing of successive Ministers for Forestry and their departmental heads to secure licences, through breaches of permit conditions and transfer pricing to avoid Papua New Guinea export taxes, to exceeding sustainable cuts, and “persistent manipulation of resource owners (sic)”. The history of logging in Papua New Guinea is indeed one of failure by the putative owners of the resource to establish their rights and secure an equitable distribution of the industry’s profits, in large part because of their inability to prove their title to any given area (Filer 1997; 1999: 2004). </w:t>
      </w:r>
    </w:p>
    <w:p w14:paraId="4BAFCADB" w14:textId="77777777" w:rsidR="009F661C" w:rsidRPr="00071CFC" w:rsidRDefault="009F661C" w:rsidP="006C274B">
      <w:pPr>
        <w:pStyle w:val="DLText"/>
      </w:pPr>
      <w:r w:rsidRPr="00071CFC">
        <w:t>In short, the problem has been that the “resource owners” have had no proof of their own ownership rights, so that the logging companies were free to treat with a range of opportunist landowner companies that had no legal title but represented themselves as the “resource owners”, when in reality they were no more than the satraps of local politicians: “agreements about access to resources were made behind closed doors, with very little if any broad consultation with the majority of resource owners, (and the landowner companies) inevitably side with the loggers against their own people”. As a result royalties and other devolved benefits due from the licensees do not reach the customary residents of the affected areas who are the putative “landowners” (Holzknecht 1997: 98; 1999: 149).</w:t>
      </w:r>
      <w:r w:rsidRPr="00071CFC">
        <w:rPr>
          <w:rStyle w:val="FootnoteReference"/>
        </w:rPr>
        <w:t xml:space="preserve"> </w:t>
      </w:r>
    </w:p>
    <w:p w14:paraId="3205FFB0" w14:textId="77777777" w:rsidR="009F661C" w:rsidRPr="00071CFC" w:rsidRDefault="009F661C" w:rsidP="001D79C8">
      <w:pPr>
        <w:pStyle w:val="DLText"/>
      </w:pPr>
      <w:r w:rsidRPr="00071CFC">
        <w:t xml:space="preserve">Another indicator of the poor development outcomes in Papua New Guinea’s logging industry is a tendency for population growth to be slower in the non-alienated areas than it is in the census districts where mines or oil palm estates operate on alienated land. Western Province is a case in point, with the fastest population growth in the North Fly district that hosts the Ok Tedi mine, and the slowest in the Middle and South Fly Districts, except around Wawoi-Guavi in the south-east where Rimbunan-Hijao has since 1988 developed a major timber processing project (veneer and plywood) based on sustainable logging and employing over 1,500 workers (more than Ok Tedi). Similarly in West Sepik, where the only significant commercial </w:t>
      </w:r>
      <w:r w:rsidRPr="00071CFC">
        <w:lastRenderedPageBreak/>
        <w:t xml:space="preserve">activity is a large logging project, population growth since 1980 is well below the national average (NSO, 2002). In the absence of title or long-term leases, some loggers there have had little incentive to replant logged-out areas with the plantation timber that is necessary to sustain the large-scale capital investment needed to establish a timber processing industry with its significant labour requirements. By contrast Papua New Guinea’s long established plantation and timber-processing industry, in Bulolo, largely accounts for the growing density of population in the Wau-Bulolo valley. We provide a full account of the  issue in regard to Papa New Guinea’s forestry sector in Chapter Nine. </w:t>
      </w:r>
    </w:p>
    <w:p w14:paraId="2B2ECB65" w14:textId="77777777" w:rsidR="009F661C" w:rsidRPr="00826C4D" w:rsidRDefault="009F661C" w:rsidP="006C274B">
      <w:pPr>
        <w:pStyle w:val="DLHeading2"/>
      </w:pPr>
      <w:r w:rsidRPr="00826C4D">
        <w:t>Conclusion</w:t>
      </w:r>
    </w:p>
    <w:p w14:paraId="3D3DADF8" w14:textId="77777777" w:rsidR="009F661C" w:rsidRPr="00071CFC" w:rsidRDefault="009F661C" w:rsidP="00E704F6">
      <w:pPr>
        <w:pStyle w:val="DLText"/>
      </w:pPr>
      <w:r w:rsidRPr="00071CFC">
        <w:t xml:space="preserve">We previously commented on Power’s contribution (2009) to the Australian Government’s gloss on land titling policy in Papua New Guinea and the rest of the South Pacific (AusAid, 2009). Power claimed (2009:15) “the incorporation of land groups can enable the development of substantial agricultural operations, such as the oil palm plantations in West New Britain. Landowners can use incorporation to extract substantial benefits in terms of income, employment, and social and infrastructure services from land”. Remarkably for a lavishly funded governmental report, Power provided no evidence of any kind to validate or quantify these “substantial benefits” allegedly produced by sundry always un-named incorporated landowner groups, other than royalties (i.e. rents) arising from the “lease lease-back” system. The truth is that all oil-palm production processed by NBPOL other than its own direct production is attributable only to “block-holders” acting on their own behalf. </w:t>
      </w:r>
    </w:p>
    <w:p w14:paraId="0247D97D" w14:textId="77777777" w:rsidR="009F661C" w:rsidRPr="00071CFC" w:rsidRDefault="009F661C" w:rsidP="00697103">
      <w:pPr>
        <w:autoSpaceDE w:val="0"/>
        <w:autoSpaceDN w:val="0"/>
        <w:adjustRightInd w:val="0"/>
        <w:jc w:val="both"/>
        <w:rPr>
          <w:sz w:val="20"/>
          <w:szCs w:val="20"/>
        </w:rPr>
      </w:pPr>
    </w:p>
    <w:p w14:paraId="196F5473" w14:textId="77777777" w:rsidR="009F661C" w:rsidRPr="00071CFC" w:rsidRDefault="009F661C" w:rsidP="006C274B">
      <w:pPr>
        <w:pStyle w:val="DLText"/>
      </w:pPr>
      <w:r w:rsidRPr="00071CFC">
        <w:t xml:space="preserve">Power also claims (2009:15) that “a benefit (sic) of incorporated land groups is that the responsibility of how to use or distribute their income is in the hands of the customary landowners through the incorporated groups. How they deal with the proceeds is subject to the constitutions of the incorporated groups, but the mechanisms and decision-making processes are able to reflect traditional practices”. Here we come to the nub, for at the end of the day the philosophy underlying the whole concept of “incorporated” land groups is not far removed from the collectivism of Stalinist USSR or the “ujamaa” of Julius Nyerere’s Arusha declaration in Tanzania (1968), whereby in each case all private (individualistic) enterprise was eschewed or forbidden. Stalin and Nyerere could not have put it better than Power in his extolling of the benefits of removing any nexus between the efforts of individuals and their rewards. There is </w:t>
      </w:r>
      <w:r w:rsidRPr="00071CFC">
        <w:lastRenderedPageBreak/>
        <w:t>consequently an ideological divide between the positions we adopt in this book and that endorsed (no doubt unwittingly at higher levels) by AusAid (2009). What is astounding is that AusAid (2009) allowed to be published under its imprint two volumes extolling the collectivisation that both Russia and China abandoned after 1990.</w:t>
      </w:r>
    </w:p>
    <w:p w14:paraId="5F07708E" w14:textId="77777777" w:rsidR="009F661C" w:rsidRPr="00071CFC" w:rsidRDefault="009F661C" w:rsidP="006C274B">
      <w:pPr>
        <w:pStyle w:val="DLText"/>
      </w:pPr>
    </w:p>
    <w:p w14:paraId="3B75F1F2" w14:textId="77777777" w:rsidR="009F661C" w:rsidRPr="00071CFC" w:rsidRDefault="009F661C" w:rsidP="006C274B">
      <w:pPr>
        <w:pStyle w:val="DLText"/>
      </w:pPr>
    </w:p>
    <w:p w14:paraId="36CF9C25" w14:textId="77777777" w:rsidR="009F661C" w:rsidRPr="00071CFC" w:rsidRDefault="009F661C" w:rsidP="006C274B">
      <w:pPr>
        <w:pStyle w:val="DLText"/>
      </w:pPr>
    </w:p>
    <w:p w14:paraId="55A5F901" w14:textId="77777777" w:rsidR="009F661C" w:rsidRPr="00071CFC" w:rsidRDefault="009F661C" w:rsidP="006C274B">
      <w:pPr>
        <w:pStyle w:val="DLText"/>
      </w:pPr>
    </w:p>
    <w:p w14:paraId="5B4E72BA" w14:textId="77777777" w:rsidR="009F661C" w:rsidRPr="00071CFC" w:rsidRDefault="009F661C" w:rsidP="006C274B">
      <w:pPr>
        <w:pStyle w:val="DLText"/>
      </w:pPr>
    </w:p>
    <w:p w14:paraId="6B9441D4" w14:textId="77777777" w:rsidR="009F661C" w:rsidRPr="00071CFC" w:rsidRDefault="009F661C" w:rsidP="006C274B">
      <w:pPr>
        <w:pStyle w:val="DLText"/>
      </w:pPr>
    </w:p>
    <w:p w14:paraId="31AE5050" w14:textId="77777777" w:rsidR="009F661C" w:rsidRPr="00071CFC" w:rsidRDefault="009F661C" w:rsidP="006C274B">
      <w:pPr>
        <w:pStyle w:val="DLText"/>
      </w:pPr>
    </w:p>
    <w:p w14:paraId="074BCEEE" w14:textId="77777777" w:rsidR="009F661C" w:rsidRPr="00071CFC" w:rsidRDefault="009F661C" w:rsidP="006C274B">
      <w:pPr>
        <w:pStyle w:val="DLText"/>
      </w:pPr>
    </w:p>
    <w:p w14:paraId="024E26FA" w14:textId="77777777" w:rsidR="009F661C" w:rsidRPr="00071CFC" w:rsidRDefault="009F661C" w:rsidP="006C274B">
      <w:pPr>
        <w:pStyle w:val="DLText"/>
      </w:pPr>
    </w:p>
    <w:p w14:paraId="0B3A063C" w14:textId="77777777" w:rsidR="009F661C" w:rsidRPr="00071CFC" w:rsidRDefault="009F661C" w:rsidP="006C274B">
      <w:pPr>
        <w:pStyle w:val="DLText"/>
      </w:pPr>
    </w:p>
    <w:p w14:paraId="4C0DF53B" w14:textId="77777777" w:rsidR="009F661C" w:rsidRPr="00071CFC" w:rsidRDefault="009F661C" w:rsidP="006C274B">
      <w:pPr>
        <w:pStyle w:val="DLText"/>
      </w:pPr>
    </w:p>
    <w:p w14:paraId="4E85A334" w14:textId="77777777" w:rsidR="009F661C" w:rsidRPr="00071CFC" w:rsidRDefault="009F661C" w:rsidP="006C274B">
      <w:pPr>
        <w:pStyle w:val="DLText"/>
      </w:pPr>
    </w:p>
    <w:p w14:paraId="77D2D715" w14:textId="77777777" w:rsidR="009F661C" w:rsidRPr="00071CFC" w:rsidRDefault="009F661C" w:rsidP="006C274B">
      <w:pPr>
        <w:pStyle w:val="DLText"/>
      </w:pPr>
    </w:p>
    <w:p w14:paraId="6E922E9F" w14:textId="77777777" w:rsidR="009F661C" w:rsidRPr="00071CFC" w:rsidRDefault="009F661C" w:rsidP="006C274B">
      <w:pPr>
        <w:pStyle w:val="DLText"/>
      </w:pPr>
    </w:p>
    <w:p w14:paraId="79137C79" w14:textId="77777777" w:rsidR="009F661C" w:rsidRPr="00071CFC" w:rsidRDefault="009F661C" w:rsidP="006C274B">
      <w:pPr>
        <w:pStyle w:val="DLText"/>
      </w:pPr>
    </w:p>
    <w:p w14:paraId="7B9B31C1" w14:textId="77777777" w:rsidR="009F661C" w:rsidRPr="00071CFC" w:rsidRDefault="009F661C" w:rsidP="006C274B">
      <w:pPr>
        <w:pStyle w:val="DLText"/>
      </w:pPr>
    </w:p>
    <w:p w14:paraId="0BD0A670" w14:textId="77777777" w:rsidR="009F661C" w:rsidRPr="00071CFC" w:rsidRDefault="009F661C" w:rsidP="006C274B">
      <w:pPr>
        <w:pStyle w:val="DLText"/>
      </w:pPr>
    </w:p>
    <w:p w14:paraId="5E8DCAC3" w14:textId="77777777" w:rsidR="009F661C" w:rsidRPr="00071CFC" w:rsidRDefault="009F661C" w:rsidP="006C274B">
      <w:pPr>
        <w:pStyle w:val="DLText"/>
      </w:pPr>
    </w:p>
    <w:p w14:paraId="00A87DE6" w14:textId="77777777" w:rsidR="009F661C" w:rsidRPr="00071CFC" w:rsidRDefault="009F661C" w:rsidP="006C274B">
      <w:pPr>
        <w:pStyle w:val="DLText"/>
      </w:pPr>
    </w:p>
    <w:p w14:paraId="5AF298F9" w14:textId="77777777" w:rsidR="009F661C" w:rsidRPr="00071CFC" w:rsidRDefault="009F661C" w:rsidP="006C274B">
      <w:pPr>
        <w:pStyle w:val="DLText"/>
      </w:pPr>
    </w:p>
    <w:p w14:paraId="27E3800C" w14:textId="77777777" w:rsidR="009F661C" w:rsidRPr="00071CFC" w:rsidRDefault="009F661C" w:rsidP="006C274B">
      <w:pPr>
        <w:pStyle w:val="DLText"/>
      </w:pPr>
    </w:p>
    <w:p w14:paraId="5DB40767" w14:textId="77777777" w:rsidR="009F661C" w:rsidRPr="00071CFC" w:rsidRDefault="009F661C" w:rsidP="006C274B">
      <w:pPr>
        <w:pStyle w:val="DLText"/>
      </w:pPr>
    </w:p>
    <w:p w14:paraId="5E8CD95A" w14:textId="77777777" w:rsidR="009F661C" w:rsidRPr="00071CFC" w:rsidRDefault="009F661C" w:rsidP="006C274B">
      <w:pPr>
        <w:pStyle w:val="DLText"/>
      </w:pPr>
    </w:p>
    <w:p w14:paraId="5C7B30DA" w14:textId="77777777" w:rsidR="009F661C" w:rsidRPr="00071CFC" w:rsidRDefault="009F661C" w:rsidP="006C274B">
      <w:pPr>
        <w:pStyle w:val="DLText"/>
        <w:sectPr w:rsidR="009F661C" w:rsidRPr="00071CFC" w:rsidSect="00503FDD">
          <w:headerReference w:type="even" r:id="rId25"/>
          <w:headerReference w:type="default" r:id="rId26"/>
          <w:footnotePr>
            <w:numRestart w:val="eachSect"/>
          </w:footnotePr>
          <w:type w:val="oddPage"/>
          <w:pgSz w:w="8392" w:h="11907" w:code="11"/>
          <w:pgMar w:top="1418" w:right="1191" w:bottom="851" w:left="1191" w:header="851" w:footer="0" w:gutter="0"/>
          <w:cols w:space="708"/>
          <w:titlePg/>
          <w:docGrid w:linePitch="360"/>
        </w:sectPr>
      </w:pPr>
    </w:p>
    <w:p w14:paraId="7D0E0F41" w14:textId="77777777" w:rsidR="009F661C" w:rsidRPr="00826C4D" w:rsidRDefault="009F661C" w:rsidP="006F17DD">
      <w:pPr>
        <w:pStyle w:val="DLHeading"/>
        <w:rPr>
          <w:szCs w:val="32"/>
        </w:rPr>
      </w:pPr>
      <w:r w:rsidRPr="00826C4D">
        <w:rPr>
          <w:szCs w:val="32"/>
        </w:rPr>
        <w:lastRenderedPageBreak/>
        <w:t>Chapter Eight</w:t>
      </w:r>
    </w:p>
    <w:p w14:paraId="1F6C3EAE" w14:textId="77777777" w:rsidR="009F661C" w:rsidRPr="00826C4D" w:rsidRDefault="009F661C" w:rsidP="00A649EE">
      <w:pPr>
        <w:pStyle w:val="DLHeading"/>
        <w:rPr>
          <w:szCs w:val="32"/>
        </w:rPr>
      </w:pPr>
      <w:r w:rsidRPr="00826C4D">
        <w:rPr>
          <w:szCs w:val="32"/>
        </w:rPr>
        <w:t xml:space="preserve">Food </w:t>
      </w:r>
      <w:r>
        <w:rPr>
          <w:szCs w:val="32"/>
        </w:rPr>
        <w:t>Security</w:t>
      </w:r>
      <w:r w:rsidRPr="00826C4D">
        <w:rPr>
          <w:szCs w:val="32"/>
        </w:rPr>
        <w:t xml:space="preserve"> of C</w:t>
      </w:r>
      <w:r>
        <w:rPr>
          <w:szCs w:val="32"/>
        </w:rPr>
        <w:t xml:space="preserve">ustomary </w:t>
      </w:r>
      <w:r w:rsidRPr="00826C4D">
        <w:rPr>
          <w:szCs w:val="32"/>
        </w:rPr>
        <w:t xml:space="preserve">Landowners </w:t>
      </w:r>
    </w:p>
    <w:p w14:paraId="16AD5BAD" w14:textId="77777777" w:rsidR="009F661C" w:rsidRPr="00071CFC" w:rsidRDefault="009F661C" w:rsidP="006F17DD">
      <w:pPr>
        <w:pStyle w:val="DLText"/>
      </w:pPr>
    </w:p>
    <w:p w14:paraId="13A2B3BF" w14:textId="77777777" w:rsidR="009F661C" w:rsidRDefault="009F661C" w:rsidP="006F17DD">
      <w:pPr>
        <w:pStyle w:val="DLText"/>
      </w:pPr>
    </w:p>
    <w:p w14:paraId="63D66D31" w14:textId="77777777" w:rsidR="009F661C" w:rsidRPr="00071CFC" w:rsidRDefault="009F661C" w:rsidP="006F17DD">
      <w:pPr>
        <w:pStyle w:val="DLText"/>
      </w:pPr>
    </w:p>
    <w:p w14:paraId="3427E398" w14:textId="77777777" w:rsidR="009F661C" w:rsidRPr="00071CFC" w:rsidRDefault="009F661C" w:rsidP="006F17DD">
      <w:pPr>
        <w:pStyle w:val="DLText"/>
      </w:pPr>
      <w:r w:rsidRPr="00071CFC">
        <w:t xml:space="preserve">Communal landowners’ food production is even less impressive than their cash crop production. In the absence of food exports, other than the beverages, palm oil and sugar mentioned in Chapter 4, despite Papua New Guinea’s volcanic soils and excellent rainfall, vastly superior on both counts to Australia’s, there is very little food production data, and almost none at all in the form of time series (Bourke </w:t>
      </w:r>
      <w:r w:rsidRPr="00071CFC">
        <w:rPr>
          <w:i/>
          <w:iCs/>
        </w:rPr>
        <w:t>et al</w:t>
      </w:r>
      <w:r w:rsidRPr="00071CFC">
        <w:t xml:space="preserve">., 2004). There are a few snapshots: the Provincial Working Papers on Agricultural Systems of Papua New Guinea, like that for the Western Highlands Province include data on food consumption of farmers working with various crop systems in 1983 (Hide </w:t>
      </w:r>
      <w:r w:rsidRPr="00071CFC">
        <w:rPr>
          <w:i/>
          <w:iCs/>
        </w:rPr>
        <w:t xml:space="preserve">et al. </w:t>
      </w:r>
      <w:r w:rsidRPr="00071CFC">
        <w:t xml:space="preserve">1995). Gibson and Rozelle (1998) were responsible for a national poverty assessment based on household surveys in 1996; see also the chapters by Gibson in the conference volume </w:t>
      </w:r>
      <w:r w:rsidRPr="00071CFC">
        <w:rPr>
          <w:i/>
          <w:iCs/>
        </w:rPr>
        <w:t xml:space="preserve">Food Security for Papua New  Guinea, </w:t>
      </w:r>
      <w:r w:rsidRPr="00071CFC">
        <w:rPr>
          <w:iCs/>
        </w:rPr>
        <w:t>Bourke et al. 2001</w:t>
      </w:r>
      <w:r w:rsidRPr="00071CFC">
        <w:rPr>
          <w:i/>
          <w:iCs/>
        </w:rPr>
        <w:t>.</w:t>
      </w:r>
      <w:r w:rsidRPr="00071CFC">
        <w:t xml:space="preserve">   </w:t>
      </w:r>
    </w:p>
    <w:p w14:paraId="7952FC2E" w14:textId="77777777" w:rsidR="009F661C" w:rsidRPr="00071CFC" w:rsidRDefault="009F661C" w:rsidP="00254223">
      <w:pPr>
        <w:pStyle w:val="DLText"/>
      </w:pPr>
      <w:r w:rsidRPr="00071CFC">
        <w:t>Hanson et al. (2001) provide maps of the population distribution, agricultural potential,  areas of food cultivation, access to service centres, and estimated levels of income by area in each of the 19 provinces. The general picture in each province is one of relatively low population density (even in the Highlands provinces, .e.g. Eastern Highlands, with mostly less than 100 persons per sq. km despite very high agricultural potential, p.155), a high proportion of subsistence production, and the associated very low levels of income (for most people less than A$50 per person per year, or about A$300-350 per household). Thus the rural population of est. 4 million (about 80 percent of the total population, Hanson et al. 2001:296) had an average per person cash income of about 70 Kina (A$44), and the total income of the rural population amounted to barely 3 percent of the country’s total national income (i.e. GDP) of K9.7 billion in 2000 (A$6 billion) – see Table 7.1.</w:t>
      </w:r>
    </w:p>
    <w:p w14:paraId="7FA1793A" w14:textId="77777777" w:rsidR="009F661C" w:rsidRPr="00071CFC" w:rsidRDefault="009F661C" w:rsidP="00ED1E49">
      <w:pPr>
        <w:ind w:firstLine="720"/>
        <w:jc w:val="both"/>
        <w:rPr>
          <w:sz w:val="20"/>
          <w:szCs w:val="20"/>
          <w:lang w:val="en-US"/>
        </w:rPr>
      </w:pPr>
    </w:p>
    <w:p w14:paraId="70B4A479" w14:textId="77777777" w:rsidR="009F661C" w:rsidRPr="00071CFC" w:rsidRDefault="009F661C" w:rsidP="00204E2C">
      <w:pPr>
        <w:pStyle w:val="DLText"/>
        <w:ind w:firstLine="0"/>
        <w:jc w:val="center"/>
      </w:pPr>
      <w:r w:rsidRPr="00071CFC">
        <w:object w:dxaOrig="8135" w:dyaOrig="3364" w14:anchorId="0BBE09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pt;height:124pt" o:ole="">
            <v:imagedata r:id="rId27" o:title=""/>
          </v:shape>
          <o:OLEObject Type="Embed" ProgID="Excel.Sheet.12" ShapeID="_x0000_i1025" DrawAspect="Content" ObjectID="_1616412832" r:id="rId28"/>
        </w:object>
      </w:r>
    </w:p>
    <w:p w14:paraId="5D16A047" w14:textId="77777777" w:rsidR="009F661C" w:rsidRPr="00071CFC" w:rsidRDefault="009F661C" w:rsidP="00254223">
      <w:pPr>
        <w:pStyle w:val="DLText"/>
      </w:pPr>
      <w:r w:rsidRPr="00204E2C">
        <w:rPr>
          <w:spacing w:val="-2"/>
        </w:rPr>
        <w:t>The statistics in Table 7.1 demonstrate how trivially low the contribution</w:t>
      </w:r>
      <w:r w:rsidRPr="00071CFC">
        <w:t xml:space="preserve"> of untitled “landowners” to their national income (also known as Gross Domestic Product, economists’ term for the total of all of a nation’s income recipients’ income deriving from that nation). It almost beggars belief that 80 percent of Papua New Guinea’s people contribute less than 3 percent of their country’s total income. Yet academics, at most notably </w:t>
      </w:r>
      <w:r w:rsidRPr="00204E2C">
        <w:rPr>
          <w:spacing w:val="-2"/>
        </w:rPr>
        <w:t>Australia’s ANU, like Bourke et al. (2001) think they are doing remarkabl</w:t>
      </w:r>
      <w:r>
        <w:t xml:space="preserve">y well. </w:t>
      </w:r>
    </w:p>
    <w:p w14:paraId="480FBA67" w14:textId="77777777" w:rsidR="009F661C" w:rsidRPr="00071CFC" w:rsidRDefault="009F661C" w:rsidP="00254223">
      <w:pPr>
        <w:pStyle w:val="DLText"/>
      </w:pPr>
      <w:r w:rsidRPr="00071CFC">
        <w:t xml:space="preserve">The limitations of subsistence food production are also illustrated by an earlier Western Highlands survey: some hundreds of families in each district were asked in 1982/3 what they had eaten the previous day: in a typical district 97 per cent reported eating sweet potato, 15 per cent banana, 5 per cent taro, 2 per cent cassava, 2 per cent fish, and 24 per cent ate rice (Hide </w:t>
      </w:r>
      <w:r w:rsidRPr="00071CFC">
        <w:rPr>
          <w:i/>
          <w:iCs/>
        </w:rPr>
        <w:t>et al.</w:t>
      </w:r>
      <w:r w:rsidRPr="00071CFC">
        <w:t xml:space="preserve">, 1995:25). All except the rice was grown locally. Apparently no meat or poultry was consumed, and apart from pork, reserved for special feasts, virtually none is produced, apart from cattle in a few areas and non-commercial quantities of poultry. </w:t>
      </w:r>
    </w:p>
    <w:p w14:paraId="1E6EEFDD" w14:textId="77777777" w:rsidR="009F661C" w:rsidRPr="00071CFC" w:rsidRDefault="009F661C" w:rsidP="00254223">
      <w:pPr>
        <w:pStyle w:val="DLText"/>
      </w:pPr>
      <w:r w:rsidRPr="00071CFC">
        <w:t>Duncan and Temu (1995: 37) suggested that the value of subsistence production in the national accounts is under-estimated, for example, at only K396 million in 1989, and that it is likely to be contributing more than half of agriculture’s share of GDP. Gibson and Rozelle (1998, 19) support this view by indicating a value of total rural household food production of K1.3 billion in 1995 (including a large estimate of the non- cash inco</w:t>
      </w:r>
      <w:r>
        <w:t>me absent from Table 7.1 above)</w:t>
      </w:r>
      <w:r w:rsidRPr="00071CFC">
        <w:t xml:space="preserve">. But that apparently large amount reduces to only K362 per person of Papua New Guinea’s rural population in 1995, i.e. about one Kina per person per day (equal to US$0.70 in 1995, so less than the US$1.00 per person per day considered by the World Bank to be the bare minimum for survival). Bourke (2005) provided estimates of staple food crop production in Papua New Guinea in 2000, arriving at a total of 4.5 million tonnes, yielding a per capita calorie consumption of nearly 3,000 without taking into account consumption of imported foods. He suggests </w:t>
      </w:r>
      <w:r w:rsidRPr="00071CFC">
        <w:lastRenderedPageBreak/>
        <w:t>that the value of the domestic crops may be estimated from the amount of rice that would yield the equivalent level of calories, namely 1.19 million tonnes, worth K2.73 million at the wholesale price of rice in Papua New Guinea in 2000, or about K1.5 (then about US$0.5) per person of the total population per day, and so less than the Gibson and Rozelle (1998) estimate for 1996 (Burke 2005).</w:t>
      </w:r>
      <w:r w:rsidRPr="00071CFC">
        <w:rPr>
          <w:rStyle w:val="FootnoteReference"/>
        </w:rPr>
        <w:footnoteReference w:id="10"/>
      </w:r>
    </w:p>
    <w:p w14:paraId="20F4C116" w14:textId="77777777" w:rsidR="009F661C" w:rsidRPr="00071CFC" w:rsidRDefault="009F661C" w:rsidP="00254223">
      <w:pPr>
        <w:pStyle w:val="DLText"/>
      </w:pPr>
      <w:r w:rsidRPr="00071CFC">
        <w:t xml:space="preserve">It should however be noted that such per capita income data, which average total production over the population as a whole, conceal considerable variations. Apart from some quite large farms like those around Goroka described by Benediktson and the oil palm block holders in West New Britain that generate substantial cash incomes in addition to basic food self-sufficiency, compensation paid to  landowners in the main mining project areas provided substantial cash. For example, some of the landowners in the Porgera Valley were paid amounts by the mining company that varied from K15,000 per hectare for unimproved bush to K35,000 per hectare for land under active cultivation with many improvements, at a time when the Kina was nominally worth slightly more than US$1.00 (Burton 1999).. </w:t>
      </w:r>
    </w:p>
    <w:p w14:paraId="68A02DA0" w14:textId="77777777" w:rsidR="009F661C" w:rsidRPr="00071CFC" w:rsidRDefault="009F661C" w:rsidP="00254223">
      <w:pPr>
        <w:pStyle w:val="DLText"/>
      </w:pPr>
      <w:r w:rsidRPr="00071CFC">
        <w:t>The latter figure implies an annual income of around K3,500 per hectare – but confirms Hernando de Soto’s vision of the underlying but unrealized wealth of  the poor in developing countries like Papua New Guinea. With security of K35,000, a titled landowner could expect to borrow as much as K100,000 if he or she envisaged projects (e.g. housing for rental to Porgera’s mineworkers, pumps, fencing, purchase of stock) yielding enough to service that debt – see below for a discussion of the low level of bank lending for agriculture in Papua New Guinea.</w:t>
      </w:r>
    </w:p>
    <w:p w14:paraId="64033BA6" w14:textId="77777777" w:rsidR="009F661C" w:rsidRPr="00071CFC" w:rsidRDefault="009F661C" w:rsidP="00254223">
      <w:pPr>
        <w:pStyle w:val="DLText"/>
      </w:pPr>
      <w:r w:rsidRPr="00071CFC">
        <w:t>Even more striking is the growth of a real estate market at Hoskins in West New Britain, where titled blocks of 4-6 hectares of planted oil palm were selling for over K3,000 per hectare in 1999-2000. In the same area even unplanted customary land has been fetching K2,000 per hectare, owing to its potential for oil palm. Such land prices not only confirm De Soto's assessment but also suggest that the aggregate value of unimproved rural land in Papua New Guinea could be as much as K50 billion if it was monetized as at Hoskins (Koczberski, et al., 2001, 81).</w:t>
      </w:r>
    </w:p>
    <w:p w14:paraId="6B14380D" w14:textId="77777777" w:rsidR="009F661C" w:rsidRPr="00071CFC" w:rsidRDefault="009F661C" w:rsidP="00254223">
      <w:pPr>
        <w:pStyle w:val="DLText"/>
      </w:pPr>
      <w:r w:rsidRPr="00071CFC">
        <w:t xml:space="preserve">Part of the explanation for the relatively slow growth of the smallholder cash crop sector may be that it is switching some of its labour input from non-food cash crops to food production for the growing population. Data to </w:t>
      </w:r>
      <w:r w:rsidRPr="00071CFC">
        <w:lastRenderedPageBreak/>
        <w:t>document any such trend, if it exists, is not available, other than the claim in the 1996 Household Survey of insufficient food production to provide an adequate intake of calories by the rural population, with 42 per cent of the rural population receiving less than 2200 calories per day (Gibson 2001,409). But that is likely to be an over-statement. It is necessary to distinguish between relative and absolute poverty, and also to avoid giving like Chand (2004) an impression of widespread starvation and malnutrition (Curtin, 2005).</w:t>
      </w:r>
    </w:p>
    <w:p w14:paraId="01B74862" w14:textId="77777777" w:rsidR="009F661C" w:rsidRPr="00071CFC" w:rsidRDefault="009F661C" w:rsidP="00B071AB">
      <w:pPr>
        <w:pStyle w:val="DLText"/>
      </w:pPr>
      <w:r w:rsidRPr="00071CFC">
        <w:t>The World Bank's data derived from a household survey undertaken in 1996 by Gibson and Rozelle (1998, 2003). This survey deemed that all with incomes insufficient to achieve a prescribed minimum food calorie consumption level were living in poverty.</w:t>
      </w:r>
      <w:r w:rsidRPr="00071CFC">
        <w:rPr>
          <w:rStyle w:val="FootnoteReference"/>
        </w:rPr>
        <w:footnoteReference w:id="11"/>
      </w:r>
      <w:r w:rsidRPr="00071CFC">
        <w:t xml:space="preserve"> The survey set the poverty minimum as per adult equivalent daily consumption of 2200 calories, but that is usually considered a normal rather than poverty level of food consumption. Even the FAO, notorious for exaggerating food deficits, distinguishes between "average calorie requirement" and "minimum calorie requirement", with the former at between 2100 and 2220 and the latter at between 1790 and 1880 (for various regions of the world) (Svedberg 2003, 11). Using FAO minima would of course greatly reduce the proportion of Papua New Guineans deemed by Gibson and Rozelle (1998)</w:t>
      </w:r>
      <w:r w:rsidRPr="00071CFC">
        <w:rPr>
          <w:i/>
          <w:iCs/>
        </w:rPr>
        <w:t xml:space="preserve"> </w:t>
      </w:r>
      <w:r w:rsidRPr="00071CFC">
        <w:t>to be living in poverty, from 37-42 per cent to probably less than 12 per cent, as they showed even the bottom quartile of households enjoyed consumption of 1955 calories per day per adult equivalent, well above the FAO's lowest minimum of 1790.</w:t>
      </w:r>
      <w:r w:rsidRPr="00071CFC">
        <w:rPr>
          <w:rStyle w:val="FootnoteReference"/>
        </w:rPr>
        <w:footnoteReference w:id="12"/>
      </w:r>
      <w:r w:rsidRPr="00071CFC">
        <w:t xml:space="preserve"> </w:t>
      </w:r>
    </w:p>
    <w:p w14:paraId="6F607C3D" w14:textId="77777777" w:rsidR="009F661C" w:rsidRPr="00071CFC" w:rsidRDefault="009F661C" w:rsidP="00254223">
      <w:pPr>
        <w:pStyle w:val="DLText"/>
      </w:pPr>
      <w:r w:rsidRPr="00071CFC">
        <w:t xml:space="preserve">A major defect in the Gibson and Rozelle (1998, 55) survey is that it derives monetary valuations of its postulated minimum diet when in reality most food consumption of the majority of Papua New Guineans is own-produced by themselves as subsistence farmers and is therefore not priced to cover the costs of transport to and sales in urban areas (including </w:t>
      </w:r>
      <w:r w:rsidRPr="00071CFC">
        <w:lastRenderedPageBreak/>
        <w:t>wholesale and retail margins). Hence the stated minimum income per adult (to attain the supposed minimum diet of 2200 calories at market prices) is likely to exaggerate the cost of minimum levels of production for own subsistence consumption.</w:t>
      </w:r>
    </w:p>
    <w:p w14:paraId="638B298B" w14:textId="77777777" w:rsidR="009F661C" w:rsidRPr="00071CFC" w:rsidRDefault="009F661C" w:rsidP="00254223">
      <w:pPr>
        <w:pStyle w:val="DLText"/>
      </w:pPr>
      <w:r w:rsidRPr="00071CFC">
        <w:t>But whilst the extent of general insufficiency of food appears to have been exaggerated by Gibson and Rozelle (1998), there are seasonal deficiencies, like those reported in the Eastern Highlands by Muntwiler and Shelton (2001, 439). Gibson also later commented (2001b) that “the risk of child stunting and chronic energy deficiencies for mothers” was twice as high in the rural areas as in the towns, and Mueller notes how satisfactory child growth was critically correlated with household cash crop production, and in that context the failure of the output of crops like cocoa and coffee to keep pace with population growth is alarming (Muntwiler and Shelton 2001, 438).</w:t>
      </w:r>
    </w:p>
    <w:p w14:paraId="6CC5B44D" w14:textId="77777777" w:rsidR="009F661C" w:rsidRPr="00071CFC" w:rsidRDefault="009F661C" w:rsidP="00254223">
      <w:pPr>
        <w:pStyle w:val="DLText"/>
      </w:pPr>
      <w:r w:rsidRPr="00071CFC">
        <w:t xml:space="preserve">The evidently questionable performance of Papua New Guinea’s smallholder cash crop producers has considerable implications for the future standard of living of the mass of the population, with, as noted above, output below the population growth rate of 2.7 per cent p.a. The Morauta Government’s response in the 2002 Budget was to allocate additional funding of K30 million for the coffee and copra industries, but with that funding merely provided to the industry boards, both notorious for serial misappropriation of growers’ funds, it was unlikely to achieve much, and nor did it, with the continuing decline in output of copra and stagnation in the case of coffee. </w:t>
      </w:r>
    </w:p>
    <w:p w14:paraId="77A2E302" w14:textId="77777777" w:rsidR="009F661C" w:rsidRPr="00071CFC" w:rsidRDefault="009F661C" w:rsidP="00254223">
      <w:pPr>
        <w:pStyle w:val="DLText"/>
      </w:pPr>
      <w:r w:rsidRPr="00071CFC">
        <w:t>It has been argued that the existence of food production on customary land is enough “to refute economists’ claims that customary land tenure can be seen only as a severe impediment to development activities” because of the “extremely high value” of food production supplied to urban markets and of cash crops like betel-nut (Holzknecht 1999:146).  But the only specific data mentioned are an estimate of the gross value of betel-nut production of about US$4.5 million in 1995 (then about K6.4 million) in Central, Morobe, and East New Britain provinces (the main producers). This is an important and valuable crop for the communities concerned, but after adjusting for costs, the net income from betel-nut translates to a per person figure in those provinces’ total population of not more than K3-5 per year. We have seen above that the claimed “extremely high value” of rural food production was estimated by Gibson (2001b) at only K1.3 billion in 1995, or less than one Kina per head per year of the total rural population. Thus in reality the available evidence provides scant support for the view that customary tenure has not prevented development of the rural economy.</w:t>
      </w:r>
    </w:p>
    <w:p w14:paraId="3EEBB970" w14:textId="77777777" w:rsidR="009F661C" w:rsidRPr="00071CFC" w:rsidRDefault="009F661C" w:rsidP="00254223">
      <w:pPr>
        <w:pStyle w:val="DLText"/>
      </w:pPr>
      <w:r w:rsidRPr="00071CFC">
        <w:lastRenderedPageBreak/>
        <w:t xml:space="preserve">It was noted above that Papua New Guinea’s customary landowners have failed to respond to opportunities for growing the world’s most profitable food crop, palm oil, except where they live in proximity to a foreign estate and mill. Another possibility for these landowners is the large potential for both red and white meat production. Papua New Guinea’s annual consumption of red meat (beef, sheep, and goat) has trebled over the last twenty years, growing at 6 per cent p.a., to about 52,000 tonnes of cwe (carcass weight equivalent), but almost the whole increase has had to be met by imports, amounting to 41,800 tonnes in 1998. Domestic production is dominated by commercial producers on alienated land, such as Ramu Sugar. “Expansion of red meat production would lessen import requirements and save foreign exchange” (Vincent and Low 2000) – as well as providing gross income of K130 million (the value of imports in 1998), an amount double the estimated value of commercial betel-net production noted above. </w:t>
      </w:r>
    </w:p>
    <w:p w14:paraId="7435E54F" w14:textId="77777777" w:rsidR="009F661C" w:rsidRPr="00071CFC" w:rsidRDefault="009F661C" w:rsidP="00254223">
      <w:pPr>
        <w:pStyle w:val="DLText"/>
      </w:pPr>
      <w:r w:rsidRPr="00071CFC">
        <w:t xml:space="preserve">Red meat demand is mostly for sheep meat, but Papua New Guinea is not well suited for sheep, despite attempts in the Eastern Highlands. Suitable areas of grassland exist to allow for much larger production of beef, but this requires bigger holdings than most smallholders have access to, and clear property rights over herds. Goats, well suited for smallholder production, are a possibility but have not been widely adopted. Papua New Guinea has maintained self-sufficiency in pork production – but has evidently failed to develop commercial production sufficiently to compete with imported lamb and beef for a bigger share of the total increase in meat consumption. As shown in Table 7.1, pig meat’s share of total estimated meat consumption in Papua New Guinea has fallen from 53 per cent in 1980 to 20 per cent in 1998. Poultry's share of meat consumption has been increasing, and this is partly due to increasing commercial production by outgrowers selling their birds to Niugini Table Birds Ltd in Lae. The Table indicates the failure of Papua New Guinea smallholders to respond to the significant opportunities for commercial sales from their main livestock resource. One partial explanation is the rising cost of protein feed for commercial piggeries as the Kina depreciated after 1994, but the relatively small size of urban markets was also a factor. The largest single commercial piggery near Lae (owned by an expatriate) ran about 9,000 pigs with a monthly throughput of 1,100, and accounted for the bulk of commercial production of only around 1,000 tonnes a year. The domestic industry relied on restrictions on imports, and that as ever made it inward looking rather than looking for export markets that would permit increasing returns to scale of production (Hide 2003). </w:t>
      </w:r>
    </w:p>
    <w:p w14:paraId="52AB0FEB" w14:textId="77777777" w:rsidR="009F661C" w:rsidRDefault="009F661C" w:rsidP="002607C3">
      <w:pPr>
        <w:pStyle w:val="DLQuotes"/>
        <w:ind w:left="0"/>
        <w:rPr>
          <w:sz w:val="20"/>
          <w:szCs w:val="20"/>
          <w:lang w:val="en-US"/>
        </w:rPr>
      </w:pPr>
    </w:p>
    <w:p w14:paraId="078E8CE8" w14:textId="77777777" w:rsidR="009F661C" w:rsidRDefault="009F661C" w:rsidP="002607C3">
      <w:pPr>
        <w:pStyle w:val="DLQuotes"/>
        <w:ind w:left="0"/>
        <w:rPr>
          <w:b/>
          <w:sz w:val="20"/>
          <w:szCs w:val="20"/>
        </w:rPr>
      </w:pPr>
      <w:r w:rsidRPr="002607C3">
        <w:rPr>
          <w:b/>
          <w:sz w:val="20"/>
          <w:szCs w:val="20"/>
        </w:rPr>
        <w:t>Table 8.1 Meat Consumption in Papua New Guinea 1980-1998</w:t>
      </w:r>
    </w:p>
    <w:p w14:paraId="02C04E4B" w14:textId="77777777" w:rsidR="009F661C" w:rsidRPr="002607C3" w:rsidRDefault="009F661C" w:rsidP="002607C3">
      <w:pPr>
        <w:pStyle w:val="DLQuotes"/>
        <w:ind w:left="0"/>
        <w:rPr>
          <w:b/>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9"/>
        <w:gridCol w:w="1039"/>
        <w:gridCol w:w="1038"/>
        <w:gridCol w:w="1154"/>
      </w:tblGrid>
      <w:tr w:rsidR="009F661C" w:rsidRPr="00071CFC" w14:paraId="700FDFDE" w14:textId="77777777" w:rsidTr="002607C3">
        <w:tc>
          <w:tcPr>
            <w:tcW w:w="2307" w:type="pct"/>
          </w:tcPr>
          <w:p w14:paraId="26883497" w14:textId="77777777" w:rsidR="009F661C" w:rsidRPr="00071CFC" w:rsidRDefault="009F661C" w:rsidP="00ED1E49">
            <w:pPr>
              <w:jc w:val="both"/>
              <w:rPr>
                <w:b/>
                <w:bCs/>
                <w:sz w:val="20"/>
                <w:szCs w:val="20"/>
                <w:lang w:val="en-US"/>
              </w:rPr>
            </w:pPr>
            <w:r w:rsidRPr="00071CFC">
              <w:rPr>
                <w:b/>
                <w:bCs/>
                <w:sz w:val="20"/>
                <w:szCs w:val="20"/>
                <w:lang w:val="en-US"/>
              </w:rPr>
              <w:lastRenderedPageBreak/>
              <w:t>Percentages</w:t>
            </w:r>
          </w:p>
        </w:tc>
        <w:tc>
          <w:tcPr>
            <w:tcW w:w="865" w:type="pct"/>
          </w:tcPr>
          <w:p w14:paraId="5256582D" w14:textId="77777777" w:rsidR="009F661C" w:rsidRPr="00071CFC" w:rsidRDefault="009F661C" w:rsidP="00ED1E49">
            <w:pPr>
              <w:jc w:val="both"/>
              <w:rPr>
                <w:b/>
                <w:bCs/>
                <w:sz w:val="20"/>
                <w:szCs w:val="20"/>
                <w:lang w:val="en-US"/>
              </w:rPr>
            </w:pPr>
            <w:r w:rsidRPr="00071CFC">
              <w:rPr>
                <w:b/>
                <w:bCs/>
                <w:sz w:val="20"/>
                <w:szCs w:val="20"/>
                <w:lang w:val="en-US"/>
              </w:rPr>
              <w:t>1980</w:t>
            </w:r>
          </w:p>
        </w:tc>
        <w:tc>
          <w:tcPr>
            <w:tcW w:w="865" w:type="pct"/>
          </w:tcPr>
          <w:p w14:paraId="5581A697" w14:textId="77777777" w:rsidR="009F661C" w:rsidRPr="00071CFC" w:rsidRDefault="009F661C" w:rsidP="00ED1E49">
            <w:pPr>
              <w:jc w:val="both"/>
              <w:rPr>
                <w:b/>
                <w:bCs/>
                <w:sz w:val="20"/>
                <w:szCs w:val="20"/>
                <w:lang w:val="en-US"/>
              </w:rPr>
            </w:pPr>
            <w:r w:rsidRPr="00071CFC">
              <w:rPr>
                <w:b/>
                <w:bCs/>
                <w:sz w:val="20"/>
                <w:szCs w:val="20"/>
                <w:lang w:val="en-US"/>
              </w:rPr>
              <w:t>1990</w:t>
            </w:r>
          </w:p>
        </w:tc>
        <w:tc>
          <w:tcPr>
            <w:tcW w:w="962" w:type="pct"/>
          </w:tcPr>
          <w:p w14:paraId="69E0CC70" w14:textId="77777777" w:rsidR="009F661C" w:rsidRPr="00071CFC" w:rsidRDefault="009F661C" w:rsidP="00ED1E49">
            <w:pPr>
              <w:jc w:val="both"/>
              <w:rPr>
                <w:b/>
                <w:bCs/>
                <w:sz w:val="20"/>
                <w:szCs w:val="20"/>
                <w:lang w:val="en-US"/>
              </w:rPr>
            </w:pPr>
            <w:r w:rsidRPr="00071CFC">
              <w:rPr>
                <w:b/>
                <w:bCs/>
                <w:sz w:val="20"/>
                <w:szCs w:val="20"/>
                <w:lang w:val="en-US"/>
              </w:rPr>
              <w:t>1998</w:t>
            </w:r>
          </w:p>
        </w:tc>
      </w:tr>
      <w:tr w:rsidR="009F661C" w:rsidRPr="00071CFC" w14:paraId="4FB0D95F" w14:textId="77777777" w:rsidTr="002607C3">
        <w:tc>
          <w:tcPr>
            <w:tcW w:w="2307" w:type="pct"/>
          </w:tcPr>
          <w:p w14:paraId="2C0C392B" w14:textId="77777777" w:rsidR="009F661C" w:rsidRPr="00071CFC" w:rsidRDefault="009F661C" w:rsidP="00ED1E49">
            <w:pPr>
              <w:jc w:val="both"/>
              <w:rPr>
                <w:b/>
                <w:bCs/>
                <w:sz w:val="20"/>
                <w:szCs w:val="20"/>
                <w:lang w:val="en-US"/>
              </w:rPr>
            </w:pPr>
            <w:r w:rsidRPr="00071CFC">
              <w:rPr>
                <w:b/>
                <w:bCs/>
                <w:sz w:val="20"/>
                <w:szCs w:val="20"/>
                <w:lang w:val="en-US"/>
              </w:rPr>
              <w:t xml:space="preserve">Beef </w:t>
            </w:r>
          </w:p>
        </w:tc>
        <w:tc>
          <w:tcPr>
            <w:tcW w:w="865" w:type="pct"/>
          </w:tcPr>
          <w:p w14:paraId="6BF9E14A" w14:textId="77777777" w:rsidR="009F661C" w:rsidRPr="00071CFC" w:rsidRDefault="009F661C" w:rsidP="00ED1E49">
            <w:pPr>
              <w:jc w:val="both"/>
              <w:rPr>
                <w:sz w:val="20"/>
                <w:szCs w:val="20"/>
                <w:lang w:val="en-US"/>
              </w:rPr>
            </w:pPr>
            <w:r w:rsidRPr="00071CFC">
              <w:rPr>
                <w:sz w:val="20"/>
                <w:szCs w:val="20"/>
                <w:lang w:val="en-US"/>
              </w:rPr>
              <w:t>17.77</w:t>
            </w:r>
          </w:p>
        </w:tc>
        <w:tc>
          <w:tcPr>
            <w:tcW w:w="865" w:type="pct"/>
          </w:tcPr>
          <w:p w14:paraId="6C44B656" w14:textId="77777777" w:rsidR="009F661C" w:rsidRPr="00071CFC" w:rsidRDefault="009F661C" w:rsidP="00ED1E49">
            <w:pPr>
              <w:jc w:val="both"/>
              <w:rPr>
                <w:sz w:val="20"/>
                <w:szCs w:val="20"/>
                <w:lang w:val="en-US"/>
              </w:rPr>
            </w:pPr>
            <w:r w:rsidRPr="00071CFC">
              <w:rPr>
                <w:sz w:val="20"/>
                <w:szCs w:val="20"/>
                <w:lang w:val="en-US"/>
              </w:rPr>
              <w:t>17.67</w:t>
            </w:r>
          </w:p>
        </w:tc>
        <w:tc>
          <w:tcPr>
            <w:tcW w:w="962" w:type="pct"/>
          </w:tcPr>
          <w:p w14:paraId="2313F529" w14:textId="77777777" w:rsidR="009F661C" w:rsidRPr="00071CFC" w:rsidRDefault="009F661C" w:rsidP="00ED1E49">
            <w:pPr>
              <w:jc w:val="both"/>
              <w:rPr>
                <w:sz w:val="20"/>
                <w:szCs w:val="20"/>
                <w:lang w:val="en-US"/>
              </w:rPr>
            </w:pPr>
            <w:r w:rsidRPr="00071CFC">
              <w:rPr>
                <w:sz w:val="20"/>
                <w:szCs w:val="20"/>
                <w:lang w:val="en-US"/>
              </w:rPr>
              <w:t>15.44</w:t>
            </w:r>
          </w:p>
        </w:tc>
      </w:tr>
      <w:tr w:rsidR="009F661C" w:rsidRPr="00071CFC" w14:paraId="61490174" w14:textId="77777777" w:rsidTr="002607C3">
        <w:tc>
          <w:tcPr>
            <w:tcW w:w="2307" w:type="pct"/>
          </w:tcPr>
          <w:p w14:paraId="4E8FE32F" w14:textId="77777777" w:rsidR="009F661C" w:rsidRPr="00071CFC" w:rsidRDefault="009F661C" w:rsidP="00ED1E49">
            <w:pPr>
              <w:jc w:val="both"/>
              <w:rPr>
                <w:b/>
                <w:bCs/>
                <w:sz w:val="20"/>
                <w:szCs w:val="20"/>
                <w:lang w:val="en-US"/>
              </w:rPr>
            </w:pPr>
            <w:r w:rsidRPr="00071CFC">
              <w:rPr>
                <w:b/>
                <w:bCs/>
                <w:sz w:val="20"/>
                <w:szCs w:val="20"/>
                <w:lang w:val="en-US"/>
              </w:rPr>
              <w:t>Sheep meat</w:t>
            </w:r>
          </w:p>
        </w:tc>
        <w:tc>
          <w:tcPr>
            <w:tcW w:w="865" w:type="pct"/>
          </w:tcPr>
          <w:p w14:paraId="010B5B78" w14:textId="77777777" w:rsidR="009F661C" w:rsidRPr="00071CFC" w:rsidRDefault="009F661C" w:rsidP="00ED1E49">
            <w:pPr>
              <w:jc w:val="both"/>
              <w:rPr>
                <w:sz w:val="20"/>
                <w:szCs w:val="20"/>
                <w:lang w:val="en-US"/>
              </w:rPr>
            </w:pPr>
            <w:r w:rsidRPr="00071CFC">
              <w:rPr>
                <w:sz w:val="20"/>
                <w:szCs w:val="20"/>
                <w:lang w:val="en-US"/>
              </w:rPr>
              <w:t>6.73</w:t>
            </w:r>
          </w:p>
        </w:tc>
        <w:tc>
          <w:tcPr>
            <w:tcW w:w="865" w:type="pct"/>
          </w:tcPr>
          <w:p w14:paraId="2BC0B275" w14:textId="77777777" w:rsidR="009F661C" w:rsidRPr="00071CFC" w:rsidRDefault="009F661C" w:rsidP="00ED1E49">
            <w:pPr>
              <w:jc w:val="both"/>
              <w:rPr>
                <w:sz w:val="20"/>
                <w:szCs w:val="20"/>
                <w:lang w:val="en-US"/>
              </w:rPr>
            </w:pPr>
            <w:r w:rsidRPr="00071CFC">
              <w:rPr>
                <w:sz w:val="20"/>
                <w:szCs w:val="20"/>
                <w:lang w:val="en-US"/>
              </w:rPr>
              <w:t>32.94</w:t>
            </w:r>
          </w:p>
        </w:tc>
        <w:tc>
          <w:tcPr>
            <w:tcW w:w="962" w:type="pct"/>
          </w:tcPr>
          <w:p w14:paraId="1A8AFE43" w14:textId="77777777" w:rsidR="009F661C" w:rsidRPr="00071CFC" w:rsidRDefault="009F661C" w:rsidP="00ED1E49">
            <w:pPr>
              <w:jc w:val="both"/>
              <w:rPr>
                <w:sz w:val="20"/>
                <w:szCs w:val="20"/>
                <w:lang w:val="en-US"/>
              </w:rPr>
            </w:pPr>
            <w:r w:rsidRPr="00071CFC">
              <w:rPr>
                <w:sz w:val="20"/>
                <w:szCs w:val="20"/>
                <w:lang w:val="en-US"/>
              </w:rPr>
              <w:t>34.47</w:t>
            </w:r>
          </w:p>
        </w:tc>
      </w:tr>
      <w:tr w:rsidR="009F661C" w:rsidRPr="00071CFC" w14:paraId="0EE3C5EA" w14:textId="77777777" w:rsidTr="002607C3">
        <w:tc>
          <w:tcPr>
            <w:tcW w:w="2307" w:type="pct"/>
          </w:tcPr>
          <w:p w14:paraId="48C9AEAC" w14:textId="77777777" w:rsidR="009F661C" w:rsidRPr="00071CFC" w:rsidRDefault="009F661C" w:rsidP="00ED1E49">
            <w:pPr>
              <w:jc w:val="both"/>
              <w:rPr>
                <w:b/>
                <w:bCs/>
                <w:sz w:val="20"/>
                <w:szCs w:val="20"/>
                <w:lang w:val="en-US"/>
              </w:rPr>
            </w:pPr>
            <w:r w:rsidRPr="00071CFC">
              <w:rPr>
                <w:b/>
                <w:bCs/>
                <w:sz w:val="20"/>
                <w:szCs w:val="20"/>
                <w:lang w:val="en-US"/>
              </w:rPr>
              <w:t>Poultry meat</w:t>
            </w:r>
          </w:p>
        </w:tc>
        <w:tc>
          <w:tcPr>
            <w:tcW w:w="865" w:type="pct"/>
          </w:tcPr>
          <w:p w14:paraId="7C3ED173" w14:textId="77777777" w:rsidR="009F661C" w:rsidRPr="00071CFC" w:rsidRDefault="009F661C" w:rsidP="00ED1E49">
            <w:pPr>
              <w:jc w:val="both"/>
              <w:rPr>
                <w:sz w:val="20"/>
                <w:szCs w:val="20"/>
                <w:lang w:val="en-US"/>
              </w:rPr>
            </w:pPr>
            <w:r w:rsidRPr="00071CFC">
              <w:rPr>
                <w:sz w:val="20"/>
                <w:szCs w:val="20"/>
                <w:lang w:val="en-US"/>
              </w:rPr>
              <w:t>22.76</w:t>
            </w:r>
          </w:p>
        </w:tc>
        <w:tc>
          <w:tcPr>
            <w:tcW w:w="865" w:type="pct"/>
          </w:tcPr>
          <w:p w14:paraId="10F6283C" w14:textId="77777777" w:rsidR="009F661C" w:rsidRPr="00071CFC" w:rsidRDefault="009F661C" w:rsidP="00ED1E49">
            <w:pPr>
              <w:jc w:val="both"/>
              <w:rPr>
                <w:sz w:val="20"/>
                <w:szCs w:val="20"/>
                <w:lang w:val="en-US"/>
              </w:rPr>
            </w:pPr>
            <w:r w:rsidRPr="00071CFC">
              <w:rPr>
                <w:sz w:val="20"/>
                <w:szCs w:val="20"/>
                <w:lang w:val="en-US"/>
              </w:rPr>
              <w:t>26.25</w:t>
            </w:r>
          </w:p>
        </w:tc>
        <w:tc>
          <w:tcPr>
            <w:tcW w:w="962" w:type="pct"/>
          </w:tcPr>
          <w:p w14:paraId="4E723839" w14:textId="77777777" w:rsidR="009F661C" w:rsidRPr="00071CFC" w:rsidRDefault="009F661C" w:rsidP="00ED1E49">
            <w:pPr>
              <w:jc w:val="both"/>
              <w:rPr>
                <w:sz w:val="20"/>
                <w:szCs w:val="20"/>
                <w:lang w:val="en-US"/>
              </w:rPr>
            </w:pPr>
            <w:r w:rsidRPr="00071CFC">
              <w:rPr>
                <w:sz w:val="20"/>
                <w:szCs w:val="20"/>
                <w:lang w:val="en-US"/>
              </w:rPr>
              <w:t>30.46</w:t>
            </w:r>
          </w:p>
        </w:tc>
      </w:tr>
      <w:tr w:rsidR="009F661C" w:rsidRPr="00071CFC" w14:paraId="71BEFDEB" w14:textId="77777777" w:rsidTr="002607C3">
        <w:tc>
          <w:tcPr>
            <w:tcW w:w="2307" w:type="pct"/>
          </w:tcPr>
          <w:p w14:paraId="532C685D" w14:textId="77777777" w:rsidR="009F661C" w:rsidRPr="00071CFC" w:rsidRDefault="009F661C" w:rsidP="00ED1E49">
            <w:pPr>
              <w:jc w:val="both"/>
              <w:rPr>
                <w:b/>
                <w:bCs/>
                <w:sz w:val="20"/>
                <w:szCs w:val="20"/>
                <w:lang w:val="en-US"/>
              </w:rPr>
            </w:pPr>
            <w:r w:rsidRPr="00071CFC">
              <w:rPr>
                <w:b/>
                <w:bCs/>
                <w:sz w:val="20"/>
                <w:szCs w:val="20"/>
                <w:lang w:val="en-US"/>
              </w:rPr>
              <w:t>Pig meat</w:t>
            </w:r>
          </w:p>
        </w:tc>
        <w:tc>
          <w:tcPr>
            <w:tcW w:w="865" w:type="pct"/>
          </w:tcPr>
          <w:p w14:paraId="69ACA720" w14:textId="77777777" w:rsidR="009F661C" w:rsidRPr="00071CFC" w:rsidRDefault="009F661C" w:rsidP="00ED1E49">
            <w:pPr>
              <w:jc w:val="both"/>
              <w:rPr>
                <w:sz w:val="20"/>
                <w:szCs w:val="20"/>
                <w:lang w:val="en-US"/>
              </w:rPr>
            </w:pPr>
            <w:r w:rsidRPr="00071CFC">
              <w:rPr>
                <w:sz w:val="20"/>
                <w:szCs w:val="20"/>
                <w:lang w:val="en-US"/>
              </w:rPr>
              <w:t>52.74</w:t>
            </w:r>
          </w:p>
        </w:tc>
        <w:tc>
          <w:tcPr>
            <w:tcW w:w="865" w:type="pct"/>
          </w:tcPr>
          <w:p w14:paraId="1F9473AF" w14:textId="77777777" w:rsidR="009F661C" w:rsidRPr="00071CFC" w:rsidRDefault="009F661C" w:rsidP="00ED1E49">
            <w:pPr>
              <w:jc w:val="both"/>
              <w:rPr>
                <w:sz w:val="20"/>
                <w:szCs w:val="20"/>
                <w:lang w:val="en-US"/>
              </w:rPr>
            </w:pPr>
            <w:r w:rsidRPr="00071CFC">
              <w:rPr>
                <w:sz w:val="20"/>
                <w:szCs w:val="20"/>
                <w:lang w:val="en-US"/>
              </w:rPr>
              <w:t>23.14</w:t>
            </w:r>
          </w:p>
        </w:tc>
        <w:tc>
          <w:tcPr>
            <w:tcW w:w="962" w:type="pct"/>
          </w:tcPr>
          <w:p w14:paraId="1D26BA1F" w14:textId="77777777" w:rsidR="009F661C" w:rsidRPr="00071CFC" w:rsidRDefault="009F661C" w:rsidP="00ED1E49">
            <w:pPr>
              <w:jc w:val="both"/>
              <w:rPr>
                <w:sz w:val="20"/>
                <w:szCs w:val="20"/>
                <w:lang w:val="en-US"/>
              </w:rPr>
            </w:pPr>
            <w:r w:rsidRPr="00071CFC">
              <w:rPr>
                <w:sz w:val="20"/>
                <w:szCs w:val="20"/>
                <w:lang w:val="en-US"/>
              </w:rPr>
              <w:t>19.63</w:t>
            </w:r>
          </w:p>
        </w:tc>
      </w:tr>
      <w:tr w:rsidR="009F661C" w:rsidRPr="00071CFC" w14:paraId="55CF9A6E" w14:textId="77777777" w:rsidTr="002607C3">
        <w:tc>
          <w:tcPr>
            <w:tcW w:w="2307" w:type="pct"/>
          </w:tcPr>
          <w:p w14:paraId="47200539" w14:textId="77777777" w:rsidR="009F661C" w:rsidRPr="00071CFC" w:rsidRDefault="009F661C" w:rsidP="00ED1E49">
            <w:pPr>
              <w:jc w:val="both"/>
              <w:rPr>
                <w:b/>
                <w:bCs/>
                <w:sz w:val="20"/>
                <w:szCs w:val="20"/>
                <w:lang w:val="en-US"/>
              </w:rPr>
            </w:pPr>
            <w:r w:rsidRPr="00071CFC">
              <w:rPr>
                <w:b/>
                <w:bCs/>
                <w:sz w:val="20"/>
                <w:szCs w:val="20"/>
                <w:lang w:val="en-US"/>
              </w:rPr>
              <w:t>Total</w:t>
            </w:r>
          </w:p>
        </w:tc>
        <w:tc>
          <w:tcPr>
            <w:tcW w:w="865" w:type="pct"/>
          </w:tcPr>
          <w:p w14:paraId="3275486E" w14:textId="77777777" w:rsidR="009F661C" w:rsidRPr="00071CFC" w:rsidRDefault="009F661C" w:rsidP="00ED1E49">
            <w:pPr>
              <w:jc w:val="both"/>
              <w:rPr>
                <w:sz w:val="20"/>
                <w:szCs w:val="20"/>
                <w:lang w:val="en-US"/>
              </w:rPr>
            </w:pPr>
            <w:r w:rsidRPr="00071CFC">
              <w:rPr>
                <w:sz w:val="20"/>
                <w:szCs w:val="20"/>
                <w:lang w:val="en-US"/>
              </w:rPr>
              <w:t>100</w:t>
            </w:r>
          </w:p>
        </w:tc>
        <w:tc>
          <w:tcPr>
            <w:tcW w:w="865" w:type="pct"/>
          </w:tcPr>
          <w:p w14:paraId="58686CF1" w14:textId="77777777" w:rsidR="009F661C" w:rsidRPr="00071CFC" w:rsidRDefault="009F661C" w:rsidP="00ED1E49">
            <w:pPr>
              <w:jc w:val="both"/>
              <w:rPr>
                <w:sz w:val="20"/>
                <w:szCs w:val="20"/>
                <w:lang w:val="en-US"/>
              </w:rPr>
            </w:pPr>
            <w:r w:rsidRPr="00071CFC">
              <w:rPr>
                <w:sz w:val="20"/>
                <w:szCs w:val="20"/>
                <w:lang w:val="en-US"/>
              </w:rPr>
              <w:t>100</w:t>
            </w:r>
          </w:p>
        </w:tc>
        <w:tc>
          <w:tcPr>
            <w:tcW w:w="962" w:type="pct"/>
          </w:tcPr>
          <w:p w14:paraId="3928303E" w14:textId="77777777" w:rsidR="009F661C" w:rsidRPr="00071CFC" w:rsidRDefault="009F661C" w:rsidP="00ED1E49">
            <w:pPr>
              <w:jc w:val="both"/>
              <w:rPr>
                <w:sz w:val="20"/>
                <w:szCs w:val="20"/>
                <w:lang w:val="en-US"/>
              </w:rPr>
            </w:pPr>
            <w:r w:rsidRPr="00071CFC">
              <w:rPr>
                <w:sz w:val="20"/>
                <w:szCs w:val="20"/>
                <w:lang w:val="en-US"/>
              </w:rPr>
              <w:t>100</w:t>
            </w:r>
          </w:p>
        </w:tc>
      </w:tr>
      <w:tr w:rsidR="009F661C" w:rsidRPr="00071CFC" w14:paraId="1C0DC687" w14:textId="77777777" w:rsidTr="002607C3">
        <w:tc>
          <w:tcPr>
            <w:tcW w:w="2307" w:type="pct"/>
          </w:tcPr>
          <w:p w14:paraId="18645AFC" w14:textId="77777777" w:rsidR="009F661C" w:rsidRPr="00071CFC" w:rsidRDefault="009F661C" w:rsidP="00ED1E49">
            <w:pPr>
              <w:jc w:val="both"/>
              <w:rPr>
                <w:b/>
                <w:bCs/>
                <w:sz w:val="20"/>
                <w:szCs w:val="20"/>
                <w:lang w:val="en-US"/>
              </w:rPr>
            </w:pPr>
            <w:r w:rsidRPr="00071CFC">
              <w:rPr>
                <w:b/>
                <w:bCs/>
                <w:sz w:val="20"/>
                <w:szCs w:val="20"/>
                <w:lang w:val="en-US"/>
              </w:rPr>
              <w:t>- Total, in tonnes of cwe</w:t>
            </w:r>
          </w:p>
        </w:tc>
        <w:tc>
          <w:tcPr>
            <w:tcW w:w="865" w:type="pct"/>
          </w:tcPr>
          <w:p w14:paraId="5D033409" w14:textId="77777777" w:rsidR="009F661C" w:rsidRPr="00071CFC" w:rsidRDefault="009F661C" w:rsidP="00ED1E49">
            <w:pPr>
              <w:jc w:val="both"/>
              <w:rPr>
                <w:sz w:val="20"/>
                <w:szCs w:val="20"/>
                <w:lang w:val="en-US"/>
              </w:rPr>
            </w:pPr>
            <w:r w:rsidRPr="00071CFC">
              <w:rPr>
                <w:sz w:val="20"/>
                <w:szCs w:val="20"/>
                <w:lang w:val="en-US"/>
              </w:rPr>
              <w:t>70,632</w:t>
            </w:r>
          </w:p>
        </w:tc>
        <w:tc>
          <w:tcPr>
            <w:tcW w:w="865" w:type="pct"/>
          </w:tcPr>
          <w:p w14:paraId="5EF029D7" w14:textId="77777777" w:rsidR="009F661C" w:rsidRPr="00071CFC" w:rsidRDefault="009F661C" w:rsidP="00ED1E49">
            <w:pPr>
              <w:jc w:val="both"/>
              <w:rPr>
                <w:sz w:val="20"/>
                <w:szCs w:val="20"/>
                <w:lang w:val="en-US"/>
              </w:rPr>
            </w:pPr>
            <w:r w:rsidRPr="00071CFC">
              <w:rPr>
                <w:sz w:val="20"/>
                <w:szCs w:val="20"/>
                <w:lang w:val="en-US"/>
              </w:rPr>
              <w:t>87,148</w:t>
            </w:r>
          </w:p>
        </w:tc>
        <w:tc>
          <w:tcPr>
            <w:tcW w:w="962" w:type="pct"/>
          </w:tcPr>
          <w:p w14:paraId="3E81FE83" w14:textId="77777777" w:rsidR="009F661C" w:rsidRPr="00071CFC" w:rsidRDefault="009F661C" w:rsidP="00ED1E49">
            <w:pPr>
              <w:jc w:val="both"/>
              <w:rPr>
                <w:sz w:val="20"/>
                <w:szCs w:val="20"/>
                <w:lang w:val="en-US"/>
              </w:rPr>
            </w:pPr>
            <w:r w:rsidRPr="00071CFC">
              <w:rPr>
                <w:sz w:val="20"/>
                <w:szCs w:val="20"/>
                <w:lang w:val="en-US"/>
              </w:rPr>
              <w:t>104,985</w:t>
            </w:r>
          </w:p>
        </w:tc>
      </w:tr>
    </w:tbl>
    <w:p w14:paraId="5785E1D6" w14:textId="77777777" w:rsidR="009F661C" w:rsidRPr="002607C3" w:rsidRDefault="009F661C" w:rsidP="002607C3">
      <w:pPr>
        <w:pStyle w:val="DLQuotes"/>
        <w:ind w:left="0"/>
        <w:rPr>
          <w:lang w:val="en-US"/>
        </w:rPr>
      </w:pPr>
      <w:r w:rsidRPr="002607C3">
        <w:rPr>
          <w:lang w:val="en-US"/>
        </w:rPr>
        <w:t>Source: Vincent and Low (2000).</w:t>
      </w:r>
    </w:p>
    <w:p w14:paraId="4635C2CE" w14:textId="77777777" w:rsidR="009F661C" w:rsidRPr="002607C3" w:rsidRDefault="009F661C" w:rsidP="002607C3">
      <w:pPr>
        <w:pStyle w:val="DLQuotes"/>
        <w:ind w:left="0"/>
      </w:pPr>
      <w:r w:rsidRPr="002607C3">
        <w:t xml:space="preserve">Note: Domestic production accounts for about 15-18 per cent of beef consumption. All sheep meat is imported,  all goat meat consumption is locally produced. Papua New Guinea is self-sufficient in poultry, which was protected first by an import ban and then by prohibitive tariffs, and in pig meat. There are no estimates for production of sheep, goat, poultry, and pig meat for own (i.e. subsistence) consumption since 1980. </w:t>
      </w:r>
    </w:p>
    <w:p w14:paraId="177F408A" w14:textId="77777777" w:rsidR="009F661C" w:rsidRPr="00071CFC" w:rsidRDefault="009F661C" w:rsidP="00254223">
      <w:pPr>
        <w:pStyle w:val="DLText"/>
      </w:pPr>
    </w:p>
    <w:p w14:paraId="07DBB099" w14:textId="77777777" w:rsidR="009F661C" w:rsidRPr="00071CFC" w:rsidRDefault="009F661C" w:rsidP="00254223">
      <w:pPr>
        <w:pStyle w:val="DLText"/>
      </w:pPr>
      <w:r w:rsidRPr="00071CFC">
        <w:t xml:space="preserve">Anton Ploeg (1999, 165, 178) offers rather different arguments against the hypothesis that “the continued existence of customary land tenure, in other words the lack of registered land rights, especially individual ownership and leasehold, is a main factor hampering growth”.  First he notes that the adoption of cash cropping by Papua New Guinea’s subsistence farmers did not lead to any significant change in techniques, apart from the adoption of steel tools in place of tools made from sticks and stones, which continued to be based on manual labour and employed </w:t>
      </w:r>
      <w:r w:rsidRPr="002607C3">
        <w:rPr>
          <w:spacing w:val="-2"/>
        </w:rPr>
        <w:t>little capital: “accordingly labour productivity is restricted [and] production</w:t>
      </w:r>
      <w:r w:rsidRPr="00071CFC">
        <w:t xml:space="preserve"> requires relatively much time which limits the expansion of cash cropping”. However this lack of adoption of labour saving equipment of all kinds, of which water pumps are an obvious example of what would be the norm in say Queensland or even many Australian suburban gardens, is itself as much a symptom of the land tenure regime as an explanation for the continuing low productivity of Papua New Guinea agriculture.</w:t>
      </w:r>
    </w:p>
    <w:p w14:paraId="1212957B" w14:textId="77777777" w:rsidR="009F661C" w:rsidRPr="00071CFC" w:rsidRDefault="009F661C" w:rsidP="00254223">
      <w:pPr>
        <w:pStyle w:val="DLText"/>
      </w:pPr>
      <w:r w:rsidRPr="00071CFC">
        <w:t>Secondly, Ploeg notes that the amount of land where individuals can have secure customary rights within their existing villages is limited, because land is parcelled out in small lots, and new lots can only be acquired at some distance from existing settlements, adding to walking time between plots. Claims on such new areas may be contested and lead to disputes, which explains the prevalence of unused land through much of Papua New Guinea’s rural areas. Moreover since inheritance systems exclude primogeniture, there is a tendency towards fragmentation of existing household plots. When even some households’ larger aggregate holdings comprise many small and scattered plots, the scope for economies of scale with equipment of any kind becomes limited.</w:t>
      </w:r>
    </w:p>
    <w:p w14:paraId="6DFD567D" w14:textId="77777777" w:rsidR="009F661C" w:rsidRPr="00071CFC" w:rsidRDefault="009F661C" w:rsidP="00254223">
      <w:pPr>
        <w:pStyle w:val="DLText"/>
      </w:pPr>
      <w:r w:rsidRPr="00071CFC">
        <w:lastRenderedPageBreak/>
        <w:t xml:space="preserve">Thirdly, Ploeg (1999) emphasizes the continuing importance of ceremonial activities, which pre-empt not only labour time but also any cash derived from crops. This militates against accumulation of savings for the purposes of investment in lieu of consumption. </w:t>
      </w:r>
    </w:p>
    <w:p w14:paraId="2AEBEC34" w14:textId="77777777" w:rsidR="009F661C" w:rsidRPr="00071CFC" w:rsidRDefault="009F661C" w:rsidP="007818F4">
      <w:pPr>
        <w:pStyle w:val="DLText"/>
      </w:pPr>
      <w:r w:rsidRPr="00071CFC">
        <w:t xml:space="preserve">Clearly Ploeg is right that it is far from certain that changing land tenure would be enough to create the conditions for increasing output and productivity in Papua New Guinea’s rural sector. Yet experience elsewhere, starting with Europe, but including African countries like Egypt (since 1952) and Kenya (since1955), suggests that such pessimism may be unwarranted, as we also point out later in the book. </w:t>
      </w:r>
    </w:p>
    <w:p w14:paraId="37D144DB" w14:textId="77777777" w:rsidR="009F661C" w:rsidRPr="00826C4D" w:rsidRDefault="009F661C" w:rsidP="00254223">
      <w:pPr>
        <w:pStyle w:val="DLHeading2"/>
      </w:pPr>
      <w:r>
        <w:t>Conclusion</w:t>
      </w:r>
    </w:p>
    <w:p w14:paraId="724B67B6" w14:textId="77777777" w:rsidR="009F661C" w:rsidRPr="00071CFC" w:rsidRDefault="009F661C" w:rsidP="00254223">
      <w:pPr>
        <w:pStyle w:val="DLText"/>
      </w:pPr>
      <w:r w:rsidRPr="00071CFC">
        <w:t xml:space="preserve">This chapter has provided further evidence that Papua New Guinea’s land tenure system, however admirable it may seem to most if not all anthropologists, has signally failed to deliver rates of growth of national income (aka GDP per head) that have become the norm in countries like China, Vietnam, Thailand and Malaysia, despite similar starting points around 1960.  Authorities like Fingleton (2005) think that outcome has nothing to do with the prevailing land titling system which he has been prominent in protecting from meaningful reforms that would allow individual land titling. This chapter has indicated how pitifully negligible has been the contribution of Papua New Guinea’s untitled agriculturalists to the country’s national income  relative to that from the 20 percent of its people who are not subsistence farmers. </w:t>
      </w:r>
    </w:p>
    <w:p w14:paraId="51D6AF5F" w14:textId="77777777" w:rsidR="009F661C" w:rsidRPr="00071CFC" w:rsidRDefault="009F661C" w:rsidP="00ED1E49">
      <w:pPr>
        <w:pStyle w:val="FootnoteText"/>
      </w:pPr>
    </w:p>
    <w:p w14:paraId="3412ABE6" w14:textId="77777777" w:rsidR="009F661C" w:rsidRPr="00071CFC" w:rsidRDefault="009F661C" w:rsidP="00ED1E49">
      <w:pPr>
        <w:pStyle w:val="FootnoteText"/>
      </w:pPr>
    </w:p>
    <w:p w14:paraId="4B596EF8" w14:textId="77777777" w:rsidR="009F661C" w:rsidRPr="00071CFC" w:rsidRDefault="009F661C" w:rsidP="00ED1E49">
      <w:pPr>
        <w:pStyle w:val="FootnoteText"/>
      </w:pPr>
    </w:p>
    <w:p w14:paraId="410306D2" w14:textId="77777777" w:rsidR="009F661C" w:rsidRPr="00071CFC" w:rsidRDefault="009F661C" w:rsidP="00ED1E49">
      <w:pPr>
        <w:rPr>
          <w:sz w:val="20"/>
          <w:szCs w:val="20"/>
        </w:rPr>
      </w:pPr>
    </w:p>
    <w:p w14:paraId="2C298141" w14:textId="77777777" w:rsidR="009F661C" w:rsidRPr="00071CFC" w:rsidRDefault="009F661C" w:rsidP="00ED1E49">
      <w:pPr>
        <w:rPr>
          <w:sz w:val="20"/>
          <w:szCs w:val="20"/>
        </w:rPr>
      </w:pPr>
    </w:p>
    <w:p w14:paraId="4F5061B8" w14:textId="77777777" w:rsidR="009F661C" w:rsidRPr="00071CFC" w:rsidRDefault="009F661C" w:rsidP="00ED1E49">
      <w:pPr>
        <w:rPr>
          <w:sz w:val="20"/>
          <w:szCs w:val="20"/>
        </w:rPr>
      </w:pPr>
    </w:p>
    <w:p w14:paraId="59C1B825" w14:textId="77777777" w:rsidR="009F661C" w:rsidRPr="00071CFC" w:rsidRDefault="009F661C" w:rsidP="00ED1E49">
      <w:pPr>
        <w:rPr>
          <w:sz w:val="20"/>
          <w:szCs w:val="20"/>
        </w:rPr>
      </w:pPr>
    </w:p>
    <w:p w14:paraId="77C23748" w14:textId="77777777" w:rsidR="009F661C" w:rsidRPr="00071CFC" w:rsidRDefault="009F661C" w:rsidP="00ED1E49">
      <w:pPr>
        <w:rPr>
          <w:sz w:val="20"/>
          <w:szCs w:val="20"/>
        </w:rPr>
      </w:pPr>
    </w:p>
    <w:p w14:paraId="70CFCF2C" w14:textId="77777777" w:rsidR="009F661C" w:rsidRPr="00071CFC" w:rsidRDefault="009F661C" w:rsidP="00ED1E49">
      <w:pPr>
        <w:rPr>
          <w:sz w:val="20"/>
          <w:szCs w:val="20"/>
        </w:rPr>
      </w:pPr>
    </w:p>
    <w:p w14:paraId="6F4BBB4D" w14:textId="77777777" w:rsidR="009F661C" w:rsidRPr="00071CFC" w:rsidRDefault="009F661C" w:rsidP="00ED1E49">
      <w:pPr>
        <w:rPr>
          <w:sz w:val="20"/>
          <w:szCs w:val="20"/>
        </w:rPr>
      </w:pPr>
    </w:p>
    <w:p w14:paraId="475D5D9A" w14:textId="77777777" w:rsidR="009F661C" w:rsidRPr="00071CFC" w:rsidRDefault="009F661C" w:rsidP="00ED1E49">
      <w:pPr>
        <w:rPr>
          <w:sz w:val="20"/>
          <w:szCs w:val="20"/>
        </w:rPr>
      </w:pPr>
    </w:p>
    <w:p w14:paraId="63DCB4AF" w14:textId="77777777" w:rsidR="009F661C" w:rsidRPr="00071CFC" w:rsidRDefault="009F661C" w:rsidP="00ED1E49">
      <w:pPr>
        <w:rPr>
          <w:sz w:val="20"/>
          <w:szCs w:val="20"/>
        </w:rPr>
        <w:sectPr w:rsidR="009F661C" w:rsidRPr="00071CFC" w:rsidSect="00503FDD">
          <w:headerReference w:type="even" r:id="rId29"/>
          <w:headerReference w:type="default" r:id="rId30"/>
          <w:footnotePr>
            <w:numRestart w:val="eachSect"/>
          </w:footnotePr>
          <w:type w:val="oddPage"/>
          <w:pgSz w:w="8392" w:h="11907" w:code="11"/>
          <w:pgMar w:top="1418" w:right="1191" w:bottom="851" w:left="1191" w:header="851" w:footer="0" w:gutter="0"/>
          <w:cols w:space="708"/>
          <w:titlePg/>
          <w:docGrid w:linePitch="360"/>
        </w:sectPr>
      </w:pPr>
    </w:p>
    <w:p w14:paraId="250C9251" w14:textId="77777777" w:rsidR="009F661C" w:rsidRPr="00826C4D" w:rsidRDefault="009F661C" w:rsidP="00711853">
      <w:pPr>
        <w:pStyle w:val="DLHeading"/>
        <w:rPr>
          <w:szCs w:val="32"/>
        </w:rPr>
      </w:pPr>
      <w:r w:rsidRPr="00826C4D">
        <w:rPr>
          <w:szCs w:val="32"/>
        </w:rPr>
        <w:lastRenderedPageBreak/>
        <w:t>Chapter Nine</w:t>
      </w:r>
    </w:p>
    <w:p w14:paraId="6E55E0C0" w14:textId="77777777" w:rsidR="009F661C" w:rsidRPr="00826C4D" w:rsidRDefault="009F661C" w:rsidP="00CC4B2E">
      <w:pPr>
        <w:pStyle w:val="DLHeading"/>
        <w:rPr>
          <w:szCs w:val="32"/>
          <w:lang w:val="en-US"/>
        </w:rPr>
      </w:pPr>
      <w:r w:rsidRPr="00826C4D">
        <w:rPr>
          <w:szCs w:val="32"/>
          <w:lang w:val="en-US"/>
        </w:rPr>
        <w:t>Land Titling and Forestry</w:t>
      </w:r>
    </w:p>
    <w:p w14:paraId="6F9C0FD9" w14:textId="77777777" w:rsidR="009F661C" w:rsidRDefault="009F661C" w:rsidP="00071CFC">
      <w:pPr>
        <w:pStyle w:val="DLText"/>
        <w:tabs>
          <w:tab w:val="left" w:pos="5954"/>
        </w:tabs>
        <w:ind w:right="56"/>
      </w:pPr>
    </w:p>
    <w:p w14:paraId="5118D976" w14:textId="77777777" w:rsidR="009F661C" w:rsidRDefault="009F661C" w:rsidP="00071CFC">
      <w:pPr>
        <w:pStyle w:val="DLText"/>
        <w:tabs>
          <w:tab w:val="left" w:pos="5954"/>
        </w:tabs>
        <w:ind w:right="56"/>
      </w:pPr>
    </w:p>
    <w:p w14:paraId="415B77C8" w14:textId="77777777" w:rsidR="009F661C" w:rsidRDefault="009F661C" w:rsidP="00071CFC">
      <w:pPr>
        <w:pStyle w:val="DLText"/>
        <w:tabs>
          <w:tab w:val="left" w:pos="5954"/>
        </w:tabs>
        <w:ind w:right="56"/>
      </w:pPr>
    </w:p>
    <w:p w14:paraId="6D0F0D6B" w14:textId="77777777" w:rsidR="009F661C" w:rsidRPr="002607C3" w:rsidRDefault="009F661C" w:rsidP="00071CFC">
      <w:pPr>
        <w:pStyle w:val="DLText"/>
        <w:tabs>
          <w:tab w:val="left" w:pos="5954"/>
        </w:tabs>
        <w:ind w:right="56"/>
      </w:pPr>
      <w:r w:rsidRPr="00071CFC">
        <w:t>Papua New Guinea is home to one of the world's few remaining tropical rainforests. The forests cover 36 million hectares or 77 per cent of the country's land area. The Papua New Guinea Forest Authority (PGFA) estimated that 26 million hectares were available for commercial exploitation in 1996, of which it has acquired rights to 10.6 million hectares, and 6.1 million hectares had been allocated under permit to some 23 companies at 90 different locations.</w:t>
      </w:r>
      <w:r w:rsidRPr="00071CFC">
        <w:rPr>
          <w:rStyle w:val="FootnoteReference"/>
          <w:color w:val="0000FF"/>
        </w:rPr>
        <w:footnoteReference w:id="13"/>
      </w:r>
      <w:r w:rsidRPr="00071CFC">
        <w:rPr>
          <w:color w:val="FF0000"/>
        </w:rPr>
        <w:t xml:space="preserve"> </w:t>
      </w:r>
      <w:r w:rsidRPr="00071CFC">
        <w:t>The forested areas range from mangroves along the coastline through lowland forests up to montane forests at altitudes of up to 4,000 metres. The forests comprise up to 1,500 tree species, perhaps 20,000 other plant species, 750 bird species, including 90 per cent of birds of paradise, and many varieties of butterflies and orchids. Collectively all this constitutes one of the world's 'richest reserves of biodiversity', and the forest areas also support, if only to a low level, the livelihoods of most of the 80 per cent of Papua New Guineans who still live in rural communities</w:t>
      </w:r>
      <w:r w:rsidRPr="002607C3">
        <w:t>.</w:t>
      </w:r>
      <w:r w:rsidRPr="002607C3">
        <w:rPr>
          <w:rStyle w:val="FootnoteReference"/>
        </w:rPr>
        <w:footnoteReference w:id="14"/>
      </w:r>
    </w:p>
    <w:p w14:paraId="7582B2EF" w14:textId="77777777" w:rsidR="009F661C" w:rsidRPr="00826C4D" w:rsidRDefault="009F661C" w:rsidP="00071CFC">
      <w:pPr>
        <w:pStyle w:val="DLHeading2"/>
      </w:pPr>
      <w:r w:rsidRPr="00826C4D">
        <w:t>Governance and Forests</w:t>
      </w:r>
    </w:p>
    <w:p w14:paraId="32177EC6" w14:textId="77777777" w:rsidR="009F661C" w:rsidRPr="00071CFC" w:rsidRDefault="009F661C" w:rsidP="00071CFC">
      <w:pPr>
        <w:pStyle w:val="DLText"/>
      </w:pPr>
      <w:r w:rsidRPr="00071CFC">
        <w:t xml:space="preserve">At its independence in 1975, Papua New Guinea had two separate Acts governing its forestry industry, the Forestry Act and the Forestry (Private Dealings) Act. Under the first only the State could acquire timber rights from customary landowners, through Timber Rights Purchases Agreements that allowed the State to issue Timber Rights Permits (TRPs) to logging companies on its own terms and conditions without further reference to </w:t>
      </w:r>
      <w:r w:rsidRPr="00071CFC">
        <w:lastRenderedPageBreak/>
        <w:t xml:space="preserve">landowners other than assuring them of royalties payable at prescribed rates. Under the second Act, customary landowners could sell their timber privately, usually by forming a landowner company that acquired the logging rights from the landowners and then contracted these rights to a logging company. Subject to assent by the Minister for Forests, the logging company could operate without a TRP or other supervision by the State (Taylor 1997).  </w:t>
      </w:r>
    </w:p>
    <w:p w14:paraId="4A6746D3" w14:textId="77777777" w:rsidR="009F661C" w:rsidRPr="00071CFC" w:rsidRDefault="009F661C" w:rsidP="00071CFC">
      <w:pPr>
        <w:pStyle w:val="DLText"/>
      </w:pPr>
      <w:r w:rsidRPr="00071CFC">
        <w:t>As a response to the Report of the Commission of Inquiry into the forestry industry by Judge Thomas Barnett (1989,a new Forestry Act (1991) came into force in 1992. Under this Act all forest resources are to be developed in accordance with a 'National Forest Plan', and the State awarded itself the sole power both to enter into 'Forest Management Agreements' (FMA) with landowners and then to select an approved logging company. The National Forest Plan was not published until 1996 and by 2002 few of this new type of agreement had been granted, other than conversions from former TRPs, so that for the most part the only on-going logging projects were those in operation before 1992. Even when the Plan became available, various other steps had to be taken before an FMA could be concluded, such as a 'Development Options Study' and securing approval of an environmental plan. This nationalization of the forestry industry was surprisingly endorsed in successive Structural Adjustment Programmes of the World Bank, despite its normal preference for privatization (see below), no doubt because it saw that the bureaucratic superstructure needed to apply the 1991 Forestry Act would achieve its own agenda of preventing logging in Papua New Guinea, as described by Filer and discussed below in the section 'The World Bank and Forestry in Papua New Guinea' (Filer 2004).</w:t>
      </w:r>
    </w:p>
    <w:p w14:paraId="7714DEC5" w14:textId="77777777" w:rsidR="009F661C" w:rsidRPr="00071CFC" w:rsidRDefault="009F661C" w:rsidP="00071CFC">
      <w:pPr>
        <w:pStyle w:val="DLText"/>
      </w:pPr>
      <w:r w:rsidRPr="00071CFC">
        <w:t>Rod Taylor (1997) sees the 1991 Forestry Act's nationalization of the industry as a kind of usurpation of customary authority's traditional role in managing the forest resource in the best interests of those most directly concerned. He notes the role of the State in mediating potential conflict between the private interest of landowners and the public interest by preventing 'negative externalities' (i.e. social costs created but not incurred by the private players). Taylor suggests that another potential justification for the 1991 Forestry Act is that it provided 'paternalistic protection' of the customary landowners, but only on 'the questionable belief that landowners will do better under the state's benevolent guidance than if they are left to make their own naive choices'.</w:t>
      </w:r>
      <w:r w:rsidRPr="002607C3">
        <w:rPr>
          <w:rStyle w:val="FootnoteReference"/>
        </w:rPr>
        <w:footnoteReference w:id="15"/>
      </w:r>
      <w:r w:rsidRPr="002607C3">
        <w:rPr>
          <w:i/>
          <w:iCs/>
        </w:rPr>
        <w:t xml:space="preserve"> </w:t>
      </w:r>
    </w:p>
    <w:p w14:paraId="76B32EC3" w14:textId="77777777" w:rsidR="009F661C" w:rsidRPr="00071CFC" w:rsidRDefault="009F661C" w:rsidP="00071CFC">
      <w:pPr>
        <w:pStyle w:val="DLText"/>
      </w:pPr>
      <w:r w:rsidRPr="00071CFC">
        <w:lastRenderedPageBreak/>
        <w:t>Yet, as Taylor (1997) also notes, there are real limitations to the ability of a customary system to manage resources effectively. First, 'customary resource rights tend not to be matters of fact capable of objective identification'. Secondly, 'the difficulty is in identifying what is and what is not a custom-sanctioned action'. Thirdly, experience with landowner companies, and even more with Incorporated Land Groups, shows the inadequacy of custom to ensure that such new institutions deliver equitable outcomes to the community instead of appropriating all available rents to their managers.</w:t>
      </w:r>
    </w:p>
    <w:p w14:paraId="5315F124" w14:textId="77777777" w:rsidR="009F661C" w:rsidRPr="001D79C8" w:rsidRDefault="009F661C" w:rsidP="0097701E">
      <w:pPr>
        <w:pStyle w:val="DLText"/>
      </w:pPr>
      <w:r w:rsidRPr="00071CFC">
        <w:t xml:space="preserve">The underlying problem with both landowner companies and ILGs is that neither conforms to the model of a </w:t>
      </w:r>
      <w:r w:rsidRPr="00071CFC">
        <w:rPr>
          <w:i/>
          <w:iCs/>
        </w:rPr>
        <w:t xml:space="preserve">public </w:t>
      </w:r>
      <w:r w:rsidRPr="00071CFC">
        <w:t xml:space="preserve">company. The landowner </w:t>
      </w:r>
      <w:r w:rsidRPr="00FF1804">
        <w:rPr>
          <w:spacing w:val="-2"/>
        </w:rPr>
        <w:t>companies are all 'proprietary' companies, like Mussau Forest Development</w:t>
      </w:r>
      <w:r w:rsidRPr="00071CFC">
        <w:t xml:space="preserve"> Co. Pty Ltd. That form of the company is usually adopted when there are only a few 'members' or owners - the minimum was two in the old Papua New Guinea Companies Act, and is now one - and those owners are usually also the managers. Public companies normally have at least fifty shareholders and are subject to much more rigorous regulatory regimes for aligning the performance of the managers with the interests of the mass of shareholders. For example, the proprietary ('Pty') company is only required to lodge vary basic pro forma statutory accounts with the Registrar of Companies, whereas the more comprehensive accounts of public companies have to be audited to prescribed 'generally accepted accounting principles' (GAAP) and circulated to all shareholders as well as being published at large. Public companies are required to conform to a larger body of regulatory legislation than private companies and to have well publicized annual meetings at which shareholders are able to elect directors to the board. Until 1996 'Pty' companies only had standard form articles and memoranda of association in Papua New Guinea under which it was all too easy for the landowners companies to fail to distribute net earnings to their members, while ILGs</w:t>
      </w:r>
      <w:r>
        <w:t xml:space="preserve"> traditionally </w:t>
      </w:r>
      <w:r w:rsidRPr="00071CFC">
        <w:t xml:space="preserve">had even fewer safeguards for their members with their very permissive Act. </w:t>
      </w:r>
      <w:r>
        <w:t xml:space="preserve">The legal environment has, of course changed with respect to ILGs with the 2009 amendments to the </w:t>
      </w:r>
      <w:r w:rsidRPr="0084687F">
        <w:rPr>
          <w:i/>
          <w:iCs/>
        </w:rPr>
        <w:t>Incorporated Land Groups Act,</w:t>
      </w:r>
      <w:r>
        <w:t xml:space="preserve"> which addresses this issue of governance and now prescribes, </w:t>
      </w:r>
      <w:r w:rsidRPr="0084687F">
        <w:rPr>
          <w:i/>
          <w:iCs/>
        </w:rPr>
        <w:t>inter alia</w:t>
      </w:r>
      <w:r>
        <w:t xml:space="preserve">, Annual General Meetings, a constitution, Annual Reports and Financial Statement, and a full and complete list of the membership with birth certificates, although the ILG does not yet fully conform to a public companies in so far as members do not hold shares that can be sold or alienated. It is too early to determine whether this new legislation will be effectively implemented and improve the performance of the ILGs. A fuller discussion of this legislation and its implications is available in chapter five of this text. </w:t>
      </w:r>
    </w:p>
    <w:p w14:paraId="0BD0C720" w14:textId="77777777" w:rsidR="009F661C" w:rsidRPr="001D79C8" w:rsidRDefault="009F661C" w:rsidP="000774F8">
      <w:pPr>
        <w:pStyle w:val="DLText"/>
      </w:pPr>
      <w:r w:rsidRPr="00071CFC">
        <w:lastRenderedPageBreak/>
        <w:t xml:space="preserve">A further and major advantage of public companies is their much greater ability to raise both debt and equity finance. A trail blazer in Papua New Guinea has been New Britain Palm Oil Ltd, formerly a proprietary company. In 1996 it was re-registered as a public company preparatory to an international share flotation, but a change in the ownership of the controlling interest delayed the float until 2001, when it floated on the Port Moresby Stock Exchange. Going public in 1996 had already enabled the company to sell shares at discounted prices to its employees and out-growers. Landowners and the provincial government of West New Britain also have shares. The wider float in 2001 enabled more capital to be raised from the general </w:t>
      </w:r>
      <w:commentRangeStart w:id="6"/>
      <w:r w:rsidRPr="00071CFC">
        <w:t>public</w:t>
      </w:r>
      <w:commentRangeEnd w:id="6"/>
      <w:r>
        <w:rPr>
          <w:rStyle w:val="CommentReference"/>
          <w:lang w:val="en-AU"/>
        </w:rPr>
        <w:commentReference w:id="6"/>
      </w:r>
      <w:r w:rsidRPr="00071CFC">
        <w:t>.</w:t>
      </w:r>
      <w:r w:rsidRPr="000774F8">
        <w:t xml:space="preserve"> </w:t>
      </w:r>
      <w:r>
        <w:t xml:space="preserve">Again the 2009 amendments to the </w:t>
      </w:r>
      <w:r w:rsidRPr="008B7C22">
        <w:rPr>
          <w:i/>
          <w:iCs/>
        </w:rPr>
        <w:t>Incorporated Land Group</w:t>
      </w:r>
      <w:r>
        <w:rPr>
          <w:i/>
          <w:iCs/>
        </w:rPr>
        <w:t>s</w:t>
      </w:r>
      <w:r w:rsidRPr="008B7C22">
        <w:rPr>
          <w:i/>
          <w:iCs/>
        </w:rPr>
        <w:t xml:space="preserve"> Act</w:t>
      </w:r>
      <w:r>
        <w:t xml:space="preserve"> that now allow for the registration of land claimed by the ILG should make it easier for such groups to obtain debt if not equity financing. </w:t>
      </w:r>
    </w:p>
    <w:p w14:paraId="6373D051" w14:textId="77777777" w:rsidR="009F661C" w:rsidRPr="00071CFC" w:rsidRDefault="009F661C" w:rsidP="00071CFC">
      <w:pPr>
        <w:pStyle w:val="DLText"/>
      </w:pPr>
      <w:r w:rsidRPr="00071CFC">
        <w:t xml:space="preserve">Rod Taylor (1997) suggests various reforms to improve governance of the forestry industry, including public availability of model contracts, and establishing a non-government negotiating service for landowners. In our view these reforms ought to include legislation to require all landowner companies and ILGs to be reformed as </w:t>
      </w:r>
      <w:r w:rsidRPr="00071CFC">
        <w:rPr>
          <w:i/>
          <w:iCs/>
        </w:rPr>
        <w:t xml:space="preserve">public </w:t>
      </w:r>
      <w:r w:rsidRPr="00071CFC">
        <w:t>companies (see Box #4 for a case study). That would make it easier for them to raise their own capital to finance forestry activities, such as purchase of graders and bulldozers, without having to rely on foreign logging firms. It would also reduce the ease with which landowner companies have in the past been no more than dummy companies acting for and on behalf of the foreign logging firms, with their management (including lawyers and accountants) supplied by the latter. Such reforms might well be all that is required to complete the adaptation of customary ownership to the requirements of commercial exploitation of the forestry resource. Taylor's conclusions are worth repeating:</w:t>
      </w:r>
    </w:p>
    <w:p w14:paraId="6D0BAE61" w14:textId="77777777" w:rsidR="009F661C" w:rsidRDefault="009F661C" w:rsidP="00FF1804">
      <w:pPr>
        <w:pStyle w:val="DLText"/>
        <w:ind w:left="284" w:right="284" w:firstLine="0"/>
        <w:rPr>
          <w:sz w:val="18"/>
          <w:szCs w:val="18"/>
        </w:rPr>
      </w:pPr>
    </w:p>
    <w:p w14:paraId="742DC236" w14:textId="77777777" w:rsidR="009F661C" w:rsidRPr="00FF1804" w:rsidRDefault="009F661C" w:rsidP="00FF1804">
      <w:pPr>
        <w:pStyle w:val="DLText"/>
        <w:ind w:left="284" w:right="284" w:firstLine="0"/>
        <w:rPr>
          <w:sz w:val="18"/>
          <w:szCs w:val="18"/>
        </w:rPr>
      </w:pPr>
      <w:r w:rsidRPr="00FF1804">
        <w:rPr>
          <w:sz w:val="18"/>
          <w:szCs w:val="18"/>
        </w:rPr>
        <w:t>Where custom can divine the local public interest, it displaces the need for state intervention. Given custom's resilience and pervasive influence, the state should be cautious in assuming its demise. Emerging institutions such as landowner companies should not be dismissed as aberrations of custom simply because they are not egalitarian, whether judged against fantasies of how custom once operated or against introduced ideals of participatory democracy. Where custom seems to be failing, the state should not presume that it can do what custom cannot (Taylor 1997; 267).</w:t>
      </w:r>
    </w:p>
    <w:p w14:paraId="1A807EF1" w14:textId="77777777" w:rsidR="009F661C" w:rsidRPr="00FF1804" w:rsidRDefault="009F661C" w:rsidP="00FF1804">
      <w:pPr>
        <w:ind w:left="284" w:right="284"/>
        <w:jc w:val="both"/>
        <w:rPr>
          <w:color w:val="0000FF"/>
          <w:sz w:val="18"/>
          <w:szCs w:val="18"/>
          <w:lang w:val="en-US"/>
        </w:rPr>
      </w:pPr>
    </w:p>
    <w:p w14:paraId="4E9297A0" w14:textId="77777777" w:rsidR="009F661C" w:rsidRPr="00FF1804" w:rsidRDefault="009F661C" w:rsidP="00071CFC">
      <w:pPr>
        <w:ind w:left="720"/>
        <w:jc w:val="both"/>
        <w:rPr>
          <w:color w:val="0000FF"/>
          <w:sz w:val="2"/>
          <w:szCs w:val="2"/>
          <w:lang w:val="en-US"/>
        </w:rPr>
      </w:pPr>
      <w:r>
        <w:rPr>
          <w:color w:val="0000FF"/>
          <w:sz w:val="20"/>
          <w:szCs w:val="20"/>
          <w:lang w:val="en-US"/>
        </w:rPr>
        <w:br w:type="page"/>
      </w:r>
    </w:p>
    <w:p w14:paraId="68CFB82E" w14:textId="77777777" w:rsidR="009F661C" w:rsidRPr="00FF1804" w:rsidRDefault="009F661C" w:rsidP="00071CFC">
      <w:pPr>
        <w:ind w:left="720"/>
        <w:jc w:val="both"/>
        <w:rPr>
          <w:color w:val="0000FF"/>
          <w:sz w:val="2"/>
          <w:szCs w:val="2"/>
          <w:lang w:val="en-US"/>
        </w:rPr>
      </w:pPr>
    </w:p>
    <w:p w14:paraId="03D99B80" w14:textId="63C4D59D" w:rsidR="009F661C" w:rsidRPr="00071CFC" w:rsidRDefault="00A32961" w:rsidP="00071CFC">
      <w:pPr>
        <w:ind w:left="720"/>
        <w:jc w:val="both"/>
        <w:rPr>
          <w:color w:val="0000FF"/>
          <w:sz w:val="20"/>
          <w:szCs w:val="20"/>
          <w:lang w:val="en-US"/>
        </w:rPr>
      </w:pPr>
      <w:r>
        <w:rPr>
          <w:noProof/>
          <w:lang w:eastAsia="en-AU"/>
        </w:rPr>
        <mc:AlternateContent>
          <mc:Choice Requires="wps">
            <w:drawing>
              <wp:anchor distT="0" distB="0" distL="114300" distR="114300" simplePos="0" relativeHeight="251662336" behindDoc="0" locked="0" layoutInCell="1" allowOverlap="1" wp14:anchorId="148C4830" wp14:editId="482C3A49">
                <wp:simplePos x="0" y="0"/>
                <wp:positionH relativeFrom="column">
                  <wp:posOffset>168910</wp:posOffset>
                </wp:positionH>
                <wp:positionV relativeFrom="paragraph">
                  <wp:posOffset>72390</wp:posOffset>
                </wp:positionV>
                <wp:extent cx="3627755" cy="6070600"/>
                <wp:effectExtent l="3810" t="0" r="13335" b="1651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7755" cy="6070600"/>
                        </a:xfrm>
                        <a:prstGeom prst="rect">
                          <a:avLst/>
                        </a:prstGeom>
                        <a:solidFill>
                          <a:srgbClr val="FFFFFF"/>
                        </a:solidFill>
                        <a:ln w="9525">
                          <a:solidFill>
                            <a:srgbClr val="000000"/>
                          </a:solidFill>
                          <a:miter lim="800000"/>
                          <a:headEnd/>
                          <a:tailEnd/>
                        </a:ln>
                      </wps:spPr>
                      <wps:txbx>
                        <w:txbxContent>
                          <w:p w14:paraId="47376119" w14:textId="77777777" w:rsidR="009F661C" w:rsidRPr="00FB38D8" w:rsidRDefault="009F661C" w:rsidP="00071CFC">
                            <w:pPr>
                              <w:rPr>
                                <w:sz w:val="20"/>
                                <w:szCs w:val="20"/>
                              </w:rPr>
                            </w:pPr>
                            <w:r w:rsidRPr="00FB38D8">
                              <w:rPr>
                                <w:sz w:val="20"/>
                                <w:szCs w:val="20"/>
                              </w:rPr>
                              <w:t>A New Zealand case study</w:t>
                            </w:r>
                          </w:p>
                          <w:p w14:paraId="3294CF42" w14:textId="77777777" w:rsidR="009F661C" w:rsidRPr="00FB38D8" w:rsidRDefault="009F661C" w:rsidP="00071CFC">
                            <w:pPr>
                              <w:rPr>
                                <w:sz w:val="20"/>
                                <w:szCs w:val="20"/>
                              </w:rPr>
                            </w:pPr>
                          </w:p>
                          <w:p w14:paraId="11DFD2EC" w14:textId="77777777" w:rsidR="009F661C" w:rsidRPr="00FB38D8" w:rsidRDefault="009F661C" w:rsidP="00DC1614">
                            <w:pPr>
                              <w:jc w:val="both"/>
                            </w:pPr>
                            <w:r w:rsidRPr="00FB38D8">
                              <w:rPr>
                                <w:sz w:val="20"/>
                                <w:szCs w:val="20"/>
                              </w:rPr>
                              <w:t>The foundations of New Zealand's enormously successful radiata pine timber industry were laid in the 1920s. The leading spirit was Douglas Wylie who asserted "human and animal life is rendered possible only by tree and plant growth. The very air we breathe is purified by the trees and but for them we should die...The available timber supplies of the world, particularly of softwoods, which are the most useful and most in demand, have been very seriously depleted and there is real dander of a worldwide shortage..." In the same vein Owen Jones similarly anticipated today's concerns: "as we have received the forests as a free gift from Nature and from those who went before us, so we should hand them on unimpaired to those who will succeed us..." These statements come from a 1923 prospectus for sale of shares in Afforestation Ltd. that planned to plant some 6,500 acres of radiata pine. The success of this issue led the promoters to form another company, New Zealand Perpetual Forests Ltd. that issued debenture bonds instead of shares. The bonds entitled the purchaser to the value of the trees on an acre of land on which the company contracted to plant 680 trees and maintain them in good condition for twenty years. For bonds priced at £25 (i.e. K50) returns of at least 50 per cent p.a. after 25 years, or lump sums from £300-£500 after 25 years, were promised (an implied compound annual rate of return from date of purchase of 4.5 per cent was mentioned). A later bond issue included a death benefit (similar to life insurance). The bonds were successfully marketed worldwide and Perpetual became an international company. The bonds financed a rapid</w:t>
                            </w:r>
                            <w:r w:rsidRPr="00FB38D8">
                              <w:t xml:space="preserve"> expansion in the areas planted, by </w:t>
                            </w:r>
                            <w:r w:rsidRPr="00FB38D8">
                              <w:rPr>
                                <w:sz w:val="20"/>
                                <w:szCs w:val="20"/>
                              </w:rPr>
                              <w:t>46,129 acres in 1926 and 28,239 in 1927 and a total of 125,000 acres by 1929, at a rate of about 400-600 trees per acre, and reaching 100 million trees by 1935. The planting created significant employment at a time of worldwide depression. The next step was to create industries to use the timber and the first pulp and paper mill was purchased in 1935. By the 1990s New Zealand's paper industry was employing nearly 9,000 persons (about the same as total employment in Papua New Guinea's minerals sector), in addition to around 23,000 in wood processing, together</w:t>
                            </w:r>
                            <w:r w:rsidRPr="00FB38D8">
                              <w:t xml:space="preserve"> </w:t>
                            </w:r>
                            <w:r w:rsidRPr="00FB38D8">
                              <w:rPr>
                                <w:sz w:val="20"/>
                                <w:szCs w:val="20"/>
                              </w:rPr>
                              <w:t>accounting for close to 10 per cent of total employment in manufacturing of 233,000 in 1993 (about the same as Papua New Guinea's total employment</w:t>
                            </w:r>
                            <w:r w:rsidRPr="00FB38D8">
                              <w:t xml:space="preserve"> </w:t>
                            </w:r>
                            <w:r w:rsidRPr="00FB38D8">
                              <w:rPr>
                                <w:sz w:val="20"/>
                                <w:szCs w:val="20"/>
                              </w:rPr>
                              <w:t>in all sectors).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8C4830" id="Text Box 6" o:spid="_x0000_s1030" type="#_x0000_t202" style="position:absolute;left:0;text-align:left;margin-left:13.3pt;margin-top:5.7pt;width:285.65pt;height:47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eLZ6C4CAABZBAAADgAAAGRycy9lMm9Eb2MueG1srFTbbtswDH0fsH8Q9L7Y8XJpjThFly7DgO4C&#10;tPsAWZZjYZKoSUrs7utLyUkWdNvLMD8IokgdkeeQXt0MWpGDcF6Cqeh0klMiDIdGml1Fvz1u31xR&#10;4gMzDVNgREWfhKc369evVr0tRQEdqEY4giDGl72taBeCLbPM805o5idghUFnC06zgKbbZY1jPaJr&#10;lRV5vsh6cI11wIX3eHo3Ouk64bet4OFL23oRiKoo5hbS6tJaxzVbr1i5c8x2kh/TYP+QhWbS4KNn&#10;qDsWGNk7+RuUltyBhzZMOOgM2lZykWrAaqb5i2oeOmZFqgXJ8fZMk/9/sPzz4asjskHtCkoM06jR&#10;oxgCeQcDWUR6eutLjHqwGBcGPMbQVKq398C/e2Jg0zGzE7fOQd8J1mB603gzu7g64vgIUvefoMFn&#10;2D5AAhpapyN3yAZBdJTp6SxNTIXj4dtFsVzO55Rw9C3yZb7Ik3gZK0/XrfPhgwBN4qaiDrVP8Oxw&#10;70NMh5WnkPiaByWbrVQqGW5Xb5QjB4Z9sk1fquBFmDKkr+j1vJiPDPwVIk/fnyC0DNjwSuqKXp2D&#10;WBl5e2+a1I6BSTXuMWVljkRG7kYWw1APSbLZSZ8amidk1sHY3ziPuOnA/aSkx96uqP+xZ05Qoj4a&#10;VOd6OpvFYUjGbL4s0HCXnvrSwwxHqIoGSsbtJowDtLdO7jp8aewHA7eoaCsT11H6Matj+ti/SYLj&#10;rMUBubRT1K8/wvoZAAD//wMAUEsDBBQABgAIAAAAIQDeh0bb3wAAAAkBAAAPAAAAZHJzL2Rvd25y&#10;ZXYueG1sTI/BTsMwEETvSPyDtUhcEHVagtOEOBVCAsENCoKrG7tJhL0OtpuGv2c5wXF2RjNv683s&#10;LJtMiINHCctFBsxg6/WAnYS31/vLNbCYFGplPRoJ3ybCpjk9qVWl/RFfzLRNHaMSjJWS0Kc0VpzH&#10;tjdOxYUfDZK398GpRDJ0XAd1pHJn+SrLBHdqQFro1WjuetN+bg9Owjp/nD7i09Xzeyv2tkwXxfTw&#10;FaQ8P5tvb4AlM6e/MPziEzo0xLTzB9SRWQkrIShJ92UOjPzrsiiB7SSUosiBNzX//0HzAwAA//8D&#10;AFBLAQItABQABgAIAAAAIQDkmcPA+wAAAOEBAAATAAAAAAAAAAAAAAAAAAAAAABbQ29udGVudF9U&#10;eXBlc10ueG1sUEsBAi0AFAAGAAgAAAAhACOyauHXAAAAlAEAAAsAAAAAAAAAAAAAAAAALAEAAF9y&#10;ZWxzLy5yZWxzUEsBAi0AFAAGAAgAAAAhAL3i2eguAgAAWQQAAA4AAAAAAAAAAAAAAAAALAIAAGRy&#10;cy9lMm9Eb2MueG1sUEsBAi0AFAAGAAgAAAAhAN6HRtvfAAAACQEAAA8AAAAAAAAAAAAAAAAAhgQA&#10;AGRycy9kb3ducmV2LnhtbFBLBQYAAAAABAAEAPMAAACSBQAAAAA=&#10;">
                <v:textbox>
                  <w:txbxContent>
                    <w:p w14:paraId="47376119" w14:textId="77777777" w:rsidR="009F661C" w:rsidRPr="00FB38D8" w:rsidRDefault="009F661C" w:rsidP="00071CFC">
                      <w:pPr>
                        <w:rPr>
                          <w:sz w:val="20"/>
                          <w:szCs w:val="20"/>
                        </w:rPr>
                      </w:pPr>
                      <w:r w:rsidRPr="00FB38D8">
                        <w:rPr>
                          <w:sz w:val="20"/>
                          <w:szCs w:val="20"/>
                        </w:rPr>
                        <w:t>A New Zealand case study</w:t>
                      </w:r>
                    </w:p>
                    <w:p w14:paraId="3294CF42" w14:textId="77777777" w:rsidR="009F661C" w:rsidRPr="00FB38D8" w:rsidRDefault="009F661C" w:rsidP="00071CFC">
                      <w:pPr>
                        <w:rPr>
                          <w:sz w:val="20"/>
                          <w:szCs w:val="20"/>
                        </w:rPr>
                      </w:pPr>
                    </w:p>
                    <w:p w14:paraId="11DFD2EC" w14:textId="77777777" w:rsidR="009F661C" w:rsidRPr="00FB38D8" w:rsidRDefault="009F661C" w:rsidP="00DC1614">
                      <w:pPr>
                        <w:jc w:val="both"/>
                      </w:pPr>
                      <w:r w:rsidRPr="00FB38D8">
                        <w:rPr>
                          <w:sz w:val="20"/>
                          <w:szCs w:val="20"/>
                        </w:rPr>
                        <w:t>The foundations of New Zealand's enormously successful radiata pine timber industry were laid in the 1920s. The leading spirit was Douglas Wylie who asserted "human and animal life is rendered possible only by tree and plant growth. The very air we breathe is purified by the trees and but for them we should die...The available timber supplies of the world, particularly of softwoods, which are the most useful and most in demand, have been very seriously depleted and there is real dander of a worldwide shortage..." In the same vein Owen Jones similarly anticipated today's concerns: "as we have received the forests as a free gift from Nature and from those who went before us, so we should hand them on unimpaired to those who will succeed us..." These statements come from a 1923 prospectus for sale of shares in Afforestation Ltd. that planned to plant some 6,500 acres of radiata pine. The success of this issue led the promoters to form another company, New Zealand Perpetual Forests Ltd. that issued debenture bonds instead of shares. The bonds entitled the purchaser to the value of the trees on an acre of land on which the company contracted to plant 680 trees and maintain them in good condition for twenty years. For bonds priced at £25 (i.e. K50) returns of at least 50 per cent p.a. after 25 years, or lump sums from £300-£500 after 25 years, were promised (an implied compound annual rate of return from date of purchase of 4.5 per cent was mentioned). A later bond issue included a death benefit (similar to life insurance). The bonds were successfully marketed worldwide and Perpetual became an international company. The bonds financed a rapid</w:t>
                      </w:r>
                      <w:r w:rsidRPr="00FB38D8">
                        <w:t xml:space="preserve"> expansion in the areas planted, by </w:t>
                      </w:r>
                      <w:r w:rsidRPr="00FB38D8">
                        <w:rPr>
                          <w:sz w:val="20"/>
                          <w:szCs w:val="20"/>
                        </w:rPr>
                        <w:t>46,129 acres in 1926 and 28,239 in 1927 and a total of 125,000 acres by 1929, at a rate of about 400-600 trees per acre, and reaching 100 million trees by 1935. The planting created significant employment at a time of worldwide depression. The next step was to create industries to use the timber and the first pulp and paper mill was purchased in 1935. By the 1990s New Zealand's paper industry was employing nearly 9,000 persons (about the same as total employment in Papua New Guinea's minerals sector), in addition to around 23,000 in wood processing, together</w:t>
                      </w:r>
                      <w:r w:rsidRPr="00FB38D8">
                        <w:t xml:space="preserve"> </w:t>
                      </w:r>
                      <w:r w:rsidRPr="00FB38D8">
                        <w:rPr>
                          <w:sz w:val="20"/>
                          <w:szCs w:val="20"/>
                        </w:rPr>
                        <w:t>accounting for close to 10 per cent of total employment in manufacturing of 233,000 in 1993 (about the same as Papua New Guinea's total employment</w:t>
                      </w:r>
                      <w:r w:rsidRPr="00FB38D8">
                        <w:t xml:space="preserve"> </w:t>
                      </w:r>
                      <w:r w:rsidRPr="00FB38D8">
                        <w:rPr>
                          <w:sz w:val="20"/>
                          <w:szCs w:val="20"/>
                        </w:rPr>
                        <w:t>in all sectors).</w:t>
                      </w:r>
                    </w:p>
                  </w:txbxContent>
                </v:textbox>
              </v:shape>
            </w:pict>
          </mc:Fallback>
        </mc:AlternateContent>
      </w:r>
    </w:p>
    <w:p w14:paraId="4E2F285C" w14:textId="77777777" w:rsidR="009F661C" w:rsidRPr="00071CFC" w:rsidRDefault="009F661C" w:rsidP="00071CFC">
      <w:pPr>
        <w:ind w:left="720"/>
        <w:jc w:val="both"/>
        <w:rPr>
          <w:color w:val="0000FF"/>
          <w:sz w:val="20"/>
          <w:szCs w:val="20"/>
          <w:lang w:val="en-US"/>
        </w:rPr>
      </w:pPr>
    </w:p>
    <w:p w14:paraId="022C275E" w14:textId="77777777" w:rsidR="009F661C" w:rsidRPr="00071CFC" w:rsidRDefault="009F661C" w:rsidP="00071CFC">
      <w:pPr>
        <w:ind w:firstLine="720"/>
        <w:jc w:val="both"/>
        <w:rPr>
          <w:color w:val="0000FF"/>
          <w:sz w:val="20"/>
          <w:szCs w:val="20"/>
          <w:lang w:val="en-US"/>
        </w:rPr>
      </w:pPr>
      <w:r w:rsidRPr="00071CFC">
        <w:rPr>
          <w:color w:val="0000FF"/>
          <w:sz w:val="20"/>
          <w:szCs w:val="20"/>
          <w:lang w:val="en-US"/>
        </w:rPr>
        <w:br w:type="page"/>
      </w:r>
    </w:p>
    <w:p w14:paraId="72EF01BC" w14:textId="0E50AB47" w:rsidR="009F661C" w:rsidRPr="00071CFC" w:rsidRDefault="00A32961" w:rsidP="00071CFC">
      <w:pPr>
        <w:ind w:firstLine="720"/>
        <w:jc w:val="both"/>
        <w:rPr>
          <w:color w:val="0000FF"/>
          <w:sz w:val="20"/>
          <w:szCs w:val="20"/>
          <w:lang w:val="en-US"/>
        </w:rPr>
      </w:pPr>
      <w:r>
        <w:rPr>
          <w:noProof/>
          <w:lang w:eastAsia="en-AU"/>
        </w:rPr>
        <w:lastRenderedPageBreak/>
        <mc:AlternateContent>
          <mc:Choice Requires="wps">
            <w:drawing>
              <wp:anchor distT="0" distB="0" distL="114300" distR="114300" simplePos="0" relativeHeight="251663360" behindDoc="0" locked="0" layoutInCell="1" allowOverlap="1" wp14:anchorId="64BA0D10" wp14:editId="09E76D16">
                <wp:simplePos x="0" y="0"/>
                <wp:positionH relativeFrom="column">
                  <wp:posOffset>228600</wp:posOffset>
                </wp:positionH>
                <wp:positionV relativeFrom="paragraph">
                  <wp:posOffset>-24130</wp:posOffset>
                </wp:positionV>
                <wp:extent cx="3581400" cy="2964180"/>
                <wp:effectExtent l="0" t="1270" r="12700" b="19050"/>
                <wp:wrapNone/>
                <wp:docPr id="1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2964180"/>
                        </a:xfrm>
                        <a:prstGeom prst="rect">
                          <a:avLst/>
                        </a:prstGeom>
                        <a:solidFill>
                          <a:srgbClr val="FFFFFF"/>
                        </a:solidFill>
                        <a:ln w="9525">
                          <a:solidFill>
                            <a:srgbClr val="000000"/>
                          </a:solidFill>
                          <a:miter lim="800000"/>
                          <a:headEnd/>
                          <a:tailEnd/>
                        </a:ln>
                      </wps:spPr>
                      <wps:txbx>
                        <w:txbxContent>
                          <w:p w14:paraId="14A2E39A" w14:textId="77777777" w:rsidR="009F661C" w:rsidRPr="00FB38D8" w:rsidRDefault="009F661C" w:rsidP="00071CFC">
                            <w:pPr>
                              <w:jc w:val="both"/>
                              <w:rPr>
                                <w:sz w:val="20"/>
                              </w:rPr>
                            </w:pPr>
                            <w:r w:rsidRPr="00FB38D8">
                              <w:rPr>
                                <w:sz w:val="20"/>
                                <w:szCs w:val="20"/>
                              </w:rPr>
                              <w:t xml:space="preserve">Salaries and wages paid by these industries amounted to NZ$1.4 billion in 1993, or about the same as Papua New Guinea's total </w:t>
                            </w:r>
                            <w:r w:rsidRPr="00FB38D8">
                              <w:rPr>
                                <w:i/>
                                <w:iCs/>
                                <w:sz w:val="20"/>
                                <w:szCs w:val="20"/>
                              </w:rPr>
                              <w:t>in all industries</w:t>
                            </w:r>
                            <w:r w:rsidRPr="00FB38D8">
                              <w:rPr>
                                <w:sz w:val="20"/>
                                <w:szCs w:val="20"/>
                              </w:rPr>
                              <w:t>. Such data contrast with the failure of most commentators on economic development in Papua New Guinea, including authors like Helen Hughes and Mike Bourke cited above, ever to mention the potential of the timber industry to deliver large increases in employment and incomes.</w:t>
                            </w:r>
                          </w:p>
                          <w:p w14:paraId="480236C7" w14:textId="77777777" w:rsidR="009F661C" w:rsidRPr="00FB38D8" w:rsidRDefault="009F661C" w:rsidP="00071CFC">
                            <w:pPr>
                              <w:jc w:val="both"/>
                              <w:rPr>
                                <w:sz w:val="20"/>
                              </w:rPr>
                            </w:pPr>
                          </w:p>
                          <w:p w14:paraId="17FC541A" w14:textId="77777777" w:rsidR="009F661C" w:rsidRPr="00FB38D8" w:rsidRDefault="009F661C" w:rsidP="00071CFC">
                            <w:pPr>
                              <w:jc w:val="both"/>
                              <w:rPr>
                                <w:sz w:val="20"/>
                              </w:rPr>
                            </w:pPr>
                            <w:r w:rsidRPr="00FB38D8">
                              <w:rPr>
                                <w:sz w:val="20"/>
                              </w:rPr>
                              <w:t>Another lesson from the above case study is that it could never have happened in Papua New Guinea. Douglas Wylie would not have been able to acquire the land on which to plant the radiata pine, governments would have imposed export taxes, and Greenpeace and the World Bank would have combined to ensure that the radiata could never be logged.</w:t>
                            </w:r>
                          </w:p>
                          <w:p w14:paraId="46331AD3" w14:textId="77777777" w:rsidR="009F661C" w:rsidRPr="00FB38D8" w:rsidRDefault="009F661C" w:rsidP="00071CFC">
                            <w:pPr>
                              <w:jc w:val="both"/>
                              <w:rPr>
                                <w:sz w:val="20"/>
                              </w:rPr>
                            </w:pPr>
                          </w:p>
                          <w:p w14:paraId="3198DF07" w14:textId="77777777" w:rsidR="009F661C" w:rsidRPr="00FB38D8" w:rsidRDefault="009F661C" w:rsidP="00071CFC">
                            <w:pPr>
                              <w:jc w:val="both"/>
                              <w:rPr>
                                <w:sz w:val="20"/>
                              </w:rPr>
                            </w:pPr>
                            <w:r w:rsidRPr="00FB38D8">
                              <w:rPr>
                                <w:sz w:val="20"/>
                              </w:rPr>
                              <w:t xml:space="preserve">Sources: Brian Healy, </w:t>
                            </w:r>
                            <w:r w:rsidRPr="00FB38D8">
                              <w:rPr>
                                <w:i/>
                                <w:iCs/>
                                <w:sz w:val="20"/>
                              </w:rPr>
                              <w:t>A Hundred Million Trees: the story of New Zealand Forest Products</w:t>
                            </w:r>
                            <w:r w:rsidRPr="00FB38D8">
                              <w:rPr>
                                <w:sz w:val="20"/>
                              </w:rPr>
                              <w:t xml:space="preserve">, Auckland: Hodder and Stoughton, 1982; </w:t>
                            </w:r>
                            <w:r w:rsidRPr="00FB38D8">
                              <w:rPr>
                                <w:i/>
                                <w:iCs/>
                                <w:sz w:val="20"/>
                              </w:rPr>
                              <w:t>New Zealand Official Yearbook 1994</w:t>
                            </w:r>
                            <w:r w:rsidRPr="00FB38D8">
                              <w:rPr>
                                <w:sz w:val="20"/>
                              </w:rPr>
                              <w:t>, Auckland: Statistics New Zealand, 1994.</w:t>
                            </w:r>
                          </w:p>
                          <w:p w14:paraId="50B0E93B" w14:textId="77777777" w:rsidR="009F661C" w:rsidRPr="00FB38D8" w:rsidRDefault="009F661C" w:rsidP="00071CFC">
                            <w:pPr>
                              <w:jc w:val="both"/>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BA0D10" id="Text Box 7" o:spid="_x0000_s1031" type="#_x0000_t202" style="position:absolute;left:0;text-align:left;margin-left:18pt;margin-top:-1.85pt;width:282pt;height:233.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TPI6C4CAABZBAAADgAAAGRycy9lMm9Eb2MueG1srFTbbtswDH0fsH8Q9L7YzpI2MeIUXboMA7oL&#10;0O4DZFmOhUmiJimxu68vJSdZ0G0vw/wgiCJ1RJ5DenUzaEUOwnkJpqLFJKdEGA6NNLuKfnvcvllQ&#10;4gMzDVNgREWfhKc369evVr0txRQ6UI1wBEGML3tb0S4EW2aZ553QzE/ACoPOFpxmAU23yxrHekTX&#10;Kpvm+VXWg2usAy68x9O70UnXCb9tBQ9f2taLQFRFMbeQVpfWOq7ZesXKnWO2k/yYBvuHLDSTBh89&#10;Q92xwMjeyd+gtOQOPLRhwkFn0LaSi1QDVlPkL6p56JgVqRYkx9szTf7/wfLPh6+OyAa1KygxTKNG&#10;j2II5B0M5DrS01tfYtSDxbgw4DGGplK9vQf+3RMDm46Znbh1DvpOsAbTK+LN7OLqiOMjSN1/ggaf&#10;YfsACWhonY7cIRsE0VGmp7M0MRWOh2/ni2KWo4ujb7q8mhWLJF7GytN163z4IECTuKmoQ+0TPDvc&#10;+xDTYeUpJL7mQclmK5VKhtvVG+XIgWGfbNOXKngRpgzpK7qcT+cjA3+FyNP3JwgtAza8krqii3MQ&#10;KyNv702T2jEwqcY9pqzMkcjI3chiGOohSTY/6VND84TMOhj7G+cRNx24n5T02NsV9T/2zAlK1EeD&#10;6iyL2SwOQzJm8+spGu7SU196mOEIVdFAybjdhHGA9tbJXYcvjf1g4BYVbWXiOko/ZnVMH/s3SXCc&#10;tTggl3aK+vVHWD8DAAD//wMAUEsDBBQABgAIAAAAIQAdDH/33wAAAAkBAAAPAAAAZHJzL2Rvd25y&#10;ZXYueG1sTI/NTsMwEITvSLyDtUhcUGuXVG4J2VQICQS3UhBc3XibRPgn2G4a3h5zguPsrGa+qTaT&#10;NWykEHvvEBZzAYxc43XvWoS314fZGlhMymllvCOEb4qwqc/PKlVqf3IvNO5Sy3KIi6VC6FIaSs5j&#10;05FVce4Hctk7+GBVyjK0XAd1yuHW8GshJLeqd7mhUwPdd9R87o4WYb18Gj/ic7F9b+TB3KSr1fj4&#10;FRAvL6a7W2CJpvT3DL/4GR3qzLT3R6cjMwiFzFMSwqxYAcu+FCIf9ghLWSyA1xX/v6D+AQAA//8D&#10;AFBLAQItABQABgAIAAAAIQDkmcPA+wAAAOEBAAATAAAAAAAAAAAAAAAAAAAAAABbQ29udGVudF9U&#10;eXBlc10ueG1sUEsBAi0AFAAGAAgAAAAhACOyauHXAAAAlAEAAAsAAAAAAAAAAAAAAAAALAEAAF9y&#10;ZWxzLy5yZWxzUEsBAi0AFAAGAAgAAAAhAH0zyOguAgAAWQQAAA4AAAAAAAAAAAAAAAAALAIAAGRy&#10;cy9lMm9Eb2MueG1sUEsBAi0AFAAGAAgAAAAhAB0Mf/ffAAAACQEAAA8AAAAAAAAAAAAAAAAAhgQA&#10;AGRycy9kb3ducmV2LnhtbFBLBQYAAAAABAAEAPMAAACSBQAAAAA=&#10;">
                <v:textbox>
                  <w:txbxContent>
                    <w:p w14:paraId="14A2E39A" w14:textId="77777777" w:rsidR="009F661C" w:rsidRPr="00FB38D8" w:rsidRDefault="009F661C" w:rsidP="00071CFC">
                      <w:pPr>
                        <w:jc w:val="both"/>
                        <w:rPr>
                          <w:sz w:val="20"/>
                        </w:rPr>
                      </w:pPr>
                      <w:r w:rsidRPr="00FB38D8">
                        <w:rPr>
                          <w:sz w:val="20"/>
                          <w:szCs w:val="20"/>
                        </w:rPr>
                        <w:t xml:space="preserve">Salaries and wages paid by these industries amounted to NZ$1.4 billion in 1993, or about the same as Papua New Guinea's total </w:t>
                      </w:r>
                      <w:r w:rsidRPr="00FB38D8">
                        <w:rPr>
                          <w:i/>
                          <w:iCs/>
                          <w:sz w:val="20"/>
                          <w:szCs w:val="20"/>
                        </w:rPr>
                        <w:t>in all industries</w:t>
                      </w:r>
                      <w:r w:rsidRPr="00FB38D8">
                        <w:rPr>
                          <w:sz w:val="20"/>
                          <w:szCs w:val="20"/>
                        </w:rPr>
                        <w:t>. Such data contrast with the failure of most commentators on economic development in Papua New Guinea, including authors like Helen Hughes and Mike Bourke cited above, ever to mention the potential of the timber industry to deliver large increases in employment and incomes.</w:t>
                      </w:r>
                    </w:p>
                    <w:p w14:paraId="480236C7" w14:textId="77777777" w:rsidR="009F661C" w:rsidRPr="00FB38D8" w:rsidRDefault="009F661C" w:rsidP="00071CFC">
                      <w:pPr>
                        <w:jc w:val="both"/>
                        <w:rPr>
                          <w:sz w:val="20"/>
                        </w:rPr>
                      </w:pPr>
                    </w:p>
                    <w:p w14:paraId="17FC541A" w14:textId="77777777" w:rsidR="009F661C" w:rsidRPr="00FB38D8" w:rsidRDefault="009F661C" w:rsidP="00071CFC">
                      <w:pPr>
                        <w:jc w:val="both"/>
                        <w:rPr>
                          <w:sz w:val="20"/>
                        </w:rPr>
                      </w:pPr>
                      <w:r w:rsidRPr="00FB38D8">
                        <w:rPr>
                          <w:sz w:val="20"/>
                        </w:rPr>
                        <w:t>Another lesson from the above case study is that it could never have happened in Papua New Guinea. Douglas Wylie would not have been able to acquire the land on which to plant the radiata pine, governments would have imposed export taxes, and Greenpeace and the World Bank would have combined to ensure that the radiata could never be logged.</w:t>
                      </w:r>
                    </w:p>
                    <w:p w14:paraId="46331AD3" w14:textId="77777777" w:rsidR="009F661C" w:rsidRPr="00FB38D8" w:rsidRDefault="009F661C" w:rsidP="00071CFC">
                      <w:pPr>
                        <w:jc w:val="both"/>
                        <w:rPr>
                          <w:sz w:val="20"/>
                        </w:rPr>
                      </w:pPr>
                    </w:p>
                    <w:p w14:paraId="3198DF07" w14:textId="77777777" w:rsidR="009F661C" w:rsidRPr="00FB38D8" w:rsidRDefault="009F661C" w:rsidP="00071CFC">
                      <w:pPr>
                        <w:jc w:val="both"/>
                        <w:rPr>
                          <w:sz w:val="20"/>
                        </w:rPr>
                      </w:pPr>
                      <w:r w:rsidRPr="00FB38D8">
                        <w:rPr>
                          <w:sz w:val="20"/>
                        </w:rPr>
                        <w:t xml:space="preserve">Sources: Brian Healy, </w:t>
                      </w:r>
                      <w:r w:rsidRPr="00FB38D8">
                        <w:rPr>
                          <w:i/>
                          <w:iCs/>
                          <w:sz w:val="20"/>
                        </w:rPr>
                        <w:t>A Hundred Million Trees: the story of New Zealand Forest Products</w:t>
                      </w:r>
                      <w:r w:rsidRPr="00FB38D8">
                        <w:rPr>
                          <w:sz w:val="20"/>
                        </w:rPr>
                        <w:t xml:space="preserve">, Auckland: Hodder and Stoughton, 1982; </w:t>
                      </w:r>
                      <w:r w:rsidRPr="00FB38D8">
                        <w:rPr>
                          <w:i/>
                          <w:iCs/>
                          <w:sz w:val="20"/>
                        </w:rPr>
                        <w:t>New Zealand Official Yearbook 1994</w:t>
                      </w:r>
                      <w:r w:rsidRPr="00FB38D8">
                        <w:rPr>
                          <w:sz w:val="20"/>
                        </w:rPr>
                        <w:t>, Auckland: Statistics New Zealand, 1994.</w:t>
                      </w:r>
                    </w:p>
                    <w:p w14:paraId="50B0E93B" w14:textId="77777777" w:rsidR="009F661C" w:rsidRPr="00FB38D8" w:rsidRDefault="009F661C" w:rsidP="00071CFC">
                      <w:pPr>
                        <w:jc w:val="both"/>
                        <w:rPr>
                          <w:sz w:val="20"/>
                        </w:rPr>
                      </w:pPr>
                    </w:p>
                  </w:txbxContent>
                </v:textbox>
              </v:shape>
            </w:pict>
          </mc:Fallback>
        </mc:AlternateContent>
      </w:r>
    </w:p>
    <w:p w14:paraId="5622792B" w14:textId="77777777" w:rsidR="009F661C" w:rsidRPr="00071CFC" w:rsidRDefault="009F661C" w:rsidP="00071CFC">
      <w:pPr>
        <w:ind w:firstLine="720"/>
        <w:jc w:val="both"/>
        <w:rPr>
          <w:color w:val="0000FF"/>
          <w:sz w:val="20"/>
          <w:szCs w:val="20"/>
          <w:lang w:val="en-US"/>
        </w:rPr>
      </w:pPr>
    </w:p>
    <w:p w14:paraId="038F385F" w14:textId="77777777" w:rsidR="009F661C" w:rsidRPr="00071CFC" w:rsidRDefault="009F661C" w:rsidP="00071CFC">
      <w:pPr>
        <w:ind w:firstLine="720"/>
        <w:jc w:val="both"/>
        <w:rPr>
          <w:color w:val="0000FF"/>
          <w:sz w:val="20"/>
          <w:szCs w:val="20"/>
          <w:lang w:val="en-US"/>
        </w:rPr>
      </w:pPr>
    </w:p>
    <w:p w14:paraId="28724E82" w14:textId="77777777" w:rsidR="009F661C" w:rsidRPr="00071CFC" w:rsidRDefault="009F661C" w:rsidP="00071CFC">
      <w:pPr>
        <w:ind w:firstLine="720"/>
        <w:jc w:val="both"/>
        <w:rPr>
          <w:color w:val="0000FF"/>
          <w:sz w:val="20"/>
          <w:szCs w:val="20"/>
          <w:lang w:val="en-US"/>
        </w:rPr>
      </w:pPr>
    </w:p>
    <w:p w14:paraId="443A9B55" w14:textId="77777777" w:rsidR="009F661C" w:rsidRPr="00071CFC" w:rsidRDefault="009F661C" w:rsidP="00071CFC">
      <w:pPr>
        <w:ind w:firstLine="720"/>
        <w:jc w:val="both"/>
        <w:rPr>
          <w:color w:val="0000FF"/>
          <w:sz w:val="20"/>
          <w:szCs w:val="20"/>
          <w:lang w:val="en-US"/>
        </w:rPr>
      </w:pPr>
    </w:p>
    <w:p w14:paraId="1765D802" w14:textId="77777777" w:rsidR="009F661C" w:rsidRPr="00071CFC" w:rsidRDefault="009F661C" w:rsidP="00071CFC">
      <w:pPr>
        <w:ind w:firstLine="720"/>
        <w:jc w:val="both"/>
        <w:rPr>
          <w:color w:val="0000FF"/>
          <w:sz w:val="20"/>
          <w:szCs w:val="20"/>
          <w:lang w:val="en-US"/>
        </w:rPr>
      </w:pPr>
    </w:p>
    <w:p w14:paraId="391C8D2F" w14:textId="77777777" w:rsidR="009F661C" w:rsidRPr="00071CFC" w:rsidRDefault="009F661C" w:rsidP="00071CFC">
      <w:pPr>
        <w:ind w:firstLine="720"/>
        <w:jc w:val="both"/>
        <w:rPr>
          <w:color w:val="0000FF"/>
          <w:sz w:val="20"/>
          <w:szCs w:val="20"/>
          <w:lang w:val="en-US"/>
        </w:rPr>
      </w:pPr>
    </w:p>
    <w:p w14:paraId="1761105B" w14:textId="77777777" w:rsidR="009F661C" w:rsidRPr="00071CFC" w:rsidRDefault="009F661C" w:rsidP="00071CFC">
      <w:pPr>
        <w:ind w:firstLine="720"/>
        <w:jc w:val="both"/>
        <w:rPr>
          <w:color w:val="0000FF"/>
          <w:sz w:val="20"/>
          <w:szCs w:val="20"/>
          <w:lang w:val="en-US"/>
        </w:rPr>
      </w:pPr>
    </w:p>
    <w:p w14:paraId="01BD2317" w14:textId="77777777" w:rsidR="009F661C" w:rsidRPr="00071CFC" w:rsidRDefault="009F661C" w:rsidP="00071CFC">
      <w:pPr>
        <w:ind w:firstLine="720"/>
        <w:jc w:val="both"/>
        <w:rPr>
          <w:color w:val="0000FF"/>
          <w:sz w:val="20"/>
          <w:szCs w:val="20"/>
          <w:lang w:val="en-US"/>
        </w:rPr>
      </w:pPr>
    </w:p>
    <w:p w14:paraId="4FF7ED64" w14:textId="77777777" w:rsidR="009F661C" w:rsidRPr="00071CFC" w:rsidRDefault="009F661C" w:rsidP="00071CFC">
      <w:pPr>
        <w:ind w:firstLine="720"/>
        <w:jc w:val="both"/>
        <w:rPr>
          <w:color w:val="0000FF"/>
          <w:sz w:val="20"/>
          <w:szCs w:val="20"/>
          <w:lang w:val="en-US"/>
        </w:rPr>
      </w:pPr>
    </w:p>
    <w:p w14:paraId="755AEC78" w14:textId="77777777" w:rsidR="009F661C" w:rsidRPr="00071CFC" w:rsidRDefault="009F661C" w:rsidP="00071CFC">
      <w:pPr>
        <w:ind w:firstLine="720"/>
        <w:jc w:val="both"/>
        <w:rPr>
          <w:color w:val="0000FF"/>
          <w:sz w:val="20"/>
          <w:szCs w:val="20"/>
          <w:lang w:val="en-US"/>
        </w:rPr>
      </w:pPr>
    </w:p>
    <w:p w14:paraId="3C2EB1F4" w14:textId="77777777" w:rsidR="009F661C" w:rsidRPr="00071CFC" w:rsidRDefault="009F661C" w:rsidP="00071CFC">
      <w:pPr>
        <w:ind w:firstLine="720"/>
        <w:jc w:val="both"/>
        <w:rPr>
          <w:color w:val="0000FF"/>
          <w:sz w:val="20"/>
          <w:szCs w:val="20"/>
          <w:lang w:val="en-US"/>
        </w:rPr>
      </w:pPr>
    </w:p>
    <w:p w14:paraId="666DA8F1" w14:textId="77777777" w:rsidR="009F661C" w:rsidRPr="00071CFC" w:rsidRDefault="009F661C" w:rsidP="00071CFC">
      <w:pPr>
        <w:ind w:firstLine="720"/>
        <w:jc w:val="both"/>
        <w:rPr>
          <w:color w:val="0000FF"/>
          <w:sz w:val="20"/>
          <w:szCs w:val="20"/>
          <w:lang w:val="en-US"/>
        </w:rPr>
      </w:pPr>
    </w:p>
    <w:p w14:paraId="17F71473" w14:textId="77777777" w:rsidR="009F661C" w:rsidRPr="00071CFC" w:rsidRDefault="009F661C" w:rsidP="00071CFC">
      <w:pPr>
        <w:ind w:firstLine="720"/>
        <w:jc w:val="both"/>
        <w:rPr>
          <w:color w:val="0000FF"/>
          <w:sz w:val="20"/>
          <w:szCs w:val="20"/>
          <w:lang w:val="en-US"/>
        </w:rPr>
      </w:pPr>
    </w:p>
    <w:p w14:paraId="7CD82CA8" w14:textId="77777777" w:rsidR="009F661C" w:rsidRPr="00071CFC" w:rsidRDefault="009F661C" w:rsidP="00071CFC">
      <w:pPr>
        <w:ind w:firstLine="720"/>
        <w:jc w:val="both"/>
        <w:rPr>
          <w:color w:val="0000FF"/>
          <w:sz w:val="20"/>
          <w:szCs w:val="20"/>
          <w:lang w:val="en-US"/>
        </w:rPr>
      </w:pPr>
    </w:p>
    <w:p w14:paraId="0C3621AB" w14:textId="77777777" w:rsidR="009F661C" w:rsidRPr="00071CFC" w:rsidRDefault="009F661C" w:rsidP="00071CFC">
      <w:pPr>
        <w:ind w:firstLine="720"/>
        <w:jc w:val="both"/>
        <w:rPr>
          <w:color w:val="0000FF"/>
          <w:sz w:val="20"/>
          <w:szCs w:val="20"/>
          <w:lang w:val="en-US"/>
        </w:rPr>
      </w:pPr>
    </w:p>
    <w:p w14:paraId="13B661AF" w14:textId="77777777" w:rsidR="009F661C" w:rsidRPr="00071CFC" w:rsidRDefault="009F661C" w:rsidP="00071CFC">
      <w:pPr>
        <w:ind w:firstLine="720"/>
        <w:jc w:val="both"/>
        <w:rPr>
          <w:color w:val="0000FF"/>
          <w:sz w:val="20"/>
          <w:szCs w:val="20"/>
          <w:lang w:val="en-US"/>
        </w:rPr>
      </w:pPr>
    </w:p>
    <w:p w14:paraId="56CE31C4" w14:textId="77777777" w:rsidR="009F661C" w:rsidRPr="00071CFC" w:rsidRDefault="009F661C" w:rsidP="00071CFC">
      <w:pPr>
        <w:ind w:firstLine="720"/>
        <w:jc w:val="both"/>
        <w:rPr>
          <w:color w:val="0000FF"/>
          <w:sz w:val="20"/>
          <w:szCs w:val="20"/>
          <w:lang w:val="en-US"/>
        </w:rPr>
      </w:pPr>
    </w:p>
    <w:p w14:paraId="3F581913" w14:textId="77777777" w:rsidR="009F661C" w:rsidRPr="00071CFC" w:rsidRDefault="009F661C" w:rsidP="00071CFC">
      <w:pPr>
        <w:ind w:firstLine="720"/>
        <w:jc w:val="both"/>
        <w:rPr>
          <w:color w:val="0000FF"/>
          <w:sz w:val="20"/>
          <w:szCs w:val="20"/>
          <w:lang w:val="en-US"/>
        </w:rPr>
      </w:pPr>
    </w:p>
    <w:p w14:paraId="31C6C4D2" w14:textId="77777777" w:rsidR="009F661C" w:rsidRPr="00071CFC" w:rsidRDefault="009F661C" w:rsidP="00071CFC">
      <w:pPr>
        <w:ind w:firstLine="720"/>
        <w:jc w:val="both"/>
        <w:rPr>
          <w:color w:val="0000FF"/>
          <w:sz w:val="20"/>
          <w:szCs w:val="20"/>
          <w:lang w:val="en-US"/>
        </w:rPr>
      </w:pPr>
    </w:p>
    <w:p w14:paraId="31797ABD" w14:textId="77777777" w:rsidR="009F661C" w:rsidRPr="00826C4D" w:rsidRDefault="009F661C" w:rsidP="00071CFC">
      <w:pPr>
        <w:pStyle w:val="DLHeading2"/>
      </w:pPr>
      <w:r w:rsidRPr="00826C4D">
        <w:t>The Barnett Report</w:t>
      </w:r>
    </w:p>
    <w:p w14:paraId="1C668552" w14:textId="77777777" w:rsidR="009F661C" w:rsidRPr="00071CFC" w:rsidRDefault="009F661C" w:rsidP="00071CFC">
      <w:pPr>
        <w:pStyle w:val="DLText"/>
      </w:pPr>
      <w:r w:rsidRPr="00071CFC">
        <w:t>By 1987 Papua New Guinea's forest industry was exporting about two million cubic metres of logs annually. A widespread belief that either the industry was being badly mismanaged or that it was being managed only for the benefit of foreign-owned logging companies led to the appointment in 1987 of Judge 'Tos' Barnett to head the Commission of Inquiry into Aspects of the Forestry Industry. Barnett's Report came out in stages over a period of some two years, and finally amounted to 20 volumes. The Report concluded that the forest industry was 'out of control', dominated by foreign firms who maximized log export volumes without regard to any considerations of long-term sustainability, environmental damage, equitable sharing of benefits with landowners, developing onshore processing, and compliance with exchange control and tax laws (Barnett 1998).</w:t>
      </w:r>
    </w:p>
    <w:p w14:paraId="24155A68" w14:textId="77777777" w:rsidR="009F661C" w:rsidRPr="00071CFC" w:rsidRDefault="009F661C" w:rsidP="00071CFC">
      <w:pPr>
        <w:pStyle w:val="DLText"/>
      </w:pPr>
      <w:r w:rsidRPr="00071CFC">
        <w:t xml:space="preserve">It is not possible here to do justice to what was in many respects a remarkable </w:t>
      </w:r>
      <w:r w:rsidRPr="00071CFC">
        <w:rPr>
          <w:i/>
          <w:iCs/>
        </w:rPr>
        <w:t>tour de force</w:t>
      </w:r>
      <w:r w:rsidRPr="00071CFC">
        <w:t xml:space="preserve">, carried out with some realized personal risk to Judge Barnett (he was attacked outside his Port Moresby home during preparation of the Report). Whilst not directly addressing how "fair benefit sharing" for landowners and their companies from timber operations should </w:t>
      </w:r>
      <w:r w:rsidRPr="00071CFC">
        <w:lastRenderedPageBreak/>
        <w:t>be determined, the Barnett Report extensively documented many cases of apparent transfer pricing whereby the declared price of exported logs is not their true value on world markets, so that even if a "fair" sharing of value had been defined and adopted, landowners will not receive that when export values are fraudulently understated. The Report also documents other frauds, including under-measurement of logs' actual dimensions, under-grading, and miss-specification of species, all of which result in apparently understated revenues and profits. However the Report acknowledged that previous reports had found that measurement of Papua New Guinea's exported logs on arrival in Japan had found over-measurement by as much as 5 per cent, and that its own estimates were of average under-measurement of only one per cent between 1981 and 1985 (Barnett 1998).</w:t>
      </w:r>
      <w:r w:rsidRPr="00071CFC">
        <w:rPr>
          <w:rStyle w:val="FootnoteReference"/>
          <w:color w:val="0000FF"/>
        </w:rPr>
        <w:footnoteReference w:id="16"/>
      </w:r>
    </w:p>
    <w:p w14:paraId="623A036C" w14:textId="77777777" w:rsidR="009F661C" w:rsidRPr="00071CFC" w:rsidRDefault="009F661C" w:rsidP="00071CFC">
      <w:pPr>
        <w:pStyle w:val="DLText"/>
      </w:pPr>
      <w:r w:rsidRPr="00071CFC">
        <w:t xml:space="preserve"> Duncan (1994) expanded on Barnett's suggestions of "unfair" benefit sharing, arguing that during the period of high prices for Papua New Guinea's logs after 1990 the bulk of the "surplus value" (sales value less costs and taxes) accrued to the logging contractors and not to the owners of the logs. That was partly due to the specific rather than </w:t>
      </w:r>
      <w:r w:rsidRPr="00071CFC">
        <w:rPr>
          <w:i/>
          <w:iCs/>
        </w:rPr>
        <w:t xml:space="preserve">ad valorem </w:t>
      </w:r>
      <w:r w:rsidRPr="00071CFC">
        <w:t>basis of the royalty calculation, which meant that royalties did not rise in proportion with price, and is yet another example of general bureaucratic failure. But Duncan's view that landowners rather than producers should receive all "surplus value" is a surprising encouragement of the all too pervasive rent seeking mentality of most Papua New Guinean landowners when mostly they do not themselves make the investment, in equipment and much else, with all its risks, nor do they perform very much of the main work. Despite its imperfections, the joint venture between the Mussau Island landowners and a foreign logging firm described below provided a fairer basis for profit sharing.</w:t>
      </w:r>
    </w:p>
    <w:p w14:paraId="66A2368D" w14:textId="77777777" w:rsidR="009F661C" w:rsidRPr="00071CFC" w:rsidRDefault="009F661C" w:rsidP="00071CFC">
      <w:pPr>
        <w:pStyle w:val="DLText"/>
      </w:pPr>
      <w:r w:rsidRPr="00071CFC">
        <w:t xml:space="preserve">Stepping in where the Barnett Report and Duncan (1994) evidently failed to tread, we suggest "fair" forestry agreements would best be defined by the outcomes of competitive bidding processes. In practice many of the forestry agreements in Papua New Guinea have been at least partly market determined. That is because there are on one hand many thousands of local land-groups vying with each other to attract foreign loggers to undertake logging in their respective areas - there are over 10,000 ILGs in addition to hundreds of landowner companies - and on the other a sufficiently large number of foreign loggers eager to negotiate access to the resource for there to be a competitive price determination. However in the 1970s and 1980s, there was no doubt asymmetric information as between the landowners and the loggers, putting the former at a disadvantage, but in time experience </w:t>
      </w:r>
      <w:r w:rsidRPr="00071CFC">
        <w:lastRenderedPageBreak/>
        <w:t>would help lead them to extract better terms from the latter, and the Mussau case is an example of that learning process, as is the Barnett Report itself.</w:t>
      </w:r>
    </w:p>
    <w:p w14:paraId="7813A3C6" w14:textId="77777777" w:rsidR="009F661C" w:rsidRPr="00071CFC" w:rsidRDefault="009F661C" w:rsidP="00071CFC">
      <w:pPr>
        <w:pStyle w:val="DLText"/>
      </w:pPr>
      <w:r w:rsidRPr="00071CFC">
        <w:t xml:space="preserve"> Mussau Island lies to the north of the large island of New Ireland, and had a population of about 5,300 in the 1980s. A timber permit was issued to Mussau Timber Development Pty Ltd ('MTD') on 22 April 1985, but only after a bitter dispute between it and a rival landowner group, who both claimed the resource, and their respective proposed logging partners, United Timbers and Santa Investments. The New Ireland provincial government favoured Santa, but the national government awarded the permit to MTD and United. Logging began in 1985 but was suspended in 1987 when MTD and United became 'locked in arguments' that led to various court cases one of which is described below (Barnett 1998). </w:t>
      </w:r>
      <w:r w:rsidRPr="00071CFC">
        <w:rPr>
          <w:rStyle w:val="FootnoteReference"/>
          <w:color w:val="0000FF"/>
        </w:rPr>
        <w:footnoteReference w:id="17"/>
      </w:r>
    </w:p>
    <w:p w14:paraId="247ED9FE" w14:textId="77777777" w:rsidR="009F661C" w:rsidRPr="00071CFC" w:rsidRDefault="009F661C" w:rsidP="00071CFC">
      <w:pPr>
        <w:pStyle w:val="DLText"/>
      </w:pPr>
      <w:r w:rsidRPr="00071CFC">
        <w:t>MTD was a fairly typical landowner company, with each clan group or village having one share and with directors selected to represent different areas. United Timbers was a Singaporean firm. At the time MTD and United took each other to court, they both had the same lawyers (Kirkes), accountants (Touche Ross), and consultants (PNG Forest Resources). The timber permit required United to construct 35 km. of new roads and upgrade a further 37 km., to provide MTD with a portable sawmill with a capacity of 2,000 cu.m. per annum, and to initiate with a subscription of K1.50 per cu. m. of logs exported an agriculture trust fund for the people of Mussau controlled by MTD (i.e. up to K58,000 p.a.). In return United was entitled to export logs up to 58,000 cu.m. a year for five years. The agreement (drawn up by Kirkes acting for both parties) provided for a standard 65 per cent of sales proceeds to United for its logging, 5 per cent to United for its marketing, and 30 per cent to MTD, but with MTD to be responsible for meeting all royalties, export duties and levies from its share. The dispute between MTD and United arose from the belief of MTD that United was systematically both under-grading and under-pricing its exports.</w:t>
      </w:r>
    </w:p>
    <w:p w14:paraId="317DB0E1" w14:textId="77777777" w:rsidR="009F661C" w:rsidRPr="00071CFC" w:rsidRDefault="009F661C" w:rsidP="00071CFC">
      <w:pPr>
        <w:pStyle w:val="DLText"/>
      </w:pPr>
      <w:r w:rsidRPr="00071CFC">
        <w:t xml:space="preserve">Extant regulations laid down at that time by the central government fixed a minimum export price (MEP) for logs of any given species and grade. However the MEP, whilst supposedly based in part on import prices in the country of destination of the logs, was discounted by about 15 per cent so as not to discriminate against producers of poor quality mixed species logs. As Barnett noted, the effect of the discounted MEP was to legitimize transfer pricing, i.e. under-declaration of the true value. His examination of United's pricing showed that it accepted whatever price was offered by its long-standing buyer, Mitsubishi Corporation of Japan, so long as that was </w:t>
      </w:r>
      <w:r w:rsidRPr="00071CFC">
        <w:lastRenderedPageBreak/>
        <w:t>at or above the MEP and approved by the government's MEP committee. Barnett shows clearly that United and Mitsubishi closely followed the prices laid down by the government through its MEP system - and then blames them for not trading at much higher values than the MEP. The Department of Forests having observed United's declaring only exact MEP pricing intervened in 1987 and arbitrarily raised the deemed prices for its logs, initially by US$3 per cu.m. above the MEP, and later by up to US$9 above the MEP for the best grades (Barnett 1998).</w:t>
      </w:r>
    </w:p>
    <w:p w14:paraId="3DF765C8" w14:textId="77777777" w:rsidR="009F661C" w:rsidRPr="00071CFC" w:rsidRDefault="009F661C" w:rsidP="00071CFC">
      <w:pPr>
        <w:pStyle w:val="DLText"/>
      </w:pPr>
      <w:r w:rsidRPr="00071CFC">
        <w:t xml:space="preserve">So far from this being no more than a case of collusion between exporter and buyer as implied by Barnett (1998), it was clearly also incompetent management by the government, with its price fixing producing in all likelihood a worse outcome than if it had established a competitive bidding system for log exports like that conducted for many years for tobacco in Zimbabwe and Zambia. The Department of Forests eventually discovered the actual prices for imports into Japan of pencil cedar and calophyllum (the species exported from Mussau) and found that they were 'significantly in excess of those obtained by United' (Barnett 1998). Barnett also uncovered strong evidence of both under-grading and under-measurement by United, arising respectively from overdue </w:t>
      </w:r>
      <w:r w:rsidRPr="00DC1614">
        <w:rPr>
          <w:spacing w:val="-2"/>
        </w:rPr>
        <w:t>inspections by the provincial forestry office and by the national Department</w:t>
      </w:r>
      <w:r w:rsidRPr="00071CFC">
        <w:t xml:space="preserve"> of Forests as late as 1987. Many of these delinquencies by United may well have sprung from the conflict of interest built into its agreement with MTD, but some of the landowners were not slow to appreciate this, as shown by attacks on United's equipment, including burning and theft of machinery, and by their cross-claims when taken to court by MTD on behalf of United (see below). Barnett and later the World Bank concluded from the evidently widespread delinquency of foreign logging firms that there was a need for more comprehensive state regulation of the logging industry, when it was apparent in the Mussau case that the state's capacity to police and enforce existing regulations was already verging on the incompetent. Neither Barnett nor later the World Bank sought self-policing mechanisms like auctions of export logs and tendering of logging permits, and replacement of private 'Pty.' companies and ILGs by public companies with their much more transparent governance (Duncan 1994).</w:t>
      </w:r>
      <w:r w:rsidRPr="00071CFC">
        <w:rPr>
          <w:rStyle w:val="FootnoteReference"/>
          <w:color w:val="0000FF"/>
        </w:rPr>
        <w:footnoteReference w:id="18"/>
      </w:r>
      <w:r w:rsidRPr="00071CFC">
        <w:t xml:space="preserve"> </w:t>
      </w:r>
    </w:p>
    <w:p w14:paraId="57086C6B" w14:textId="77777777" w:rsidR="009F661C" w:rsidRPr="00071CFC" w:rsidRDefault="009F661C" w:rsidP="00071CFC">
      <w:pPr>
        <w:pStyle w:val="DLText"/>
      </w:pPr>
      <w:r w:rsidRPr="00071CFC">
        <w:t xml:space="preserve">Neither did Barnett ask himself why other countries managed much larger scale exploitation of forest resources without any of the malpractices he uncovered. One obvious answer in the case of a country like New Zealand is that the main companies engaged in production of forest products </w:t>
      </w:r>
      <w:r w:rsidRPr="00071CFC">
        <w:lastRenderedPageBreak/>
        <w:t xml:space="preserve">are all public companies largely (but not wholly) owned in New Zealand, like Carter Holt Harvey and Fletcher Challenge Forests, and thus have no interest in the kind of collusive transfer pricing that appears to have taken place between United Timbers and Mitsubishi.   Moreover </w:t>
      </w:r>
      <w:r w:rsidRPr="00DC1614">
        <w:rPr>
          <w:spacing w:val="-2"/>
        </w:rPr>
        <w:t>as those New Zealand companies are public companies, their managements'</w:t>
      </w:r>
      <w:r w:rsidRPr="00071CFC">
        <w:t xml:space="preserve"> primary responsibility is to their shareholders - and these are footloose, unlike the shareholders in the Mussau landowners' company MTD, in that they can readily dispose of their shares if they believe their companies are not delivering an adequate return.</w:t>
      </w:r>
    </w:p>
    <w:p w14:paraId="793418A3" w14:textId="77777777" w:rsidR="009F661C" w:rsidRPr="00071CFC" w:rsidRDefault="009F661C" w:rsidP="00071CFC">
      <w:pPr>
        <w:pStyle w:val="DLText"/>
      </w:pPr>
      <w:r w:rsidRPr="00071CFC">
        <w:t>Another factor is Judge Barnett's weak understanding of pricing issues in exports of forest products. In various cases that he examined in great depth, Barnett established what appeared to be large discrepancies between declared prices of log exports "fob" ("free-on-board", i.e. net of taxes and freight) ex Papua New Guinea, and declared prices of such logs on arrival in Korea or Japan. But Barnett appears to have overlooked that the Government of Papua New Guinea's export tax of 10 per cent of the fob value of exported logs is equivalent to a value added tax or "GST" (General Sales Tax) on sales of imported or domestically produced goods. As an export tax is in effect like a sales tax or VAT/GST, it is therefore bound to be passed on to the final buyer, wherever he/she might be. It would therefore be wholly in order for an exporter of logs from Papua New Guinea, having declared the fob value of the logs in question, to seek to recover the 10 per cent export tax thereon from the final buyer, just as the supermarket in Sydney or Port Moresby will always mark up final selling prices to include the 10 per cent GST or VAT. In addition the cost of freight from Papua New Guinea ports to Japanese or Korean ports is far from negligible, and could well exceed 50 per cent of the fob value. For example, freight rates from Malaysian ports to various destinations were at least US$50 per cubic metre in 1990, and rates from Papua New Guinea were comparable (Duncan 1994).</w:t>
      </w:r>
      <w:r w:rsidRPr="00071CFC">
        <w:rPr>
          <w:rStyle w:val="FootnoteReference"/>
          <w:color w:val="0000FF"/>
        </w:rPr>
        <w:footnoteReference w:id="19"/>
      </w:r>
      <w:r w:rsidRPr="00071CFC">
        <w:t xml:space="preserve"> Such rates were 66 per cent of the value per cu. metre of both Malaysia's and Papua New Guinea's log exports in the 1980s. Rates charged by coastal shipping to main ports in Papua New Guinea were similar (Eddowes 1990). Moreover as shown in Fig. 5.1 below, there was little or no difference between average prices of log exports from Malaysia and Papua New Guinea between 1980 and 1991, and for both there was accordingly the same discrepancy between their export prices (fob, i.e. freight cost excluded) and Japan's import prices (cif, i.e. freight cost included). The rise in Papua New Guinea's average export prices from 1991 </w:t>
      </w:r>
      <w:r w:rsidRPr="00071CFC">
        <w:lastRenderedPageBreak/>
        <w:t>to 1996 to above Japan's average import price (all logs from all sources, both tropical and temperate) may partly reflect an increase in average quality of its logs in that period as well as higher prices for tropical timber resulting from the ban on exports from Sabah at that time, but the implied premium no longer exists, with prices having dropped back to their level in the 1980s, probably as a result in part of the progressive export tax system imposed by the World Bank in 1997.</w:t>
      </w:r>
    </w:p>
    <w:p w14:paraId="5EA22843" w14:textId="77777777" w:rsidR="009F661C" w:rsidRPr="00071CFC" w:rsidRDefault="009F661C" w:rsidP="00071CFC">
      <w:pPr>
        <w:pStyle w:val="DLText"/>
      </w:pPr>
      <w:r w:rsidRPr="00071CFC">
        <w:t>When these factors are taken into account the extent of Barnett's claims of fraudulent declaration of export values of Papua New Guinea's log exports is much reduced. Barnett was on firmer ground when he noted the failure of logging firms ever to pay income tax in Papua New Guinea. But here Barnett overlooked the absence of double taxation treaties between Papua New Guinea and Japan or Korea. Any logging firm paying tax in Papua New Guinea would obtain no credit for such tax in the respective importing countries in the absence of such treaties, and would naturally seek to minimize this double taxation by understating fob prices, and log grades and species.</w:t>
      </w:r>
    </w:p>
    <w:p w14:paraId="0DEF86B5" w14:textId="77777777" w:rsidR="009F661C" w:rsidRPr="00071CFC" w:rsidRDefault="009F661C" w:rsidP="00071CFC">
      <w:pPr>
        <w:pStyle w:val="DLText"/>
      </w:pPr>
      <w:r w:rsidRPr="00071CFC">
        <w:t xml:space="preserve">Following on from the recommendations of the Barnett Report, the Government amongst other responses accepted a World Bank condition in its 1996 Structural Adjustment Program for adoption of a new system of export taxation. The existing 10 per cent </w:t>
      </w:r>
      <w:r w:rsidRPr="00071CFC">
        <w:rPr>
          <w:i/>
          <w:iCs/>
        </w:rPr>
        <w:t xml:space="preserve">ad valorem </w:t>
      </w:r>
      <w:r w:rsidRPr="00071CFC">
        <w:t xml:space="preserve">levy on log exports was made progressive, ironically greatly increasing incentives to engage in transfer prices, since the higher the declared fob price, the higher the tax rate would be, at an average rate of 33 per cent (Hunt 2002). The immediate effect was a very large reduction in log exports, from K233 million in the first half of 1997 to K80 million in first half 1998, despite the depreciation of the Kina, and only partly due to the economic crisis in Korea in second half 1997 rather than the progressive tax (which had an extraordinary top marginal rate of 70 per cent on export values of more than K200 per cu. metre.). </w:t>
      </w:r>
    </w:p>
    <w:p w14:paraId="390F849A" w14:textId="77777777" w:rsidR="009F661C" w:rsidRPr="00071CFC" w:rsidRDefault="009F661C" w:rsidP="00071CFC">
      <w:pPr>
        <w:pStyle w:val="DLText"/>
      </w:pPr>
      <w:r w:rsidRPr="00071CFC">
        <w:t xml:space="preserve">It should be noted that because the export tax was levied at the top, i.e., on sales rather than profts, </w:t>
      </w:r>
      <w:r w:rsidRPr="00071CFC">
        <w:rPr>
          <w:i/>
          <w:iCs/>
        </w:rPr>
        <w:t>ad valorem</w:t>
      </w:r>
      <w:r w:rsidRPr="00071CFC">
        <w:t xml:space="preserve">, and so made no allowance for costs of logging, it was equivalent to a company profits tax rate of 33 per cent if profits were 30 per cent of fob values at the 10 per cent tax rate prior to 1996, and 110 per cent of profits at the average 35 per cent tax rate (on export prices of K200 per cu. metre) of the progressive regime introduced in 1997. Because the export tax was assessed on the Kina value of the dollar fob export price, as the Kina depreciated between 1996 and 2002, it more than offset declining dollar prices for log exports, and increased the average rate of the export tax from 31 per cent in September 1997 to 41 per cent in September 1999 (Hunt 2002; 39). This seems greatly to have increased the </w:t>
      </w:r>
      <w:r w:rsidRPr="00071CFC">
        <w:lastRenderedPageBreak/>
        <w:t>incentive for transfer pricing, with discrepancies of from 17 to 52 per cent between adjusted (to fob) import prices in Japan and Papua New Guinea's export prices in 1999 (Hunt 2002).</w:t>
      </w:r>
    </w:p>
    <w:p w14:paraId="235EE04A" w14:textId="77777777" w:rsidR="009F661C" w:rsidRPr="00071CFC" w:rsidRDefault="009F661C" w:rsidP="00071CFC">
      <w:pPr>
        <w:pStyle w:val="DLText"/>
      </w:pPr>
      <w:r w:rsidRPr="00071CFC">
        <w:t xml:space="preserve">The World Bank's 1999 report on the economy although conceding that export taxes are poor economics - most countries prefer to encourage </w:t>
      </w:r>
      <w:r w:rsidRPr="00DC1614">
        <w:t>rather than penalize exports - defended its log export tax "because Papua New Guinea lacks the institutional and human resource capacity to monitor and audit [forestry operations] effectively to ensure compliance with income tax provisions" (World Bank, 1999; 67).</w:t>
      </w:r>
      <w:r w:rsidRPr="00DC1614">
        <w:rPr>
          <w:rStyle w:val="FootnoteReference"/>
        </w:rPr>
        <w:footnoteReference w:id="20"/>
      </w:r>
      <w:r w:rsidRPr="00DC1614">
        <w:t xml:space="preserve"> Ironically the World Bank had successfully urged the government to introduce value added taxation in 1999, which not only exempts exports but provides for</w:t>
      </w:r>
      <w:r w:rsidRPr="00071CFC">
        <w:t xml:space="preserve"> refunds of VAT/GST incurred on purchased inputs, as a means of encouraging them. Thus forestry, by far Papua New Guinea's largest natural resource, was doubly discriminated against - exactly contrary to the prescriptions of economic theory that taxation should not differentiate between sectors. </w:t>
      </w:r>
    </w:p>
    <w:p w14:paraId="09CF3048" w14:textId="77777777" w:rsidR="009F661C" w:rsidRPr="00071CFC" w:rsidRDefault="009F661C" w:rsidP="00071CFC">
      <w:pPr>
        <w:pStyle w:val="DLText"/>
      </w:pPr>
      <w:r w:rsidRPr="00071CFC">
        <w:t>The Barnett Report also commented adversely on the high proportion of non-citizens employed in logging operations, even when skilled Papua New Guineans were available. It is unclear how far the logging firms were given an opportunity to defend themselves, but on the employment issue it is known they favour contract labour (usually from Malaysia) because by its nature it tends to be more efficient - such workers do not have their families with them as they are in Papua New Guinea for fixed terms and wish to maximize their incomes as quickly as possible, and are prepared to work long hours. Citizen workers on the other hand have their families at hand, a higher reserve price for leisure, other income opportunities in their own gardens, and many cultural and community obligations to fulfil (World Bank, 1998).</w:t>
      </w:r>
    </w:p>
    <w:p w14:paraId="6C7BF2E0" w14:textId="77777777" w:rsidR="009F661C" w:rsidRPr="00071CFC" w:rsidRDefault="009F661C" w:rsidP="00071CFC">
      <w:pPr>
        <w:pStyle w:val="DLText"/>
      </w:pPr>
      <w:r w:rsidRPr="00071CFC">
        <w:t xml:space="preserve">Thus although the Barnett Report did uncover various abuses in the forestry industry in Papua New Guinea, closer inspection reveals that many of these arose from weaknesses in Papua New Guinea's own regulatory and taxation regimes. Unfortunately Barnett's extensive policy recommendations invariably ran towards more government regulation rather than less, even though he had amply documented nearly total incompetence of the existing regulators including the Taxation Office. Moreover while there was a period of high prices for log exports between 1993 and 1997, in all other years since Barnett's recommendations were implemented through the new Forestry Act (1991) and export tax system (1996), there is no evidence of higher prices having been achieved - at </w:t>
      </w:r>
      <w:r w:rsidRPr="00071CFC">
        <w:lastRenderedPageBreak/>
        <w:t xml:space="preserve">US$51 per cu.m. in 2002 and 2003 (the average price was US$54 in the year before the appointment of the Barnett Inquiry) they could hardly have been lower even without those policy </w:t>
      </w:r>
      <w:r w:rsidRPr="00DC1614">
        <w:t>changes.</w:t>
      </w:r>
      <w:r w:rsidRPr="00DC1614">
        <w:rPr>
          <w:rStyle w:val="FootnoteReference"/>
        </w:rPr>
        <w:footnoteReference w:id="21"/>
      </w:r>
    </w:p>
    <w:p w14:paraId="6A216878" w14:textId="77777777" w:rsidR="009F661C" w:rsidRPr="00826C4D" w:rsidRDefault="009F661C" w:rsidP="00071CFC">
      <w:pPr>
        <w:pStyle w:val="DLHeading2"/>
      </w:pPr>
      <w:r w:rsidRPr="00826C4D">
        <w:t>The World Bank and Forestry in Papua New Guinea</w:t>
      </w:r>
    </w:p>
    <w:p w14:paraId="1EB1AF6B" w14:textId="77777777" w:rsidR="009F661C" w:rsidRPr="00071CFC" w:rsidRDefault="009F661C" w:rsidP="00071CFC">
      <w:pPr>
        <w:pStyle w:val="DLText"/>
      </w:pPr>
      <w:r w:rsidRPr="00071CFC">
        <w:t>The World Bank admitted in the documentation for its Forestry Project loan (2001) that the livelihoods Papua New Guineans derive from their super-abundant forests are at a very low level - indeed in the earlier (1999) World Bank report on poverty in Papua New Guinea (Gibson 1999), it was stated that nearly half of the population are living below the poverty line, most of whom are those living in the forest areas with their "rich biodiversity". Yet as we shall show below, countries as dissimilar as Sweden, Malaysia, and New Zealand, which all enjoy exceptionally high standards of living, derive substantial proportions of their national income from forested areas that are smaller than Papua New Guinea's.</w:t>
      </w:r>
    </w:p>
    <w:p w14:paraId="21A35DF6" w14:textId="77777777" w:rsidR="009F661C" w:rsidRPr="00071CFC" w:rsidRDefault="009F661C" w:rsidP="00071CFC">
      <w:pPr>
        <w:pStyle w:val="DLText"/>
      </w:pPr>
      <w:r w:rsidRPr="00071CFC">
        <w:t xml:space="preserve">Given the concerns expressed in its Poverty Report - such as the "large proportion of the population living in substandard conditions" - one might have expected that the main aim of the World Bank's Forestry project would have been to attempt to raise the level of incomes derived from Papua New Guinea's "rich" forests (Millett 1988). That is not the case. Most of the proposed Bank project loan of US$17.36 million was to be spent on providing consultants who are to undertake various studies none of which is directed at raising the productivity of the country's forestry industry. Thus the first "key objective" and "performance indicator" of the project was merely "to strengthen the capacity of local people, government, and non-government entities to more sustainably </w:t>
      </w:r>
      <w:r w:rsidRPr="00071CFC">
        <w:rPr>
          <w:i/>
          <w:iCs/>
        </w:rPr>
        <w:t xml:space="preserve">manage and conserve </w:t>
      </w:r>
      <w:r w:rsidRPr="00071CFC">
        <w:t xml:space="preserve">PNG's forest resources" (our italics) Significantly, there was no mention  of increasing the output of the country’s forest resources. The second "key objective and performance indicator" of the project was "to improve the quality of life of people living at the local level", by helping landowners "to better conserve, sustainably utilize and benefit from biodiversity" - but it is hardly plausible that biodiversity as such could ever yield much income.  .) These 'key objectives' were to be attained by: </w:t>
      </w:r>
    </w:p>
    <w:p w14:paraId="135861CA" w14:textId="77777777" w:rsidR="009F661C" w:rsidRPr="00071CFC" w:rsidRDefault="009F661C" w:rsidP="00071CFC">
      <w:pPr>
        <w:pStyle w:val="DLText"/>
        <w:numPr>
          <w:ilvl w:val="0"/>
          <w:numId w:val="9"/>
        </w:numPr>
        <w:tabs>
          <w:tab w:val="clear" w:pos="720"/>
          <w:tab w:val="num" w:pos="567"/>
        </w:tabs>
        <w:ind w:left="567" w:hanging="283"/>
      </w:pPr>
      <w:r w:rsidRPr="00071CFC">
        <w:t xml:space="preserve">Landowner Forest Decision-Making. Allocating US$6.4 million (more than a third) of the World Bank's loan "to make landowners better equipped to make critical management decisions over use of </w:t>
      </w:r>
      <w:r w:rsidRPr="00071CFC">
        <w:lastRenderedPageBreak/>
        <w:t xml:space="preserve">their forest lands". Quite how this was to be done is unclear, apart from setting up a Landowner Decision and Organization Unit (LDOU) to run seminars and workshops (US$1.58 million) to enable landowners "to make more informed forest utilization decisions". </w:t>
      </w:r>
    </w:p>
    <w:p w14:paraId="40AC376F" w14:textId="77777777" w:rsidR="009F661C" w:rsidRPr="00071CFC" w:rsidRDefault="009F661C" w:rsidP="00071CFC">
      <w:pPr>
        <w:pStyle w:val="DLText"/>
        <w:numPr>
          <w:ilvl w:val="0"/>
          <w:numId w:val="9"/>
        </w:numPr>
        <w:tabs>
          <w:tab w:val="clear" w:pos="720"/>
          <w:tab w:val="num" w:pos="567"/>
        </w:tabs>
        <w:ind w:left="567" w:hanging="283"/>
      </w:pPr>
      <w:r w:rsidRPr="00071CFC">
        <w:t>Conservation Trust Fund (CTF). Pressing other donors to subscribe US$5 million in addition to a grant of US$10 million from the GEF to this quasi non-government entity, for funding forest reserves designed to protect bio-diversity from logging by supporting landowners who pursue conservation land use options other than logging. The CTF would in practice have been run by the government's Office for Environment and Conservation (OEC). These non-logging operations are not specified, let alone costed, nor was the alternative income derivable from them (if any) quantified.</w:t>
      </w:r>
    </w:p>
    <w:p w14:paraId="29D767E1" w14:textId="77777777" w:rsidR="009F661C" w:rsidRPr="00071CFC" w:rsidRDefault="009F661C" w:rsidP="00071CFC">
      <w:pPr>
        <w:pStyle w:val="DLText"/>
        <w:numPr>
          <w:ilvl w:val="0"/>
          <w:numId w:val="9"/>
        </w:numPr>
        <w:tabs>
          <w:tab w:val="clear" w:pos="720"/>
          <w:tab w:val="num" w:pos="567"/>
        </w:tabs>
        <w:ind w:left="567" w:hanging="283"/>
      </w:pPr>
      <w:r w:rsidRPr="00071CFC">
        <w:t xml:space="preserve">Sustainable Forest Management. Control over "destructive forest </w:t>
      </w:r>
      <w:r w:rsidRPr="00DC1614">
        <w:rPr>
          <w:spacing w:val="-2"/>
        </w:rPr>
        <w:t>logging operations will be improved" with emphasis on "minimizing</w:t>
      </w:r>
      <w:r w:rsidRPr="00071CFC">
        <w:t xml:space="preserve"> environmental impacts of production forestry and ensuring it maximally contributes development", by using US$7.26 million of the project loan to fund the Government's Forest Authority (FA) to undertake (i) improved forest operations, inspection and monitoring; (ii) forest management planning; and (iii) post-harvest forest management, regeneration, and plantation development. This is perhaps the most surprising component of the project, given the PNGFA's long-standing failure to perform any of these tasks or to comply with previous World Bank SAP conditions.</w:t>
      </w:r>
    </w:p>
    <w:p w14:paraId="47B8F250" w14:textId="77777777" w:rsidR="009F661C" w:rsidRPr="00071CFC" w:rsidRDefault="009F661C" w:rsidP="00071CFC">
      <w:pPr>
        <w:pStyle w:val="DLText"/>
        <w:numPr>
          <w:ilvl w:val="0"/>
          <w:numId w:val="9"/>
        </w:numPr>
        <w:tabs>
          <w:tab w:val="clear" w:pos="720"/>
          <w:tab w:val="num" w:pos="567"/>
        </w:tabs>
        <w:ind w:left="567" w:hanging="283"/>
      </w:pPr>
      <w:r w:rsidRPr="00071CFC">
        <w:t>Environmental Assessment and Monitoring. Provision of US$4.68 million for "technical assistance" to the government's Office for Environment and Conservation. One might have thought that by now the World Bank would have understood that giving a government department like the OEC more responsibility for environmental assessment, monitoring, and regulation merely creates new opportunities for corruption of officials by frustrated logging companies and their landowner allies, just as documented for the government's Forestry Department (later FA) by the Barnett Report.</w:t>
      </w:r>
    </w:p>
    <w:p w14:paraId="1D34BD28" w14:textId="77777777" w:rsidR="009F661C" w:rsidRPr="00071CFC" w:rsidRDefault="009F661C" w:rsidP="00071CFC">
      <w:pPr>
        <w:pStyle w:val="DLText"/>
      </w:pPr>
    </w:p>
    <w:p w14:paraId="0B49760F" w14:textId="77777777" w:rsidR="009F661C" w:rsidRPr="00071CFC" w:rsidRDefault="009F661C" w:rsidP="00071CFC">
      <w:pPr>
        <w:pStyle w:val="DLText"/>
      </w:pPr>
      <w:r w:rsidRPr="00071CFC">
        <w:t xml:space="preserve">Nowhere does the project document, which is ostensibly a prospectus for justifying a loan, describe how the sub-standard living currently yielded by biodiversity is to be raised, except in Annex 4, where it is suggested log exports could rise - despite the project's new restrictions on production - by about 800,000 cubic metres or 32 per cent to 3.3 million. cu.m. The implied increase in net value added (i.e. wages, profits, rents or royalties) in the forestry sector with that increase in output, at an assumed US$0.8 per cu.m., </w:t>
      </w:r>
      <w:r w:rsidRPr="00071CFC">
        <w:lastRenderedPageBreak/>
        <w:t xml:space="preserve">would be US$640,000 a year, which would have to be shared between the logging contractor, the government, its employees, and the landowners. Assuming an equal sharing, the 4 million Papua New Guineans living in the forest areas would have an increase in their average substandard level of living of US$0.09 a year each, or K0.27, thanks to the World Bank's project. Meanwhile the one million non-rural Papua New Guineans (who alone pay taxes) would have had to pay the taxes needed to repay the World Bank's loan that with interest would have been not less than US$35 million (or about US$1.4 per head per year for 25 years). Clearly the net benefit of the World Bank's loan would have been negative - yet the Bank claimed that its loan would have a 21 per cent </w:t>
      </w:r>
      <w:r w:rsidRPr="00071CFC">
        <w:rPr>
          <w:i/>
          <w:iCs/>
        </w:rPr>
        <w:t xml:space="preserve">financial </w:t>
      </w:r>
      <w:r w:rsidRPr="00071CFC">
        <w:t>rate of return, without stating to whom this return would accrue (other than the Bank itself from its own about 7 percent return from its interest receipts and other charges and fees).</w:t>
      </w:r>
      <w:r w:rsidRPr="00DC1614">
        <w:rPr>
          <w:rStyle w:val="FootnoteReference"/>
        </w:rPr>
        <w:footnoteReference w:id="22"/>
      </w:r>
    </w:p>
    <w:p w14:paraId="1C42DEB7" w14:textId="77777777" w:rsidR="009F661C" w:rsidRPr="00071CFC" w:rsidRDefault="009F661C" w:rsidP="00071CFC">
      <w:pPr>
        <w:pStyle w:val="DLText"/>
      </w:pPr>
      <w:r w:rsidRPr="00071CFC">
        <w:t xml:space="preserve">The case is little improved by the project's proposed support for Papua New Guinea's "Conservation Trust Fund" which would not be funded by the World Bank but by a contribution from the Global Environment Facility of "up to" US$10 million, subject to other donors' contributing an equal amount (so that if none come forward or offer say only US$1 million, then the GEF will contribute either nothing or just US$1 million). The CTF will also only be funded if it can show that its initial projects successfully and sustainably promote conservation of forest biodiversity - but the World Bank's report is silent on what such projects might be other than maintaining total bans on any economic exploitation of Papua New Guinea's largest natural resource. </w:t>
      </w:r>
    </w:p>
    <w:p w14:paraId="4C66CDF9" w14:textId="77777777" w:rsidR="009F661C" w:rsidRPr="00071CFC" w:rsidRDefault="009F661C" w:rsidP="00071CFC">
      <w:pPr>
        <w:pStyle w:val="DLText"/>
      </w:pPr>
      <w:r w:rsidRPr="00071CFC">
        <w:t xml:space="preserve">The underlying defect in the World Bank's approach to forestry and conservation issues in Papua New Guinea is its failure to put the economics of forestry into the context of the theory of social cost (Coase, 1988). Logging produces a mix of private goods and social "bads". The first include proceeds of sale of logs that are critical inputs into a wide variety of manufacturing activities. These private goods may also include the benefits to landowners from ability to undertake new more rewarding economic activities in cleared areas. Logging may also produce some social "bads" - if there is no regrowth or replanting there will be a net loss of carbon </w:t>
      </w:r>
      <w:r w:rsidRPr="00071CFC">
        <w:lastRenderedPageBreak/>
        <w:t xml:space="preserve">absorption, and even if there is replanting or other agricultural activity there may well be a net loss of biodiversity in that particular area. </w:t>
      </w:r>
    </w:p>
    <w:p w14:paraId="1EF8ABD7" w14:textId="77777777" w:rsidR="009F661C" w:rsidRPr="00071CFC" w:rsidRDefault="009F661C" w:rsidP="00071CFC">
      <w:pPr>
        <w:pStyle w:val="DLText"/>
      </w:pPr>
      <w:r w:rsidRPr="00071CFC">
        <w:t>Measurement of these social costs of logging has never been attempted, as with due diligence it would require first an inventory of biodiversity across Papua New Guinea and then in the logging area itself. It will in general be unlikely that any of the species in logging areas will not also be present in adjacent un-logged areas (e.g. on slopes too steep to be accessible) or in the rest of Papua New Guinea - and there is no evidence to the contrary. Log extraction is particularly difficult in much of the mountainous terrain that characterizes most of Papua New Guinea, so much so that it has been estimated that only a third of the forested area of the country is at all suitable for logging. If the World Bank were seriously interested in maintaining bio-diversity whilst allowing economic exploitation of the forest resource, its loan would be enough to establish botanical gardens in appropriate areas where all species of interest now or potentially in the future could be bred and preserved. The Botanical Gardens in Port Moresby already encompass multiple species of orchid on a largely self-funded basis and provide a model for other multi-species plant breeding that could well be emulated elsewhere in Papua New Guinea if the World Bank provided seed funding, at a fraction of the US$17 million cost of its stalled Forestry and Conservation project.</w:t>
      </w:r>
    </w:p>
    <w:p w14:paraId="44E51D8A" w14:textId="77777777" w:rsidR="009F661C" w:rsidRPr="00071CFC" w:rsidRDefault="009F661C" w:rsidP="00071CFC">
      <w:pPr>
        <w:pStyle w:val="DLText"/>
      </w:pPr>
      <w:r w:rsidRPr="00071CFC">
        <w:t xml:space="preserve">However leaving aside the merits or otherwise of the biodiversity issue, the most important message of Coase (1988) is that the presence of social costs, also known as externalities, does </w:t>
      </w:r>
      <w:r w:rsidRPr="00071CFC">
        <w:rPr>
          <w:i/>
          <w:iCs/>
        </w:rPr>
        <w:t xml:space="preserve">not </w:t>
      </w:r>
      <w:r w:rsidRPr="00071CFC">
        <w:t>invariably require the intervention of governmental authorities such as those proposed by the World Bank. That is because those suffering the external costs generated by other parties will have an interest, if their losses are real, in negotiating abatement of the externality with the generator.</w:t>
      </w:r>
    </w:p>
    <w:p w14:paraId="24AB0715" w14:textId="77777777" w:rsidR="009F661C" w:rsidRPr="00071CFC" w:rsidRDefault="009F661C" w:rsidP="00071CFC">
      <w:pPr>
        <w:pStyle w:val="DLText"/>
      </w:pPr>
      <w:r w:rsidRPr="00071CFC">
        <w:t>No doubt it was the absence of known pecuniary losses to anyone arising from the hypothetical loss of biodiversity caused by logging that led the World Bank to propose inclusion of grants from the Global Environment Facility (GEF) payable to those desisting from contributing to loss of biodiversity. But both the lack of commitment to any minimum level of funding from the GEF and the low ceiling on the GEF's own funding - of just US$10 million spread over five years - if conditions for release were to be met, suggests that the World Bank and the GEF place a very low value on the supposed but unproven loss of biodiversity in Papua New Guinea.</w:t>
      </w:r>
    </w:p>
    <w:p w14:paraId="503B8333" w14:textId="77777777" w:rsidR="009F661C" w:rsidRPr="00071CFC" w:rsidRDefault="009F661C" w:rsidP="00071CFC">
      <w:pPr>
        <w:pStyle w:val="DLText"/>
      </w:pPr>
      <w:r w:rsidRPr="00071CFC">
        <w:t xml:space="preserve">We have already commented on Helen Hughes' claim that only much expanded palm oil production offers Papua New Guinea any hope of replacing its declining mineral exports and revenues, and noted Bourke's demonstration that this is simply not feasible. Ironically the primary </w:t>
      </w:r>
      <w:r w:rsidRPr="00071CFC">
        <w:lastRenderedPageBreak/>
        <w:t>industry that really could replace the minerals is that which already covers most of the country's landmass, namely its forests. Yet exports of forest products, mainly 2 million cubic metres of logs, already despite the World Bank-imposed export tax system, contributed K415.8 million (5.3 per cent) to total exports of K7.79 billion in 2003, compared with palm oil's K421.3 million. Forest products exports would have been even smaller if the World Bank had succeeded in its demands that the government should close the Vailala and Wawoi Guavi projects (in Gulf and Western Provinces respectively) as part of its undeclared but obvious intention of terminating all logging in Papua New Guinea (Filer 2004; Filer, Dubash &amp; Kalit 2000).</w:t>
      </w:r>
    </w:p>
    <w:p w14:paraId="16251BD0" w14:textId="77777777" w:rsidR="009F661C" w:rsidRPr="00DC1614" w:rsidRDefault="009F661C" w:rsidP="00071CFC">
      <w:pPr>
        <w:pStyle w:val="DLText"/>
      </w:pPr>
      <w:r w:rsidRPr="00071CFC">
        <w:t xml:space="preserve">Meanwhile Sweden, unimpeded by the World Bank, has been logging at rates of up to 70 million cubic metres a year for the last decade, 35 times more than Papua New Guinea with its much larger forested area (369,000 sq.km. compared with Sweden's 244,000 sq.km.). Moreover Sweden's forestry industry adheres closely to the Swedish Standard for Forest Certification, which requires retention of a proportion of the forested area for reasons of bio-diversity and sets limits to the annual cut to ensure sustainability. Were Papua New Guinea to attain Sweden's level of output, and there is no reason why it could not, given its equal - possibly superior - suitability for softwood pine forestry, then its logging exports could be worth K13 billion, nearly double </w:t>
      </w:r>
      <w:r w:rsidRPr="00071CFC">
        <w:rPr>
          <w:i/>
          <w:iCs/>
        </w:rPr>
        <w:t xml:space="preserve">total </w:t>
      </w:r>
      <w:r w:rsidRPr="00071CFC">
        <w:t xml:space="preserve">exports in 2003, and which would therefore much more than compensate for the projected </w:t>
      </w:r>
      <w:r w:rsidRPr="00DC1614">
        <w:t>decline in mineral exports after 2010.</w:t>
      </w:r>
      <w:r w:rsidRPr="00DC1614">
        <w:rPr>
          <w:rStyle w:val="FootnoteReference"/>
        </w:rPr>
        <w:footnoteReference w:id="23"/>
      </w:r>
    </w:p>
    <w:p w14:paraId="28A8BDB3" w14:textId="77777777" w:rsidR="009F661C" w:rsidRPr="00071CFC" w:rsidRDefault="009F661C" w:rsidP="00071CFC">
      <w:pPr>
        <w:pStyle w:val="DLText"/>
      </w:pPr>
      <w:r w:rsidRPr="00071CFC">
        <w:t xml:space="preserve">New Zealand is another country which owes much of its high standard of living to its development of its forestry resources, with annual production of 2.5 million cubic metres of sawn timber and 15.6 million cubic metres of roundwood that was used in the production of 2 million tonnes of wood pulp and paper a year in the 1990s. Thus New Zealand's logging produced nearly ten times as much as Papua New Guinea's in the 1990s, but from a forested area that is only seven per cent of the country's total land area. In 1993 26,750 persons were engaged in timber related industries - about three times more than in the whole of Papua New Guinea's mining industry. New Zealand's exports of forest products (excluding newsprint) contributed ten per cent of its total exports in 2002, and amounted to NZ$3.5 billion (about K6.6 billion, more than Papua New Guinea's </w:t>
      </w:r>
      <w:r w:rsidRPr="00071CFC">
        <w:rPr>
          <w:i/>
          <w:iCs/>
        </w:rPr>
        <w:t xml:space="preserve">total </w:t>
      </w:r>
      <w:r w:rsidRPr="00071CFC">
        <w:t xml:space="preserve">exports in 2002). </w:t>
      </w:r>
    </w:p>
    <w:p w14:paraId="6C824C46" w14:textId="77777777" w:rsidR="009F661C" w:rsidRPr="00071CFC" w:rsidRDefault="009F661C" w:rsidP="00071CFC">
      <w:pPr>
        <w:pStyle w:val="DLText"/>
      </w:pPr>
      <w:r w:rsidRPr="00071CFC">
        <w:t xml:space="preserve">Interestingly, the share of natural forests in New Zealand's production of roundwood dropped from six per cent in 1988 to one per cent by 1993, </w:t>
      </w:r>
      <w:r w:rsidRPr="00071CFC">
        <w:lastRenderedPageBreak/>
        <w:t xml:space="preserve">with plantations more than compensating, since total output increased by 50 per cent in that period. This is a natural progression that has hardly begun in Papua New Guinea, in part at least because of the difficulty in securing government approval and landowner participation in the required transition, as plantations with their long rotations require long-term leases if investors are to come forward and finance them. </w:t>
      </w:r>
    </w:p>
    <w:p w14:paraId="5DB507DF" w14:textId="77777777" w:rsidR="009F661C" w:rsidRPr="00071CFC" w:rsidRDefault="009F661C" w:rsidP="00071CFC">
      <w:pPr>
        <w:pStyle w:val="DLText"/>
      </w:pPr>
      <w:r w:rsidRPr="00071CFC">
        <w:t xml:space="preserve">A recent New Zealand case study provides yet more evidence of Papua New Guinea's failure to develop its forestry resources to their full potential. A plantation including the Kaingaroa Forest near Mount Maunganui recently acquired by Fletcher Challenge Forests was projected to yield log sales of 4.5 million cubic metres of radiata pine and other species in 2004, and a further 0.8 million cu. metres of manufactured timber products, all this from 162,173 hectares, or about 5 per cent of Papua New Guinea's forested area. The log sales alone were projected to be worth NZ$427.5 million, about A$388 million or K947 million, compared with Papua New Guinea's total log exports worth K370 million in 2003 </w:t>
      </w:r>
      <w:r w:rsidRPr="00071CFC">
        <w:rPr>
          <w:i/>
          <w:iCs/>
        </w:rPr>
        <w:t>(“Global Scale- global vision” 2002).</w:t>
      </w:r>
    </w:p>
    <w:p w14:paraId="04FBEC54" w14:textId="77777777" w:rsidR="009F661C" w:rsidRPr="00071CFC" w:rsidRDefault="009F661C" w:rsidP="00071CFC">
      <w:pPr>
        <w:pStyle w:val="DLText"/>
      </w:pPr>
      <w:r w:rsidRPr="00071CFC">
        <w:t xml:space="preserve">Colin Filer (2000) documented the repeated efforts of the Papua New Guinea government to engineer replacement of log exports by processed timber products, as urged by the Barnett Inquiry. Lacking that theology, New Zealand's Fletcher Challenge Forests sold 3.5 million cu.metres of logs in 2000, and only 0.6 million cu.metres of manufactured products, directing more than half of its logs to processors in Japan, Korea, and other industrial countries, and less than half was taken up by industry in New Zealand. </w:t>
      </w:r>
    </w:p>
    <w:p w14:paraId="4FA5FEB9" w14:textId="77777777" w:rsidR="009F661C" w:rsidRPr="00071CFC" w:rsidRDefault="009F661C" w:rsidP="00071CFC">
      <w:pPr>
        <w:pStyle w:val="DLText"/>
      </w:pPr>
      <w:r w:rsidRPr="00071CFC">
        <w:t>Such comparative data possibly provide a measure of by how much the World Bank should offer to compensate Papua New Guinea, annually, for its proposed cessation of all logging. A more constructive approach would be for the World Bank to recognize that the New Zealand model has much more to offer all participants than its own preference for a. complete ban on logging. The Kaingaroa forest largely comprises Crown (i.e. State) land but with options that could allow it to revert wholly or partly to Maori ownership, subject to conditions allowing the licensee (now Fletcher Challenge) to complete all the existing rotation and harvesting of all the crop of that rotation (Filer 2000). By contrast, most forest licences issued in Papua New Guinea have no certainty, being either terminable at will by the Government whenever it has been required to do so by the World Bank or subject to penal export tax rates also imposed by the World Bank (in its 1996 Structural Adjustment Programme) - and for that reason there has been little incentive for licensees either to undertake sustainable logging of natural forest or to replant on a plantation basis (Filer 2000).</w:t>
      </w:r>
    </w:p>
    <w:p w14:paraId="2E29DF7E" w14:textId="77777777" w:rsidR="009F661C" w:rsidRPr="00071CFC" w:rsidRDefault="009F661C" w:rsidP="00071CFC">
      <w:pPr>
        <w:pStyle w:val="DLText"/>
      </w:pPr>
      <w:r w:rsidRPr="00071CFC">
        <w:lastRenderedPageBreak/>
        <w:t xml:space="preserve">There have been a few attempts at formal plantation forestry projects in Papua New Guinea (as opposed to simple short-term log extraction licenses). Perhaps the most successful is that at Bulolo, initiated by Placer Dome (the mining company that had operated the gold dredging operations at Bulolo from 1933) and the Australian government in the 1960s. The Papua New Guinea government became the majority shareholder until selling its interest to a Singaporean firm in 1996. This operation combines sawmills and veneer and plywood processing using both natural forest timber and the klinkii pine plantation managed by the government's Forests department. Another is the woodchip project at Gogol, 30 km. southwest of Madang, where the Australian colonial administration entered into an Agreement with a Japanese consortium known as 'Jant' in 1971, which gave them access initially to 52,000 hectares on which timber above 1.52 metres dbh had previously been purchased from landowners in the area (for a once-off payment of A$50,000 (then K50,000) for a term of 40 years). The Gogol area had a population of 1,183 in 1969 spread over no fewer than 168 clans and 11 villages. </w:t>
      </w:r>
    </w:p>
    <w:p w14:paraId="176FA7E9" w14:textId="77777777" w:rsidR="009F661C" w:rsidRPr="00071CFC" w:rsidRDefault="009F661C" w:rsidP="00071CFC">
      <w:pPr>
        <w:pStyle w:val="DLText"/>
      </w:pPr>
      <w:r w:rsidRPr="00071CFC">
        <w:t>Ironically, in the light of later events, the Gogol project developed from policies urged by the World Bank in 1965 to promote faster economic development in pre-independence Papua New Guinea based in part on greater utilization of forest resources. One of the main problems in implementation of the project was disaffection of the Gogol landowners, arising from the way in which they were marginalized once they had in effect sold their interest to the government and had no role in the further lease to Jant. A further set of problems arose from the lack of effective land use planning for utilization of the land after it had been clear-felled by Jant, as its woodchip mill at Madang apparently required only the output from 10,000 hectares of reforested plantation. Jant stopped replanting its clear felled areas when it became clear its leases would expire before the end of the next rotation period (Barnett 1998). However some landowners found "with surprise" that they derived a better income from trees they had planted themselves from seedlings (provided by Jant) than they had previously received from royalties and stumpage fees paid by Jant. Some thirteen smallholder cattle projects were initiated but most had failed by 1995 (Montagu 1997).  The woodchip project itself accounted for only about three per cent of total exports of forest products of US$325 million in 1995 - but by 2003 total non-logging exports of forest products had risen to K45 million, or 11 per cent of total exports of forest products (Filer 2000).</w:t>
      </w:r>
    </w:p>
    <w:p w14:paraId="318965E5" w14:textId="77777777" w:rsidR="009F661C" w:rsidRPr="00071CFC" w:rsidRDefault="009F661C" w:rsidP="00071CFC">
      <w:pPr>
        <w:pStyle w:val="DLText"/>
      </w:pPr>
      <w:r w:rsidRPr="00071CFC">
        <w:t xml:space="preserve">We have seen how various attempts by the World Bank to interfere in the management of Papua New Guinea's timber industry have been based on project justifications that set out to create an impression that without its </w:t>
      </w:r>
      <w:r w:rsidRPr="00071CFC">
        <w:lastRenderedPageBreak/>
        <w:t>interference there would be mismanagement of various kinds. Yet Papua New Guinea has and had before the World Bank involved itself a body of law pertaining to forest management that was operative and could be invoked to ensure compliance. Apart from the government's own Commission of Inquiry of 1987-1990 that documented widespread abuse and was discussed above, various court cases illustrate that the rule of law could work in the forestry sector. For example, a case brought in New Ireland in 1990 (Mussau Timber Development Pty Ltd v Santee Mangis and others) involved an attempt by the applicant (on behalf of its foreign logging partner United Timbers) to reclaim logging machinery and equipment removed by the respondents, while in a cross-claim, the respondents alleged non-compliance by the logging company with the conditions of its licence (see above for an account of the earlier history of the Mussau timber project).</w:t>
      </w:r>
    </w:p>
    <w:p w14:paraId="7F16CA45" w14:textId="77777777" w:rsidR="009F661C" w:rsidRPr="00071CFC" w:rsidRDefault="009F661C" w:rsidP="00071CFC">
      <w:pPr>
        <w:pStyle w:val="DLText"/>
      </w:pPr>
      <w:r w:rsidRPr="00071CFC">
        <w:t>The Court (Judge Jalina) noted that the applicant was a timber company carrying on logging operations on Mussau Island in New Ireland province, and possessed a timber permit issued by the Minister for Forests for five years from 1 January 1985. In March 1990 the Minister granted an extension to the end of December 1990 subject to various conditions being met by the company. But on 27 June 1990 a group including the respondents removed machinery and equipment from the company's camp to their own village. The police arrested the respondents on 9 July 1990 when they refused to return the machinery and equipment to the company. The respondents' affidavit stated that the company had originally been their own landowner company but claimed it had been run by the management (Messrs Weight, Coady and Jack Namaliu) for their own exclusive benefit, with 23 log shipments worth about K12 million between 1985 and 1989, that the company had never paid a dividend, and that the respondents had only ever received royalties, of K135,000 up to 1987 and none thereafter. The Judge noted that the company had not denied the validity of these claims, but that the respondents' cross-claim had not been properly initiated (without prejudice to the validity of their claims). He therefore rejected the company's application for a restraining order to prevent the respondents from interfering with its lawful operations under its Timber Permit, apparently because of its own failure to show compliance with the conditions of the Permit as extended, but at the same time ordered the respondents to return the machinery and equipment to the company within seven days as they had no right "to take the law into their own hands" (</w:t>
      </w:r>
      <w:r w:rsidRPr="00071CFC">
        <w:rPr>
          <w:i/>
        </w:rPr>
        <w:t>Papua New Guinea Law Reports</w:t>
      </w:r>
      <w:r w:rsidRPr="00071CFC">
        <w:t xml:space="preserve"> 1994).</w:t>
      </w:r>
    </w:p>
    <w:p w14:paraId="285AAF3B" w14:textId="77777777" w:rsidR="009F661C" w:rsidRPr="00071CFC" w:rsidRDefault="009F661C" w:rsidP="00071CFC">
      <w:pPr>
        <w:pStyle w:val="DLText"/>
      </w:pPr>
      <w:r w:rsidRPr="00071CFC">
        <w:t xml:space="preserve">The World Bank's Forestry and Conservation project appraisal document noted above rightly states "virtually all forested land is under </w:t>
      </w:r>
      <w:r w:rsidRPr="00071CFC">
        <w:lastRenderedPageBreak/>
        <w:t>customary tenure" and adds that "due to a number of constraints, many forest landowners see the sale of these resources as the only way to improve living standards" (World Bank1999: 5). Regrettably it offers no alternative strategy for the landowners, other than to set up a nebulous "Landowner Decision and Organization Unit (LDOU) which will carry out education campaigns regarding forest management and conservation, providing information which landowners may consider in order to make more informed forest utilization decisions" (World Bank 1999: 7).</w:t>
      </w:r>
    </w:p>
    <w:p w14:paraId="3A012F25" w14:textId="77777777" w:rsidR="009F661C" w:rsidRPr="00071CFC" w:rsidRDefault="009F661C" w:rsidP="00071CFC">
      <w:pPr>
        <w:pStyle w:val="DLText"/>
      </w:pPr>
      <w:r w:rsidRPr="00071CFC">
        <w:t xml:space="preserve">This somewhat patronizing and paternalistic statement has very little operational significance, given its dependence on the notoriously low level of administrative capability in Papua New Guinea, and as some of the cases heard by local land courts and the National Court cited by Cooter before 1989 and by us for the period since 1989 show, Papua New Guinea's existing institutional arrangements were already fully capable of establishing the rule of law in forestry matters in response to legal actions instigated by landowners themselves. As Colin Filer (2004) has documented, the World Bank is wholly beholden to environmental lobbyists from organizations like Greenpeace that are determined to prevent rational exploitation of forests in developing countries like Papua New Guinea, while turning a blind eye to much more intensive logging in their members' respective home countries like Sweden and New Zealand. In addition the World Bank's forestry team failed to address the forestry ownership issue, which is none other than the "free rider" phenomenon embodied in Harbin's "tragedy of the commons". Setting up quangos like its proposed CTF and LDOU is a far inferior solution compared with steps either to establish registered private sector ownership of Papua New Guinea's forest resources, as in Sweden, or outright state ownership of half </w:t>
      </w:r>
      <w:r w:rsidRPr="00DC1614">
        <w:rPr>
          <w:spacing w:val="-2"/>
        </w:rPr>
        <w:t>the forests as was the case in New Zealand until 1990, when the government</w:t>
      </w:r>
      <w:r w:rsidRPr="00071CFC">
        <w:t xml:space="preserve"> sold over 350,000 hectares to the private sector. An agreement between the New Zealand Government and Maori authorities provides security of tenure for purchasers of state plantations by guaranteeing the plantation owners' rights to harvest all standing timber (New Zealand Official Yearbook 1994).</w:t>
      </w:r>
    </w:p>
    <w:p w14:paraId="5A7A6792" w14:textId="77777777" w:rsidR="009F661C" w:rsidRPr="00826C4D" w:rsidRDefault="009F661C" w:rsidP="00071CFC">
      <w:pPr>
        <w:pStyle w:val="DLHeading2"/>
      </w:pPr>
      <w:r w:rsidRPr="00826C4D">
        <w:t xml:space="preserve">Reconciling Income Growth and Climate Change </w:t>
      </w:r>
      <w:r>
        <w:br/>
      </w:r>
      <w:r w:rsidRPr="00826C4D">
        <w:t>in Papua New Guinea’s Forests</w:t>
      </w:r>
    </w:p>
    <w:p w14:paraId="24E430AB" w14:textId="77777777" w:rsidR="009F661C" w:rsidRPr="00071CFC" w:rsidRDefault="009F661C" w:rsidP="00071CFC">
      <w:pPr>
        <w:pStyle w:val="DLText"/>
      </w:pPr>
      <w:r w:rsidRPr="00071CFC">
        <w:t>Nobel economics laureate Joseph Stiglitz (</w:t>
      </w:r>
      <w:r w:rsidRPr="00071CFC">
        <w:rPr>
          <w:i/>
          <w:iCs/>
        </w:rPr>
        <w:t>Time,</w:t>
      </w:r>
      <w:r w:rsidRPr="00071CFC">
        <w:t xml:space="preserve"> 28 September 2008) famously nominated Kevin Conrad as a ‘Hero of the Environment’ for his activities as Executive Director of the Coalition for Rainforest Nations (CRN) and Papua New Guinea’s Special Envoy for Climate Change.  In these capacities, Conrad had represented Papua New Guinea at the UN </w:t>
      </w:r>
      <w:r w:rsidRPr="00071CFC">
        <w:lastRenderedPageBreak/>
        <w:t>Climate Conference in Bali (December 2007), making a strong case for it and other ‘rainforest nations’ to receive compensation from the international community for reducing greenhouse gas emissions from deforestation and forest degradation (REDD) by phasing out timber-based income generating activities.</w:t>
      </w:r>
    </w:p>
    <w:p w14:paraId="612BE7C9" w14:textId="77777777" w:rsidR="009F661C" w:rsidRPr="00071CFC" w:rsidRDefault="009F661C" w:rsidP="00071CFC">
      <w:pPr>
        <w:pStyle w:val="DLText"/>
      </w:pPr>
      <w:r w:rsidRPr="00071CFC">
        <w:t>Previously the World Bank's project document for its forest program loans to Papua New Guinea stated the "overarching goal" of the project was to assist in reducing poverty and improving the quality of life of Papua New Guineans. It added that "the two basic strategies" for doing this are "improvements in the governance framework for sustainable development, and enhanced rural development" (World Bank 1999).</w:t>
      </w:r>
    </w:p>
    <w:p w14:paraId="6C67F7C9" w14:textId="77777777" w:rsidR="009F661C" w:rsidRPr="00071CFC" w:rsidRDefault="009F661C" w:rsidP="00071CFC">
      <w:pPr>
        <w:pStyle w:val="DLText"/>
      </w:pPr>
      <w:r w:rsidRPr="00071CFC">
        <w:t>Clearly these are conflicting objectives. We have cited enough law reports concerning issues of ownership and management of forestry resources to suggest that the main concern of the World Bank and the Government of Papua New Guinea ought to be ensuring adequacy of resources allocated to the administrative and legal system to enable it to continue creating the integration of customary and common law to promote sustainable governance of Papua New Guinea's forests to maximize their contribution to the country’s individuals’ and national income. Instead the World Bank has for the last decade seen its role as using the public sector as a whole, including the legal sub-sector, to, in effect, nationalize the forest sector in furtherance of environmental goals like those adopted at Bali rather than enhancement of the well-being of the people of Papua New Guinea.</w:t>
      </w:r>
    </w:p>
    <w:p w14:paraId="6B99DE31" w14:textId="77777777" w:rsidR="009F661C" w:rsidRPr="00071CFC" w:rsidRDefault="009F661C" w:rsidP="00071CFC">
      <w:pPr>
        <w:pStyle w:val="DLText"/>
      </w:pPr>
      <w:r w:rsidRPr="00071CFC">
        <w:t xml:space="preserve">The World Bank's project appraisal for its Forestry and Conservation project largely justified the proposed loan by claiming that it would "provide global benefits from biodiversity protection and carbon </w:t>
      </w:r>
      <w:r w:rsidRPr="00DC1614">
        <w:rPr>
          <w:spacing w:val="-2"/>
        </w:rPr>
        <w:t>sequestration, arising from increased options for conservation investments</w:t>
      </w:r>
      <w:r w:rsidRPr="00071CFC">
        <w:t>" (World Bank, 1998:13).  The World Bank had already noted that Papua New Guineans derive only sub-standard livings from their forests' rich biodiversity, but as we have seen its project provides no credible mechanism for transferring at least some part of the "global benefits from biodiversity protection" to Papua New Guineans. That is even more the case for the sharing of any benefits from carbon sequestration, and the REDD scheme has yet to deliver ongoing rising incomes for those dependent on forests for their livelihood, despite Kevin Conrad’s advocacy,</w:t>
      </w:r>
    </w:p>
    <w:p w14:paraId="08EDE787" w14:textId="77777777" w:rsidR="009F661C" w:rsidRPr="00071CFC" w:rsidRDefault="009F661C" w:rsidP="00071CFC">
      <w:pPr>
        <w:pStyle w:val="DLText"/>
      </w:pPr>
      <w:r w:rsidRPr="00071CFC">
        <w:t xml:space="preserve">It is fair to say that the World Bank's Forestry and Conservation project appraisal did not rise above the current conventional wisdom on "carbon sequestration", which is largely based on the false assumption that forest timber retains carbon dioxide only until harvested. This is true only for that portion of forest products used as domestic fuel, whereas timber in most other end-uses (e.g. furniture, building materials, books, and newsprint </w:t>
      </w:r>
      <w:r w:rsidRPr="00071CFC">
        <w:lastRenderedPageBreak/>
        <w:t>whether or not recycled and even when it is in landfills) retains carbon dioxide indefinitely. Other misleading statistics of the Intergovernmental Panel on Climate Change (IPCC) that inspired the Kyoto Protocol include its assertion (derived from a handful of observations) that the concentration of carbon dioxide (CO</w:t>
      </w:r>
      <w:r w:rsidRPr="00071CFC">
        <w:rPr>
          <w:vertAlign w:val="subscript"/>
        </w:rPr>
        <w:t>2</w:t>
      </w:r>
      <w:r w:rsidRPr="00071CFC">
        <w:t>) in the atmosphere has increased by just 40 per cent since 1900, from 280 parts per million (ppm) to 390 ppm in 2010. But expressed as a percentage of the composition of the atmosphere itself, the actual change in composition of the atmosphere from the increase in CO</w:t>
      </w:r>
      <w:r w:rsidRPr="00071CFC">
        <w:rPr>
          <w:vertAlign w:val="subscript"/>
        </w:rPr>
        <w:t>2</w:t>
      </w:r>
      <w:r w:rsidRPr="00071CFC">
        <w:rPr>
          <w:vertAlign w:val="superscript"/>
        </w:rPr>
        <w:t xml:space="preserve"> </w:t>
      </w:r>
      <w:r w:rsidRPr="00071CFC">
        <w:t>(or reduction in the non-CO</w:t>
      </w:r>
      <w:r w:rsidRPr="00071CFC">
        <w:rPr>
          <w:vertAlign w:val="subscript"/>
        </w:rPr>
        <w:t>2</w:t>
      </w:r>
      <w:r w:rsidRPr="00071CFC">
        <w:t xml:space="preserve"> components of the atmosphere) is only 0.011 per cent (i.e. only one-hundredth of one per cent of the total atmosphere). Chaos theory might suggest that even such an almost infinitesimally small increase could have large consequences, as it might well if CO</w:t>
      </w:r>
      <w:r w:rsidRPr="00071CFC">
        <w:rPr>
          <w:vertAlign w:val="subscript"/>
        </w:rPr>
        <w:t>2</w:t>
      </w:r>
      <w:r w:rsidRPr="00071CFC">
        <w:rPr>
          <w:vertAlign w:val="superscript"/>
        </w:rPr>
        <w:t xml:space="preserve"> </w:t>
      </w:r>
      <w:r w:rsidRPr="00071CFC">
        <w:t>was a poisonous gas, but it is not, being instead essential to life and by far the most important fertilizer. The IPCC also ignored evidence both that the ideal level of CO</w:t>
      </w:r>
      <w:r w:rsidRPr="00071CFC">
        <w:rPr>
          <w:vertAlign w:val="subscript"/>
        </w:rPr>
        <w:t>2</w:t>
      </w:r>
      <w:r w:rsidRPr="00071CFC">
        <w:t xml:space="preserve"> in the atmosphere for optimal plant growth should be around 1000 ppm instead of the current 390, and that the optimal temperature for growth of most plants is several degrees higher than the maximum projected increase from global warming over the next century.</w:t>
      </w:r>
    </w:p>
    <w:p w14:paraId="29D7E4E9" w14:textId="77777777" w:rsidR="009F661C" w:rsidRPr="00071CFC" w:rsidRDefault="009F661C" w:rsidP="00071CFC">
      <w:pPr>
        <w:pStyle w:val="DLText"/>
      </w:pPr>
      <w:r w:rsidRPr="00071CFC">
        <w:t>Nevertheless the Kyoto Protocol’s Clean Development Mechanism (CDM) will continue in operation until 2012, whereby carbon credits can be claimed for reforestation (but not for avoided deforestation - Garnaut 2008:235, but see also Roper 2001), and is being applied on a wider scale by the UN’s REDD (Reducing emissions from deforestation and degradation) and the EU’s FLEGT (Forest Law Enforcement, Governance, and Trade) programmes (Commission of EU 2003; Chatham House, 2010). These programmes raise serious ethical concerns, as their hidden agenda is to impose restrictions on imports of forest products from developing countries in order to protect producers of such in USA and the EU (Curtin 2007). In Papua New Guinea’s case they are also based on the exaggerated claims by Garnaut (2008)</w:t>
      </w:r>
      <w:r w:rsidRPr="00071CFC">
        <w:rPr>
          <w:rStyle w:val="FootnoteReference"/>
        </w:rPr>
        <w:footnoteReference w:id="24"/>
      </w:r>
      <w:r w:rsidRPr="00071CFC">
        <w:t xml:space="preserve"> and Shearman et al. (2008) of the extent of </w:t>
      </w:r>
      <w:r w:rsidRPr="00071CFC">
        <w:lastRenderedPageBreak/>
        <w:t>deforestation in that country.</w:t>
      </w:r>
      <w:r w:rsidRPr="00071CFC">
        <w:rPr>
          <w:rStyle w:val="FootnoteReference"/>
        </w:rPr>
        <w:footnoteReference w:id="25"/>
      </w:r>
      <w:r w:rsidRPr="00071CFC">
        <w:t xml:space="preserve"> Those claims have been strongly contested by Bowen (2008), and Filer et al. (2008), and they include non-recognition of higher net carbon absorption when tropical forests are replaced by plantations or oil palm trees (Lamade, 2006). Above all, the proposed substitution of incomes earned by economic activity in the forestry sector by REDD “sit-down” money (or CDM credits) is both unethical and implicitly racist, given that by far the greatest volume of harvested timber is undertaken in countries of the northern hemisphere, above all USA, Canada, UK, Scandinavia and other European Union countries, and the former USSR.  In effect REDD involves bribing citizens of developing countries outside North America, the USA, and former USSR not to engage in forestry.</w:t>
      </w:r>
    </w:p>
    <w:p w14:paraId="5A758154" w14:textId="77777777" w:rsidR="009F661C" w:rsidRPr="00071CFC" w:rsidRDefault="009F661C" w:rsidP="00071CFC">
      <w:pPr>
        <w:pStyle w:val="DLText"/>
      </w:pPr>
      <w:r w:rsidRPr="00071CFC">
        <w:t>Thus proponents of REDD exempt all forestry activities in developed countries in the northern hemisphere from their purview, even though the annual harvest in those countries is larger by a factor of ten than it is in the rest of the world. It is peculiar science that harvesting of forests in the latter allegedly releases more carbon dioxide than such harvesting in the former (Chatham House, 2010). Not a single exponent of REDD addresses the issue of what happens after timber harvesting. In reality almost all tree harvesting everywhere in the world results in regrowth or replanting of the same or similar trees, and replacement of such timber by higher value tree crops like oil palm trees (Lamade, 2006), or also, but less frequently, by perennial crops that absorbing more carbon dioxide per hectare per annum than pristine forest. The truth is that the value of all agricultural, timber, and livestock or fishery harvesting is directly proportional to the contained carbon per 100 grams, which explains why over millennia the peoples of this world have switched from lower annual carbon yield activities to higher.</w:t>
      </w:r>
    </w:p>
    <w:p w14:paraId="68EF66AE" w14:textId="77777777" w:rsidR="009F661C" w:rsidRPr="00071CFC" w:rsidRDefault="009F661C" w:rsidP="00071CFC">
      <w:pPr>
        <w:pStyle w:val="DLText"/>
      </w:pPr>
      <w:r w:rsidRPr="00071CFC">
        <w:t xml:space="preserve">It follows there is no basis for the claims by Garnaut (2008) and others projecting an increase in carbon sequestration from reducing forestry production in Papua New Guinea. Clearly, it is perfectly feasible for areas logged for export to be replanted with trees or other crops that are equally or more absorbent of carbon dioxide. The Garnaut appraisal does not provide any specifics on why this would not be possible, nor what the </w:t>
      </w:r>
      <w:r w:rsidRPr="00071CFC">
        <w:lastRenderedPageBreak/>
        <w:t>benefits would be of denying this to the Papua New Guineans who “owned” their forests outright before the interventions of the World Bank.</w:t>
      </w:r>
    </w:p>
    <w:p w14:paraId="43430205" w14:textId="77777777" w:rsidR="009F661C" w:rsidRPr="00071CFC" w:rsidRDefault="009F661C" w:rsidP="00071CFC">
      <w:pPr>
        <w:pStyle w:val="DLText"/>
      </w:pPr>
      <w:r w:rsidRPr="00071CFC">
        <w:t>A recent Australian study has shown reforestation can be valued in terms of both timber produced and carbon dioxide sequestrated, and has estimated the minimum price to be paid per tonne of carbon dioxide sequestrated at A$23 if landholders are to have an incentive to provide carbon-sequestration services by delaying harvesting (with carbon content of standing timber at 0.378 tonnes per cu.metre, and 3.67 tonnes of CO</w:t>
      </w:r>
      <w:r w:rsidRPr="00071CFC">
        <w:rPr>
          <w:vertAlign w:val="subscript"/>
        </w:rPr>
        <w:t>2</w:t>
      </w:r>
      <w:r w:rsidRPr="00071CFC">
        <w:rPr>
          <w:vertAlign w:val="superscript"/>
        </w:rPr>
        <w:t xml:space="preserve"> </w:t>
      </w:r>
      <w:r w:rsidRPr="00071CFC">
        <w:t xml:space="preserve">per tonne of carbon) (Cacho, Hean &amp; Wise 2003). With log exports of 2 million cu. metres in 2003, the implied payment to achieve this effect in Papua New Guinea is around A$65 million </w:t>
      </w:r>
      <w:r w:rsidRPr="00071CFC">
        <w:rPr>
          <w:i/>
          <w:iCs/>
        </w:rPr>
        <w:t>a year</w:t>
      </w:r>
      <w:r w:rsidRPr="00071CFC">
        <w:t xml:space="preserve"> (US$59 mn., K159 mn.). Fortuitously, this figure is not far short of the reported shares of landowners and the government of Papua New Guinea in the fob export value of logs exported in 2003 of K174 million, of which landowners would have received K44 million (Hunt 2002).</w:t>
      </w:r>
      <w:r w:rsidRPr="00071CFC">
        <w:rPr>
          <w:rStyle w:val="FootnoteReference"/>
          <w:color w:val="0000FF"/>
        </w:rPr>
        <w:footnoteReference w:id="26"/>
      </w:r>
      <w:r w:rsidRPr="00071CFC">
        <w:t xml:space="preserve"> In comparison, the World Bank's forestry and conservation project documents provided no credible evidence that its US$15 million facility for conservation over </w:t>
      </w:r>
      <w:r w:rsidRPr="00071CFC">
        <w:rPr>
          <w:i/>
          <w:iCs/>
        </w:rPr>
        <w:t>five years</w:t>
      </w:r>
      <w:r w:rsidRPr="00071CFC">
        <w:t xml:space="preserve"> would have any significant impact on incentives for Papua New Guineans to forego industrial logging, and Conrad’s REDD has shown no sign of delivering even US$5 million, let alone the indicated minimum amount of US$59 million needed to compensate the country for forgoing its incomes from forestry. </w:t>
      </w:r>
    </w:p>
    <w:p w14:paraId="7CB1475D" w14:textId="77777777" w:rsidR="009F661C" w:rsidRPr="00071CFC" w:rsidRDefault="009F661C" w:rsidP="00071CFC">
      <w:pPr>
        <w:pStyle w:val="DLText"/>
      </w:pPr>
      <w:r w:rsidRPr="00071CFC">
        <w:t xml:space="preserve">In regard to the proposed REDD payments, little consideration has been given to costing the level of payments that would be needed to secure fair compensation for those losing their income with the termination of forestry (this is not even mentioned by Irawan and Tacconi, 2009). Using 2006 data from the Rimbunan Hijao forestry operation at Wawoi Guavi in Papua New Guinea’s Western Province (ITS Global 2008), REDD would need to deliver over K30 million </w:t>
      </w:r>
      <w:r w:rsidRPr="00071CFC">
        <w:rPr>
          <w:i/>
        </w:rPr>
        <w:t>annually</w:t>
      </w:r>
      <w:r w:rsidRPr="00071CFC">
        <w:t xml:space="preserve"> (about A$13 million) to cover forgone earnings of just that operation (K10 million p.a.) resulting from its closure by some 2,000 national and foreign employees, taxes paid (K15 million), royalties to landowners (K4 million), and spending on services supplied to employees and landowners (e.g. schools), before compensating the company for its investment in a very large (300 metres long) veneer and plywood factory, along with hundreds of housing units, a wharf, and an airfield, amongst other infrastructure.</w:t>
      </w:r>
    </w:p>
    <w:p w14:paraId="380BBAEA" w14:textId="77777777" w:rsidR="009F661C" w:rsidRPr="00071CFC" w:rsidRDefault="009F661C" w:rsidP="00071CFC">
      <w:pPr>
        <w:pStyle w:val="DLText"/>
      </w:pPr>
      <w:r w:rsidRPr="00071CFC">
        <w:t xml:space="preserve">The World Bank's claims of a 21 per cent rate of return on its forestry project loan and significant increases in the living standards of the Papua </w:t>
      </w:r>
      <w:r w:rsidRPr="00071CFC">
        <w:lastRenderedPageBreak/>
        <w:t xml:space="preserve">New Guinean owners of the forest areas are equally without foundation. However the World Bank's approach is fully in line with that of the Australian Agency for International Development (AusAID), whose </w:t>
      </w:r>
      <w:r w:rsidRPr="00071CFC">
        <w:rPr>
          <w:i/>
          <w:iCs/>
        </w:rPr>
        <w:t>Papua New Guinea Rural Development Handbook</w:t>
      </w:r>
      <w:r w:rsidRPr="00071CFC">
        <w:t xml:space="preserve"> achieves the extraordinary feat of hardly mentioning either the existence of the forests that cover at least half of the country's land area or the incomes that many thousands of Papua New Guineans derive from forestry. For example, Jant's large wood-chipping project in the Gogol Valley rates no mention even when the valley itself is referred to in the chapter on Madang province. The chapter on West New Britain province does make a passing mention of wages and royalties received from logging operations declining without mentioning the reasons for the decline, which include the progressive </w:t>
      </w:r>
      <w:r w:rsidRPr="00071CFC">
        <w:rPr>
          <w:i/>
          <w:iCs/>
        </w:rPr>
        <w:t xml:space="preserve">ad valorem </w:t>
      </w:r>
      <w:r w:rsidRPr="00071CFC">
        <w:t>export tax system introduced at the World Bank's behest in 1997, leading to widespread cessation of logging andthe withdrawal of  Japan’s Nissho-Iwai and Sumitomo  from their very large logging, saw-milling, and replanting operations at Stettin Bay and Open Bay respectively. Not one of the many fine full-colour maps of each province's subsistence agriculture and land potential shows either the topography or the extent of forested areas. Both are surely critical for assessing the scope for yet more subsistence agriculture, and especially for determining the trade-offs between forestry activities and agriculture when both compete for the same land. It would seem that our demonstration in this chapter that Papua New Guinea's forest resource has the capacity to yield much more than the total income the country currently derives from mineral exports is so politically incorrect that the income generating potential of forests cannot be mentioned in what sets out to be a handbook aimed at raising income prospects for "disadvantaged" rural households (Hanson, Allen, Bourke &amp; McCarthy 2001). The neglect of forestry's high potential is the more surprising when one takes into account those authors’ description of Papua New Guinea's "land management dilemma", as growing population makes it more difficult to sustain food production based on extensive shifting cultivation systems requiring long period of fallow before crops can be replanted.</w:t>
      </w:r>
    </w:p>
    <w:p w14:paraId="350E6DDD" w14:textId="77777777" w:rsidR="009F661C" w:rsidRPr="00826C4D" w:rsidRDefault="009F661C" w:rsidP="00071CFC">
      <w:pPr>
        <w:pStyle w:val="DLHeading2"/>
      </w:pPr>
      <w:r w:rsidRPr="00826C4D">
        <w:t>Conclusion</w:t>
      </w:r>
    </w:p>
    <w:p w14:paraId="05997C5F" w14:textId="77777777" w:rsidR="009F661C" w:rsidRPr="00DC1614" w:rsidRDefault="009F661C" w:rsidP="00071CFC">
      <w:pPr>
        <w:pStyle w:val="DLText"/>
      </w:pPr>
      <w:r w:rsidRPr="00071CFC">
        <w:t xml:space="preserve">This chapter has shown the enormous potential of Papua New Guinea's forest industry for generation of vastly higher incomes for a large proportion of the country's population. To give another example from New Zealand where Fletcher Challenge Forests in 2000 earned US$88.8 million from sales of 1.48 million cubic metres of log sales grown on just its owned 110,000 hectares, if Papua New Guinea produced as much </w:t>
      </w:r>
      <w:r w:rsidRPr="00071CFC">
        <w:rPr>
          <w:i/>
          <w:iCs/>
        </w:rPr>
        <w:t>pro rata</w:t>
      </w:r>
      <w:r w:rsidRPr="00071CFC">
        <w:t xml:space="preserve"> from </w:t>
      </w:r>
      <w:r w:rsidRPr="00071CFC">
        <w:lastRenderedPageBreak/>
        <w:t xml:space="preserve">only 5 million hectares of its total forest area of well over 30 million </w:t>
      </w:r>
      <w:r w:rsidRPr="00DC1614">
        <w:t>hectares, its log exports would be worth US$4 billion, or K13.5 billion, more than double its actual mineral exports in 2003.</w:t>
      </w:r>
      <w:r w:rsidRPr="00DC1614">
        <w:rPr>
          <w:rStyle w:val="FootnoteReference"/>
        </w:rPr>
        <w:footnoteReference w:id="27"/>
      </w:r>
      <w:r w:rsidRPr="00DC1614">
        <w:t xml:space="preserve"> </w:t>
      </w:r>
    </w:p>
    <w:p w14:paraId="6C450E1E" w14:textId="77777777" w:rsidR="009F661C" w:rsidRPr="00071CFC" w:rsidRDefault="009F661C" w:rsidP="00071CFC">
      <w:pPr>
        <w:pStyle w:val="DLText"/>
      </w:pPr>
      <w:r w:rsidRPr="00071CFC">
        <w:t>To achieve such an outstanding result would in our view require the following actions:</w:t>
      </w:r>
    </w:p>
    <w:p w14:paraId="303B8B49" w14:textId="77777777" w:rsidR="009F661C" w:rsidRPr="00071CFC" w:rsidRDefault="009F661C" w:rsidP="00071CFC">
      <w:pPr>
        <w:pStyle w:val="DLText"/>
        <w:numPr>
          <w:ilvl w:val="0"/>
          <w:numId w:val="10"/>
        </w:numPr>
        <w:tabs>
          <w:tab w:val="clear" w:pos="720"/>
          <w:tab w:val="num" w:pos="567"/>
        </w:tabs>
        <w:ind w:left="567" w:hanging="283"/>
      </w:pPr>
      <w:r w:rsidRPr="00071CFC">
        <w:t xml:space="preserve">Repeal of the Forestry Act 1991 and its replacement with new legislation to provide for reinstatement of the former Forestry (Private Dealings) Act. </w:t>
      </w:r>
    </w:p>
    <w:p w14:paraId="775B490E" w14:textId="77777777" w:rsidR="009F661C" w:rsidRPr="00071CFC" w:rsidRDefault="009F661C" w:rsidP="00071CFC">
      <w:pPr>
        <w:pStyle w:val="DLText"/>
        <w:numPr>
          <w:ilvl w:val="0"/>
          <w:numId w:val="10"/>
        </w:numPr>
        <w:tabs>
          <w:tab w:val="clear" w:pos="720"/>
          <w:tab w:val="num" w:pos="567"/>
        </w:tabs>
        <w:ind w:left="567" w:hanging="283"/>
      </w:pPr>
      <w:r w:rsidRPr="00071CFC">
        <w:t>Amending the Incorporated Land Groups Act to provide for re-registration of ILGs as public companies under the Corporations Act (consistent with the mooted new Land Registration Act).</w:t>
      </w:r>
    </w:p>
    <w:p w14:paraId="040EA09D" w14:textId="77777777" w:rsidR="009F661C" w:rsidRPr="00071CFC" w:rsidRDefault="009F661C" w:rsidP="00071CFC">
      <w:pPr>
        <w:pStyle w:val="DLText"/>
        <w:numPr>
          <w:ilvl w:val="0"/>
          <w:numId w:val="10"/>
        </w:numPr>
        <w:tabs>
          <w:tab w:val="clear" w:pos="720"/>
          <w:tab w:val="num" w:pos="567"/>
        </w:tabs>
        <w:ind w:left="567" w:hanging="283"/>
      </w:pPr>
      <w:r w:rsidRPr="00071CFC">
        <w:t xml:space="preserve">Cancel all taxation of log exports, and increase staffing of the Internal Revenue Commission to undertake annual tax audits of all firms engaged in the forest industry in order to secure compliance with the Taxation Act (i.e., to ensure they pay income tax on their taxable income, i.e. profits). </w:t>
      </w:r>
    </w:p>
    <w:p w14:paraId="40346AB2" w14:textId="77777777" w:rsidR="009F661C" w:rsidRPr="00071CFC" w:rsidRDefault="00A44434" w:rsidP="00DC1614">
      <w:pPr>
        <w:ind w:left="-284"/>
        <w:rPr>
          <w:sz w:val="20"/>
          <w:szCs w:val="20"/>
          <w:lang w:val="en-US"/>
        </w:rPr>
      </w:pPr>
      <w:r>
        <w:rPr>
          <w:noProof/>
          <w:sz w:val="20"/>
          <w:szCs w:val="20"/>
          <w:lang w:eastAsia="en-AU"/>
        </w:rPr>
        <w:drawing>
          <wp:inline distT="0" distB="0" distL="0" distR="0" wp14:anchorId="5093FE6C" wp14:editId="58944661">
            <wp:extent cx="4152900" cy="23622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4152900" cy="2362200"/>
                    </a:xfrm>
                    <a:prstGeom prst="rect">
                      <a:avLst/>
                    </a:prstGeom>
                    <a:noFill/>
                    <a:ln w="9525">
                      <a:noFill/>
                      <a:miter lim="800000"/>
                      <a:headEnd/>
                      <a:tailEnd/>
                    </a:ln>
                  </pic:spPr>
                </pic:pic>
              </a:graphicData>
            </a:graphic>
          </wp:inline>
        </w:drawing>
      </w:r>
    </w:p>
    <w:p w14:paraId="35EE0954" w14:textId="77777777" w:rsidR="009F661C" w:rsidRPr="00071CFC" w:rsidRDefault="009F661C" w:rsidP="00071CFC">
      <w:pPr>
        <w:rPr>
          <w:sz w:val="20"/>
          <w:szCs w:val="20"/>
          <w:lang w:val="en-US"/>
        </w:rPr>
      </w:pPr>
    </w:p>
    <w:p w14:paraId="07E8AD1E" w14:textId="77777777" w:rsidR="009F661C" w:rsidRPr="00071CFC" w:rsidRDefault="009F661C" w:rsidP="00071CFC">
      <w:pPr>
        <w:rPr>
          <w:sz w:val="20"/>
          <w:szCs w:val="20"/>
          <w:lang w:val="en-US"/>
        </w:rPr>
      </w:pPr>
    </w:p>
    <w:p w14:paraId="044603F6" w14:textId="77777777" w:rsidR="009F661C" w:rsidRPr="00071CFC" w:rsidRDefault="009F661C" w:rsidP="00071CFC">
      <w:pPr>
        <w:rPr>
          <w:sz w:val="20"/>
          <w:szCs w:val="20"/>
          <w:lang w:val="en-US"/>
        </w:rPr>
      </w:pPr>
    </w:p>
    <w:p w14:paraId="0D12A05B" w14:textId="77777777" w:rsidR="009F661C" w:rsidRPr="00071CFC" w:rsidRDefault="009F661C" w:rsidP="00071CFC">
      <w:pPr>
        <w:rPr>
          <w:sz w:val="20"/>
          <w:szCs w:val="20"/>
          <w:lang w:val="en-US"/>
        </w:rPr>
      </w:pPr>
    </w:p>
    <w:p w14:paraId="1E9E6813" w14:textId="77777777" w:rsidR="009F661C" w:rsidRPr="00071CFC" w:rsidRDefault="009F661C" w:rsidP="00071CFC">
      <w:pPr>
        <w:rPr>
          <w:sz w:val="20"/>
          <w:szCs w:val="20"/>
          <w:lang w:val="en-US"/>
        </w:rPr>
      </w:pPr>
    </w:p>
    <w:p w14:paraId="3E0B7067" w14:textId="77777777" w:rsidR="009F661C" w:rsidRPr="00071CFC" w:rsidRDefault="009F661C" w:rsidP="00071CFC">
      <w:pPr>
        <w:rPr>
          <w:sz w:val="20"/>
          <w:szCs w:val="20"/>
          <w:lang w:val="en-US"/>
        </w:rPr>
      </w:pPr>
    </w:p>
    <w:p w14:paraId="57E3EE8B" w14:textId="77777777" w:rsidR="009F661C" w:rsidRPr="00071CFC" w:rsidRDefault="009F661C" w:rsidP="00071CFC">
      <w:pPr>
        <w:rPr>
          <w:sz w:val="20"/>
          <w:szCs w:val="20"/>
        </w:rPr>
      </w:pPr>
    </w:p>
    <w:p w14:paraId="5E431D24" w14:textId="77777777" w:rsidR="009F661C" w:rsidRPr="00071CFC" w:rsidRDefault="009F661C" w:rsidP="00CC4B2E">
      <w:pPr>
        <w:pStyle w:val="DLText"/>
      </w:pPr>
    </w:p>
    <w:p w14:paraId="4FC1D554" w14:textId="77777777" w:rsidR="009F661C" w:rsidRPr="00071CFC" w:rsidRDefault="009F661C" w:rsidP="00ED1E49">
      <w:pPr>
        <w:ind w:firstLine="720"/>
        <w:jc w:val="both"/>
        <w:rPr>
          <w:color w:val="0000FF"/>
          <w:sz w:val="20"/>
          <w:szCs w:val="20"/>
          <w:lang w:val="en-US"/>
        </w:rPr>
      </w:pPr>
    </w:p>
    <w:p w14:paraId="5A21DCE4" w14:textId="77777777" w:rsidR="009F661C" w:rsidRPr="00071CFC" w:rsidRDefault="009F661C" w:rsidP="00ED1E49">
      <w:pPr>
        <w:ind w:firstLine="720"/>
        <w:jc w:val="both"/>
        <w:rPr>
          <w:color w:val="0000FF"/>
          <w:sz w:val="20"/>
          <w:szCs w:val="20"/>
          <w:lang w:val="en-US"/>
        </w:rPr>
      </w:pPr>
    </w:p>
    <w:p w14:paraId="60240DD0" w14:textId="77777777" w:rsidR="009F661C" w:rsidRPr="00071CFC" w:rsidRDefault="009F661C" w:rsidP="00ED1E49">
      <w:pPr>
        <w:rPr>
          <w:sz w:val="20"/>
          <w:szCs w:val="20"/>
          <w:lang w:val="en-US"/>
        </w:rPr>
      </w:pPr>
    </w:p>
    <w:p w14:paraId="6232CF7C" w14:textId="77777777" w:rsidR="009F661C" w:rsidRPr="00071CFC" w:rsidRDefault="009F661C" w:rsidP="00ED1E49">
      <w:pPr>
        <w:rPr>
          <w:sz w:val="20"/>
          <w:szCs w:val="20"/>
          <w:lang w:val="en-US"/>
        </w:rPr>
        <w:sectPr w:rsidR="009F661C" w:rsidRPr="00071CFC" w:rsidSect="00503FDD">
          <w:headerReference w:type="even" r:id="rId34"/>
          <w:headerReference w:type="default" r:id="rId35"/>
          <w:footnotePr>
            <w:numRestart w:val="eachSect"/>
          </w:footnotePr>
          <w:type w:val="oddPage"/>
          <w:pgSz w:w="8392" w:h="11907" w:code="11"/>
          <w:pgMar w:top="1418" w:right="1191" w:bottom="851" w:left="1191" w:header="851" w:footer="0" w:gutter="0"/>
          <w:cols w:space="708"/>
          <w:titlePg/>
          <w:docGrid w:linePitch="360"/>
        </w:sectPr>
      </w:pPr>
    </w:p>
    <w:p w14:paraId="524EA99A" w14:textId="77777777" w:rsidR="009F661C" w:rsidRPr="00826C4D" w:rsidRDefault="009F661C" w:rsidP="0095769E">
      <w:pPr>
        <w:pStyle w:val="DLHeading"/>
        <w:rPr>
          <w:szCs w:val="32"/>
          <w:lang w:val="en-US"/>
        </w:rPr>
      </w:pPr>
      <w:r w:rsidRPr="00826C4D">
        <w:rPr>
          <w:szCs w:val="32"/>
        </w:rPr>
        <w:lastRenderedPageBreak/>
        <w:t>Chapter Ten</w:t>
      </w:r>
    </w:p>
    <w:p w14:paraId="2ECD65D1" w14:textId="77777777" w:rsidR="009F661C" w:rsidRPr="00826C4D" w:rsidRDefault="009F661C" w:rsidP="0095769E">
      <w:pPr>
        <w:pStyle w:val="DLHeading"/>
        <w:rPr>
          <w:szCs w:val="32"/>
        </w:rPr>
      </w:pPr>
      <w:r w:rsidRPr="00826C4D">
        <w:rPr>
          <w:szCs w:val="32"/>
        </w:rPr>
        <w:t xml:space="preserve"> Economics of Land Title</w:t>
      </w:r>
      <w:r w:rsidRPr="00DC1614">
        <w:rPr>
          <w:rStyle w:val="FootnoteReference"/>
          <w:sz w:val="28"/>
        </w:rPr>
        <w:footnoteReference w:id="28"/>
      </w:r>
    </w:p>
    <w:p w14:paraId="18C7D9D8" w14:textId="77777777" w:rsidR="009F661C" w:rsidRDefault="009F661C" w:rsidP="00C04504">
      <w:pPr>
        <w:pStyle w:val="DLText"/>
      </w:pPr>
    </w:p>
    <w:p w14:paraId="45FD01EB" w14:textId="77777777" w:rsidR="009F661C" w:rsidRDefault="009F661C" w:rsidP="00C04504">
      <w:pPr>
        <w:pStyle w:val="DLText"/>
      </w:pPr>
    </w:p>
    <w:p w14:paraId="163F7508" w14:textId="77777777" w:rsidR="009F661C" w:rsidRPr="001D79C8" w:rsidRDefault="009F661C" w:rsidP="00C04504">
      <w:pPr>
        <w:pStyle w:val="DLText"/>
      </w:pPr>
    </w:p>
    <w:p w14:paraId="1B797386" w14:textId="77777777" w:rsidR="009F661C" w:rsidRPr="001D79C8" w:rsidRDefault="009F661C" w:rsidP="00C04504">
      <w:pPr>
        <w:pStyle w:val="DLText"/>
      </w:pPr>
      <w:r w:rsidRPr="001D79C8">
        <w:t>The view that Papua New Guinea should retain its customary land tenure system  implies of course that much of its land resources should continue to be like “the commons”, i.e. the land that in Europe was not enclosed and transferred to private ownership until the second half of the last millennium, and so was in principle available to all for grazing and other purposes, leading to degradation and far lower productivity than was achieved after completion of enclosure and alienation by around 1800  in England). The phenomenon known as "the tragedy of the commons" (Hardin, 1968) arises when individuals using common land for grazing (or in Papua New Guinea’s case, for logging) have every incentive to maximize their own utilization of the resource since they need contribute nothing as individuals to the costs of maintaining it, the end result being its ruination (Jones &amp; McGavin 2000, 28). Although it is also t</w:t>
      </w:r>
      <w:r>
        <w:t>he case that in Papua New Guinea</w:t>
      </w:r>
      <w:r w:rsidRPr="001D79C8">
        <w:t xml:space="preserve"> there is widespread </w:t>
      </w:r>
      <w:r w:rsidRPr="00BF2B49">
        <w:rPr>
          <w:i/>
        </w:rPr>
        <w:t>de facto</w:t>
      </w:r>
      <w:r w:rsidRPr="001D79C8">
        <w:t xml:space="preserve"> enclosure wherever households establish gardens around their homesteads, many of which are fenced, there remain the very large areas of land not currently cultivated that are visible in the land utili</w:t>
      </w:r>
      <w:r>
        <w:t>z</w:t>
      </w:r>
      <w:r w:rsidRPr="001D79C8">
        <w:t>ation maps in Hanson et al. (2001). Mainly forested, these uncultivated areas remain in principle common property, but have in effect been nationalized by successive Forestry Acts and amendments thereto, whereby it is the national government that has appropriated the rights to license forestry developments in those areas. Nevertheless outside the areas subject to logging leases, the majority of the national forests remain</w:t>
      </w:r>
      <w:r>
        <w:t>s</w:t>
      </w:r>
      <w:r w:rsidRPr="001D79C8">
        <w:t xml:space="preserve"> a “commons”. </w:t>
      </w:r>
    </w:p>
    <w:p w14:paraId="1D519753" w14:textId="77777777" w:rsidR="009F661C" w:rsidRPr="001D79C8" w:rsidRDefault="009F661C" w:rsidP="00C04504">
      <w:pPr>
        <w:pStyle w:val="DLText"/>
      </w:pPr>
      <w:r w:rsidRPr="001D79C8">
        <w:t xml:space="preserve">The role of the enclosures in raising agricultural productivity in Europe has been disputed, with claims that in England enclosures resulted only “in a flood of landless people into urban areas, thus providing cheap labour to fuel the industrial revolution” (e.g. Holzknecht 1999, 154). This stereotype of the enclosure movement is far removed from reality, ignores the huge increase in agricultural productivity, and exaggerates “the flood of landless people” moving to the towns. The main burst of population growth and </w:t>
      </w:r>
      <w:r w:rsidRPr="001D79C8">
        <w:lastRenderedPageBreak/>
        <w:t xml:space="preserve">migration to cities in England came only in the nineteenth century, long after substantial completion of the enclosures (which had begun as early as the 14th century), and the migration owed more to the reductions in infant mortality in families settled on enclosed land, which in conjunction with primogeniture inheritance and the small average size of enclosed holdings meant younger sons had not much to hope for if they stayed at home (Armstrong 1989, 657). </w:t>
      </w:r>
    </w:p>
    <w:p w14:paraId="5E27151B" w14:textId="77777777" w:rsidR="009F661C" w:rsidRPr="001D79C8" w:rsidRDefault="009F661C" w:rsidP="00C04504">
      <w:pPr>
        <w:pStyle w:val="DLText"/>
      </w:pPr>
      <w:r w:rsidRPr="001D79C8">
        <w:t xml:space="preserve">Kenya’s land registration and titling program was the inspiration behind the Australian government’s belated and unavailing attempts to promote land tenure reform in Papua New Guinea in the </w:t>
      </w:r>
      <w:r>
        <w:t>decade</w:t>
      </w:r>
      <w:r w:rsidRPr="001D79C8">
        <w:t xml:space="preserve"> before independence was granted in 1975 (Rowton Simpson </w:t>
      </w:r>
      <w:r w:rsidRPr="001D79C8">
        <w:rPr>
          <w:i/>
          <w:iCs/>
        </w:rPr>
        <w:t>et al</w:t>
      </w:r>
      <w:r w:rsidRPr="001D79C8">
        <w:t xml:space="preserve">. 1971). Prior to 1955 land tenure in Kenya had much in common with customary systems in Papua New Guinea. Thereafter the colonial government combined a program of land registration and consolidation in the customary land areas with resettlement of African farmers on former white-owned farms, and this was continued at an accelerated rate by Jomo Kenyatta’s government (1964-1977) (Hazlewood 1979). </w:t>
      </w:r>
    </w:p>
    <w:p w14:paraId="1C61915D" w14:textId="77777777" w:rsidR="009F661C" w:rsidRPr="001D79C8" w:rsidRDefault="009F661C" w:rsidP="00C04504">
      <w:pPr>
        <w:pStyle w:val="DLText"/>
      </w:pPr>
      <w:r w:rsidRPr="001D79C8">
        <w:t xml:space="preserve">The outcome was an explosion of production of both old and new crops by many of Kenya’s formerly purely subsistence farmers. Particularly striking was the emergence of small-scale dairy farming in the newly tenured areas, with enough milk produced to support the government’s free school milk program in the country’s cities by the late 1970s, but this has received less attention than the large increases in Kenya’s smallholders’ production of coffee and tea. A key factor was the </w:t>
      </w:r>
      <w:r>
        <w:t>expanded</w:t>
      </w:r>
      <w:r w:rsidRPr="001D79C8">
        <w:t xml:space="preserve"> provision of credit that became possible with the establishment of title (Okoth-Ogendo 1980, 333-337).  </w:t>
      </w:r>
    </w:p>
    <w:p w14:paraId="66126D7B" w14:textId="77777777" w:rsidR="009F661C" w:rsidRDefault="009F661C" w:rsidP="00C04504">
      <w:pPr>
        <w:pStyle w:val="DLText"/>
      </w:pPr>
      <w:r w:rsidRPr="001D79C8">
        <w:t xml:space="preserve">The data in Table </w:t>
      </w:r>
      <w:r>
        <w:t>10.1</w:t>
      </w:r>
      <w:r w:rsidRPr="001D79C8">
        <w:t xml:space="preserve"> on </w:t>
      </w:r>
      <w:r>
        <w:t xml:space="preserve">the export value and </w:t>
      </w:r>
      <w:r w:rsidRPr="001D79C8">
        <w:t xml:space="preserve">production of coffee and tea in Kenya </w:t>
      </w:r>
      <w:r>
        <w:t xml:space="preserve">and Papua New Guinea </w:t>
      </w:r>
      <w:r w:rsidRPr="001D79C8">
        <w:t>in the 1970s</w:t>
      </w:r>
      <w:r>
        <w:t xml:space="preserve"> are telling. Overall, Kenya’s exports of these two crops have more than doubled in value since 1976, while Papua New Guinea’s</w:t>
      </w:r>
      <w:r w:rsidRPr="001D79C8">
        <w:t xml:space="preserve"> </w:t>
      </w:r>
      <w:r>
        <w:t>have hardly increased at all. In US$ terms prices of both coffee and tea were much the same in 2007 as they had been in 1976. Whatever the virtues of Papua New Guinea’s overwhelmingly customary land tenure system, it has not generated any significant increases in output or incomes, at least not in the Highlands provinces where its tea and Arabica coffee are grown. Kenya’s smallholder coffee and tea growers mostly belong to cooperatives, and that may help to explain part of its success, but the continuing importance of estate production there (see Table 10.2) contrasts with the ever declining output of estates in Papua New Guinea.</w:t>
      </w:r>
    </w:p>
    <w:p w14:paraId="6BFEF992" w14:textId="77777777" w:rsidR="009F661C" w:rsidRPr="001D79C8" w:rsidRDefault="009F661C" w:rsidP="00C04504">
      <w:pPr>
        <w:pStyle w:val="DLText"/>
      </w:pPr>
      <w:r>
        <w:t xml:space="preserve">Table 10.2 </w:t>
      </w:r>
      <w:r w:rsidRPr="001D79C8">
        <w:t xml:space="preserve">shows how </w:t>
      </w:r>
      <w:r>
        <w:t xml:space="preserve">although Kenya’s </w:t>
      </w:r>
      <w:r w:rsidRPr="001D79C8">
        <w:t>smallholder</w:t>
      </w:r>
      <w:r>
        <w:t xml:space="preserve"> coffee cooperatives planted nearly three times the area planted by estates, they </w:t>
      </w:r>
      <w:r>
        <w:lastRenderedPageBreak/>
        <w:t>accounted for only just over double the production of the coffee estates, because of their much lower yields per hectare.</w:t>
      </w:r>
      <w:r w:rsidRPr="001D79C8">
        <w:t xml:space="preserve"> </w:t>
      </w:r>
      <w:r>
        <w:t>Similarly, smallholder tea producers planted nearly double the areas of the areas planted by the estate, but produced only just over half of total production, again because of their lower yields per hectare. Those statistics are a striking testimony to the power of fully titled land ownership substantially to increase productivity – and incomes. In Papua New Guinea s</w:t>
      </w:r>
      <w:r w:rsidRPr="001D79C8">
        <w:t xml:space="preserve">mallholders </w:t>
      </w:r>
      <w:r>
        <w:t xml:space="preserve">by 1975 already </w:t>
      </w:r>
      <w:r w:rsidRPr="001D79C8">
        <w:t xml:space="preserve">accounted for two-thirds of total production, but expansion </w:t>
      </w:r>
      <w:r>
        <w:t xml:space="preserve">of output since then </w:t>
      </w:r>
      <w:r w:rsidRPr="001D79C8">
        <w:t xml:space="preserve">since then has been </w:t>
      </w:r>
      <w:r>
        <w:t>minimal</w:t>
      </w:r>
      <w:r w:rsidRPr="001D79C8">
        <w:t xml:space="preserve">, as implied by </w:t>
      </w:r>
      <w:r>
        <w:t xml:space="preserve">both </w:t>
      </w:r>
      <w:r w:rsidRPr="001D79C8">
        <w:t xml:space="preserve">Fleming &amp; Anthony </w:t>
      </w:r>
      <w:r>
        <w:t>(</w:t>
      </w:r>
      <w:r w:rsidRPr="001D79C8">
        <w:t>1993</w:t>
      </w:r>
      <w:r>
        <w:t>:</w:t>
      </w:r>
      <w:r w:rsidRPr="001D79C8">
        <w:t xml:space="preserve"> 52)</w:t>
      </w:r>
      <w:r>
        <w:t xml:space="preserve"> and Table 10.1</w:t>
      </w:r>
      <w:r w:rsidRPr="001D79C8">
        <w:t>.</w:t>
      </w:r>
      <w:r w:rsidRPr="001D79C8">
        <w:rPr>
          <w:rStyle w:val="FootnoteReference"/>
        </w:rPr>
        <w:footnoteReference w:id="29"/>
      </w:r>
    </w:p>
    <w:p w14:paraId="2FB959D7" w14:textId="77777777" w:rsidR="009F661C" w:rsidRPr="001D79C8" w:rsidRDefault="009F661C" w:rsidP="00C04504">
      <w:pPr>
        <w:jc w:val="both"/>
        <w:rPr>
          <w:lang w:val="en-US"/>
        </w:rPr>
      </w:pPr>
    </w:p>
    <w:p w14:paraId="74B8540F" w14:textId="77777777" w:rsidR="009F661C" w:rsidRPr="00A91BCB" w:rsidRDefault="009F661C" w:rsidP="00C04504">
      <w:pPr>
        <w:pStyle w:val="DLFN"/>
        <w:rPr>
          <w:b/>
          <w:sz w:val="20"/>
          <w:szCs w:val="20"/>
          <w:lang w:val="en-US"/>
        </w:rPr>
      </w:pPr>
      <w:r w:rsidRPr="00A91BCB">
        <w:rPr>
          <w:b/>
          <w:sz w:val="20"/>
          <w:szCs w:val="20"/>
          <w:lang w:val="en-US"/>
        </w:rPr>
        <w:t>Table 10.1 Production of coffee and tea, Kenya and Papua New Guinea</w:t>
      </w:r>
    </w:p>
    <w:p w14:paraId="5E7DC42D" w14:textId="77777777" w:rsidR="009F661C" w:rsidRDefault="009F661C" w:rsidP="00C04504">
      <w:pPr>
        <w:pStyle w:val="DLFN"/>
        <w:rPr>
          <w:lang w:val="en-US"/>
        </w:rPr>
      </w:pPr>
    </w:p>
    <w:p w14:paraId="19DBCE96" w14:textId="77777777" w:rsidR="009F661C" w:rsidRDefault="00A44434" w:rsidP="00C04504">
      <w:pPr>
        <w:pStyle w:val="DLFN"/>
        <w:rPr>
          <w:lang w:val="en-US"/>
        </w:rPr>
      </w:pPr>
      <w:r>
        <w:rPr>
          <w:noProof/>
          <w:lang w:eastAsia="en-AU"/>
        </w:rPr>
        <w:drawing>
          <wp:inline distT="0" distB="0" distL="0" distR="0" wp14:anchorId="4B5CEC93" wp14:editId="46ECAE7A">
            <wp:extent cx="3810000" cy="2314575"/>
            <wp:effectExtent l="1905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srcRect/>
                    <a:stretch>
                      <a:fillRect/>
                    </a:stretch>
                  </pic:blipFill>
                  <pic:spPr bwMode="auto">
                    <a:xfrm>
                      <a:off x="0" y="0"/>
                      <a:ext cx="3810000" cy="2314575"/>
                    </a:xfrm>
                    <a:prstGeom prst="rect">
                      <a:avLst/>
                    </a:prstGeom>
                    <a:noFill/>
                    <a:ln w="9525">
                      <a:noFill/>
                      <a:miter lim="800000"/>
                      <a:headEnd/>
                      <a:tailEnd/>
                    </a:ln>
                  </pic:spPr>
                </pic:pic>
              </a:graphicData>
            </a:graphic>
          </wp:inline>
        </w:drawing>
      </w:r>
    </w:p>
    <w:p w14:paraId="20911AF9" w14:textId="77777777" w:rsidR="009F661C" w:rsidRPr="001D79C8" w:rsidRDefault="009F661C" w:rsidP="00C04504">
      <w:pPr>
        <w:pStyle w:val="DLFN"/>
        <w:rPr>
          <w:lang w:val="en-US"/>
        </w:rPr>
      </w:pPr>
      <w:r w:rsidRPr="001D79C8">
        <w:rPr>
          <w:lang w:val="en-US"/>
        </w:rPr>
        <w:t xml:space="preserve">Sources: Hazlewood 1979; MacWilliam 1995; </w:t>
      </w:r>
      <w:r>
        <w:rPr>
          <w:lang w:val="en-US"/>
        </w:rPr>
        <w:t>National</w:t>
      </w:r>
      <w:r w:rsidRPr="001D79C8">
        <w:rPr>
          <w:lang w:val="en-US"/>
        </w:rPr>
        <w:t xml:space="preserve"> Bureau of Statistics, Kenya</w:t>
      </w:r>
      <w:r>
        <w:rPr>
          <w:lang w:val="en-US"/>
        </w:rPr>
        <w:t xml:space="preserve">; </w:t>
      </w:r>
      <w:r w:rsidRPr="001D79C8">
        <w:rPr>
          <w:lang w:val="en-US"/>
        </w:rPr>
        <w:t>Bank of Papua New Guinea 1998, 200</w:t>
      </w:r>
      <w:r>
        <w:rPr>
          <w:lang w:val="en-US"/>
        </w:rPr>
        <w:t>9.</w:t>
      </w:r>
    </w:p>
    <w:p w14:paraId="79C48B0F" w14:textId="77777777" w:rsidR="009F661C" w:rsidRPr="00EE524C" w:rsidRDefault="009F661C" w:rsidP="00C04504">
      <w:pPr>
        <w:spacing w:after="200" w:line="276" w:lineRule="auto"/>
        <w:rPr>
          <w:b/>
          <w:sz w:val="20"/>
          <w:szCs w:val="20"/>
        </w:rPr>
      </w:pPr>
      <w:r>
        <w:br w:type="page"/>
      </w:r>
      <w:r w:rsidRPr="00EE524C">
        <w:rPr>
          <w:b/>
          <w:sz w:val="20"/>
          <w:szCs w:val="20"/>
        </w:rPr>
        <w:lastRenderedPageBreak/>
        <w:t>Table 10.2 Coffee and Tea Production in Kenya – Areas planted, yields, and production</w:t>
      </w:r>
    </w:p>
    <w:p w14:paraId="0417BF08" w14:textId="77777777" w:rsidR="009F661C" w:rsidRPr="001D79C8" w:rsidRDefault="00A44434" w:rsidP="00DC1614">
      <w:pPr>
        <w:pStyle w:val="DLText"/>
        <w:ind w:firstLine="0"/>
      </w:pPr>
      <w:r>
        <w:rPr>
          <w:noProof/>
          <w:szCs w:val="24"/>
          <w:lang w:val="en-AU" w:eastAsia="en-AU"/>
        </w:rPr>
        <w:drawing>
          <wp:inline distT="0" distB="0" distL="0" distR="0" wp14:anchorId="00EE4774" wp14:editId="5037EB68">
            <wp:extent cx="3819525" cy="4171950"/>
            <wp:effectExtent l="19050" t="0" r="9525"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srcRect/>
                    <a:stretch>
                      <a:fillRect/>
                    </a:stretch>
                  </pic:blipFill>
                  <pic:spPr bwMode="auto">
                    <a:xfrm>
                      <a:off x="0" y="0"/>
                      <a:ext cx="3819525" cy="4171950"/>
                    </a:xfrm>
                    <a:prstGeom prst="rect">
                      <a:avLst/>
                    </a:prstGeom>
                    <a:noFill/>
                    <a:ln w="9525">
                      <a:noFill/>
                      <a:miter lim="800000"/>
                      <a:headEnd/>
                      <a:tailEnd/>
                    </a:ln>
                  </pic:spPr>
                </pic:pic>
              </a:graphicData>
            </a:graphic>
          </wp:inline>
        </w:drawing>
      </w:r>
      <w:r w:rsidR="009F661C">
        <w:br/>
      </w:r>
    </w:p>
    <w:p w14:paraId="1E083DB2" w14:textId="77777777" w:rsidR="009F661C" w:rsidRPr="001D79C8" w:rsidRDefault="009F661C" w:rsidP="00C04504">
      <w:pPr>
        <w:pStyle w:val="DLText"/>
      </w:pPr>
      <w:r w:rsidRPr="001D79C8">
        <w:t xml:space="preserve">It would be wrong to imply that changing land tenure changed everything in Kenya, least of all the propensity to governmental corruption, as endemic there as in Papua New Guinea. One of the emerging problems from the 1980s onwards was that unreformed inheritance laws led in practice to breaking up of titled smallholdings to accommodate burgeoning numbers of inheritors. That in turn led to sales of holdings that had become too small to be viable to owners of larger holdings (much as happened in England after the enclosures). After land titling was extended into the mainly Luo-speaking Nyanza province in the 1980s, it was initially </w:t>
      </w:r>
      <w:r w:rsidRPr="001D79C8">
        <w:lastRenderedPageBreak/>
        <w:t xml:space="preserve">successful in reducing boundary disputes, but when the registration process broke down as multiple changes of ownership failed to be reported, the land register became obsolete. Moreover the titling in South Nyanza was not accompanied by any increase in secured credit, with fewer than three per cent of registered parcels being mortgaged by 1988 (Shipton 1988). That may have been partly due to topographical factors, with Nyanza being </w:t>
      </w:r>
      <w:r>
        <w:t xml:space="preserve">possibly </w:t>
      </w:r>
      <w:r w:rsidRPr="001D79C8">
        <w:t>less suited to intensive cash crop production</w:t>
      </w:r>
      <w:r>
        <w:t>, although smallholder sugarcane production has been very successful there,</w:t>
      </w:r>
      <w:r w:rsidRPr="001D79C8">
        <w:t xml:space="preserve"> than the areas around Mount Kenya where registration had been so successful in the 1960s and 1970s.</w:t>
      </w:r>
    </w:p>
    <w:p w14:paraId="3D339A73" w14:textId="77777777" w:rsidR="009F661C" w:rsidRPr="001D79C8" w:rsidRDefault="009F661C" w:rsidP="00C04504">
      <w:pPr>
        <w:pStyle w:val="DLText"/>
      </w:pPr>
      <w:r w:rsidRPr="001D79C8">
        <w:t>Land titling also proved difficult in pastoral areas, especially the north-eastern region of Kenya. The Maasai, Turkana, Samburu and other pastoralists being still largely nomadic did not participate in the main titling programmes of the 1950s and 1960s. But around Lake Baringo both the colonial and the post-independence governments made a determined attempt to settle the district's pastoral residents on an irrigation scheme. The attempt to impose a change of life-style made little progress, not least because the very small titled irrigation units never became economically viable, while Kenya's pastoralists in general found they could earn as much as they wanted from sales of their cattle from time to time.</w:t>
      </w:r>
    </w:p>
    <w:p w14:paraId="7FB8FDDF" w14:textId="77777777" w:rsidR="009F661C" w:rsidRPr="001D79C8" w:rsidRDefault="009F661C" w:rsidP="00C04504">
      <w:pPr>
        <w:pStyle w:val="DLText"/>
      </w:pPr>
      <w:r w:rsidRPr="001D79C8">
        <w:t>However growing population pressure on the land in both agricultural and pastoral areas has meant in the latter that there is insufficient land to accommodate the herds of the younger generation, leading to over-grazing - and to demands that the areas still held by colonial landowners like the Delameres should be expropriated in favour of the Maasai of the Laikipia Plateau. These landowners have diversified away from cattle ranching to tourism based on game conservation and argue that allowing the land to revert to nomadic pastoralism would result only in extending over-grazing and more land degradation (</w:t>
      </w:r>
      <w:r w:rsidRPr="001D79C8">
        <w:rPr>
          <w:i/>
        </w:rPr>
        <w:t>Guardian Weekly</w:t>
      </w:r>
      <w:r w:rsidRPr="001D79C8">
        <w:t>, 2004).</w:t>
      </w:r>
    </w:p>
    <w:p w14:paraId="76F05AE1" w14:textId="77777777" w:rsidR="009F661C" w:rsidRPr="001D79C8" w:rsidRDefault="009F661C" w:rsidP="00C04504">
      <w:pPr>
        <w:pStyle w:val="DLText"/>
      </w:pPr>
      <w:r w:rsidRPr="001D79C8">
        <w:t xml:space="preserve">Table </w:t>
      </w:r>
      <w:r>
        <w:t>10.1</w:t>
      </w:r>
      <w:r w:rsidRPr="001D79C8">
        <w:t xml:space="preserve"> provides data on the Kenyan smallholder’s contribution to production of coffee and tea. In the case of tea, the </w:t>
      </w:r>
      <w:r>
        <w:t xml:space="preserve">total </w:t>
      </w:r>
      <w:r w:rsidRPr="001D79C8">
        <w:t>area planted increased from 5,100 hectares in 1964 to 43,600 hectares in 1976 (Hazlewood 1979</w:t>
      </w:r>
      <w:r>
        <w:t>:</w:t>
      </w:r>
      <w:r w:rsidRPr="001D79C8">
        <w:t xml:space="preserve"> 45)</w:t>
      </w:r>
      <w:r>
        <w:t>, and no less than 149,000 hectares in 2006-07 National Bureau of Statistics, 2010)</w:t>
      </w:r>
      <w:r w:rsidRPr="001D79C8">
        <w:t>. In addition to tea and coffee, smallholders made a notable contribution to sugar production, accounting for a third of total production of 1.9 million tonnes of sugar cane in 1977 (Hazlewood 1979</w:t>
      </w:r>
      <w:r>
        <w:t>:</w:t>
      </w:r>
      <w:r w:rsidRPr="001D79C8">
        <w:t xml:space="preserve"> 45). By contrast, although sugar cane is native to the country, smallholders are minor contributors to Papua New Guinea’s commercial sugar-cane production, which is confined to </w:t>
      </w:r>
      <w:r>
        <w:t>the</w:t>
      </w:r>
      <w:r w:rsidRPr="001D79C8">
        <w:t xml:space="preserve"> </w:t>
      </w:r>
      <w:r>
        <w:t>Ramu</w:t>
      </w:r>
      <w:r w:rsidRPr="001D79C8">
        <w:t xml:space="preserve"> estate that produces less than a quarter of Kenya’s output.</w:t>
      </w:r>
    </w:p>
    <w:p w14:paraId="7DDB6824" w14:textId="77777777" w:rsidR="009F661C" w:rsidRPr="001D79C8" w:rsidRDefault="009F661C" w:rsidP="00C04504">
      <w:pPr>
        <w:pStyle w:val="DLText"/>
      </w:pPr>
      <w:r w:rsidRPr="001D79C8">
        <w:lastRenderedPageBreak/>
        <w:t>Clearly Kenya’s agricultural production contrasts vividly with Papua New Guinea’s. In 1980 its food imports were 8 per cent of total imports, while Papua New Guinea's were 21 per cent. Kenya’s food and beverage exports were 44 per cent of its total exports in 1980, and 59 per cent in 1998); Papua New Guinea’s were 23 per cent in 1980 and 23 per cent in 1999 (dropping back from 27 per cent in 1998 after the recovery in oil prices in 1999) (World Bank 1987; 2000; Bank of Papua New Gu</w:t>
      </w:r>
      <w:r>
        <w:t>i</w:t>
      </w:r>
      <w:r w:rsidRPr="001D79C8">
        <w:t>nea 2001).</w:t>
      </w:r>
    </w:p>
    <w:p w14:paraId="65371766" w14:textId="77777777" w:rsidR="009F661C" w:rsidRPr="001D79C8" w:rsidRDefault="009F661C" w:rsidP="00C04504">
      <w:pPr>
        <w:pStyle w:val="DLText"/>
      </w:pPr>
      <w:r w:rsidRPr="001D79C8">
        <w:t>Similarly, there are significant differences in the comparative productivity of untitled and titled small-scale farms in Zambia (Table 9.4), providing confirmation of the large difference title makes to farm productivity and household income. Of course, for those who abhor any emergence of inequality like Griffin (2002) and many others, perhaps it would be better if all Zambia’s rural households “enjoyed” the same level of income of the households barely subsisting on their farms owned under custom (US$66) or undocumented farms (U$195 p.a.), rather than that all should aspire to the 4-10 times larger incomes (US$666) available to those with full title, even though the labor input on the titled farms was only up to twice that on the undocumented or customarily owned farms</w:t>
      </w:r>
    </w:p>
    <w:p w14:paraId="0D899AAB" w14:textId="77777777" w:rsidR="009F661C" w:rsidRPr="001D79C8" w:rsidRDefault="009F661C" w:rsidP="00C04504">
      <w:pPr>
        <w:pStyle w:val="DLText"/>
      </w:pPr>
      <w:r w:rsidRPr="001D79C8">
        <w:t>Egypt’s land reform from 1952 involved breaking up large estates and providing hitherto landless peasants (“fellah”), who had previously in the main been tenant farmers, with title to their new holdings (Mabro 1974, 56-63). Egypt’s land reforms in the sense of moving to individual tenure had begun in the previous century, and the 1952 land redistribution was firmly based on individual title. It was accompanied by a large increase in the provision of rural credit and the development of a cooperative movement, essential when ninety per cent of holdings consisted of one hectare or less. The outcome was dramatic increases in agricultural productivity, despite the fall in yields that might have been expected from the additional annual cropping permitted by the Aswan High Dam, with yields per hectare of most crops rising by at least 50 per cent between 1951 and 1971. Above all Egypt demonstrates that individual land tenure is compatible with maintaining equity, by the use of legislation limiting the maximum size of holdings, contrary to common suggestions that customary tenure equals equity and that individual tenure equals monopolization of all land by a few (Mabro 1974, 81).</w:t>
      </w:r>
    </w:p>
    <w:p w14:paraId="72FF5A33" w14:textId="77777777" w:rsidR="009F661C" w:rsidRPr="001D79C8" w:rsidRDefault="009F661C" w:rsidP="00C04504">
      <w:pPr>
        <w:pStyle w:val="DLText"/>
      </w:pPr>
      <w:r w:rsidRPr="001D79C8">
        <w:t xml:space="preserve">Establishing a fully juridical system of land tenure in Papua New Guinea, with enforcement of repossessions in case of mortgage defaults, would in all likelihood greatly increase banks’ willingness to lend, and development of cooperatives would also be helpful (they played a leading role in Kenya’s smallholder coffee sector - and in Tanzania’s until abolished by Julius Nyerere in the 1970s). By contrast, some of Papua New Guinea’s </w:t>
      </w:r>
      <w:r w:rsidRPr="001D79C8">
        <w:lastRenderedPageBreak/>
        <w:t>commodity boards (cocoa, copra) have served only to expropriate growers’ surpluses in times of high prices, and have otherwise been more concerned with price stabilization than with expanding their clients’ production (Fleming 2001).</w:t>
      </w:r>
    </w:p>
    <w:p w14:paraId="49344CB0" w14:textId="77777777" w:rsidR="009F661C" w:rsidRPr="001D79C8" w:rsidRDefault="009F661C" w:rsidP="00C04504">
      <w:pPr>
        <w:pStyle w:val="DLHeading2"/>
      </w:pPr>
      <w:r w:rsidRPr="001D79C8">
        <w:t>Land registration in Papua New Guinea</w:t>
      </w:r>
    </w:p>
    <w:p w14:paraId="766EE702" w14:textId="77777777" w:rsidR="009F661C" w:rsidRPr="001D79C8" w:rsidRDefault="009F661C" w:rsidP="00C04504">
      <w:pPr>
        <w:pStyle w:val="DLText"/>
      </w:pPr>
      <w:r w:rsidRPr="00FF2033">
        <w:rPr>
          <w:i/>
          <w:iCs/>
        </w:rPr>
        <w:t>Papua New Guinea's Land Registration Act</w:t>
      </w:r>
      <w:r w:rsidRPr="001D79C8">
        <w:t xml:space="preserve"> Ch.191 already provides the core legislation needed for extension of land titling to the more than 90 per cent of the country where customary unregistered title is prevalent. This Act is based on Australia's Torrens system, providing for title by registration, indefeasibility of title once registered, and change of title only when registered. Section 26 of the Act sets out the effect of registration:</w:t>
      </w:r>
    </w:p>
    <w:p w14:paraId="17A12739" w14:textId="77777777" w:rsidR="009F661C" w:rsidRPr="001D79C8" w:rsidRDefault="009F661C" w:rsidP="00C04504">
      <w:pPr>
        <w:pStyle w:val="DLText"/>
        <w:numPr>
          <w:ilvl w:val="0"/>
          <w:numId w:val="20"/>
        </w:numPr>
        <w:ind w:left="567" w:hanging="283"/>
      </w:pPr>
      <w:r w:rsidRPr="001D79C8">
        <w:t>On registration of an instrument -</w:t>
      </w:r>
    </w:p>
    <w:p w14:paraId="1C6A73FA" w14:textId="77777777" w:rsidR="009F661C" w:rsidRPr="001D79C8" w:rsidRDefault="009F661C" w:rsidP="00C04504">
      <w:pPr>
        <w:pStyle w:val="DLText"/>
        <w:numPr>
          <w:ilvl w:val="0"/>
          <w:numId w:val="21"/>
        </w:numPr>
        <w:ind w:left="851" w:hanging="284"/>
      </w:pPr>
      <w:r w:rsidRPr="001D79C8">
        <w:t>the (previous) estate or interest in the instrument passes or ceases; or</w:t>
      </w:r>
    </w:p>
    <w:p w14:paraId="3AEFEF20" w14:textId="77777777" w:rsidR="009F661C" w:rsidRPr="001D79C8" w:rsidRDefault="009F661C" w:rsidP="00C04504">
      <w:pPr>
        <w:pStyle w:val="DLText"/>
        <w:numPr>
          <w:ilvl w:val="0"/>
          <w:numId w:val="21"/>
        </w:numPr>
        <w:ind w:left="851" w:hanging="284"/>
      </w:pPr>
      <w:r w:rsidRPr="001D79C8">
        <w:t>the land becomes liable as security; or</w:t>
      </w:r>
    </w:p>
    <w:p w14:paraId="21B56609" w14:textId="77777777" w:rsidR="009F661C" w:rsidRPr="001D79C8" w:rsidRDefault="009F661C" w:rsidP="00C04504">
      <w:pPr>
        <w:pStyle w:val="DLText"/>
        <w:numPr>
          <w:ilvl w:val="0"/>
          <w:numId w:val="21"/>
        </w:numPr>
        <w:ind w:left="851" w:hanging="284"/>
      </w:pPr>
      <w:r w:rsidRPr="001D79C8">
        <w:t>the land is encumbered...</w:t>
      </w:r>
    </w:p>
    <w:p w14:paraId="47181EB7" w14:textId="77777777" w:rsidR="009F661C" w:rsidRPr="001D79C8" w:rsidRDefault="009F661C" w:rsidP="00C04504">
      <w:pPr>
        <w:pStyle w:val="DLText"/>
        <w:numPr>
          <w:ilvl w:val="0"/>
          <w:numId w:val="20"/>
        </w:numPr>
        <w:ind w:left="567" w:hanging="283"/>
      </w:pPr>
      <w:r w:rsidRPr="001D79C8">
        <w:t>As soon as a memorial of an instrument has been entered on the appropriate folio of the Register Book, the instrument shall be deemed to be embodied in the Register Book (Magambwa &amp; Amankwah 2002, 422).</w:t>
      </w:r>
    </w:p>
    <w:p w14:paraId="035F3C35" w14:textId="77777777" w:rsidR="009F661C" w:rsidRPr="001D79C8" w:rsidRDefault="009F661C" w:rsidP="00C04504">
      <w:pPr>
        <w:pStyle w:val="DLText"/>
      </w:pPr>
      <w:r w:rsidRPr="001D79C8">
        <w:t xml:space="preserve"> </w:t>
      </w:r>
    </w:p>
    <w:p w14:paraId="77957C0A" w14:textId="77777777" w:rsidR="009F661C" w:rsidRPr="001D79C8" w:rsidRDefault="009F661C" w:rsidP="00C04504">
      <w:pPr>
        <w:pStyle w:val="DLText"/>
      </w:pPr>
      <w:r w:rsidRPr="001D79C8">
        <w:t>Attempts have been made to assert that mere registration cannot alienate the original ownership of the registered land. In a classic judgment Australia's then Chief Justice (Barwick) led a reversal of a judgment by Papua New Guinea's pre-Independence Chief Justice Mann that sought to reinstate customary ownership by a Tolai group of certain land in East New Britain where title had been registered but the Registration Book was destroyed during the Japanese invasion in 1942. Barwick noted that this would have destroyed also titles registered by other Tolai, and in allowing the appeal against Mann's judgment insisted on the indefeasibility of registered title (Magambwa &amp; Amankwah 2002, 422-423).</w:t>
      </w:r>
    </w:p>
    <w:p w14:paraId="3CC49414" w14:textId="77777777" w:rsidR="009F661C" w:rsidRPr="001D79C8" w:rsidRDefault="009F661C" w:rsidP="00C04504">
      <w:pPr>
        <w:pStyle w:val="DLText"/>
      </w:pPr>
      <w:r w:rsidRPr="001D79C8">
        <w:t xml:space="preserve">This principle of indefeasibility would of itself provide far greater security to any customary land groups that registered their land than they currently enjoy without registration, whereby large tracts of land are in effect commonage, claimed by many groups without firm evidence of their ownership. Although nothing in the title registration process requires that title be granted only to individuals, too much discussion of the land ownership issue seems to assume that the registration process requires a shift from clan or communal ownership to individual. That is not the case </w:t>
      </w:r>
      <w:r w:rsidRPr="001D79C8">
        <w:lastRenderedPageBreak/>
        <w:t xml:space="preserve">in law. We have described (Chapter 3 above) the failure by Chevron to see to it that clan ownership rights in the Lake Kutubu area were demarcated and then registered, leading inexorably to the anarchy that now reigns in that area. </w:t>
      </w:r>
    </w:p>
    <w:p w14:paraId="5C719443" w14:textId="77777777" w:rsidR="009F661C" w:rsidRPr="001D79C8" w:rsidRDefault="009F661C" w:rsidP="00C04504">
      <w:pPr>
        <w:pStyle w:val="DLText"/>
      </w:pPr>
      <w:r w:rsidRPr="001D79C8">
        <w:t>In Chapter Three we mentioned Cooter’s accounts (1989, 1991) of both the scope for and the limitations of land registration in Papua New Guinea. He noticed how the local land courts had in effect begun the process of defining boundaries when they settled disputes over ownership of particular parcels of land. He added that the land courts accomplish more than recording boundaries and resolving disputes. "In addition they give an authoritative statement of customary law...Melanesian legal principles are to be discovered while deciding cases in customary law, which must be done by courts not Parliament" (Cooter 1989).</w:t>
      </w:r>
      <w:r w:rsidRPr="001D79C8">
        <w:rPr>
          <w:rStyle w:val="FootnoteReference"/>
          <w:color w:val="3366FF"/>
        </w:rPr>
        <w:footnoteReference w:id="30"/>
      </w:r>
      <w:r w:rsidRPr="001D79C8">
        <w:t xml:space="preserve"> </w:t>
      </w:r>
    </w:p>
    <w:p w14:paraId="0C51B5BF" w14:textId="77777777" w:rsidR="009F661C" w:rsidRPr="001D79C8" w:rsidRDefault="009F661C" w:rsidP="00C04504">
      <w:pPr>
        <w:pStyle w:val="DLText"/>
      </w:pPr>
      <w:r w:rsidRPr="001D79C8">
        <w:t>Cooter's (1989) field work in East Sepik province in 1988 found widespread support for the process of registration of land boundaries that had just begun there. This contrasts with the notorious student demonstrations in Port Moresby in 1995 and 2001 against any move towards land titling. His analysis of the size of the task also corrected the claims of government officials in 1983 that the task of "developing, implementing, and maintaining a documentary title system are nothing short of immense" (“Task Force on Customary Land Issues” 1983, 11). Cooter (1989) estimated that in East Sepik there were in 1988 about 1,000 villages and about four clans per village with about 6.5 families per clan. Clan land areas varied between 500 and 1,400 hectares in total but scattered in any number of plots. The registration team visited by Cooter (1989) comprised five registration officers, 3 chain men, and two drivers with vehicles, and was registering land of about 2.5 clans per week (8). Cooter (1989) also refers to the work required to register holdings in the Porgera Special Mining Lease, which covered 2,700 hectares of land claimed by seven major clans - boundaries had to be established for 39 parcels of land, and it took a staff of 15 eight months to define these boundaries. Considering that the enclosure movement in England took at least 300 years, even small beginnings like these would in time cover the whole country.</w:t>
      </w:r>
    </w:p>
    <w:p w14:paraId="35B606FA" w14:textId="77777777" w:rsidR="009F661C" w:rsidRPr="001D79C8" w:rsidRDefault="009F661C" w:rsidP="00C04504">
      <w:pPr>
        <w:pStyle w:val="DLText"/>
      </w:pPr>
      <w:r w:rsidRPr="001D79C8">
        <w:t xml:space="preserve">Jim Fingleton (2004) on visits (March 2004) to four provinces (East and West New Britain, Morobe, and Eastern Highlands) looked at a number of schemes whose 'common feature' was a 'desire to register clan ownership' as part of mobilizing customary land for larger scale cash crop production </w:t>
      </w:r>
      <w:r w:rsidRPr="001D79C8">
        <w:lastRenderedPageBreak/>
        <w:t>(115). But he stressed that land registration should only be introduced 'where the state has the capacity in skills, technology, and financial resources, not only to carry out the initial registration of titles fairly and efficiently but also to maintain the land titles register' (Fingleton 2004, 115-116). He seems to imply this is too much to expect in Papua New Guinea's case, but that is unfair. For in practice the existing system of registration of land title in those parts of the country where title has been registered (mainly the towns and various plantations) continues to function perfectly adequately. Cases of incompetent, corrupt, and fraudulent administration, usually by the government's Lands and Physical Planning Department, are of course not unknown, but recourse to the courts has time and again rectified such abuses. We noted one such case above, and Mugambwa and Amankwah (2002) cite many others in their extensive chapters on leases, state leases, and registration of titles.</w:t>
      </w:r>
    </w:p>
    <w:p w14:paraId="23366D34" w14:textId="77777777" w:rsidR="009F661C" w:rsidRPr="001D79C8" w:rsidRDefault="009F661C" w:rsidP="00C04504">
      <w:pPr>
        <w:pStyle w:val="DLText"/>
      </w:pPr>
      <w:r w:rsidRPr="001D79C8">
        <w:t>There is however a case for privatising the whole registration process, by tendering and contracting out the surveying, titling, and registration work to a private sector firm for an approved scale of fees.</w:t>
      </w:r>
    </w:p>
    <w:p w14:paraId="7A082932" w14:textId="77777777" w:rsidR="009F661C" w:rsidRPr="001D79C8" w:rsidRDefault="009F661C" w:rsidP="00C04504">
      <w:pPr>
        <w:pStyle w:val="DLHeading2"/>
      </w:pPr>
      <w:r w:rsidRPr="001D79C8">
        <w:t>Equality and Land Tenure</w:t>
      </w:r>
    </w:p>
    <w:p w14:paraId="2621640B" w14:textId="77777777" w:rsidR="009F661C" w:rsidRPr="001D79C8" w:rsidRDefault="009F661C" w:rsidP="00C04504">
      <w:pPr>
        <w:pStyle w:val="DLText"/>
      </w:pPr>
      <w:r w:rsidRPr="001D79C8">
        <w:t>In its last years in power the Australian colonial administration made a last attempt to enact land reform legislation. The bills put to the House of Assembly in 1971 whilst providing for group as well as individual registration of title would also have allowed some individual members of groups to register land title as if they were the sole owners. "This is what was done in New Zealand in 1860 and the result was disastrous", according to Alan Ward (n.d.), who was appointed by the interim government led by Michael Somare as consultant to the Commission of Inquiry into Land Matters in 1973. The Committee was responsive to the Eight Point Plan adopted by the Assembly in 1972 that subsequently became the basis for the National Goals inscribed in the Constitution in 1975, stating that:</w:t>
      </w:r>
    </w:p>
    <w:p w14:paraId="6A07BDA7" w14:textId="77777777" w:rsidR="009F661C" w:rsidRPr="001D79C8" w:rsidRDefault="009F661C" w:rsidP="00C04504">
      <w:pPr>
        <w:pStyle w:val="DLText"/>
      </w:pPr>
    </w:p>
    <w:p w14:paraId="4603B0B2" w14:textId="77777777" w:rsidR="009F661C" w:rsidRPr="001D79C8" w:rsidRDefault="009F661C" w:rsidP="00DC1614">
      <w:pPr>
        <w:pStyle w:val="DLQuotes"/>
        <w:rPr>
          <w:lang w:val="en-US"/>
        </w:rPr>
      </w:pPr>
      <w:r w:rsidRPr="001D79C8">
        <w:rPr>
          <w:lang w:val="en-US"/>
        </w:rPr>
        <w:t xml:space="preserve">We recognise the need to alter some customary practices to promote greater productivity from the land... we do not think that the basic social structure of the people has to be destroyed to do this. We do not recommend a sweeping agrarian revolution....The Eight Point Programme must rule out a policy which aims at a few people becoming rich from renting land while other become landless labourers. This kind of policy is often introduced with the justification that the people who are able and strong will get control of the land and use it wisely, while the others will become labourers in agriculture or industry. This is supposed to lead to general development and </w:t>
      </w:r>
      <w:r w:rsidRPr="001D79C8">
        <w:rPr>
          <w:lang w:val="en-US"/>
        </w:rPr>
        <w:lastRenderedPageBreak/>
        <w:t>prosperity. But in much of Asia and Latin America it has led to misery and poverty (Ward n.d., 251).</w:t>
      </w:r>
    </w:p>
    <w:p w14:paraId="169E6E44" w14:textId="77777777" w:rsidR="009F661C" w:rsidRPr="001D79C8" w:rsidRDefault="009F661C" w:rsidP="00C04504">
      <w:pPr>
        <w:pStyle w:val="DLText"/>
      </w:pPr>
    </w:p>
    <w:p w14:paraId="56F8D2C3" w14:textId="77777777" w:rsidR="009F661C" w:rsidRPr="001D79C8" w:rsidRDefault="009F661C" w:rsidP="00C04504">
      <w:pPr>
        <w:pStyle w:val="DLText"/>
      </w:pPr>
      <w:r w:rsidRPr="001D79C8">
        <w:t xml:space="preserve">In retrospect this Committee's judgment on Asia seems at odds with experience since 1973 in South Korea, Taiwan, Thailand, Malaysia, and China, which are not only the fastest growing economies in the world, but which have also achieved the most notable reductions in poverty, accompanied by rapid urbanization and land management based on individual title. In Latin America Brazil has been the most successful economy functioning very much on the same lines. At the same time commentators like Helen Hughes (2004) consider that Papua New Guinea has since 1973 achieved little growth with all too many of its people mired in poverty and - in some areas - misery.  The Committee's own recommendations were a forerunner of the paternalism and egalitarianism that is characteristic of so much of the policy advice Papua New Guinea receives and generates. For example, in its concern to prevent emergence of wealthy individual landowners, all land deals would have to be channeled through the government which would be entitled to appropriate any increase in values. Also whilst allowing scope for registration of group title, such registration would not be indefeasible (except against third parties) and would instead be capable of being overturned at any time in favour of customary rights. </w:t>
      </w:r>
    </w:p>
    <w:p w14:paraId="22BA5530" w14:textId="77777777" w:rsidR="009F661C" w:rsidRPr="001D79C8" w:rsidRDefault="009F661C" w:rsidP="00C04504">
      <w:pPr>
        <w:pStyle w:val="DLHeading2"/>
      </w:pPr>
      <w:r w:rsidRPr="001D79C8">
        <w:t>Agricultural Credit in Papua New Guinea</w:t>
      </w:r>
    </w:p>
    <w:p w14:paraId="6162DDD0" w14:textId="77777777" w:rsidR="009F661C" w:rsidRPr="001D79C8" w:rsidRDefault="009F661C" w:rsidP="00C04504">
      <w:pPr>
        <w:pStyle w:val="DLText"/>
      </w:pPr>
      <w:r w:rsidRPr="001D79C8">
        <w:t>The lack of credit and other support services necessary for raising Papua New Guinea’s rural productivity has been widely noted. The Government for many years provided substantial budgetary funds to the so-called Rural Development Bank (the former “Agbank”) for on-lending to the rural sector. The Bank accepted no deposits, and soon became known for being unconcerned with repayment or payment of interest, with the result that almost its total portfolio was non-performing by the time it was taken over by the state-owned commercial bank Papua New Guinea Banking Corporation (PNGBC) in 1999. When PNGBC was in turn taken over by the Bank of South Pacific in 2001, the RDB was excluded and remains a state-owned entity. The lack of repayment of its loans for agriculture meant that it was always wholly dependent on budget funding for extending new loans.</w:t>
      </w:r>
    </w:p>
    <w:p w14:paraId="28E46A6D" w14:textId="77777777" w:rsidR="009F661C" w:rsidRPr="001D79C8" w:rsidRDefault="009F661C" w:rsidP="00C04504">
      <w:pPr>
        <w:pStyle w:val="DLText"/>
      </w:pPr>
      <w:r w:rsidRPr="001D79C8">
        <w:t xml:space="preserve">Otherwise credit for the rural sector has depended on the commercial banking system, and as is evident from Table 3, that lending, at less than K200 million in 2000 and 2001, is a small proportion of total bank advances </w:t>
      </w:r>
      <w:r w:rsidRPr="001D79C8">
        <w:lastRenderedPageBreak/>
        <w:t xml:space="preserve">in Papua New Guinea, and certainly out of line with the size of the rural sector with its 80 per cent of the country’s total population. Bank lending to the agricultural sector has declined from K350 million in 1994 to K165 million in 2001, despite the increase in total lending over that period from K1.16 billion to K1.75 billion (see Table 3). The decline is largely due to the decay of the plantation sector, such as the reduction in the number of coffee estates in the Western and Eastern Highlands provinces from over 70 to about 20 in 2004.  </w:t>
      </w:r>
    </w:p>
    <w:p w14:paraId="5DD3A6B8" w14:textId="77777777" w:rsidR="009F661C" w:rsidRPr="001D79C8" w:rsidRDefault="009F661C" w:rsidP="00C04504">
      <w:pPr>
        <w:pStyle w:val="DLText"/>
      </w:pPr>
      <w:r w:rsidRPr="001D79C8">
        <w:t>Thus just as land is effectively scarce in Papua New Guinea, despite its abundance, there seems also to be a scarcity of money for agriculture that is also more apparent than real, given the banking system’s large unutilized lending capacity. For Papua New Guinea’s banks in September 2001 had liquid assets equal to 37 per cent of their lending, well above Papua New Guinea’s very high legal minimum of 30 per cent – the norm in developed countries is around 8 per cent (Bank of Papua New Guinea, 2001). Were collateral available, the banks would be able to lend more for agriculture – and the Bank of Papua New Guinea might well then be able to lower the liquidity ratio, since unlike most of the banks’ lending, which is taken up by importers, loans to the rural sector would relieve the country’s balance of payment restraint, by reducing food imports and raising exports.</w:t>
      </w:r>
    </w:p>
    <w:p w14:paraId="1BAFD9DB" w14:textId="77777777" w:rsidR="009F661C" w:rsidRPr="001D79C8" w:rsidRDefault="009F661C" w:rsidP="00C04504">
      <w:pPr>
        <w:pStyle w:val="DLText"/>
      </w:pPr>
      <w:r w:rsidRPr="001D79C8">
        <w:t xml:space="preserve">However  Bourke (2005)  points out that the on-going taking over of plantations and estates by customary landowners has been a process of economic de-colonization, with the concomitant lapsing of the titles enjoyed by the plantations. Bourke suggests that the new owners have no need of credit, and that therefore credit is not a constraint whether or not title is available to permit drawing on the banking system. It is true that small-scale production of food crops mostly for own consumption hardly needs credit, but if subsistence farmers should ever aspire to a higher standard of living then they might well wish to access credit in order to be able to invest in more intensive production. For example, horticulture affords opportunities for exports but would need some substantial capital inputs.  Kenya's horticultural exports amounted to as much as 133,000 tonnes worth K1 billion in 2003, compared with Papua New Guinea's </w:t>
      </w:r>
      <w:r w:rsidRPr="001D79C8">
        <w:rPr>
          <w:i/>
          <w:iCs/>
        </w:rPr>
        <w:t xml:space="preserve">total </w:t>
      </w:r>
      <w:r w:rsidRPr="001D79C8">
        <w:t>agricultural exports in 2003 of K1.3 billion.</w:t>
      </w:r>
    </w:p>
    <w:p w14:paraId="44456772" w14:textId="77777777" w:rsidR="009F661C" w:rsidRPr="001D79C8" w:rsidRDefault="009F661C" w:rsidP="00C04504">
      <w:pPr>
        <w:pStyle w:val="DLText"/>
      </w:pPr>
      <w:r w:rsidRPr="001D79C8">
        <w:t xml:space="preserve">Commercial production of poultry and </w:t>
      </w:r>
      <w:r>
        <w:t>pork</w:t>
      </w:r>
      <w:r w:rsidRPr="001D79C8">
        <w:t xml:space="preserve"> would require investment in hen-coops, pig-pens and much else. Although not indigenous to Papua New Guinea, dairy cattle </w:t>
      </w:r>
      <w:r>
        <w:t>can</w:t>
      </w:r>
      <w:r w:rsidRPr="001D79C8">
        <w:t xml:space="preserve"> </w:t>
      </w:r>
      <w:r>
        <w:t xml:space="preserve">and do </w:t>
      </w:r>
      <w:r w:rsidRPr="001D79C8">
        <w:t xml:space="preserve">thrive in the highlands </w:t>
      </w:r>
      <w:r>
        <w:t xml:space="preserve">and Ramu Valley </w:t>
      </w:r>
      <w:r w:rsidRPr="001D79C8">
        <w:t xml:space="preserve">and dairying is another capital intensive industry. In the late colonial and early independence periods there were attempts to establish large scale cattle ranching, another capital intensive industry (Walter 2003). Thus whilst Bourke is certainly correct that production modes of subsistence </w:t>
      </w:r>
      <w:r w:rsidRPr="001D79C8">
        <w:lastRenderedPageBreak/>
        <w:t>farmers do not need capital investment financed largely by bank loans, and that therefore land titling is redundant, if Papua New Guinea seeks growth of its agricultural sector then something will have to be done to facilitate financing of the required investment. The then Minister for Agriculture and Livestock recognized as much in a speech in 2003 calling for revitalization of the plantation sector, stating that its decline over the past decade had been a "disaster" and that "the only rural industry which experienced real growth was oil palm which has strong plantation and smallholder sectors" (Maladina 2003).</w:t>
      </w:r>
    </w:p>
    <w:p w14:paraId="359E65CB" w14:textId="77777777" w:rsidR="009F661C" w:rsidRPr="001D79C8" w:rsidRDefault="009F661C" w:rsidP="00C04504">
      <w:pPr>
        <w:pStyle w:val="DLText"/>
      </w:pPr>
      <w:r w:rsidRPr="001D79C8">
        <w:t>Benediktsson (2002) describes a fairly typical sequence of alienation of customary land by an expatriate coffee planter ('Sno' Macfarlan) for agreed but nominal consideration paid to the traditional owners of the land. Macfarlan's coffee plantation (Roka Coffee Estates) was established in the 1950s and initially comprised 100 acres (40 hectares). After Papua New Guinea obtained its independence in 1975, Roka was taken over by Gouna Development Corporation - the first such expatriate plantation to be taken into national Papua New Guinean ownership. However its national owners, led by Hari Gotoha, were not regarded as sufficiently 'local' by the Lunube clan who inhabited the immediate area, and theft and sabotage became endemic. Ultimately the Lunebe formed their own company and it bought out Gouna - Benediktson cites one of his interviewees who told him "we wrecked Gouna good and proper, and got the coffee back for ourselves". The Lunubes' company Hunguko Coffee Pty Ltd had 355 shareholders, including 74 from villages beyond the immediate vicinity of the estate, and 22 full time employees during the coffee season. It also employed 50-60 contract workers and large numbers of pickers. Dividends of 7 per cent of the value of shares as subscribed were paid in 1994 (2002, 240-241).</w:t>
      </w:r>
    </w:p>
    <w:p w14:paraId="18B3ED5F" w14:textId="77777777" w:rsidR="009F661C" w:rsidRPr="001D79C8" w:rsidRDefault="009F661C" w:rsidP="00C04504">
      <w:pPr>
        <w:pStyle w:val="DLText"/>
      </w:pPr>
      <w:r w:rsidRPr="001D79C8">
        <w:t xml:space="preserve">But Hunguko Coffee seems to be a special case, and few other expatriate plantations have been successfully transformed into nationally owned entities. All too many mortgaged themselves to the state-owned Rural Development Bank (RDB), defaulted on their loans so that RDB became the owner and </w:t>
      </w:r>
      <w:r>
        <w:t>by 2004</w:t>
      </w:r>
      <w:r w:rsidRPr="001D79C8">
        <w:t xml:space="preserve"> ha</w:t>
      </w:r>
      <w:r>
        <w:t>d</w:t>
      </w:r>
      <w:r w:rsidRPr="001D79C8">
        <w:t xml:space="preserve"> decided to divest itself of more than 20 of them, including the Poyamba coffee plantation in Kainantu (</w:t>
      </w:r>
      <w:r w:rsidRPr="001D79C8">
        <w:rPr>
          <w:i/>
        </w:rPr>
        <w:t>The National</w:t>
      </w:r>
      <w:r w:rsidRPr="001D79C8">
        <w:t xml:space="preserve"> 2004). Even so Hunguko seems to provide a more workable model than that of the Incorporated Land Groups with all too often their lack even of secure customary title over designated areas.</w:t>
      </w:r>
    </w:p>
    <w:p w14:paraId="49A61A12" w14:textId="77777777" w:rsidR="009F661C" w:rsidRPr="001D79C8" w:rsidRDefault="009F661C" w:rsidP="00C04504">
      <w:pPr>
        <w:pStyle w:val="DLText"/>
      </w:pPr>
      <w:r w:rsidRPr="001D79C8">
        <w:t xml:space="preserve">Benediktson (2002) also discusses an informal process of </w:t>
      </w:r>
      <w:r w:rsidRPr="001D79C8">
        <w:rPr>
          <w:i/>
          <w:iCs/>
        </w:rPr>
        <w:t xml:space="preserve">de facto </w:t>
      </w:r>
      <w:r w:rsidRPr="001D79C8">
        <w:t xml:space="preserve">individuation of title over some coffee farms in the Asaro valley of the Eastern Highlands (near Goroka), and comments that this has gained greater acceptance than the </w:t>
      </w:r>
      <w:r w:rsidRPr="001D79C8">
        <w:rPr>
          <w:i/>
          <w:iCs/>
        </w:rPr>
        <w:t xml:space="preserve">de jure </w:t>
      </w:r>
      <w:r w:rsidRPr="001D79C8">
        <w:t xml:space="preserve">titling achieved by the formal sector coffee plantations, as the local residents soon make it clear that they do not accept </w:t>
      </w:r>
      <w:r w:rsidRPr="001D79C8">
        <w:lastRenderedPageBreak/>
        <w:t xml:space="preserve">or recognize such alienation. He does not relate tenure issues to credit mobilization, but comments that "it is unrealistic to assume that current fragmentation into ever smaller family plots can continue </w:t>
      </w:r>
      <w:r w:rsidRPr="001D79C8">
        <w:rPr>
          <w:i/>
          <w:iCs/>
        </w:rPr>
        <w:t>ad infinitum</w:t>
      </w:r>
      <w:r w:rsidRPr="001D79C8">
        <w:t>... the demands placed upon these plots are heavy. They must provide not only subsistence food for the occupants, but also for their pigs, which remain central to [their] social universe"(2002, 262). In such a context perhaps, despite Bourke's scepticism, there could be a role for credit if only to facilitate the more intensive cultivation (e.g. horticulture) that may well become crucial to survival of the community itself.</w:t>
      </w:r>
    </w:p>
    <w:p w14:paraId="0443061A" w14:textId="77777777" w:rsidR="009F661C" w:rsidRPr="00826C4D" w:rsidRDefault="009F661C" w:rsidP="00C04504">
      <w:pPr>
        <w:pStyle w:val="DLHeading2"/>
      </w:pPr>
      <w:r w:rsidRPr="00826C4D">
        <w:t>Mortgage Lending in Papua New Guinea</w:t>
      </w:r>
    </w:p>
    <w:p w14:paraId="1A4DB398" w14:textId="77777777" w:rsidR="009F661C" w:rsidRPr="001D79C8" w:rsidRDefault="009F661C" w:rsidP="00C04504">
      <w:pPr>
        <w:pStyle w:val="DLText"/>
      </w:pPr>
      <w:r w:rsidRPr="001D79C8">
        <w:t>The lack of collateral does not only hold back Papua New Guinea’s agriculture sector. Bank lending for housing is less than K100 million, around 7 per cent of total bank lending, compared with nearly 50 per cent in Australia. Introducing individual land tenure could quite quickly lead to modern home construction not only in the burgeoning squatter settlements in Papua New Guinea’s towns but also in its many villages, led initially perhaps by retirees from the urban areas. That in turn would stimulate the construction industry, which at present accounts for only around 3 per cent of GDP, and which is both labour intensive and relatively reliant on local materials.</w:t>
      </w:r>
    </w:p>
    <w:p w14:paraId="31EF7EC6" w14:textId="77777777" w:rsidR="009F661C" w:rsidRPr="001D79C8" w:rsidRDefault="009F661C" w:rsidP="00C04504">
      <w:pPr>
        <w:pStyle w:val="DLText"/>
      </w:pPr>
      <w:r w:rsidRPr="001D79C8">
        <w:t>The German development agency GTZ  acted on de Soto’s ideas by sponsoring large-scale registration of illegally built homes in the largest slum in the world’s most crowded city, Egypt’s Cairo, as a first step towards upgrading both housing and infrastructure. The residents of Ezbet Bakhit will be able to buy the land they occupy, and thereby gain access to credit, as well as start paying taxes (Drummond 2001).</w:t>
      </w:r>
    </w:p>
    <w:p w14:paraId="4BDF4061" w14:textId="77777777" w:rsidR="009F661C" w:rsidRPr="001D79C8" w:rsidRDefault="009F661C" w:rsidP="00C04504">
      <w:pPr>
        <w:pStyle w:val="DLText"/>
      </w:pPr>
      <w:r w:rsidRPr="001D79C8">
        <w:t xml:space="preserve">One of us (Lea 2001, 39) has discussed the structure of the 1974 Land Groups Incorporation Act, the enabling legislation for the ILGs advocated by Fingleton (2005) as an alternative to individual land tenure for purposes of raising capital. Lea quotes James’ description of the Act as “lineage </w:t>
      </w:r>
      <w:r w:rsidRPr="00DC1614">
        <w:rPr>
          <w:spacing w:val="-2"/>
        </w:rPr>
        <w:t>clothed with legal personality” and retaining key elements of the customary</w:t>
      </w:r>
      <w:r w:rsidRPr="001D79C8">
        <w:t xml:space="preserve"> land system, such as “collective ownership, mass participation in the decision making processes, traditional disputes settlement philosophy, and a distribution system based on one’s interest in the land”(De Soto 2000; James 1985, 50). That description almost fits a modern company or corporation, with its collective ownership by shareholders, their enfranchisement at annual meetings that appoint directors and determine profits distribution in proportion with one’s interest in the company. What the ILG lacks is the company’s liability to be bankrupted and lose its </w:t>
      </w:r>
      <w:r w:rsidRPr="001D79C8">
        <w:lastRenderedPageBreak/>
        <w:t>corporate assets (but not those of its shareholders) if it fails to manage them effectively. That penalty for failure provides the element of accountability or “contestability” that de Soto (2000, 47) has emphasized as crucial to the development process – and that was so signally lacking in the lending operations of the Rural Development Bank.</w:t>
      </w:r>
    </w:p>
    <w:p w14:paraId="4EB5A9E5" w14:textId="77777777" w:rsidR="009F661C" w:rsidRPr="001D79C8" w:rsidRDefault="009F661C" w:rsidP="00C04504">
      <w:pPr>
        <w:pStyle w:val="DLText"/>
      </w:pPr>
      <w:r w:rsidRPr="001D79C8">
        <w:t>The unwillingness of much of rural society to contemplate the possibility of mortgage sales of estates and farms that have failed to service their debts largely explains the decision of Papua New Guinea’s banks to walk away from rural lending even to formerly colonial enterprises working alienated land that are now in national hands. The Wa</w:t>
      </w:r>
      <w:r>
        <w:t>h</w:t>
      </w:r>
      <w:r w:rsidRPr="001D79C8">
        <w:t xml:space="preserve">gi Mek coffee estate was a rare success story of a landowner company able to raise large bank loans because it had title to a former colonial estate – but that success excited the envy of adjacent communal “landowners” lacking title to their own holdings who claimed possession of Wahgi Mek by force in 2000. Such actions both explain the reduction in lending to agriculture evident in Table </w:t>
      </w:r>
      <w:r>
        <w:t>10</w:t>
      </w:r>
      <w:r w:rsidRPr="001D79C8">
        <w:t>.</w:t>
      </w:r>
      <w:r>
        <w:t>2</w:t>
      </w:r>
      <w:r w:rsidRPr="001D79C8">
        <w:t xml:space="preserve"> – and indicate the need for comprehensive rather than piecemeal land reform (see below). But clearly the ILG model could if adapted to accommodate the principle of limited liability of its members as primarily owners of ground rents, whilst encompassing the possibility of losing its leaseholder rights over their land, approximate at least partly to a modern corporation. This was indeed broadly the concept behind the tentative proposals for land reform, put forward on behalf of the Minister for Lands by Loani Henao (2001) that led to the student riots on the streets of Port Moresby in July 2001</w:t>
      </w:r>
      <w:r>
        <w:t>.</w:t>
      </w:r>
    </w:p>
    <w:p w14:paraId="2A439C2C" w14:textId="77777777" w:rsidR="009F661C" w:rsidRDefault="009F661C" w:rsidP="00DC1614">
      <w:pPr>
        <w:rPr>
          <w:b/>
          <w:sz w:val="20"/>
          <w:szCs w:val="20"/>
          <w:lang w:val="en-US"/>
        </w:rPr>
      </w:pPr>
    </w:p>
    <w:p w14:paraId="7ECAFFA0" w14:textId="77777777" w:rsidR="009F661C" w:rsidRDefault="009F661C" w:rsidP="00DC1614">
      <w:pPr>
        <w:rPr>
          <w:b/>
          <w:sz w:val="20"/>
          <w:szCs w:val="20"/>
          <w:lang w:val="en-US"/>
        </w:rPr>
      </w:pPr>
      <w:r>
        <w:rPr>
          <w:b/>
          <w:sz w:val="20"/>
          <w:szCs w:val="20"/>
          <w:lang w:val="en-US"/>
        </w:rPr>
        <w:br w:type="page"/>
      </w:r>
      <w:r w:rsidRPr="005D6390">
        <w:rPr>
          <w:b/>
          <w:sz w:val="20"/>
          <w:szCs w:val="20"/>
          <w:lang w:val="en-US"/>
        </w:rPr>
        <w:lastRenderedPageBreak/>
        <w:t xml:space="preserve">Table 10.3 Land titling and use of credit, Zambia (southern province) </w:t>
      </w:r>
    </w:p>
    <w:p w14:paraId="4CBD8D71" w14:textId="77777777" w:rsidR="009F661C" w:rsidRPr="005D6390" w:rsidRDefault="009F661C" w:rsidP="00DC1614">
      <w:pPr>
        <w:rPr>
          <w:b/>
          <w:sz w:val="20"/>
          <w:szCs w:val="20"/>
          <w:lang w:val="en-US"/>
        </w:rPr>
      </w:pPr>
    </w:p>
    <w:p w14:paraId="1EE80CAF" w14:textId="77777777" w:rsidR="009F661C" w:rsidRPr="00DC1614" w:rsidRDefault="00A44434" w:rsidP="00DC1614">
      <w:pPr>
        <w:spacing w:after="200" w:line="276" w:lineRule="auto"/>
        <w:jc w:val="both"/>
        <w:rPr>
          <w:b/>
          <w:sz w:val="20"/>
          <w:szCs w:val="20"/>
        </w:rPr>
      </w:pPr>
      <w:r>
        <w:rPr>
          <w:noProof/>
          <w:lang w:eastAsia="en-AU"/>
        </w:rPr>
        <w:lastRenderedPageBreak/>
        <w:drawing>
          <wp:inline distT="0" distB="0" distL="0" distR="0" wp14:anchorId="0C4ECC74" wp14:editId="46062AA6">
            <wp:extent cx="5648325" cy="2533650"/>
            <wp:effectExtent l="0" t="1562100" r="0" b="154305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srcRect/>
                    <a:stretch>
                      <a:fillRect/>
                    </a:stretch>
                  </pic:blipFill>
                  <pic:spPr bwMode="auto">
                    <a:xfrm rot="-5400000">
                      <a:off x="0" y="0"/>
                      <a:ext cx="5648325" cy="2533650"/>
                    </a:xfrm>
                    <a:prstGeom prst="rect">
                      <a:avLst/>
                    </a:prstGeom>
                    <a:noFill/>
                    <a:ln w="9525">
                      <a:noFill/>
                      <a:miter lim="800000"/>
                      <a:headEnd/>
                      <a:tailEnd/>
                    </a:ln>
                  </pic:spPr>
                </pic:pic>
              </a:graphicData>
            </a:graphic>
          </wp:inline>
        </w:drawing>
      </w:r>
      <w:r w:rsidR="009F661C">
        <w:rPr>
          <w:lang w:val="en-US"/>
        </w:rPr>
        <w:br w:type="page"/>
      </w:r>
      <w:r w:rsidR="009F661C" w:rsidRPr="00DC1614">
        <w:rPr>
          <w:b/>
          <w:sz w:val="20"/>
          <w:szCs w:val="20"/>
        </w:rPr>
        <w:lastRenderedPageBreak/>
        <w:t>Table 10.4 Agricultural Production in Australia and Papua New Guinea c.1999</w:t>
      </w:r>
    </w:p>
    <w:p w14:paraId="473B46E0" w14:textId="77777777" w:rsidR="009F661C" w:rsidRDefault="00A44434" w:rsidP="00DC1614">
      <w:pPr>
        <w:pStyle w:val="DLQuotes"/>
        <w:ind w:left="-284"/>
        <w:rPr>
          <w:b/>
          <w:color w:val="993366"/>
        </w:rPr>
      </w:pPr>
      <w:r>
        <w:rPr>
          <w:noProof/>
          <w:lang w:eastAsia="en-AU"/>
        </w:rPr>
        <w:drawing>
          <wp:inline distT="0" distB="0" distL="0" distR="0" wp14:anchorId="759EF818" wp14:editId="6EA0B018">
            <wp:extent cx="4210050" cy="1971675"/>
            <wp:effectExtent l="1905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srcRect/>
                    <a:stretch>
                      <a:fillRect/>
                    </a:stretch>
                  </pic:blipFill>
                  <pic:spPr bwMode="auto">
                    <a:xfrm>
                      <a:off x="0" y="0"/>
                      <a:ext cx="4210050" cy="1971675"/>
                    </a:xfrm>
                    <a:prstGeom prst="rect">
                      <a:avLst/>
                    </a:prstGeom>
                    <a:noFill/>
                    <a:ln w="9525">
                      <a:noFill/>
                      <a:miter lim="800000"/>
                      <a:headEnd/>
                      <a:tailEnd/>
                    </a:ln>
                  </pic:spPr>
                </pic:pic>
              </a:graphicData>
            </a:graphic>
          </wp:inline>
        </w:drawing>
      </w:r>
    </w:p>
    <w:p w14:paraId="481AED25" w14:textId="77777777" w:rsidR="009F661C" w:rsidRDefault="009F661C" w:rsidP="00DC1614">
      <w:pPr>
        <w:pStyle w:val="DLQuotes"/>
        <w:ind w:left="0"/>
        <w:rPr>
          <w:b/>
          <w:sz w:val="24"/>
          <w:szCs w:val="24"/>
        </w:rPr>
      </w:pPr>
    </w:p>
    <w:p w14:paraId="4C088240" w14:textId="77777777" w:rsidR="009F661C" w:rsidRPr="005D6390" w:rsidRDefault="009F661C" w:rsidP="00DC1614">
      <w:pPr>
        <w:pStyle w:val="DLQuotes"/>
        <w:ind w:left="0"/>
        <w:rPr>
          <w:b/>
          <w:sz w:val="20"/>
          <w:szCs w:val="20"/>
        </w:rPr>
      </w:pPr>
      <w:r w:rsidRPr="005D6390">
        <w:rPr>
          <w:b/>
          <w:sz w:val="20"/>
          <w:szCs w:val="20"/>
        </w:rPr>
        <w:t>Table 10.5 Papua New Guinea’s Commercial Banks’ Outstanding Advances by Sector 1994-2001</w:t>
      </w:r>
    </w:p>
    <w:p w14:paraId="7D79BAF8" w14:textId="77777777" w:rsidR="009F661C" w:rsidRDefault="009F661C" w:rsidP="00DC1614">
      <w:pPr>
        <w:pStyle w:val="DLQuotes"/>
        <w:ind w:left="0"/>
        <w:rPr>
          <w:b/>
          <w:bCs/>
          <w:sz w:val="24"/>
          <w:szCs w:val="24"/>
          <w:lang w:val="en-US"/>
        </w:rPr>
      </w:pPr>
    </w:p>
    <w:p w14:paraId="4206C79C" w14:textId="77777777" w:rsidR="009F661C" w:rsidRPr="001D79C8" w:rsidRDefault="009F661C" w:rsidP="00DC1614">
      <w:pPr>
        <w:pStyle w:val="DLQuotes"/>
        <w:ind w:left="0"/>
      </w:pPr>
      <w:r w:rsidRPr="001D79C8">
        <w:t>K Million (1994 and 2001</w:t>
      </w:r>
      <w:r>
        <w:t>, first and last years</w:t>
      </w:r>
      <w:r w:rsidRPr="001D79C8">
        <w:t xml:space="preserve"> also shown in A$ Million)</w:t>
      </w:r>
    </w:p>
    <w:tbl>
      <w:tblPr>
        <w:tblW w:w="6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1092"/>
        <w:gridCol w:w="865"/>
        <w:gridCol w:w="1006"/>
        <w:gridCol w:w="776"/>
        <w:gridCol w:w="827"/>
        <w:gridCol w:w="711"/>
        <w:gridCol w:w="776"/>
      </w:tblGrid>
      <w:tr w:rsidR="009F661C" w:rsidRPr="001D79C8" w14:paraId="379F7188" w14:textId="77777777" w:rsidTr="0069186B">
        <w:tc>
          <w:tcPr>
            <w:tcW w:w="576" w:type="dxa"/>
            <w:vAlign w:val="center"/>
          </w:tcPr>
          <w:p w14:paraId="19248DE8" w14:textId="77777777" w:rsidR="009F661C" w:rsidRPr="001D79C8" w:rsidRDefault="009F661C" w:rsidP="0069186B">
            <w:pPr>
              <w:jc w:val="center"/>
              <w:rPr>
                <w:sz w:val="16"/>
                <w:szCs w:val="16"/>
                <w:lang w:val="en-US"/>
              </w:rPr>
            </w:pPr>
          </w:p>
        </w:tc>
        <w:tc>
          <w:tcPr>
            <w:tcW w:w="1092" w:type="dxa"/>
            <w:vAlign w:val="center"/>
          </w:tcPr>
          <w:p w14:paraId="2A64B5C7" w14:textId="77777777" w:rsidR="009F661C" w:rsidRPr="001D79C8" w:rsidRDefault="009F661C" w:rsidP="0069186B">
            <w:pPr>
              <w:jc w:val="center"/>
              <w:rPr>
                <w:sz w:val="16"/>
                <w:szCs w:val="16"/>
                <w:lang w:val="en-US"/>
              </w:rPr>
            </w:pPr>
            <w:r w:rsidRPr="001D79C8">
              <w:rPr>
                <w:sz w:val="16"/>
                <w:szCs w:val="16"/>
                <w:lang w:val="en-US"/>
              </w:rPr>
              <w:t>Agriculture, Forestry, Fishing</w:t>
            </w:r>
          </w:p>
        </w:tc>
        <w:tc>
          <w:tcPr>
            <w:tcW w:w="865" w:type="dxa"/>
            <w:vAlign w:val="center"/>
          </w:tcPr>
          <w:p w14:paraId="749E6B7B" w14:textId="77777777" w:rsidR="009F661C" w:rsidRPr="001D79C8" w:rsidRDefault="009F661C" w:rsidP="0069186B">
            <w:pPr>
              <w:jc w:val="center"/>
              <w:rPr>
                <w:sz w:val="16"/>
                <w:szCs w:val="16"/>
                <w:lang w:val="en-US"/>
              </w:rPr>
            </w:pPr>
            <w:r w:rsidRPr="001D79C8">
              <w:rPr>
                <w:sz w:val="16"/>
                <w:szCs w:val="16"/>
                <w:lang w:val="en-US"/>
              </w:rPr>
              <w:t>Manu-</w:t>
            </w:r>
          </w:p>
          <w:p w14:paraId="7C8E45DD" w14:textId="77777777" w:rsidR="009F661C" w:rsidRPr="001D79C8" w:rsidRDefault="009F661C" w:rsidP="0069186B">
            <w:pPr>
              <w:jc w:val="center"/>
              <w:rPr>
                <w:sz w:val="16"/>
                <w:szCs w:val="16"/>
                <w:lang w:val="en-US"/>
              </w:rPr>
            </w:pPr>
            <w:r w:rsidRPr="001D79C8">
              <w:rPr>
                <w:sz w:val="16"/>
                <w:szCs w:val="16"/>
                <w:lang w:val="en-US"/>
              </w:rPr>
              <w:t>facturing</w:t>
            </w:r>
          </w:p>
        </w:tc>
        <w:tc>
          <w:tcPr>
            <w:tcW w:w="1006" w:type="dxa"/>
            <w:vAlign w:val="center"/>
          </w:tcPr>
          <w:p w14:paraId="791B3CF9" w14:textId="77777777" w:rsidR="009F661C" w:rsidRPr="001D79C8" w:rsidRDefault="009F661C" w:rsidP="0069186B">
            <w:pPr>
              <w:jc w:val="center"/>
              <w:rPr>
                <w:sz w:val="16"/>
                <w:szCs w:val="16"/>
                <w:lang w:val="en-US"/>
              </w:rPr>
            </w:pPr>
            <w:r w:rsidRPr="001D79C8">
              <w:rPr>
                <w:sz w:val="16"/>
                <w:szCs w:val="16"/>
                <w:lang w:val="en-US"/>
              </w:rPr>
              <w:t>Commerce</w:t>
            </w:r>
          </w:p>
        </w:tc>
        <w:tc>
          <w:tcPr>
            <w:tcW w:w="776" w:type="dxa"/>
            <w:vAlign w:val="center"/>
          </w:tcPr>
          <w:p w14:paraId="24FF08E1" w14:textId="77777777" w:rsidR="009F661C" w:rsidRPr="001D79C8" w:rsidRDefault="009F661C" w:rsidP="0069186B">
            <w:pPr>
              <w:jc w:val="center"/>
              <w:rPr>
                <w:sz w:val="16"/>
                <w:szCs w:val="16"/>
                <w:lang w:val="en-US"/>
              </w:rPr>
            </w:pPr>
            <w:r w:rsidRPr="001D79C8">
              <w:rPr>
                <w:sz w:val="16"/>
                <w:szCs w:val="16"/>
                <w:lang w:val="en-US"/>
              </w:rPr>
              <w:t>Cons-</w:t>
            </w:r>
          </w:p>
          <w:p w14:paraId="67047348" w14:textId="77777777" w:rsidR="009F661C" w:rsidRPr="001D79C8" w:rsidRDefault="009F661C" w:rsidP="0069186B">
            <w:pPr>
              <w:jc w:val="center"/>
              <w:rPr>
                <w:sz w:val="16"/>
                <w:szCs w:val="16"/>
                <w:lang w:val="en-US"/>
              </w:rPr>
            </w:pPr>
            <w:r w:rsidRPr="001D79C8">
              <w:rPr>
                <w:sz w:val="16"/>
                <w:szCs w:val="16"/>
                <w:lang w:val="en-US"/>
              </w:rPr>
              <w:t>truction</w:t>
            </w:r>
          </w:p>
        </w:tc>
        <w:tc>
          <w:tcPr>
            <w:tcW w:w="827" w:type="dxa"/>
            <w:vAlign w:val="center"/>
          </w:tcPr>
          <w:p w14:paraId="30C77F4D" w14:textId="77777777" w:rsidR="009F661C" w:rsidRPr="001D79C8" w:rsidRDefault="009F661C" w:rsidP="0069186B">
            <w:pPr>
              <w:jc w:val="center"/>
              <w:rPr>
                <w:sz w:val="16"/>
                <w:szCs w:val="16"/>
                <w:lang w:val="en-US"/>
              </w:rPr>
            </w:pPr>
            <w:r w:rsidRPr="001D79C8">
              <w:rPr>
                <w:sz w:val="16"/>
                <w:szCs w:val="16"/>
                <w:lang w:val="en-US"/>
              </w:rPr>
              <w:t>Housing</w:t>
            </w:r>
          </w:p>
        </w:tc>
        <w:tc>
          <w:tcPr>
            <w:tcW w:w="711" w:type="dxa"/>
            <w:vAlign w:val="center"/>
          </w:tcPr>
          <w:p w14:paraId="706B8742" w14:textId="77777777" w:rsidR="009F661C" w:rsidRPr="001D79C8" w:rsidRDefault="009F661C" w:rsidP="0069186B">
            <w:pPr>
              <w:jc w:val="center"/>
              <w:rPr>
                <w:sz w:val="16"/>
                <w:szCs w:val="16"/>
                <w:lang w:val="en-US"/>
              </w:rPr>
            </w:pPr>
            <w:r w:rsidRPr="001D79C8">
              <w:rPr>
                <w:sz w:val="16"/>
                <w:szCs w:val="16"/>
                <w:lang w:val="en-US"/>
              </w:rPr>
              <w:t>Other</w:t>
            </w:r>
          </w:p>
        </w:tc>
        <w:tc>
          <w:tcPr>
            <w:tcW w:w="776" w:type="dxa"/>
            <w:vAlign w:val="center"/>
          </w:tcPr>
          <w:p w14:paraId="6830EA75" w14:textId="77777777" w:rsidR="009F661C" w:rsidRPr="001D79C8" w:rsidRDefault="009F661C" w:rsidP="0069186B">
            <w:pPr>
              <w:jc w:val="center"/>
              <w:rPr>
                <w:sz w:val="16"/>
                <w:szCs w:val="16"/>
                <w:lang w:val="en-US"/>
              </w:rPr>
            </w:pPr>
            <w:r w:rsidRPr="001D79C8">
              <w:rPr>
                <w:sz w:val="16"/>
                <w:szCs w:val="16"/>
                <w:lang w:val="en-US"/>
              </w:rPr>
              <w:t>Total</w:t>
            </w:r>
          </w:p>
        </w:tc>
      </w:tr>
      <w:tr w:rsidR="009F661C" w:rsidRPr="001D79C8" w14:paraId="4682C76B" w14:textId="77777777" w:rsidTr="0069186B">
        <w:tc>
          <w:tcPr>
            <w:tcW w:w="576" w:type="dxa"/>
            <w:vAlign w:val="center"/>
          </w:tcPr>
          <w:p w14:paraId="7AD33EE0" w14:textId="77777777" w:rsidR="009F661C" w:rsidRPr="001D79C8" w:rsidRDefault="009F661C" w:rsidP="0069186B">
            <w:pPr>
              <w:jc w:val="center"/>
              <w:rPr>
                <w:i/>
                <w:iCs/>
                <w:sz w:val="16"/>
                <w:szCs w:val="16"/>
                <w:lang w:val="en-US"/>
              </w:rPr>
            </w:pPr>
            <w:r w:rsidRPr="001D79C8">
              <w:rPr>
                <w:i/>
                <w:iCs/>
                <w:sz w:val="16"/>
                <w:szCs w:val="16"/>
                <w:lang w:val="en-US"/>
              </w:rPr>
              <w:t>1994 A$M</w:t>
            </w:r>
          </w:p>
        </w:tc>
        <w:tc>
          <w:tcPr>
            <w:tcW w:w="1092" w:type="dxa"/>
            <w:vAlign w:val="center"/>
          </w:tcPr>
          <w:p w14:paraId="15201ABA" w14:textId="77777777" w:rsidR="009F661C" w:rsidRPr="001D79C8" w:rsidRDefault="009F661C" w:rsidP="0069186B">
            <w:pPr>
              <w:jc w:val="center"/>
              <w:rPr>
                <w:i/>
                <w:iCs/>
                <w:sz w:val="16"/>
                <w:szCs w:val="16"/>
                <w:lang w:val="en-US"/>
              </w:rPr>
            </w:pPr>
            <w:r w:rsidRPr="001D79C8">
              <w:rPr>
                <w:i/>
                <w:iCs/>
                <w:sz w:val="16"/>
                <w:szCs w:val="16"/>
                <w:lang w:val="en-US"/>
              </w:rPr>
              <w:t>519.1</w:t>
            </w:r>
          </w:p>
        </w:tc>
        <w:tc>
          <w:tcPr>
            <w:tcW w:w="865" w:type="dxa"/>
            <w:vAlign w:val="center"/>
          </w:tcPr>
          <w:p w14:paraId="0BAE1516" w14:textId="77777777" w:rsidR="009F661C" w:rsidRPr="001D79C8" w:rsidRDefault="009F661C" w:rsidP="0069186B">
            <w:pPr>
              <w:jc w:val="center"/>
              <w:rPr>
                <w:i/>
                <w:iCs/>
                <w:sz w:val="16"/>
                <w:szCs w:val="16"/>
                <w:lang w:val="en-US"/>
              </w:rPr>
            </w:pPr>
            <w:r w:rsidRPr="001D79C8">
              <w:rPr>
                <w:i/>
                <w:iCs/>
                <w:sz w:val="16"/>
                <w:szCs w:val="16"/>
                <w:lang w:val="en-US"/>
              </w:rPr>
              <w:t>90.5</w:t>
            </w:r>
          </w:p>
        </w:tc>
        <w:tc>
          <w:tcPr>
            <w:tcW w:w="1006" w:type="dxa"/>
            <w:vAlign w:val="center"/>
          </w:tcPr>
          <w:p w14:paraId="306B935B" w14:textId="77777777" w:rsidR="009F661C" w:rsidRPr="001D79C8" w:rsidRDefault="009F661C" w:rsidP="0069186B">
            <w:pPr>
              <w:jc w:val="center"/>
              <w:rPr>
                <w:i/>
                <w:iCs/>
                <w:sz w:val="16"/>
                <w:szCs w:val="16"/>
                <w:lang w:val="en-US"/>
              </w:rPr>
            </w:pPr>
            <w:r w:rsidRPr="001D79C8">
              <w:rPr>
                <w:i/>
                <w:iCs/>
                <w:sz w:val="16"/>
                <w:szCs w:val="16"/>
                <w:lang w:val="en-US"/>
              </w:rPr>
              <w:t>317.7</w:t>
            </w:r>
          </w:p>
        </w:tc>
        <w:tc>
          <w:tcPr>
            <w:tcW w:w="776" w:type="dxa"/>
            <w:vAlign w:val="center"/>
          </w:tcPr>
          <w:p w14:paraId="2A00E3E6" w14:textId="77777777" w:rsidR="009F661C" w:rsidRPr="001D79C8" w:rsidRDefault="009F661C" w:rsidP="0069186B">
            <w:pPr>
              <w:jc w:val="center"/>
              <w:rPr>
                <w:i/>
                <w:iCs/>
                <w:sz w:val="16"/>
                <w:szCs w:val="16"/>
                <w:lang w:val="en-US"/>
              </w:rPr>
            </w:pPr>
            <w:r w:rsidRPr="001D79C8">
              <w:rPr>
                <w:i/>
                <w:iCs/>
                <w:sz w:val="16"/>
                <w:szCs w:val="16"/>
                <w:lang w:val="en-US"/>
              </w:rPr>
              <w:t>59.8</w:t>
            </w:r>
          </w:p>
        </w:tc>
        <w:tc>
          <w:tcPr>
            <w:tcW w:w="827" w:type="dxa"/>
            <w:vAlign w:val="center"/>
          </w:tcPr>
          <w:p w14:paraId="7F33C039" w14:textId="77777777" w:rsidR="009F661C" w:rsidRPr="001D79C8" w:rsidRDefault="009F661C" w:rsidP="0069186B">
            <w:pPr>
              <w:jc w:val="center"/>
              <w:rPr>
                <w:i/>
                <w:iCs/>
                <w:sz w:val="16"/>
                <w:szCs w:val="16"/>
                <w:lang w:val="en-US"/>
              </w:rPr>
            </w:pPr>
            <w:r w:rsidRPr="001D79C8">
              <w:rPr>
                <w:i/>
                <w:iCs/>
                <w:sz w:val="16"/>
                <w:szCs w:val="16"/>
                <w:lang w:val="en-US"/>
              </w:rPr>
              <w:t>65.2</w:t>
            </w:r>
          </w:p>
        </w:tc>
        <w:tc>
          <w:tcPr>
            <w:tcW w:w="711" w:type="dxa"/>
            <w:vAlign w:val="center"/>
          </w:tcPr>
          <w:p w14:paraId="7F624A75" w14:textId="77777777" w:rsidR="009F661C" w:rsidRPr="001D79C8" w:rsidRDefault="009F661C" w:rsidP="0069186B">
            <w:pPr>
              <w:jc w:val="center"/>
              <w:rPr>
                <w:i/>
                <w:iCs/>
                <w:sz w:val="16"/>
                <w:szCs w:val="16"/>
                <w:lang w:val="en-US"/>
              </w:rPr>
            </w:pPr>
            <w:r w:rsidRPr="001D79C8">
              <w:rPr>
                <w:i/>
                <w:iCs/>
                <w:sz w:val="16"/>
                <w:szCs w:val="16"/>
                <w:lang w:val="en-US"/>
              </w:rPr>
              <w:t>667.0</w:t>
            </w:r>
          </w:p>
        </w:tc>
        <w:tc>
          <w:tcPr>
            <w:tcW w:w="776" w:type="dxa"/>
            <w:vAlign w:val="center"/>
          </w:tcPr>
          <w:p w14:paraId="78CF5F2A" w14:textId="77777777" w:rsidR="009F661C" w:rsidRPr="001D79C8" w:rsidRDefault="009F661C" w:rsidP="0069186B">
            <w:pPr>
              <w:jc w:val="center"/>
              <w:rPr>
                <w:i/>
                <w:iCs/>
                <w:sz w:val="16"/>
                <w:szCs w:val="16"/>
                <w:lang w:val="en-US"/>
              </w:rPr>
            </w:pPr>
            <w:r w:rsidRPr="001D79C8">
              <w:rPr>
                <w:i/>
                <w:iCs/>
                <w:sz w:val="16"/>
                <w:szCs w:val="16"/>
                <w:lang w:val="en-US"/>
              </w:rPr>
              <w:t>2545.9</w:t>
            </w:r>
          </w:p>
        </w:tc>
      </w:tr>
      <w:tr w:rsidR="009F661C" w:rsidRPr="001D79C8" w14:paraId="669C7068" w14:textId="77777777" w:rsidTr="0069186B">
        <w:tc>
          <w:tcPr>
            <w:tcW w:w="576" w:type="dxa"/>
            <w:vAlign w:val="center"/>
          </w:tcPr>
          <w:p w14:paraId="222922C6" w14:textId="77777777" w:rsidR="009F661C" w:rsidRPr="001D79C8" w:rsidRDefault="009F661C" w:rsidP="0069186B">
            <w:pPr>
              <w:jc w:val="center"/>
              <w:rPr>
                <w:sz w:val="16"/>
                <w:szCs w:val="16"/>
                <w:lang w:val="en-US"/>
              </w:rPr>
            </w:pPr>
            <w:r w:rsidRPr="001D79C8">
              <w:rPr>
                <w:sz w:val="16"/>
                <w:szCs w:val="16"/>
                <w:lang w:val="en-US"/>
              </w:rPr>
              <w:t>1994</w:t>
            </w:r>
          </w:p>
        </w:tc>
        <w:tc>
          <w:tcPr>
            <w:tcW w:w="1092" w:type="dxa"/>
            <w:vAlign w:val="center"/>
          </w:tcPr>
          <w:p w14:paraId="1F27C3AC" w14:textId="77777777" w:rsidR="009F661C" w:rsidRPr="001D79C8" w:rsidRDefault="009F661C" w:rsidP="0069186B">
            <w:pPr>
              <w:jc w:val="center"/>
              <w:rPr>
                <w:sz w:val="16"/>
                <w:szCs w:val="16"/>
                <w:lang w:val="en-US"/>
              </w:rPr>
            </w:pPr>
            <w:r w:rsidRPr="001D79C8">
              <w:rPr>
                <w:sz w:val="16"/>
                <w:szCs w:val="16"/>
                <w:lang w:val="en-US"/>
              </w:rPr>
              <w:t>350.5</w:t>
            </w:r>
          </w:p>
        </w:tc>
        <w:tc>
          <w:tcPr>
            <w:tcW w:w="865" w:type="dxa"/>
            <w:vAlign w:val="center"/>
          </w:tcPr>
          <w:p w14:paraId="538A6ABC" w14:textId="77777777" w:rsidR="009F661C" w:rsidRPr="001D79C8" w:rsidRDefault="009F661C" w:rsidP="0069186B">
            <w:pPr>
              <w:jc w:val="center"/>
              <w:rPr>
                <w:sz w:val="16"/>
                <w:szCs w:val="16"/>
                <w:lang w:val="en-US"/>
              </w:rPr>
            </w:pPr>
            <w:r w:rsidRPr="001D79C8">
              <w:rPr>
                <w:sz w:val="16"/>
                <w:szCs w:val="16"/>
                <w:lang w:val="en-US"/>
              </w:rPr>
              <w:t>61.1</w:t>
            </w:r>
          </w:p>
        </w:tc>
        <w:tc>
          <w:tcPr>
            <w:tcW w:w="1006" w:type="dxa"/>
            <w:vAlign w:val="center"/>
          </w:tcPr>
          <w:p w14:paraId="002D928E" w14:textId="77777777" w:rsidR="009F661C" w:rsidRPr="001D79C8" w:rsidRDefault="009F661C" w:rsidP="0069186B">
            <w:pPr>
              <w:jc w:val="center"/>
              <w:rPr>
                <w:sz w:val="16"/>
                <w:szCs w:val="16"/>
                <w:lang w:val="en-US"/>
              </w:rPr>
            </w:pPr>
            <w:r w:rsidRPr="001D79C8">
              <w:rPr>
                <w:sz w:val="16"/>
                <w:szCs w:val="16"/>
                <w:lang w:val="en-US"/>
              </w:rPr>
              <w:t>214.5</w:t>
            </w:r>
          </w:p>
        </w:tc>
        <w:tc>
          <w:tcPr>
            <w:tcW w:w="776" w:type="dxa"/>
            <w:vAlign w:val="center"/>
          </w:tcPr>
          <w:p w14:paraId="6F5C0668" w14:textId="77777777" w:rsidR="009F661C" w:rsidRPr="001D79C8" w:rsidRDefault="009F661C" w:rsidP="0069186B">
            <w:pPr>
              <w:jc w:val="center"/>
              <w:rPr>
                <w:sz w:val="16"/>
                <w:szCs w:val="16"/>
                <w:lang w:val="en-US"/>
              </w:rPr>
            </w:pPr>
            <w:r w:rsidRPr="001D79C8">
              <w:rPr>
                <w:sz w:val="16"/>
                <w:szCs w:val="16"/>
                <w:lang w:val="en-US"/>
              </w:rPr>
              <w:t>40.4</w:t>
            </w:r>
          </w:p>
        </w:tc>
        <w:tc>
          <w:tcPr>
            <w:tcW w:w="827" w:type="dxa"/>
            <w:vAlign w:val="center"/>
          </w:tcPr>
          <w:p w14:paraId="386EC629" w14:textId="77777777" w:rsidR="009F661C" w:rsidRPr="001D79C8" w:rsidRDefault="009F661C" w:rsidP="0069186B">
            <w:pPr>
              <w:jc w:val="center"/>
              <w:rPr>
                <w:sz w:val="16"/>
                <w:szCs w:val="16"/>
                <w:lang w:val="en-US"/>
              </w:rPr>
            </w:pPr>
            <w:r w:rsidRPr="001D79C8">
              <w:rPr>
                <w:sz w:val="16"/>
                <w:szCs w:val="16"/>
                <w:lang w:val="en-US"/>
              </w:rPr>
              <w:t>44.0</w:t>
            </w:r>
          </w:p>
        </w:tc>
        <w:tc>
          <w:tcPr>
            <w:tcW w:w="711" w:type="dxa"/>
            <w:vAlign w:val="center"/>
          </w:tcPr>
          <w:p w14:paraId="0CB4D6DC" w14:textId="77777777" w:rsidR="009F661C" w:rsidRPr="001D79C8" w:rsidRDefault="009F661C" w:rsidP="0069186B">
            <w:pPr>
              <w:jc w:val="center"/>
              <w:rPr>
                <w:sz w:val="16"/>
                <w:szCs w:val="16"/>
                <w:lang w:val="en-US"/>
              </w:rPr>
            </w:pPr>
            <w:r w:rsidRPr="001D79C8">
              <w:rPr>
                <w:sz w:val="16"/>
                <w:szCs w:val="16"/>
                <w:lang w:val="en-US"/>
              </w:rPr>
              <w:t>450.4</w:t>
            </w:r>
          </w:p>
        </w:tc>
        <w:tc>
          <w:tcPr>
            <w:tcW w:w="776" w:type="dxa"/>
            <w:vAlign w:val="center"/>
          </w:tcPr>
          <w:p w14:paraId="10A35FBC" w14:textId="77777777" w:rsidR="009F661C" w:rsidRPr="001D79C8" w:rsidRDefault="009F661C" w:rsidP="0069186B">
            <w:pPr>
              <w:jc w:val="center"/>
              <w:rPr>
                <w:sz w:val="16"/>
                <w:szCs w:val="16"/>
                <w:lang w:val="en-US"/>
              </w:rPr>
            </w:pPr>
            <w:r w:rsidRPr="001D79C8">
              <w:rPr>
                <w:sz w:val="16"/>
                <w:szCs w:val="16"/>
                <w:lang w:val="en-US"/>
              </w:rPr>
              <w:t>1160.9</w:t>
            </w:r>
          </w:p>
        </w:tc>
      </w:tr>
      <w:tr w:rsidR="009F661C" w:rsidRPr="001D79C8" w14:paraId="0A657DF5" w14:textId="77777777" w:rsidTr="0069186B">
        <w:tc>
          <w:tcPr>
            <w:tcW w:w="576" w:type="dxa"/>
            <w:vAlign w:val="center"/>
          </w:tcPr>
          <w:p w14:paraId="1A914011" w14:textId="77777777" w:rsidR="009F661C" w:rsidRPr="001D79C8" w:rsidRDefault="009F661C" w:rsidP="0069186B">
            <w:pPr>
              <w:jc w:val="center"/>
              <w:rPr>
                <w:sz w:val="16"/>
                <w:szCs w:val="16"/>
                <w:lang w:val="en-US"/>
              </w:rPr>
            </w:pPr>
            <w:r w:rsidRPr="001D79C8">
              <w:rPr>
                <w:sz w:val="16"/>
                <w:szCs w:val="16"/>
                <w:lang w:val="en-US"/>
              </w:rPr>
              <w:t>1995</w:t>
            </w:r>
          </w:p>
        </w:tc>
        <w:tc>
          <w:tcPr>
            <w:tcW w:w="1092" w:type="dxa"/>
            <w:vAlign w:val="center"/>
          </w:tcPr>
          <w:p w14:paraId="5153906F" w14:textId="77777777" w:rsidR="009F661C" w:rsidRPr="001D79C8" w:rsidRDefault="009F661C" w:rsidP="0069186B">
            <w:pPr>
              <w:jc w:val="center"/>
              <w:rPr>
                <w:sz w:val="16"/>
                <w:szCs w:val="16"/>
                <w:lang w:val="en-US"/>
              </w:rPr>
            </w:pPr>
            <w:r w:rsidRPr="001D79C8">
              <w:rPr>
                <w:sz w:val="16"/>
                <w:szCs w:val="16"/>
                <w:lang w:val="en-US"/>
              </w:rPr>
              <w:t>321.4</w:t>
            </w:r>
          </w:p>
        </w:tc>
        <w:tc>
          <w:tcPr>
            <w:tcW w:w="865" w:type="dxa"/>
            <w:vAlign w:val="center"/>
          </w:tcPr>
          <w:p w14:paraId="0DD8DE60" w14:textId="77777777" w:rsidR="009F661C" w:rsidRPr="001D79C8" w:rsidRDefault="009F661C" w:rsidP="0069186B">
            <w:pPr>
              <w:jc w:val="center"/>
              <w:rPr>
                <w:sz w:val="16"/>
                <w:szCs w:val="16"/>
                <w:lang w:val="en-US"/>
              </w:rPr>
            </w:pPr>
            <w:r w:rsidRPr="001D79C8">
              <w:rPr>
                <w:sz w:val="16"/>
                <w:szCs w:val="16"/>
                <w:lang w:val="en-US"/>
              </w:rPr>
              <w:t>68.5</w:t>
            </w:r>
          </w:p>
        </w:tc>
        <w:tc>
          <w:tcPr>
            <w:tcW w:w="1006" w:type="dxa"/>
            <w:vAlign w:val="center"/>
          </w:tcPr>
          <w:p w14:paraId="53D7B981" w14:textId="77777777" w:rsidR="009F661C" w:rsidRPr="001D79C8" w:rsidRDefault="009F661C" w:rsidP="0069186B">
            <w:pPr>
              <w:jc w:val="center"/>
              <w:rPr>
                <w:sz w:val="16"/>
                <w:szCs w:val="16"/>
                <w:lang w:val="en-US"/>
              </w:rPr>
            </w:pPr>
            <w:r w:rsidRPr="001D79C8">
              <w:rPr>
                <w:sz w:val="16"/>
                <w:szCs w:val="16"/>
                <w:lang w:val="en-US"/>
              </w:rPr>
              <w:t>217.7</w:t>
            </w:r>
          </w:p>
        </w:tc>
        <w:tc>
          <w:tcPr>
            <w:tcW w:w="776" w:type="dxa"/>
            <w:vAlign w:val="center"/>
          </w:tcPr>
          <w:p w14:paraId="15F45F49" w14:textId="77777777" w:rsidR="009F661C" w:rsidRPr="001D79C8" w:rsidRDefault="009F661C" w:rsidP="0069186B">
            <w:pPr>
              <w:jc w:val="center"/>
              <w:rPr>
                <w:sz w:val="16"/>
                <w:szCs w:val="16"/>
                <w:lang w:val="en-US"/>
              </w:rPr>
            </w:pPr>
            <w:r w:rsidRPr="001D79C8">
              <w:rPr>
                <w:sz w:val="16"/>
                <w:szCs w:val="16"/>
                <w:lang w:val="en-US"/>
              </w:rPr>
              <w:t>44.2</w:t>
            </w:r>
          </w:p>
        </w:tc>
        <w:tc>
          <w:tcPr>
            <w:tcW w:w="827" w:type="dxa"/>
            <w:vAlign w:val="center"/>
          </w:tcPr>
          <w:p w14:paraId="5AF829B1" w14:textId="77777777" w:rsidR="009F661C" w:rsidRPr="001D79C8" w:rsidRDefault="009F661C" w:rsidP="0069186B">
            <w:pPr>
              <w:jc w:val="center"/>
              <w:rPr>
                <w:sz w:val="16"/>
                <w:szCs w:val="16"/>
                <w:lang w:val="en-US"/>
              </w:rPr>
            </w:pPr>
            <w:r w:rsidRPr="001D79C8">
              <w:rPr>
                <w:sz w:val="16"/>
                <w:szCs w:val="16"/>
                <w:lang w:val="en-US"/>
              </w:rPr>
              <w:t>49.8</w:t>
            </w:r>
          </w:p>
        </w:tc>
        <w:tc>
          <w:tcPr>
            <w:tcW w:w="711" w:type="dxa"/>
            <w:vAlign w:val="center"/>
          </w:tcPr>
          <w:p w14:paraId="7D6451A6" w14:textId="77777777" w:rsidR="009F661C" w:rsidRPr="001D79C8" w:rsidRDefault="009F661C" w:rsidP="0069186B">
            <w:pPr>
              <w:jc w:val="center"/>
              <w:rPr>
                <w:sz w:val="16"/>
                <w:szCs w:val="16"/>
                <w:lang w:val="en-US"/>
              </w:rPr>
            </w:pPr>
            <w:r w:rsidRPr="001D79C8">
              <w:rPr>
                <w:sz w:val="16"/>
                <w:szCs w:val="16"/>
                <w:lang w:val="en-US"/>
              </w:rPr>
              <w:t>539.8</w:t>
            </w:r>
          </w:p>
        </w:tc>
        <w:tc>
          <w:tcPr>
            <w:tcW w:w="776" w:type="dxa"/>
            <w:vAlign w:val="center"/>
          </w:tcPr>
          <w:p w14:paraId="0C9D5228" w14:textId="77777777" w:rsidR="009F661C" w:rsidRPr="001D79C8" w:rsidRDefault="009F661C" w:rsidP="0069186B">
            <w:pPr>
              <w:jc w:val="center"/>
              <w:rPr>
                <w:sz w:val="16"/>
                <w:szCs w:val="16"/>
                <w:lang w:val="en-US"/>
              </w:rPr>
            </w:pPr>
            <w:r w:rsidRPr="001D79C8">
              <w:rPr>
                <w:sz w:val="16"/>
                <w:szCs w:val="16"/>
                <w:lang w:val="en-US"/>
              </w:rPr>
              <w:t>1241.4</w:t>
            </w:r>
          </w:p>
        </w:tc>
      </w:tr>
      <w:tr w:rsidR="009F661C" w:rsidRPr="001D79C8" w14:paraId="778C44E7" w14:textId="77777777" w:rsidTr="0069186B">
        <w:tc>
          <w:tcPr>
            <w:tcW w:w="576" w:type="dxa"/>
            <w:vAlign w:val="center"/>
          </w:tcPr>
          <w:p w14:paraId="729DE708" w14:textId="77777777" w:rsidR="009F661C" w:rsidRPr="001D79C8" w:rsidRDefault="009F661C" w:rsidP="0069186B">
            <w:pPr>
              <w:jc w:val="center"/>
              <w:rPr>
                <w:sz w:val="16"/>
                <w:szCs w:val="16"/>
                <w:lang w:val="en-US"/>
              </w:rPr>
            </w:pPr>
            <w:r w:rsidRPr="001D79C8">
              <w:rPr>
                <w:sz w:val="16"/>
                <w:szCs w:val="16"/>
                <w:lang w:val="en-US"/>
              </w:rPr>
              <w:t>1996</w:t>
            </w:r>
          </w:p>
        </w:tc>
        <w:tc>
          <w:tcPr>
            <w:tcW w:w="1092" w:type="dxa"/>
            <w:vAlign w:val="center"/>
          </w:tcPr>
          <w:p w14:paraId="2EB5259A" w14:textId="77777777" w:rsidR="009F661C" w:rsidRPr="001D79C8" w:rsidRDefault="009F661C" w:rsidP="0069186B">
            <w:pPr>
              <w:jc w:val="center"/>
              <w:rPr>
                <w:sz w:val="16"/>
                <w:szCs w:val="16"/>
                <w:lang w:val="en-US"/>
              </w:rPr>
            </w:pPr>
            <w:r w:rsidRPr="001D79C8">
              <w:rPr>
                <w:sz w:val="16"/>
                <w:szCs w:val="16"/>
                <w:lang w:val="en-US"/>
              </w:rPr>
              <w:t>286.8</w:t>
            </w:r>
          </w:p>
        </w:tc>
        <w:tc>
          <w:tcPr>
            <w:tcW w:w="865" w:type="dxa"/>
            <w:vAlign w:val="center"/>
          </w:tcPr>
          <w:p w14:paraId="76705CFC" w14:textId="77777777" w:rsidR="009F661C" w:rsidRPr="001D79C8" w:rsidRDefault="009F661C" w:rsidP="0069186B">
            <w:pPr>
              <w:jc w:val="center"/>
              <w:rPr>
                <w:sz w:val="16"/>
                <w:szCs w:val="16"/>
                <w:lang w:val="en-US"/>
              </w:rPr>
            </w:pPr>
            <w:r w:rsidRPr="001D79C8">
              <w:rPr>
                <w:sz w:val="16"/>
                <w:szCs w:val="16"/>
                <w:lang w:val="en-US"/>
              </w:rPr>
              <w:t>73.5</w:t>
            </w:r>
          </w:p>
        </w:tc>
        <w:tc>
          <w:tcPr>
            <w:tcW w:w="1006" w:type="dxa"/>
            <w:vAlign w:val="center"/>
          </w:tcPr>
          <w:p w14:paraId="4FAC19CB" w14:textId="77777777" w:rsidR="009F661C" w:rsidRPr="001D79C8" w:rsidRDefault="009F661C" w:rsidP="0069186B">
            <w:pPr>
              <w:jc w:val="center"/>
              <w:rPr>
                <w:sz w:val="16"/>
                <w:szCs w:val="16"/>
                <w:lang w:val="en-US"/>
              </w:rPr>
            </w:pPr>
            <w:r w:rsidRPr="001D79C8">
              <w:rPr>
                <w:sz w:val="16"/>
                <w:szCs w:val="16"/>
                <w:lang w:val="en-US"/>
              </w:rPr>
              <w:t>226.9</w:t>
            </w:r>
          </w:p>
        </w:tc>
        <w:tc>
          <w:tcPr>
            <w:tcW w:w="776" w:type="dxa"/>
            <w:vAlign w:val="center"/>
          </w:tcPr>
          <w:p w14:paraId="18667078" w14:textId="77777777" w:rsidR="009F661C" w:rsidRPr="001D79C8" w:rsidRDefault="009F661C" w:rsidP="0069186B">
            <w:pPr>
              <w:jc w:val="center"/>
              <w:rPr>
                <w:sz w:val="16"/>
                <w:szCs w:val="16"/>
                <w:lang w:val="en-US"/>
              </w:rPr>
            </w:pPr>
            <w:r w:rsidRPr="001D79C8">
              <w:rPr>
                <w:sz w:val="16"/>
                <w:szCs w:val="16"/>
                <w:lang w:val="en-US"/>
              </w:rPr>
              <w:t>31.1</w:t>
            </w:r>
          </w:p>
        </w:tc>
        <w:tc>
          <w:tcPr>
            <w:tcW w:w="827" w:type="dxa"/>
            <w:vAlign w:val="center"/>
          </w:tcPr>
          <w:p w14:paraId="2CF55867" w14:textId="77777777" w:rsidR="009F661C" w:rsidRPr="001D79C8" w:rsidRDefault="009F661C" w:rsidP="0069186B">
            <w:pPr>
              <w:jc w:val="center"/>
              <w:rPr>
                <w:sz w:val="16"/>
                <w:szCs w:val="16"/>
                <w:lang w:val="en-US"/>
              </w:rPr>
            </w:pPr>
            <w:r w:rsidRPr="001D79C8">
              <w:rPr>
                <w:sz w:val="16"/>
                <w:szCs w:val="16"/>
                <w:lang w:val="en-US"/>
              </w:rPr>
              <w:t>46.7</w:t>
            </w:r>
          </w:p>
        </w:tc>
        <w:tc>
          <w:tcPr>
            <w:tcW w:w="711" w:type="dxa"/>
            <w:vAlign w:val="center"/>
          </w:tcPr>
          <w:p w14:paraId="5B4D32B8" w14:textId="77777777" w:rsidR="009F661C" w:rsidRPr="001D79C8" w:rsidRDefault="009F661C" w:rsidP="0069186B">
            <w:pPr>
              <w:jc w:val="center"/>
              <w:rPr>
                <w:sz w:val="16"/>
                <w:szCs w:val="16"/>
                <w:lang w:val="en-US"/>
              </w:rPr>
            </w:pPr>
            <w:r w:rsidRPr="001D79C8">
              <w:rPr>
                <w:sz w:val="16"/>
                <w:szCs w:val="16"/>
                <w:lang w:val="en-US"/>
              </w:rPr>
              <w:t>517.1</w:t>
            </w:r>
          </w:p>
        </w:tc>
        <w:tc>
          <w:tcPr>
            <w:tcW w:w="776" w:type="dxa"/>
            <w:vAlign w:val="center"/>
          </w:tcPr>
          <w:p w14:paraId="3B9FABBD" w14:textId="77777777" w:rsidR="009F661C" w:rsidRPr="001D79C8" w:rsidRDefault="009F661C" w:rsidP="0069186B">
            <w:pPr>
              <w:jc w:val="center"/>
              <w:rPr>
                <w:sz w:val="16"/>
                <w:szCs w:val="16"/>
                <w:lang w:val="en-US"/>
              </w:rPr>
            </w:pPr>
            <w:r w:rsidRPr="001D79C8">
              <w:rPr>
                <w:sz w:val="16"/>
                <w:szCs w:val="16"/>
                <w:lang w:val="en-US"/>
              </w:rPr>
              <w:t>1182.1</w:t>
            </w:r>
          </w:p>
        </w:tc>
      </w:tr>
      <w:tr w:rsidR="009F661C" w:rsidRPr="001D79C8" w14:paraId="7B844242" w14:textId="77777777" w:rsidTr="0069186B">
        <w:tc>
          <w:tcPr>
            <w:tcW w:w="576" w:type="dxa"/>
            <w:vAlign w:val="center"/>
          </w:tcPr>
          <w:p w14:paraId="5B3C4A8D" w14:textId="77777777" w:rsidR="009F661C" w:rsidRPr="001D79C8" w:rsidRDefault="009F661C" w:rsidP="0069186B">
            <w:pPr>
              <w:jc w:val="center"/>
              <w:rPr>
                <w:sz w:val="16"/>
                <w:szCs w:val="16"/>
                <w:lang w:val="en-US"/>
              </w:rPr>
            </w:pPr>
            <w:r w:rsidRPr="001D79C8">
              <w:rPr>
                <w:sz w:val="16"/>
                <w:szCs w:val="16"/>
                <w:lang w:val="en-US"/>
              </w:rPr>
              <w:t>1997</w:t>
            </w:r>
          </w:p>
        </w:tc>
        <w:tc>
          <w:tcPr>
            <w:tcW w:w="1092" w:type="dxa"/>
            <w:vAlign w:val="center"/>
          </w:tcPr>
          <w:p w14:paraId="3304EE25" w14:textId="77777777" w:rsidR="009F661C" w:rsidRPr="001D79C8" w:rsidRDefault="009F661C" w:rsidP="0069186B">
            <w:pPr>
              <w:jc w:val="center"/>
              <w:rPr>
                <w:sz w:val="16"/>
                <w:szCs w:val="16"/>
                <w:lang w:val="en-US"/>
              </w:rPr>
            </w:pPr>
            <w:r w:rsidRPr="001D79C8">
              <w:rPr>
                <w:sz w:val="16"/>
                <w:szCs w:val="16"/>
                <w:lang w:val="en-US"/>
              </w:rPr>
              <w:t>294.3</w:t>
            </w:r>
          </w:p>
        </w:tc>
        <w:tc>
          <w:tcPr>
            <w:tcW w:w="865" w:type="dxa"/>
            <w:vAlign w:val="center"/>
          </w:tcPr>
          <w:p w14:paraId="5F30E2FF" w14:textId="77777777" w:rsidR="009F661C" w:rsidRPr="001D79C8" w:rsidRDefault="009F661C" w:rsidP="0069186B">
            <w:pPr>
              <w:jc w:val="center"/>
              <w:rPr>
                <w:sz w:val="16"/>
                <w:szCs w:val="16"/>
                <w:lang w:val="en-US"/>
              </w:rPr>
            </w:pPr>
            <w:r w:rsidRPr="001D79C8">
              <w:rPr>
                <w:sz w:val="16"/>
                <w:szCs w:val="16"/>
                <w:lang w:val="en-US"/>
              </w:rPr>
              <w:t>70.5</w:t>
            </w:r>
          </w:p>
        </w:tc>
        <w:tc>
          <w:tcPr>
            <w:tcW w:w="1006" w:type="dxa"/>
            <w:vAlign w:val="center"/>
          </w:tcPr>
          <w:p w14:paraId="71813D81" w14:textId="77777777" w:rsidR="009F661C" w:rsidRPr="001D79C8" w:rsidRDefault="009F661C" w:rsidP="0069186B">
            <w:pPr>
              <w:jc w:val="center"/>
              <w:rPr>
                <w:sz w:val="16"/>
                <w:szCs w:val="16"/>
                <w:lang w:val="en-US"/>
              </w:rPr>
            </w:pPr>
            <w:r w:rsidRPr="001D79C8">
              <w:rPr>
                <w:sz w:val="16"/>
                <w:szCs w:val="16"/>
                <w:lang w:val="en-US"/>
              </w:rPr>
              <w:t>245.1</w:t>
            </w:r>
          </w:p>
        </w:tc>
        <w:tc>
          <w:tcPr>
            <w:tcW w:w="776" w:type="dxa"/>
            <w:vAlign w:val="center"/>
          </w:tcPr>
          <w:p w14:paraId="06217B26" w14:textId="77777777" w:rsidR="009F661C" w:rsidRPr="001D79C8" w:rsidRDefault="009F661C" w:rsidP="0069186B">
            <w:pPr>
              <w:jc w:val="center"/>
              <w:rPr>
                <w:sz w:val="16"/>
                <w:szCs w:val="16"/>
                <w:lang w:val="en-US"/>
              </w:rPr>
            </w:pPr>
            <w:r w:rsidRPr="001D79C8">
              <w:rPr>
                <w:sz w:val="16"/>
                <w:szCs w:val="16"/>
                <w:lang w:val="en-US"/>
              </w:rPr>
              <w:t>32.2</w:t>
            </w:r>
          </w:p>
        </w:tc>
        <w:tc>
          <w:tcPr>
            <w:tcW w:w="827" w:type="dxa"/>
            <w:vAlign w:val="center"/>
          </w:tcPr>
          <w:p w14:paraId="4D7E08E4" w14:textId="77777777" w:rsidR="009F661C" w:rsidRPr="001D79C8" w:rsidRDefault="009F661C" w:rsidP="0069186B">
            <w:pPr>
              <w:jc w:val="center"/>
              <w:rPr>
                <w:sz w:val="16"/>
                <w:szCs w:val="16"/>
                <w:lang w:val="en-US"/>
              </w:rPr>
            </w:pPr>
            <w:r w:rsidRPr="001D79C8">
              <w:rPr>
                <w:sz w:val="16"/>
                <w:szCs w:val="16"/>
                <w:lang w:val="en-US"/>
              </w:rPr>
              <w:t>49.3</w:t>
            </w:r>
          </w:p>
        </w:tc>
        <w:tc>
          <w:tcPr>
            <w:tcW w:w="711" w:type="dxa"/>
            <w:vAlign w:val="center"/>
          </w:tcPr>
          <w:p w14:paraId="7727F37C" w14:textId="77777777" w:rsidR="009F661C" w:rsidRPr="001D79C8" w:rsidRDefault="009F661C" w:rsidP="0069186B">
            <w:pPr>
              <w:jc w:val="center"/>
              <w:rPr>
                <w:sz w:val="16"/>
                <w:szCs w:val="16"/>
                <w:lang w:val="en-US"/>
              </w:rPr>
            </w:pPr>
            <w:r w:rsidRPr="001D79C8">
              <w:rPr>
                <w:sz w:val="16"/>
                <w:szCs w:val="16"/>
                <w:lang w:val="en-US"/>
              </w:rPr>
              <w:t>599.8</w:t>
            </w:r>
          </w:p>
        </w:tc>
        <w:tc>
          <w:tcPr>
            <w:tcW w:w="776" w:type="dxa"/>
            <w:vAlign w:val="center"/>
          </w:tcPr>
          <w:p w14:paraId="52B4C206" w14:textId="77777777" w:rsidR="009F661C" w:rsidRPr="001D79C8" w:rsidRDefault="009F661C" w:rsidP="0069186B">
            <w:pPr>
              <w:jc w:val="center"/>
              <w:rPr>
                <w:sz w:val="16"/>
                <w:szCs w:val="16"/>
                <w:lang w:val="en-US"/>
              </w:rPr>
            </w:pPr>
            <w:r w:rsidRPr="001D79C8">
              <w:rPr>
                <w:sz w:val="16"/>
                <w:szCs w:val="16"/>
                <w:lang w:val="en-US"/>
              </w:rPr>
              <w:t>1291.2</w:t>
            </w:r>
          </w:p>
        </w:tc>
      </w:tr>
      <w:tr w:rsidR="009F661C" w:rsidRPr="001D79C8" w14:paraId="078A7D6B" w14:textId="77777777" w:rsidTr="0069186B">
        <w:tc>
          <w:tcPr>
            <w:tcW w:w="576" w:type="dxa"/>
            <w:vAlign w:val="center"/>
          </w:tcPr>
          <w:p w14:paraId="1BEED544" w14:textId="77777777" w:rsidR="009F661C" w:rsidRPr="001D79C8" w:rsidRDefault="009F661C" w:rsidP="0069186B">
            <w:pPr>
              <w:jc w:val="center"/>
              <w:rPr>
                <w:sz w:val="16"/>
                <w:szCs w:val="16"/>
                <w:lang w:val="en-US"/>
              </w:rPr>
            </w:pPr>
            <w:r w:rsidRPr="001D79C8">
              <w:rPr>
                <w:sz w:val="16"/>
                <w:szCs w:val="16"/>
                <w:lang w:val="en-US"/>
              </w:rPr>
              <w:t>1998</w:t>
            </w:r>
          </w:p>
        </w:tc>
        <w:tc>
          <w:tcPr>
            <w:tcW w:w="1092" w:type="dxa"/>
            <w:vAlign w:val="center"/>
          </w:tcPr>
          <w:p w14:paraId="34784BC6" w14:textId="77777777" w:rsidR="009F661C" w:rsidRPr="001D79C8" w:rsidRDefault="009F661C" w:rsidP="0069186B">
            <w:pPr>
              <w:jc w:val="center"/>
              <w:rPr>
                <w:sz w:val="16"/>
                <w:szCs w:val="16"/>
                <w:lang w:val="en-US"/>
              </w:rPr>
            </w:pPr>
            <w:r w:rsidRPr="001D79C8">
              <w:rPr>
                <w:sz w:val="16"/>
                <w:szCs w:val="16"/>
                <w:lang w:val="en-US"/>
              </w:rPr>
              <w:t>248.0</w:t>
            </w:r>
          </w:p>
        </w:tc>
        <w:tc>
          <w:tcPr>
            <w:tcW w:w="865" w:type="dxa"/>
            <w:vAlign w:val="center"/>
          </w:tcPr>
          <w:p w14:paraId="05FFBC02" w14:textId="77777777" w:rsidR="009F661C" w:rsidRPr="001D79C8" w:rsidRDefault="009F661C" w:rsidP="0069186B">
            <w:pPr>
              <w:jc w:val="center"/>
              <w:rPr>
                <w:sz w:val="16"/>
                <w:szCs w:val="16"/>
                <w:lang w:val="en-US"/>
              </w:rPr>
            </w:pPr>
            <w:r w:rsidRPr="001D79C8">
              <w:rPr>
                <w:sz w:val="16"/>
                <w:szCs w:val="16"/>
                <w:lang w:val="en-US"/>
              </w:rPr>
              <w:t>95.4</w:t>
            </w:r>
          </w:p>
        </w:tc>
        <w:tc>
          <w:tcPr>
            <w:tcW w:w="1006" w:type="dxa"/>
            <w:vAlign w:val="center"/>
          </w:tcPr>
          <w:p w14:paraId="3EDC3A5F" w14:textId="77777777" w:rsidR="009F661C" w:rsidRPr="001D79C8" w:rsidRDefault="009F661C" w:rsidP="0069186B">
            <w:pPr>
              <w:jc w:val="center"/>
              <w:rPr>
                <w:sz w:val="16"/>
                <w:szCs w:val="16"/>
                <w:lang w:val="en-US"/>
              </w:rPr>
            </w:pPr>
            <w:r w:rsidRPr="001D79C8">
              <w:rPr>
                <w:sz w:val="16"/>
                <w:szCs w:val="16"/>
                <w:lang w:val="en-US"/>
              </w:rPr>
              <w:t>285.4</w:t>
            </w:r>
          </w:p>
        </w:tc>
        <w:tc>
          <w:tcPr>
            <w:tcW w:w="776" w:type="dxa"/>
            <w:vAlign w:val="center"/>
          </w:tcPr>
          <w:p w14:paraId="21B81758" w14:textId="77777777" w:rsidR="009F661C" w:rsidRPr="001D79C8" w:rsidRDefault="009F661C" w:rsidP="0069186B">
            <w:pPr>
              <w:jc w:val="center"/>
              <w:rPr>
                <w:sz w:val="16"/>
                <w:szCs w:val="16"/>
                <w:lang w:val="en-US"/>
              </w:rPr>
            </w:pPr>
            <w:r w:rsidRPr="001D79C8">
              <w:rPr>
                <w:sz w:val="16"/>
                <w:szCs w:val="16"/>
                <w:lang w:val="en-US"/>
              </w:rPr>
              <w:t>51.7</w:t>
            </w:r>
          </w:p>
        </w:tc>
        <w:tc>
          <w:tcPr>
            <w:tcW w:w="827" w:type="dxa"/>
            <w:vAlign w:val="center"/>
          </w:tcPr>
          <w:p w14:paraId="2E6453BA" w14:textId="77777777" w:rsidR="009F661C" w:rsidRPr="001D79C8" w:rsidRDefault="009F661C" w:rsidP="0069186B">
            <w:pPr>
              <w:jc w:val="center"/>
              <w:rPr>
                <w:sz w:val="16"/>
                <w:szCs w:val="16"/>
                <w:lang w:val="en-US"/>
              </w:rPr>
            </w:pPr>
            <w:r w:rsidRPr="001D79C8">
              <w:rPr>
                <w:sz w:val="16"/>
                <w:szCs w:val="16"/>
                <w:lang w:val="en-US"/>
              </w:rPr>
              <w:t>78.0</w:t>
            </w:r>
          </w:p>
        </w:tc>
        <w:tc>
          <w:tcPr>
            <w:tcW w:w="711" w:type="dxa"/>
            <w:vAlign w:val="center"/>
          </w:tcPr>
          <w:p w14:paraId="59ECC85B" w14:textId="77777777" w:rsidR="009F661C" w:rsidRPr="001D79C8" w:rsidRDefault="009F661C" w:rsidP="0069186B">
            <w:pPr>
              <w:jc w:val="center"/>
              <w:rPr>
                <w:sz w:val="16"/>
                <w:szCs w:val="16"/>
                <w:lang w:val="en-US"/>
              </w:rPr>
            </w:pPr>
            <w:r w:rsidRPr="001D79C8">
              <w:rPr>
                <w:sz w:val="16"/>
                <w:szCs w:val="16"/>
                <w:lang w:val="en-US"/>
              </w:rPr>
              <w:t>932.7</w:t>
            </w:r>
          </w:p>
        </w:tc>
        <w:tc>
          <w:tcPr>
            <w:tcW w:w="776" w:type="dxa"/>
            <w:vAlign w:val="center"/>
          </w:tcPr>
          <w:p w14:paraId="6BCF3754" w14:textId="77777777" w:rsidR="009F661C" w:rsidRPr="001D79C8" w:rsidRDefault="009F661C" w:rsidP="0069186B">
            <w:pPr>
              <w:jc w:val="center"/>
              <w:rPr>
                <w:sz w:val="16"/>
                <w:szCs w:val="16"/>
                <w:lang w:val="en-US"/>
              </w:rPr>
            </w:pPr>
            <w:r w:rsidRPr="001D79C8">
              <w:rPr>
                <w:sz w:val="16"/>
                <w:szCs w:val="16"/>
                <w:lang w:val="en-US"/>
              </w:rPr>
              <w:t>1691.2</w:t>
            </w:r>
          </w:p>
        </w:tc>
      </w:tr>
      <w:tr w:rsidR="009F661C" w:rsidRPr="001D79C8" w14:paraId="328746AF" w14:textId="77777777" w:rsidTr="0069186B">
        <w:tc>
          <w:tcPr>
            <w:tcW w:w="576" w:type="dxa"/>
            <w:vAlign w:val="center"/>
          </w:tcPr>
          <w:p w14:paraId="66FA1490" w14:textId="77777777" w:rsidR="009F661C" w:rsidRPr="001D79C8" w:rsidRDefault="009F661C" w:rsidP="0069186B">
            <w:pPr>
              <w:jc w:val="center"/>
              <w:rPr>
                <w:sz w:val="16"/>
                <w:szCs w:val="16"/>
                <w:lang w:val="en-US"/>
              </w:rPr>
            </w:pPr>
            <w:r w:rsidRPr="001D79C8">
              <w:rPr>
                <w:sz w:val="16"/>
                <w:szCs w:val="16"/>
                <w:lang w:val="en-US"/>
              </w:rPr>
              <w:t>1999</w:t>
            </w:r>
          </w:p>
        </w:tc>
        <w:tc>
          <w:tcPr>
            <w:tcW w:w="1092" w:type="dxa"/>
            <w:vAlign w:val="center"/>
          </w:tcPr>
          <w:p w14:paraId="22F3B5FA" w14:textId="77777777" w:rsidR="009F661C" w:rsidRPr="001D79C8" w:rsidRDefault="009F661C" w:rsidP="0069186B">
            <w:pPr>
              <w:jc w:val="center"/>
              <w:rPr>
                <w:sz w:val="16"/>
                <w:szCs w:val="16"/>
                <w:lang w:val="en-US"/>
              </w:rPr>
            </w:pPr>
            <w:r w:rsidRPr="001D79C8">
              <w:rPr>
                <w:sz w:val="16"/>
                <w:szCs w:val="16"/>
                <w:lang w:val="en-US"/>
              </w:rPr>
              <w:t>180.5</w:t>
            </w:r>
          </w:p>
        </w:tc>
        <w:tc>
          <w:tcPr>
            <w:tcW w:w="865" w:type="dxa"/>
            <w:vAlign w:val="center"/>
          </w:tcPr>
          <w:p w14:paraId="7A98ED3E" w14:textId="77777777" w:rsidR="009F661C" w:rsidRPr="001D79C8" w:rsidRDefault="009F661C" w:rsidP="0069186B">
            <w:pPr>
              <w:jc w:val="center"/>
              <w:rPr>
                <w:sz w:val="16"/>
                <w:szCs w:val="16"/>
                <w:lang w:val="en-US"/>
              </w:rPr>
            </w:pPr>
            <w:r w:rsidRPr="001D79C8">
              <w:rPr>
                <w:sz w:val="16"/>
                <w:szCs w:val="16"/>
                <w:lang w:val="en-US"/>
              </w:rPr>
              <w:t>67.5</w:t>
            </w:r>
          </w:p>
        </w:tc>
        <w:tc>
          <w:tcPr>
            <w:tcW w:w="1006" w:type="dxa"/>
            <w:vAlign w:val="center"/>
          </w:tcPr>
          <w:p w14:paraId="57D250EB" w14:textId="77777777" w:rsidR="009F661C" w:rsidRPr="001D79C8" w:rsidRDefault="009F661C" w:rsidP="0069186B">
            <w:pPr>
              <w:jc w:val="center"/>
              <w:rPr>
                <w:sz w:val="16"/>
                <w:szCs w:val="16"/>
                <w:lang w:val="en-US"/>
              </w:rPr>
            </w:pPr>
            <w:r w:rsidRPr="001D79C8">
              <w:rPr>
                <w:sz w:val="16"/>
                <w:szCs w:val="16"/>
                <w:lang w:val="en-US"/>
              </w:rPr>
              <w:t>363.8</w:t>
            </w:r>
          </w:p>
        </w:tc>
        <w:tc>
          <w:tcPr>
            <w:tcW w:w="776" w:type="dxa"/>
            <w:vAlign w:val="center"/>
          </w:tcPr>
          <w:p w14:paraId="3A7728B4" w14:textId="77777777" w:rsidR="009F661C" w:rsidRPr="001D79C8" w:rsidRDefault="009F661C" w:rsidP="0069186B">
            <w:pPr>
              <w:jc w:val="center"/>
              <w:rPr>
                <w:sz w:val="16"/>
                <w:szCs w:val="16"/>
                <w:lang w:val="en-US"/>
              </w:rPr>
            </w:pPr>
            <w:r w:rsidRPr="001D79C8">
              <w:rPr>
                <w:sz w:val="16"/>
                <w:szCs w:val="16"/>
                <w:lang w:val="en-US"/>
              </w:rPr>
              <w:t>62.8</w:t>
            </w:r>
          </w:p>
        </w:tc>
        <w:tc>
          <w:tcPr>
            <w:tcW w:w="827" w:type="dxa"/>
            <w:vAlign w:val="center"/>
          </w:tcPr>
          <w:p w14:paraId="0861595C" w14:textId="77777777" w:rsidR="009F661C" w:rsidRPr="001D79C8" w:rsidRDefault="009F661C" w:rsidP="0069186B">
            <w:pPr>
              <w:jc w:val="center"/>
              <w:rPr>
                <w:sz w:val="16"/>
                <w:szCs w:val="16"/>
                <w:lang w:val="en-US"/>
              </w:rPr>
            </w:pPr>
            <w:r w:rsidRPr="001D79C8">
              <w:rPr>
                <w:sz w:val="16"/>
                <w:szCs w:val="16"/>
                <w:lang w:val="en-US"/>
              </w:rPr>
              <w:t>83.6</w:t>
            </w:r>
          </w:p>
        </w:tc>
        <w:tc>
          <w:tcPr>
            <w:tcW w:w="711" w:type="dxa"/>
            <w:vAlign w:val="center"/>
          </w:tcPr>
          <w:p w14:paraId="19ADDB57" w14:textId="77777777" w:rsidR="009F661C" w:rsidRPr="001D79C8" w:rsidRDefault="009F661C" w:rsidP="0069186B">
            <w:pPr>
              <w:jc w:val="center"/>
              <w:rPr>
                <w:sz w:val="16"/>
                <w:szCs w:val="16"/>
                <w:lang w:val="en-US"/>
              </w:rPr>
            </w:pPr>
            <w:r w:rsidRPr="001D79C8">
              <w:rPr>
                <w:sz w:val="16"/>
                <w:szCs w:val="16"/>
                <w:lang w:val="en-US"/>
              </w:rPr>
              <w:t>961.2</w:t>
            </w:r>
          </w:p>
        </w:tc>
        <w:tc>
          <w:tcPr>
            <w:tcW w:w="776" w:type="dxa"/>
            <w:vAlign w:val="center"/>
          </w:tcPr>
          <w:p w14:paraId="3DC465EF" w14:textId="77777777" w:rsidR="009F661C" w:rsidRPr="001D79C8" w:rsidRDefault="009F661C" w:rsidP="0069186B">
            <w:pPr>
              <w:jc w:val="center"/>
              <w:rPr>
                <w:sz w:val="16"/>
                <w:szCs w:val="16"/>
                <w:lang w:val="en-US"/>
              </w:rPr>
            </w:pPr>
            <w:r w:rsidRPr="001D79C8">
              <w:rPr>
                <w:sz w:val="16"/>
                <w:szCs w:val="16"/>
                <w:lang w:val="en-US"/>
              </w:rPr>
              <w:t>1719.4</w:t>
            </w:r>
          </w:p>
        </w:tc>
      </w:tr>
      <w:tr w:rsidR="009F661C" w:rsidRPr="001D79C8" w14:paraId="10AA38F1" w14:textId="77777777" w:rsidTr="0069186B">
        <w:tc>
          <w:tcPr>
            <w:tcW w:w="576" w:type="dxa"/>
            <w:vAlign w:val="center"/>
          </w:tcPr>
          <w:p w14:paraId="0AAF7EA5" w14:textId="77777777" w:rsidR="009F661C" w:rsidRPr="001D79C8" w:rsidRDefault="009F661C" w:rsidP="0069186B">
            <w:pPr>
              <w:jc w:val="center"/>
              <w:rPr>
                <w:sz w:val="16"/>
                <w:szCs w:val="16"/>
                <w:lang w:val="en-US"/>
              </w:rPr>
            </w:pPr>
            <w:r w:rsidRPr="001D79C8">
              <w:rPr>
                <w:sz w:val="16"/>
                <w:szCs w:val="16"/>
                <w:lang w:val="en-US"/>
              </w:rPr>
              <w:t>2000</w:t>
            </w:r>
          </w:p>
        </w:tc>
        <w:tc>
          <w:tcPr>
            <w:tcW w:w="1092" w:type="dxa"/>
            <w:vAlign w:val="center"/>
          </w:tcPr>
          <w:p w14:paraId="099A35F8" w14:textId="77777777" w:rsidR="009F661C" w:rsidRPr="001D79C8" w:rsidRDefault="009F661C" w:rsidP="0069186B">
            <w:pPr>
              <w:jc w:val="center"/>
              <w:rPr>
                <w:sz w:val="16"/>
                <w:szCs w:val="16"/>
                <w:lang w:val="en-US"/>
              </w:rPr>
            </w:pPr>
            <w:r w:rsidRPr="001D79C8">
              <w:rPr>
                <w:sz w:val="16"/>
                <w:szCs w:val="16"/>
                <w:lang w:val="en-US"/>
              </w:rPr>
              <w:t>141.0</w:t>
            </w:r>
          </w:p>
        </w:tc>
        <w:tc>
          <w:tcPr>
            <w:tcW w:w="865" w:type="dxa"/>
            <w:vAlign w:val="center"/>
          </w:tcPr>
          <w:p w14:paraId="7C151D24" w14:textId="77777777" w:rsidR="009F661C" w:rsidRPr="001D79C8" w:rsidRDefault="009F661C" w:rsidP="0069186B">
            <w:pPr>
              <w:jc w:val="center"/>
              <w:rPr>
                <w:sz w:val="16"/>
                <w:szCs w:val="16"/>
                <w:lang w:val="en-US"/>
              </w:rPr>
            </w:pPr>
            <w:r w:rsidRPr="001D79C8">
              <w:rPr>
                <w:sz w:val="16"/>
                <w:szCs w:val="16"/>
                <w:lang w:val="en-US"/>
              </w:rPr>
              <w:t>71.9</w:t>
            </w:r>
          </w:p>
        </w:tc>
        <w:tc>
          <w:tcPr>
            <w:tcW w:w="1006" w:type="dxa"/>
            <w:vAlign w:val="center"/>
          </w:tcPr>
          <w:p w14:paraId="510BFB2B" w14:textId="77777777" w:rsidR="009F661C" w:rsidRPr="001D79C8" w:rsidRDefault="009F661C" w:rsidP="0069186B">
            <w:pPr>
              <w:jc w:val="center"/>
              <w:rPr>
                <w:sz w:val="16"/>
                <w:szCs w:val="16"/>
                <w:lang w:val="en-US"/>
              </w:rPr>
            </w:pPr>
            <w:r w:rsidRPr="001D79C8">
              <w:rPr>
                <w:sz w:val="16"/>
                <w:szCs w:val="16"/>
                <w:lang w:val="en-US"/>
              </w:rPr>
              <w:t>386.2</w:t>
            </w:r>
          </w:p>
        </w:tc>
        <w:tc>
          <w:tcPr>
            <w:tcW w:w="776" w:type="dxa"/>
            <w:vAlign w:val="center"/>
          </w:tcPr>
          <w:p w14:paraId="53AF7BA8" w14:textId="77777777" w:rsidR="009F661C" w:rsidRPr="001D79C8" w:rsidRDefault="009F661C" w:rsidP="0069186B">
            <w:pPr>
              <w:jc w:val="center"/>
              <w:rPr>
                <w:sz w:val="16"/>
                <w:szCs w:val="16"/>
                <w:lang w:val="en-US"/>
              </w:rPr>
            </w:pPr>
            <w:r w:rsidRPr="001D79C8">
              <w:rPr>
                <w:sz w:val="16"/>
                <w:szCs w:val="16"/>
                <w:lang w:val="en-US"/>
              </w:rPr>
              <w:t>58.2</w:t>
            </w:r>
          </w:p>
        </w:tc>
        <w:tc>
          <w:tcPr>
            <w:tcW w:w="827" w:type="dxa"/>
            <w:vAlign w:val="center"/>
          </w:tcPr>
          <w:p w14:paraId="0E27D079" w14:textId="77777777" w:rsidR="009F661C" w:rsidRPr="001D79C8" w:rsidRDefault="009F661C" w:rsidP="0069186B">
            <w:pPr>
              <w:jc w:val="center"/>
              <w:rPr>
                <w:sz w:val="16"/>
                <w:szCs w:val="16"/>
                <w:lang w:val="en-US"/>
              </w:rPr>
            </w:pPr>
            <w:r w:rsidRPr="001D79C8">
              <w:rPr>
                <w:sz w:val="16"/>
                <w:szCs w:val="16"/>
                <w:lang w:val="en-US"/>
              </w:rPr>
              <w:t>96.2</w:t>
            </w:r>
          </w:p>
        </w:tc>
        <w:tc>
          <w:tcPr>
            <w:tcW w:w="711" w:type="dxa"/>
            <w:vAlign w:val="center"/>
          </w:tcPr>
          <w:p w14:paraId="28756FC6" w14:textId="77777777" w:rsidR="009F661C" w:rsidRPr="001D79C8" w:rsidRDefault="009F661C" w:rsidP="0069186B">
            <w:pPr>
              <w:jc w:val="center"/>
              <w:rPr>
                <w:sz w:val="16"/>
                <w:szCs w:val="16"/>
                <w:lang w:val="en-US"/>
              </w:rPr>
            </w:pPr>
            <w:r w:rsidRPr="001D79C8">
              <w:rPr>
                <w:sz w:val="16"/>
                <w:szCs w:val="16"/>
                <w:lang w:val="en-US"/>
              </w:rPr>
              <w:t>1059.8</w:t>
            </w:r>
          </w:p>
        </w:tc>
        <w:tc>
          <w:tcPr>
            <w:tcW w:w="776" w:type="dxa"/>
            <w:vAlign w:val="center"/>
          </w:tcPr>
          <w:p w14:paraId="3C4DD326" w14:textId="77777777" w:rsidR="009F661C" w:rsidRPr="001D79C8" w:rsidRDefault="009F661C" w:rsidP="0069186B">
            <w:pPr>
              <w:jc w:val="center"/>
              <w:rPr>
                <w:sz w:val="16"/>
                <w:szCs w:val="16"/>
                <w:lang w:val="en-US"/>
              </w:rPr>
            </w:pPr>
            <w:r w:rsidRPr="001D79C8">
              <w:rPr>
                <w:sz w:val="16"/>
                <w:szCs w:val="16"/>
                <w:lang w:val="en-US"/>
              </w:rPr>
              <w:t>1813.3</w:t>
            </w:r>
          </w:p>
        </w:tc>
      </w:tr>
      <w:tr w:rsidR="009F661C" w:rsidRPr="001D79C8" w14:paraId="6C6B289A" w14:textId="77777777" w:rsidTr="0069186B">
        <w:tc>
          <w:tcPr>
            <w:tcW w:w="576" w:type="dxa"/>
            <w:vAlign w:val="center"/>
          </w:tcPr>
          <w:p w14:paraId="6D572ABF" w14:textId="77777777" w:rsidR="009F661C" w:rsidRPr="001D79C8" w:rsidRDefault="009F661C" w:rsidP="0069186B">
            <w:pPr>
              <w:jc w:val="center"/>
              <w:rPr>
                <w:sz w:val="16"/>
                <w:szCs w:val="16"/>
                <w:lang w:val="en-US"/>
              </w:rPr>
            </w:pPr>
            <w:r w:rsidRPr="001D79C8">
              <w:rPr>
                <w:sz w:val="16"/>
                <w:szCs w:val="16"/>
                <w:lang w:val="en-US"/>
              </w:rPr>
              <w:t>2001</w:t>
            </w:r>
          </w:p>
        </w:tc>
        <w:tc>
          <w:tcPr>
            <w:tcW w:w="1092" w:type="dxa"/>
            <w:vAlign w:val="center"/>
          </w:tcPr>
          <w:p w14:paraId="440FE03E" w14:textId="77777777" w:rsidR="009F661C" w:rsidRPr="001D79C8" w:rsidRDefault="009F661C" w:rsidP="0069186B">
            <w:pPr>
              <w:jc w:val="center"/>
              <w:rPr>
                <w:sz w:val="16"/>
                <w:szCs w:val="16"/>
                <w:lang w:val="en-US"/>
              </w:rPr>
            </w:pPr>
            <w:r w:rsidRPr="001D79C8">
              <w:rPr>
                <w:sz w:val="16"/>
                <w:szCs w:val="16"/>
                <w:lang w:val="en-US"/>
              </w:rPr>
              <w:t>164.8</w:t>
            </w:r>
          </w:p>
        </w:tc>
        <w:tc>
          <w:tcPr>
            <w:tcW w:w="865" w:type="dxa"/>
            <w:vAlign w:val="center"/>
          </w:tcPr>
          <w:p w14:paraId="301A71EE" w14:textId="77777777" w:rsidR="009F661C" w:rsidRPr="001D79C8" w:rsidRDefault="009F661C" w:rsidP="0069186B">
            <w:pPr>
              <w:jc w:val="center"/>
              <w:rPr>
                <w:sz w:val="16"/>
                <w:szCs w:val="16"/>
                <w:lang w:val="en-US"/>
              </w:rPr>
            </w:pPr>
            <w:r w:rsidRPr="001D79C8">
              <w:rPr>
                <w:sz w:val="16"/>
                <w:szCs w:val="16"/>
                <w:lang w:val="en-US"/>
              </w:rPr>
              <w:t>91.8</w:t>
            </w:r>
          </w:p>
        </w:tc>
        <w:tc>
          <w:tcPr>
            <w:tcW w:w="1006" w:type="dxa"/>
            <w:vAlign w:val="center"/>
          </w:tcPr>
          <w:p w14:paraId="01919546" w14:textId="77777777" w:rsidR="009F661C" w:rsidRPr="001D79C8" w:rsidRDefault="009F661C" w:rsidP="0069186B">
            <w:pPr>
              <w:jc w:val="center"/>
              <w:rPr>
                <w:sz w:val="16"/>
                <w:szCs w:val="16"/>
                <w:lang w:val="en-US"/>
              </w:rPr>
            </w:pPr>
            <w:r w:rsidRPr="001D79C8">
              <w:rPr>
                <w:sz w:val="16"/>
                <w:szCs w:val="16"/>
                <w:lang w:val="en-US"/>
              </w:rPr>
              <w:t>409.1</w:t>
            </w:r>
          </w:p>
        </w:tc>
        <w:tc>
          <w:tcPr>
            <w:tcW w:w="776" w:type="dxa"/>
            <w:vAlign w:val="center"/>
          </w:tcPr>
          <w:p w14:paraId="491861CA" w14:textId="77777777" w:rsidR="009F661C" w:rsidRPr="001D79C8" w:rsidRDefault="009F661C" w:rsidP="0069186B">
            <w:pPr>
              <w:jc w:val="center"/>
              <w:rPr>
                <w:sz w:val="16"/>
                <w:szCs w:val="16"/>
                <w:lang w:val="en-US"/>
              </w:rPr>
            </w:pPr>
            <w:r w:rsidRPr="001D79C8">
              <w:rPr>
                <w:sz w:val="16"/>
                <w:szCs w:val="16"/>
                <w:lang w:val="en-US"/>
              </w:rPr>
              <w:t>61.5</w:t>
            </w:r>
          </w:p>
        </w:tc>
        <w:tc>
          <w:tcPr>
            <w:tcW w:w="827" w:type="dxa"/>
            <w:vAlign w:val="center"/>
          </w:tcPr>
          <w:p w14:paraId="476C6789" w14:textId="77777777" w:rsidR="009F661C" w:rsidRPr="001D79C8" w:rsidRDefault="009F661C" w:rsidP="0069186B">
            <w:pPr>
              <w:jc w:val="center"/>
              <w:rPr>
                <w:sz w:val="16"/>
                <w:szCs w:val="16"/>
                <w:lang w:val="en-US"/>
              </w:rPr>
            </w:pPr>
            <w:r w:rsidRPr="001D79C8">
              <w:rPr>
                <w:sz w:val="16"/>
                <w:szCs w:val="16"/>
                <w:lang w:val="en-US"/>
              </w:rPr>
              <w:t>95.5</w:t>
            </w:r>
          </w:p>
        </w:tc>
        <w:tc>
          <w:tcPr>
            <w:tcW w:w="711" w:type="dxa"/>
            <w:vAlign w:val="center"/>
          </w:tcPr>
          <w:p w14:paraId="24CCE051" w14:textId="77777777" w:rsidR="009F661C" w:rsidRPr="001D79C8" w:rsidRDefault="009F661C" w:rsidP="0069186B">
            <w:pPr>
              <w:jc w:val="center"/>
              <w:rPr>
                <w:sz w:val="16"/>
                <w:szCs w:val="16"/>
                <w:lang w:val="en-US"/>
              </w:rPr>
            </w:pPr>
            <w:r w:rsidRPr="001D79C8">
              <w:rPr>
                <w:sz w:val="16"/>
                <w:szCs w:val="16"/>
                <w:lang w:val="en-US"/>
              </w:rPr>
              <w:t>930.2</w:t>
            </w:r>
          </w:p>
        </w:tc>
        <w:tc>
          <w:tcPr>
            <w:tcW w:w="776" w:type="dxa"/>
            <w:vAlign w:val="center"/>
          </w:tcPr>
          <w:p w14:paraId="62C64C54" w14:textId="77777777" w:rsidR="009F661C" w:rsidRPr="001D79C8" w:rsidRDefault="009F661C" w:rsidP="0069186B">
            <w:pPr>
              <w:jc w:val="center"/>
              <w:rPr>
                <w:sz w:val="16"/>
                <w:szCs w:val="16"/>
                <w:lang w:val="en-US"/>
              </w:rPr>
            </w:pPr>
            <w:r w:rsidRPr="001D79C8">
              <w:rPr>
                <w:sz w:val="16"/>
                <w:szCs w:val="16"/>
                <w:lang w:val="en-US"/>
              </w:rPr>
              <w:t>1752.9</w:t>
            </w:r>
          </w:p>
        </w:tc>
      </w:tr>
      <w:tr w:rsidR="009F661C" w:rsidRPr="001D79C8" w14:paraId="18DB705F" w14:textId="77777777" w:rsidTr="0069186B">
        <w:tc>
          <w:tcPr>
            <w:tcW w:w="576" w:type="dxa"/>
            <w:vAlign w:val="center"/>
          </w:tcPr>
          <w:p w14:paraId="66017FF9" w14:textId="77777777" w:rsidR="009F661C" w:rsidRPr="001D79C8" w:rsidRDefault="009F661C" w:rsidP="0069186B">
            <w:pPr>
              <w:jc w:val="center"/>
              <w:rPr>
                <w:i/>
                <w:iCs/>
                <w:sz w:val="16"/>
                <w:szCs w:val="16"/>
                <w:lang w:val="en-US"/>
              </w:rPr>
            </w:pPr>
            <w:r w:rsidRPr="001D79C8">
              <w:rPr>
                <w:i/>
                <w:iCs/>
                <w:sz w:val="16"/>
                <w:szCs w:val="16"/>
                <w:lang w:val="en-US"/>
              </w:rPr>
              <w:t>2001 A$M</w:t>
            </w:r>
          </w:p>
          <w:p w14:paraId="6297602D" w14:textId="77777777" w:rsidR="009F661C" w:rsidRPr="001D79C8" w:rsidRDefault="009F661C" w:rsidP="0069186B">
            <w:pPr>
              <w:jc w:val="center"/>
              <w:rPr>
                <w:i/>
                <w:iCs/>
                <w:sz w:val="16"/>
                <w:szCs w:val="16"/>
                <w:lang w:val="en-US"/>
              </w:rPr>
            </w:pPr>
          </w:p>
        </w:tc>
        <w:tc>
          <w:tcPr>
            <w:tcW w:w="1092" w:type="dxa"/>
            <w:vAlign w:val="center"/>
          </w:tcPr>
          <w:p w14:paraId="64518DB0" w14:textId="77777777" w:rsidR="009F661C" w:rsidRPr="001D79C8" w:rsidRDefault="009F661C" w:rsidP="0069186B">
            <w:pPr>
              <w:jc w:val="center"/>
              <w:rPr>
                <w:i/>
                <w:iCs/>
                <w:sz w:val="16"/>
                <w:szCs w:val="16"/>
                <w:lang w:val="en-US"/>
              </w:rPr>
            </w:pPr>
            <w:r w:rsidRPr="001D79C8">
              <w:rPr>
                <w:i/>
                <w:iCs/>
                <w:sz w:val="16"/>
                <w:szCs w:val="16"/>
                <w:lang w:val="en-US"/>
              </w:rPr>
              <w:t>102.14</w:t>
            </w:r>
          </w:p>
        </w:tc>
        <w:tc>
          <w:tcPr>
            <w:tcW w:w="865" w:type="dxa"/>
            <w:vAlign w:val="center"/>
          </w:tcPr>
          <w:p w14:paraId="27B595FF" w14:textId="77777777" w:rsidR="009F661C" w:rsidRPr="001D79C8" w:rsidRDefault="009F661C" w:rsidP="0069186B">
            <w:pPr>
              <w:jc w:val="center"/>
              <w:rPr>
                <w:i/>
                <w:iCs/>
                <w:sz w:val="16"/>
                <w:szCs w:val="16"/>
                <w:lang w:val="en-US"/>
              </w:rPr>
            </w:pPr>
            <w:r w:rsidRPr="001D79C8">
              <w:rPr>
                <w:i/>
                <w:iCs/>
                <w:sz w:val="16"/>
                <w:szCs w:val="16"/>
                <w:lang w:val="en-US"/>
              </w:rPr>
              <w:t>56.9</w:t>
            </w:r>
          </w:p>
        </w:tc>
        <w:tc>
          <w:tcPr>
            <w:tcW w:w="1006" w:type="dxa"/>
            <w:vAlign w:val="center"/>
          </w:tcPr>
          <w:p w14:paraId="7C48112E" w14:textId="77777777" w:rsidR="009F661C" w:rsidRPr="001D79C8" w:rsidRDefault="009F661C" w:rsidP="0069186B">
            <w:pPr>
              <w:jc w:val="center"/>
              <w:rPr>
                <w:i/>
                <w:iCs/>
                <w:sz w:val="16"/>
                <w:szCs w:val="16"/>
                <w:lang w:val="en-US"/>
              </w:rPr>
            </w:pPr>
            <w:r w:rsidRPr="001D79C8">
              <w:rPr>
                <w:i/>
                <w:iCs/>
                <w:sz w:val="16"/>
                <w:szCs w:val="16"/>
                <w:lang w:val="en-US"/>
              </w:rPr>
              <w:t>253.6</w:t>
            </w:r>
          </w:p>
        </w:tc>
        <w:tc>
          <w:tcPr>
            <w:tcW w:w="776" w:type="dxa"/>
            <w:vAlign w:val="center"/>
          </w:tcPr>
          <w:p w14:paraId="73C7FEBB" w14:textId="77777777" w:rsidR="009F661C" w:rsidRPr="001D79C8" w:rsidRDefault="009F661C" w:rsidP="0069186B">
            <w:pPr>
              <w:jc w:val="center"/>
              <w:rPr>
                <w:i/>
                <w:iCs/>
                <w:sz w:val="16"/>
                <w:szCs w:val="16"/>
                <w:lang w:val="en-US"/>
              </w:rPr>
            </w:pPr>
            <w:r w:rsidRPr="001D79C8">
              <w:rPr>
                <w:i/>
                <w:iCs/>
                <w:sz w:val="16"/>
                <w:szCs w:val="16"/>
                <w:lang w:val="en-US"/>
              </w:rPr>
              <w:t>38.12</w:t>
            </w:r>
          </w:p>
        </w:tc>
        <w:tc>
          <w:tcPr>
            <w:tcW w:w="827" w:type="dxa"/>
            <w:vAlign w:val="center"/>
          </w:tcPr>
          <w:p w14:paraId="5A8430DC" w14:textId="77777777" w:rsidR="009F661C" w:rsidRPr="001D79C8" w:rsidRDefault="009F661C" w:rsidP="0069186B">
            <w:pPr>
              <w:jc w:val="center"/>
              <w:rPr>
                <w:i/>
                <w:iCs/>
                <w:sz w:val="16"/>
                <w:szCs w:val="16"/>
                <w:lang w:val="en-US"/>
              </w:rPr>
            </w:pPr>
            <w:r w:rsidRPr="001D79C8">
              <w:rPr>
                <w:i/>
                <w:iCs/>
                <w:sz w:val="16"/>
                <w:szCs w:val="16"/>
                <w:lang w:val="en-US"/>
              </w:rPr>
              <w:t>59.2</w:t>
            </w:r>
          </w:p>
        </w:tc>
        <w:tc>
          <w:tcPr>
            <w:tcW w:w="711" w:type="dxa"/>
            <w:vAlign w:val="center"/>
          </w:tcPr>
          <w:p w14:paraId="1C535B8A" w14:textId="77777777" w:rsidR="009F661C" w:rsidRPr="001D79C8" w:rsidRDefault="009F661C" w:rsidP="0069186B">
            <w:pPr>
              <w:jc w:val="center"/>
              <w:rPr>
                <w:i/>
                <w:iCs/>
                <w:sz w:val="16"/>
                <w:szCs w:val="16"/>
                <w:lang w:val="en-US"/>
              </w:rPr>
            </w:pPr>
            <w:r w:rsidRPr="001D79C8">
              <w:rPr>
                <w:i/>
                <w:iCs/>
                <w:sz w:val="16"/>
                <w:szCs w:val="16"/>
                <w:lang w:val="en-US"/>
              </w:rPr>
              <w:t>576.5</w:t>
            </w:r>
          </w:p>
        </w:tc>
        <w:tc>
          <w:tcPr>
            <w:tcW w:w="776" w:type="dxa"/>
            <w:vAlign w:val="center"/>
          </w:tcPr>
          <w:p w14:paraId="44EB7B06" w14:textId="77777777" w:rsidR="009F661C" w:rsidRPr="001D79C8" w:rsidRDefault="009F661C" w:rsidP="0069186B">
            <w:pPr>
              <w:jc w:val="center"/>
              <w:rPr>
                <w:i/>
                <w:iCs/>
                <w:sz w:val="16"/>
                <w:szCs w:val="16"/>
                <w:lang w:val="en-US"/>
              </w:rPr>
            </w:pPr>
            <w:r w:rsidRPr="001D79C8">
              <w:rPr>
                <w:i/>
                <w:iCs/>
                <w:sz w:val="16"/>
                <w:szCs w:val="16"/>
                <w:lang w:val="en-US"/>
              </w:rPr>
              <w:t>1086.5</w:t>
            </w:r>
          </w:p>
        </w:tc>
      </w:tr>
    </w:tbl>
    <w:p w14:paraId="3572A229" w14:textId="77777777" w:rsidR="009F661C" w:rsidRPr="001D79C8" w:rsidRDefault="009F661C" w:rsidP="00DC1614">
      <w:pPr>
        <w:pStyle w:val="DLQuotes"/>
        <w:ind w:left="0"/>
        <w:rPr>
          <w:lang w:val="en-US"/>
        </w:rPr>
      </w:pPr>
      <w:r w:rsidRPr="001D79C8">
        <w:rPr>
          <w:lang w:val="en-US"/>
        </w:rPr>
        <w:t>Source: Bank of Papua New Guinea (Quarterly Economic Bulletin).</w:t>
      </w:r>
    </w:p>
    <w:p w14:paraId="09C3DAD6" w14:textId="77777777" w:rsidR="009F661C" w:rsidRPr="001D79C8" w:rsidRDefault="009F661C" w:rsidP="00DC1614">
      <w:pPr>
        <w:pStyle w:val="DLQuotes"/>
        <w:ind w:left="0"/>
        <w:rPr>
          <w:lang w:val="en-US"/>
        </w:rPr>
      </w:pPr>
      <w:r w:rsidRPr="001D79C8">
        <w:rPr>
          <w:lang w:val="en-US"/>
        </w:rPr>
        <w:t xml:space="preserve">Notes: Data is for March, usually the month when seasonal loans to agriculture are </w:t>
      </w:r>
      <w:r w:rsidRPr="001D79C8">
        <w:rPr>
          <w:rStyle w:val="DLFNChar"/>
        </w:rPr>
        <w:t>a</w:t>
      </w:r>
      <w:r w:rsidRPr="001D79C8">
        <w:rPr>
          <w:lang w:val="en-US"/>
        </w:rPr>
        <w:t xml:space="preserve">t their peak. “Other” </w:t>
      </w:r>
      <w:r>
        <w:rPr>
          <w:lang w:val="en-US"/>
        </w:rPr>
        <w:t xml:space="preserve">are </w:t>
      </w:r>
      <w:r w:rsidRPr="001D79C8">
        <w:rPr>
          <w:lang w:val="en-US"/>
        </w:rPr>
        <w:t>mostly comprises loans to other businesses, the government, and non-housing loans to individuals.</w:t>
      </w:r>
    </w:p>
    <w:p w14:paraId="39AEF259" w14:textId="77777777" w:rsidR="009F661C" w:rsidRDefault="009F661C" w:rsidP="00C04504">
      <w:pPr>
        <w:spacing w:after="200" w:line="276" w:lineRule="auto"/>
      </w:pPr>
    </w:p>
    <w:p w14:paraId="0794196D" w14:textId="77777777" w:rsidR="009F661C" w:rsidRPr="001D79C8" w:rsidRDefault="009F661C" w:rsidP="00DC1614">
      <w:pPr>
        <w:pStyle w:val="h2"/>
      </w:pPr>
      <w:r>
        <w:lastRenderedPageBreak/>
        <w:t>I</w:t>
      </w:r>
      <w:r w:rsidRPr="001D79C8">
        <w:t>mplementing land reform in Papua New Guinea</w:t>
      </w:r>
    </w:p>
    <w:p w14:paraId="57A01CF3" w14:textId="77777777" w:rsidR="009F661C" w:rsidRPr="001D79C8" w:rsidRDefault="009F661C" w:rsidP="00C04504">
      <w:pPr>
        <w:pStyle w:val="DLText"/>
      </w:pPr>
      <w:r w:rsidRPr="001D79C8">
        <w:t>Siaguru (2001) well describes the practical difficulties that would confront any new attempt to implement land tenure reform in Papua New Guinea, in a dialogue with a friend of his whose comments are given here in italics;</w:t>
      </w:r>
    </w:p>
    <w:p w14:paraId="34837284" w14:textId="77777777" w:rsidR="009F661C" w:rsidRPr="001D79C8" w:rsidRDefault="009F661C" w:rsidP="00C04504">
      <w:pPr>
        <w:pStyle w:val="DLText"/>
      </w:pPr>
    </w:p>
    <w:p w14:paraId="31CCFC6F" w14:textId="77777777" w:rsidR="009F661C" w:rsidRPr="001D79C8" w:rsidRDefault="009F661C" w:rsidP="00DC1614">
      <w:pPr>
        <w:pStyle w:val="DLQuotes"/>
      </w:pPr>
      <w:r w:rsidRPr="001D79C8">
        <w:t xml:space="preserve"> “There is no way that a registration of Papua New Guinea customary land could be drawn up this century. Even if, in the odd case you could manage to come to a decision about a specific piece of land, do you imagine there would be no appeals? Bear in mind what is needed to codify the land. You have to establish what the unit of land-ownership is in the first place. Or rather, that’s not the first place. First you have to determine what types of land rights there are, then establish the owning unit for each category. And, of course, both the types of rights and the owning units are likely to vary from one part of the country to another. But that’s not the difficult part. Having set up the types of rights and the types of owning units, you then have to draw on the ground the boundaries of the extent of these rights on the lands concerned, and you have to draw up a list of the names, the identities, of the actual owning groups. And, then, once you have got that accomplished, you have to establish who are those persons who are rightfully members of all those different groups. Have you never come across instances in which royalties from some commercial exploitation of this or that local exploitable resource continue to lie in a bank deposit because the clans involved are so stubborn about what they consider is the correct division of ownership, and so proceeds, that they prefer seeing the cash left unused in the bank rather than entertain the idea that their neighbours might be illicitly benefiting from more than their rightful share? No, Tony, there is no way that a registration of Papua New Guinea customary land could be drawn up this century. And, then, by the end of the century, there will be so many of us, given the current rate of population increase, that we would not be able to sell the land even should its boundaries be all neatly drawn and everyone with a claim given his or her certificate, because any one share would be only worthwhile investing on the horses, and anyway we’ll all be cultivating everything in sight with not a tree to be seen (Siaguru, 2001). </w:t>
      </w:r>
    </w:p>
    <w:p w14:paraId="1FFCF6EF" w14:textId="77777777" w:rsidR="009F661C" w:rsidRPr="001D79C8" w:rsidRDefault="009F661C" w:rsidP="00C04504">
      <w:pPr>
        <w:pStyle w:val="DLText"/>
      </w:pPr>
    </w:p>
    <w:p w14:paraId="4699E2AD" w14:textId="77777777" w:rsidR="009F661C" w:rsidRDefault="009F661C" w:rsidP="00C04504">
      <w:pPr>
        <w:pStyle w:val="DLText"/>
        <w:rPr>
          <w:rFonts w:eastAsia="MS Mincho"/>
        </w:rPr>
      </w:pPr>
      <w:r w:rsidRPr="001D79C8">
        <w:rPr>
          <w:rFonts w:eastAsia="MS Mincho"/>
        </w:rPr>
        <w:t xml:space="preserve">This somewhat pessimistic view of the possibility of securing registration of customary title contrasts with the suggestion in 2003 by Papua New Guinea's then Minister for Lands, Robert Kopaol (see Box </w:t>
      </w:r>
      <w:r>
        <w:rPr>
          <w:rFonts w:eastAsia="MS Mincho"/>
        </w:rPr>
        <w:t>10</w:t>
      </w:r>
      <w:r w:rsidRPr="001D79C8">
        <w:rPr>
          <w:rFonts w:eastAsia="MS Mincho"/>
        </w:rPr>
        <w:t>.1) that registration is a means of protecting customary title rather than subverting it as some have claimed. The Minister's recognition of the importance of registration marks a large step forward in terms of official perceptions and the opposition of non-government organizations (NGOs).</w:t>
      </w:r>
    </w:p>
    <w:p w14:paraId="1899D500" w14:textId="7255797C" w:rsidR="009F661C" w:rsidRDefault="00A32961" w:rsidP="00C04504">
      <w:pPr>
        <w:pStyle w:val="DLText"/>
        <w:rPr>
          <w:rFonts w:eastAsia="MS Mincho"/>
        </w:rPr>
      </w:pPr>
      <w:r>
        <w:rPr>
          <w:noProof/>
          <w:lang w:val="en-AU" w:eastAsia="en-AU"/>
        </w:rPr>
        <w:lastRenderedPageBreak/>
        <mc:AlternateContent>
          <mc:Choice Requires="wps">
            <w:drawing>
              <wp:anchor distT="0" distB="0" distL="114300" distR="114300" simplePos="0" relativeHeight="251664384" behindDoc="0" locked="0" layoutInCell="1" allowOverlap="1" wp14:anchorId="259080D5" wp14:editId="4400EB73">
                <wp:simplePos x="0" y="0"/>
                <wp:positionH relativeFrom="column">
                  <wp:align>center</wp:align>
                </wp:positionH>
                <wp:positionV relativeFrom="paragraph">
                  <wp:posOffset>-210820</wp:posOffset>
                </wp:positionV>
                <wp:extent cx="3103880" cy="5920740"/>
                <wp:effectExtent l="0" t="5080" r="7620" b="1778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3880" cy="5920740"/>
                        </a:xfrm>
                        <a:prstGeom prst="rect">
                          <a:avLst/>
                        </a:prstGeom>
                        <a:solidFill>
                          <a:srgbClr val="FFFFFF"/>
                        </a:solidFill>
                        <a:ln w="9525">
                          <a:solidFill>
                            <a:srgbClr val="000000"/>
                          </a:solidFill>
                          <a:miter lim="800000"/>
                          <a:headEnd/>
                          <a:tailEnd/>
                        </a:ln>
                      </wps:spPr>
                      <wps:txbx>
                        <w:txbxContent>
                          <w:p w14:paraId="7A9A5109" w14:textId="77777777" w:rsidR="009F661C" w:rsidRPr="00AF6838" w:rsidRDefault="009F661C" w:rsidP="00DC1614">
                            <w:pPr>
                              <w:pStyle w:val="PlainText"/>
                              <w:rPr>
                                <w:rFonts w:ascii="Times New Roman" w:eastAsia="MS Mincho" w:hAnsi="Times New Roman" w:cs="Times New Roman"/>
                                <w:b/>
                              </w:rPr>
                            </w:pPr>
                            <w:r w:rsidRPr="00AF6838">
                              <w:rPr>
                                <w:rFonts w:ascii="Times New Roman" w:eastAsia="MS Mincho" w:hAnsi="Times New Roman" w:cs="Times New Roman"/>
                                <w:b/>
                              </w:rPr>
                              <w:t xml:space="preserve">Box </w:t>
                            </w:r>
                            <w:r>
                              <w:rPr>
                                <w:rFonts w:ascii="Times New Roman" w:eastAsia="MS Mincho" w:hAnsi="Times New Roman" w:cs="Times New Roman"/>
                                <w:b/>
                              </w:rPr>
                              <w:t>10</w:t>
                            </w:r>
                            <w:r w:rsidRPr="00AF6838">
                              <w:rPr>
                                <w:rFonts w:ascii="Times New Roman" w:eastAsia="MS Mincho" w:hAnsi="Times New Roman" w:cs="Times New Roman"/>
                                <w:b/>
                              </w:rPr>
                              <w:t>.1</w:t>
                            </w:r>
                            <w:r w:rsidRPr="00AF6838">
                              <w:rPr>
                                <w:rFonts w:ascii="Times New Roman" w:eastAsia="MS Mincho" w:hAnsi="Times New Roman" w:cs="Times New Roman"/>
                                <w:b/>
                              </w:rPr>
                              <w:tab/>
                            </w:r>
                            <w:r w:rsidRPr="00AF6838">
                              <w:rPr>
                                <w:rFonts w:ascii="Times New Roman" w:eastAsia="MS Mincho" w:hAnsi="Times New Roman" w:cs="Times New Roman"/>
                                <w:b/>
                                <w:bCs/>
                              </w:rPr>
                              <w:t>"Bring back the plantations"</w:t>
                            </w:r>
                          </w:p>
                          <w:p w14:paraId="0D23BA1D" w14:textId="77777777" w:rsidR="009F661C" w:rsidRPr="00AF6838" w:rsidRDefault="009F661C" w:rsidP="00DC1614">
                            <w:pPr>
                              <w:pStyle w:val="PlainText"/>
                              <w:ind w:firstLine="284"/>
                              <w:rPr>
                                <w:rFonts w:ascii="Times New Roman" w:eastAsia="MS Mincho" w:hAnsi="Times New Roman" w:cs="Times New Roman"/>
                              </w:rPr>
                            </w:pPr>
                          </w:p>
                          <w:p w14:paraId="2EA7971E" w14:textId="77777777" w:rsidR="009F661C" w:rsidRPr="00AF6838" w:rsidRDefault="009F661C" w:rsidP="00DC1614">
                            <w:pPr>
                              <w:pStyle w:val="PlainText"/>
                              <w:ind w:firstLine="284"/>
                              <w:jc w:val="both"/>
                              <w:rPr>
                                <w:rFonts w:ascii="Times New Roman" w:eastAsia="MS Mincho" w:hAnsi="Times New Roman" w:cs="Times New Roman"/>
                              </w:rPr>
                            </w:pPr>
                            <w:r w:rsidRPr="00AF6838">
                              <w:rPr>
                                <w:rFonts w:ascii="Times New Roman" w:eastAsia="MS Mincho" w:hAnsi="Times New Roman" w:cs="Times New Roman"/>
                              </w:rPr>
                              <w:t>Because of our relationship with land we, the landowners, must take the first step to find ways to address the problems associated with land. Our land cannot be left idle, but [should be] put to use for the benefit of our communities without disputes over ownership rights, user rights, occupational and other rights. With 97 per cent of our land still in customary hands there is a greater need for security of this tenure.</w:t>
                            </w:r>
                          </w:p>
                          <w:p w14:paraId="6E5D36A8" w14:textId="77777777" w:rsidR="009F661C" w:rsidRPr="00AF6838" w:rsidRDefault="009F661C" w:rsidP="00DC1614">
                            <w:pPr>
                              <w:pStyle w:val="PlainText"/>
                              <w:ind w:firstLine="284"/>
                              <w:jc w:val="both"/>
                              <w:rPr>
                                <w:rFonts w:ascii="Times New Roman" w:eastAsia="MS Mincho" w:hAnsi="Times New Roman" w:cs="Times New Roman"/>
                              </w:rPr>
                            </w:pPr>
                            <w:r w:rsidRPr="00AF6838">
                              <w:rPr>
                                <w:rFonts w:ascii="Times New Roman" w:eastAsia="MS Mincho" w:hAnsi="Times New Roman" w:cs="Times New Roman"/>
                              </w:rPr>
                              <w:t>This security can only come about by way of registration, thereby recording ownership, usage, occupation, and access, succession and other rights. There is also a need for us, the landowners, to understand the use of titles as collateral for loans from financial institutions.</w:t>
                            </w:r>
                          </w:p>
                          <w:p w14:paraId="0906C64B" w14:textId="77777777" w:rsidR="009F661C" w:rsidRPr="00AF6838" w:rsidRDefault="009F661C" w:rsidP="00DC1614">
                            <w:pPr>
                              <w:pStyle w:val="PlainText"/>
                              <w:ind w:firstLine="284"/>
                              <w:jc w:val="both"/>
                              <w:rPr>
                                <w:rFonts w:ascii="Times New Roman" w:eastAsia="MS Mincho" w:hAnsi="Times New Roman" w:cs="Times New Roman"/>
                              </w:rPr>
                            </w:pPr>
                            <w:r w:rsidRPr="00AF6838">
                              <w:rPr>
                                <w:rFonts w:ascii="Times New Roman" w:eastAsia="MS Mincho" w:hAnsi="Times New Roman" w:cs="Times New Roman"/>
                              </w:rPr>
                              <w:t xml:space="preserve">In PNG there is existing legislation that </w:t>
                            </w:r>
                            <w:r>
                              <w:rPr>
                                <w:rFonts w:ascii="Times New Roman" w:eastAsia="MS Mincho" w:hAnsi="Times New Roman" w:cs="Times New Roman"/>
                              </w:rPr>
                              <w:t xml:space="preserve">assists landowners to secure </w:t>
                            </w:r>
                            <w:r w:rsidRPr="00AF6838">
                              <w:rPr>
                                <w:rFonts w:ascii="Times New Roman" w:eastAsia="MS Mincho" w:hAnsi="Times New Roman" w:cs="Times New Roman"/>
                              </w:rPr>
                              <w:t>their customary tenure and lease it t</w:t>
                            </w:r>
                            <w:r>
                              <w:rPr>
                                <w:rFonts w:ascii="Times New Roman" w:eastAsia="MS Mincho" w:hAnsi="Times New Roman" w:cs="Times New Roman"/>
                              </w:rPr>
                              <w:t xml:space="preserve">o the State or developers for a </w:t>
                            </w:r>
                            <w:r w:rsidRPr="00AF6838">
                              <w:rPr>
                                <w:rFonts w:ascii="Times New Roman" w:eastAsia="MS Mincho" w:hAnsi="Times New Roman" w:cs="Times New Roman"/>
                              </w:rPr>
                              <w:t>specific period of time for whatever development they would want to have.</w:t>
                            </w:r>
                            <w:r>
                              <w:rPr>
                                <w:rFonts w:ascii="Times New Roman" w:eastAsia="MS Mincho" w:hAnsi="Times New Roman" w:cs="Times New Roman"/>
                              </w:rPr>
                              <w:t xml:space="preserve"> </w:t>
                            </w:r>
                            <w:r w:rsidRPr="00AF6838">
                              <w:rPr>
                                <w:rFonts w:ascii="Times New Roman" w:eastAsia="MS Mincho" w:hAnsi="Times New Roman" w:cs="Times New Roman"/>
                              </w:rPr>
                              <w:t>The legislation is the Land Groups Incorporation Act 1974 and the lease-lease back system provided under section 60 of the Land Act 1996. The process encourages landowners to register their land as clan or lineage groups so that the title stays with the group. Registration records the ownership and other rights but does not change the base tenure, which is customary tenure. The use of custom is suspended only for the duration of the lease. Once the lease expires, the land reverts to customary land.</w:t>
                            </w:r>
                          </w:p>
                          <w:p w14:paraId="63F1D714" w14:textId="77777777" w:rsidR="009F661C" w:rsidRDefault="009F661C" w:rsidP="00DC1614">
                            <w:pPr>
                              <w:pStyle w:val="PlainText"/>
                              <w:ind w:firstLine="284"/>
                              <w:jc w:val="both"/>
                              <w:rPr>
                                <w:rFonts w:ascii="Times New Roman" w:eastAsia="MS Mincho" w:hAnsi="Times New Roman" w:cs="Times New Roman"/>
                              </w:rPr>
                            </w:pPr>
                            <w:r w:rsidRPr="00AF6838">
                              <w:rPr>
                                <w:rFonts w:ascii="Times New Roman" w:eastAsia="MS Mincho" w:hAnsi="Times New Roman" w:cs="Times New Roman"/>
                              </w:rPr>
                              <w:t>Customary landowners, especially in the oil palm project areas in West New Britain, Milne Bay and Northern provinces, are into it. They now understand that registration of customary land under this process is not alienation of customary land by the State or developers like what many people perceive</w:t>
                            </w:r>
                            <w:r>
                              <w:rPr>
                                <w:rFonts w:ascii="Times New Roman" w:eastAsia="MS Mincho" w:hAnsi="Times New Roman" w:cs="Times New Roman"/>
                              </w:rPr>
                              <w:t>…</w:t>
                            </w:r>
                            <w:r w:rsidRPr="00AF6838">
                              <w:rPr>
                                <w:rFonts w:ascii="Times New Roman" w:eastAsia="MS Mincho" w:hAnsi="Times New Roman" w:cs="Times New Roman"/>
                              </w:rPr>
                              <w:t>.</w:t>
                            </w:r>
                          </w:p>
                          <w:p w14:paraId="4FD4FE12" w14:textId="77777777" w:rsidR="009F661C" w:rsidRDefault="009F661C" w:rsidP="00707CF6">
                            <w:pPr>
                              <w:pStyle w:val="PlainText"/>
                              <w:ind w:left="567" w:firstLine="567"/>
                              <w:jc w:val="both"/>
                              <w:rPr>
                                <w:rFonts w:ascii="Times New Roman" w:eastAsia="MS Mincho" w:hAnsi="Times New Roman" w:cs="Times New Roman"/>
                              </w:rPr>
                            </w:pPr>
                          </w:p>
                          <w:p w14:paraId="3923D048" w14:textId="77777777" w:rsidR="009F661C" w:rsidRPr="00AF6838" w:rsidRDefault="009F661C" w:rsidP="00707CF6">
                            <w:pPr>
                              <w:pStyle w:val="PlainText"/>
                              <w:jc w:val="both"/>
                              <w:rPr>
                                <w:rFonts w:ascii="Times New Roman" w:eastAsia="MS Mincho" w:hAnsi="Times New Roman" w:cs="Times New Roman"/>
                              </w:rPr>
                            </w:pPr>
                            <w:r w:rsidRPr="00AF6838">
                              <w:rPr>
                                <w:rFonts w:ascii="Times New Roman" w:eastAsia="MS Mincho" w:hAnsi="Times New Roman" w:cs="Times New Roman"/>
                              </w:rPr>
                              <w:t>Robert Kopaol, Minister for Lands and Physical Planning, 2003</w:t>
                            </w:r>
                          </w:p>
                          <w:p w14:paraId="2DFA2888" w14:textId="77777777" w:rsidR="009F661C" w:rsidRPr="00AF6838" w:rsidRDefault="009F661C" w:rsidP="00707CF6">
                            <w:pPr>
                              <w:pStyle w:val="PlainText"/>
                              <w:ind w:left="567" w:firstLine="567"/>
                              <w:jc w:val="both"/>
                              <w:rPr>
                                <w:rFonts w:ascii="Times New Roman" w:eastAsia="MS Mincho" w:hAnsi="Times New Roman" w:cs="Times New Roman"/>
                              </w:rPr>
                            </w:pPr>
                          </w:p>
                          <w:p w14:paraId="70F1C318" w14:textId="77777777" w:rsidR="009F661C" w:rsidRDefault="009F661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9080D5" id="Text Box 9" o:spid="_x0000_s1032" type="#_x0000_t202" style="position:absolute;left:0;text-align:left;margin-left:0;margin-top:-16.55pt;width:244.4pt;height:466.2pt;z-index:25166438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X16MC8CAABYBAAADgAAAGRycy9lMm9Eb2MueG1srFTbjtsgEH2v1H9AvDd2ssluYsVZbbNNVWl7&#10;kXb7ARjjGBUYCiR2+vUdcJJabZ+q+gEBMxzOnDN4fd9rRY7CeQmmpNNJTokwHGpp9iX9+rJ7s6TE&#10;B2ZqpsCIkp6Ep/eb16/WnS3EDFpQtXAEQYwvOlvSNgRbZJnnrdDMT8AKg8EGnGYBl26f1Y51iK5V&#10;Nsvz26wDV1sHXHiPu49DkG4SftMIHj43jReBqJIit5BGl8YqjtlmzYq9Y7aV/EyD/QMLzaTBS69Q&#10;jywwcnDyDygtuQMPTZhw0Bk0jeQi1YDVTPPfqnlumRWpFhTH26tM/v/B8k/HL47IGr2jxDCNFr2I&#10;PpC30JNVVKezvsCkZ4tpocftmBkr9fYJ+DdPDGxbZvbiwTnoWsFqZDeNJ7PR0QHHR5Cq+wg1XsMO&#10;ARJQ3zgdAVEMgujo0unqTKTCcfNmmt8slxjiGFusZvndPHmXseJy3Dof3gvQJE5K6tD6BM+OTz5E&#10;Oqy4pCT6oGS9k0qlhdtXW+XIkWGb7NKXKsAqx2nKkK6kq8VsMSgwjvkxRJ6+v0FoGbDfldQlXV6T&#10;WBF1e2fq1I2BSTXMkbIyZyGjdoOKoa/65NjtxZ8K6hMq62Bob3yOOGnB/aCkw9Yuqf9+YE5Qoj4Y&#10;dGc1naN6JKTFfHE3w4UbR6pxhBmOUCUNlAzTbRjez8E6uW/xpqEfDDygo41MWkfrB1Zn+ti+yYLz&#10;U4vvY7xOWb9+CJufAAAA//8DAFBLAwQUAAYACAAAACEATTQcD98AAAAIAQAADwAAAGRycy9kb3du&#10;cmV2LnhtbEyPwU7DMBBE70j8g7VIXFDrlFQlCXEqhASCWylVubrxNomI18F20/D3LCc4rmb15k25&#10;nmwvRvShc6RgMU9AINXOdNQo2L0/zTIQIWoyuneECr4xwLq6vCh1YdyZ3nDcxkYwhEKhFbQxDoWU&#10;oW7R6jB3AxJnR+etjnz6Rhqvzwy3vbxNkpW0uiNuaPWAjy3Wn9uTVZAtX8aP8Jpu9vXq2Ofx5m58&#10;/vJKXV9ND/cgIk7x7xl+9VkdKnY6uBOZIHoFPCQqmKXpAgTHyyzjJQdm53kKsirl/wHVDwAAAP//&#10;AwBQSwECLQAUAAYACAAAACEA5JnDwPsAAADhAQAAEwAAAAAAAAAAAAAAAAAAAAAAW0NvbnRlbnRf&#10;VHlwZXNdLnhtbFBLAQItABQABgAIAAAAIQAjsmrh1wAAAJQBAAALAAAAAAAAAAAAAAAAACwBAABf&#10;cmVscy8ucmVsc1BLAQItABQABgAIAAAAIQAxfXowLwIAAFgEAAAOAAAAAAAAAAAAAAAAACwCAABk&#10;cnMvZTJvRG9jLnhtbFBLAQItABQABgAIAAAAIQBNNBwP3wAAAAgBAAAPAAAAAAAAAAAAAAAAAIcE&#10;AABkcnMvZG93bnJldi54bWxQSwUGAAAAAAQABADzAAAAkwUAAAAA&#10;">
                <v:textbox>
                  <w:txbxContent>
                    <w:p w14:paraId="7A9A5109" w14:textId="77777777" w:rsidR="009F661C" w:rsidRPr="00AF6838" w:rsidRDefault="009F661C" w:rsidP="00DC1614">
                      <w:pPr>
                        <w:pStyle w:val="PlainText"/>
                        <w:rPr>
                          <w:rFonts w:ascii="Times New Roman" w:eastAsia="MS Mincho" w:hAnsi="Times New Roman" w:cs="Times New Roman"/>
                          <w:b/>
                        </w:rPr>
                      </w:pPr>
                      <w:r w:rsidRPr="00AF6838">
                        <w:rPr>
                          <w:rFonts w:ascii="Times New Roman" w:eastAsia="MS Mincho" w:hAnsi="Times New Roman" w:cs="Times New Roman"/>
                          <w:b/>
                        </w:rPr>
                        <w:t xml:space="preserve">Box </w:t>
                      </w:r>
                      <w:r>
                        <w:rPr>
                          <w:rFonts w:ascii="Times New Roman" w:eastAsia="MS Mincho" w:hAnsi="Times New Roman" w:cs="Times New Roman"/>
                          <w:b/>
                        </w:rPr>
                        <w:t>10</w:t>
                      </w:r>
                      <w:r w:rsidRPr="00AF6838">
                        <w:rPr>
                          <w:rFonts w:ascii="Times New Roman" w:eastAsia="MS Mincho" w:hAnsi="Times New Roman" w:cs="Times New Roman"/>
                          <w:b/>
                        </w:rPr>
                        <w:t>.1</w:t>
                      </w:r>
                      <w:r w:rsidRPr="00AF6838">
                        <w:rPr>
                          <w:rFonts w:ascii="Times New Roman" w:eastAsia="MS Mincho" w:hAnsi="Times New Roman" w:cs="Times New Roman"/>
                          <w:b/>
                        </w:rPr>
                        <w:tab/>
                      </w:r>
                      <w:r w:rsidRPr="00AF6838">
                        <w:rPr>
                          <w:rFonts w:ascii="Times New Roman" w:eastAsia="MS Mincho" w:hAnsi="Times New Roman" w:cs="Times New Roman"/>
                          <w:b/>
                          <w:bCs/>
                        </w:rPr>
                        <w:t>"Bring back the plantations"</w:t>
                      </w:r>
                    </w:p>
                    <w:p w14:paraId="0D23BA1D" w14:textId="77777777" w:rsidR="009F661C" w:rsidRPr="00AF6838" w:rsidRDefault="009F661C" w:rsidP="00DC1614">
                      <w:pPr>
                        <w:pStyle w:val="PlainText"/>
                        <w:ind w:firstLine="284"/>
                        <w:rPr>
                          <w:rFonts w:ascii="Times New Roman" w:eastAsia="MS Mincho" w:hAnsi="Times New Roman" w:cs="Times New Roman"/>
                        </w:rPr>
                      </w:pPr>
                    </w:p>
                    <w:p w14:paraId="2EA7971E" w14:textId="77777777" w:rsidR="009F661C" w:rsidRPr="00AF6838" w:rsidRDefault="009F661C" w:rsidP="00DC1614">
                      <w:pPr>
                        <w:pStyle w:val="PlainText"/>
                        <w:ind w:firstLine="284"/>
                        <w:jc w:val="both"/>
                        <w:rPr>
                          <w:rFonts w:ascii="Times New Roman" w:eastAsia="MS Mincho" w:hAnsi="Times New Roman" w:cs="Times New Roman"/>
                        </w:rPr>
                      </w:pPr>
                      <w:r w:rsidRPr="00AF6838">
                        <w:rPr>
                          <w:rFonts w:ascii="Times New Roman" w:eastAsia="MS Mincho" w:hAnsi="Times New Roman" w:cs="Times New Roman"/>
                        </w:rPr>
                        <w:t>Because of our relationship with land we, the landowners, must take the first step to find ways to address the problems associated with land. Our land cannot be left idle, but [should be] put to use for the benefit of our communities without disputes over ownership rights, user rights, occupational and other rights. With 97 per cent of our land still in customary hands there is a greater need for security of this tenure.</w:t>
                      </w:r>
                    </w:p>
                    <w:p w14:paraId="6E5D36A8" w14:textId="77777777" w:rsidR="009F661C" w:rsidRPr="00AF6838" w:rsidRDefault="009F661C" w:rsidP="00DC1614">
                      <w:pPr>
                        <w:pStyle w:val="PlainText"/>
                        <w:ind w:firstLine="284"/>
                        <w:jc w:val="both"/>
                        <w:rPr>
                          <w:rFonts w:ascii="Times New Roman" w:eastAsia="MS Mincho" w:hAnsi="Times New Roman" w:cs="Times New Roman"/>
                        </w:rPr>
                      </w:pPr>
                      <w:r w:rsidRPr="00AF6838">
                        <w:rPr>
                          <w:rFonts w:ascii="Times New Roman" w:eastAsia="MS Mincho" w:hAnsi="Times New Roman" w:cs="Times New Roman"/>
                        </w:rPr>
                        <w:t>This security can only come about by way of registration, thereby recording ownership, usage, occupation, and access, succession and other rights. There is also a need for us, the landowners, to understand the use of titles as collateral for loans from financial institutions.</w:t>
                      </w:r>
                    </w:p>
                    <w:p w14:paraId="0906C64B" w14:textId="77777777" w:rsidR="009F661C" w:rsidRPr="00AF6838" w:rsidRDefault="009F661C" w:rsidP="00DC1614">
                      <w:pPr>
                        <w:pStyle w:val="PlainText"/>
                        <w:ind w:firstLine="284"/>
                        <w:jc w:val="both"/>
                        <w:rPr>
                          <w:rFonts w:ascii="Times New Roman" w:eastAsia="MS Mincho" w:hAnsi="Times New Roman" w:cs="Times New Roman"/>
                        </w:rPr>
                      </w:pPr>
                      <w:r w:rsidRPr="00AF6838">
                        <w:rPr>
                          <w:rFonts w:ascii="Times New Roman" w:eastAsia="MS Mincho" w:hAnsi="Times New Roman" w:cs="Times New Roman"/>
                        </w:rPr>
                        <w:t xml:space="preserve">In PNG there is existing legislation that </w:t>
                      </w:r>
                      <w:r>
                        <w:rPr>
                          <w:rFonts w:ascii="Times New Roman" w:eastAsia="MS Mincho" w:hAnsi="Times New Roman" w:cs="Times New Roman"/>
                        </w:rPr>
                        <w:t xml:space="preserve">assists landowners to secure </w:t>
                      </w:r>
                      <w:r w:rsidRPr="00AF6838">
                        <w:rPr>
                          <w:rFonts w:ascii="Times New Roman" w:eastAsia="MS Mincho" w:hAnsi="Times New Roman" w:cs="Times New Roman"/>
                        </w:rPr>
                        <w:t>their customary tenure and lease it t</w:t>
                      </w:r>
                      <w:r>
                        <w:rPr>
                          <w:rFonts w:ascii="Times New Roman" w:eastAsia="MS Mincho" w:hAnsi="Times New Roman" w:cs="Times New Roman"/>
                        </w:rPr>
                        <w:t xml:space="preserve">o the State or developers for a </w:t>
                      </w:r>
                      <w:r w:rsidRPr="00AF6838">
                        <w:rPr>
                          <w:rFonts w:ascii="Times New Roman" w:eastAsia="MS Mincho" w:hAnsi="Times New Roman" w:cs="Times New Roman"/>
                        </w:rPr>
                        <w:t>specific period of time for whatever development they would want to have.</w:t>
                      </w:r>
                      <w:r>
                        <w:rPr>
                          <w:rFonts w:ascii="Times New Roman" w:eastAsia="MS Mincho" w:hAnsi="Times New Roman" w:cs="Times New Roman"/>
                        </w:rPr>
                        <w:t xml:space="preserve"> </w:t>
                      </w:r>
                      <w:r w:rsidRPr="00AF6838">
                        <w:rPr>
                          <w:rFonts w:ascii="Times New Roman" w:eastAsia="MS Mincho" w:hAnsi="Times New Roman" w:cs="Times New Roman"/>
                        </w:rPr>
                        <w:t>The legislation is the Land Groups Incorporation Act 1974 and the lease-lease back system provided under section 60 of the Land Act 1996. The process encourages landowners to register their land as clan or lineage groups so that the title stays with the group. Registration records the ownership and other rights but does not change the base tenure, which is customary tenure. The use of custom is suspended only for the duration of the lease. Once the lease expires, the land reverts to customary land.</w:t>
                      </w:r>
                    </w:p>
                    <w:p w14:paraId="63F1D714" w14:textId="77777777" w:rsidR="009F661C" w:rsidRDefault="009F661C" w:rsidP="00DC1614">
                      <w:pPr>
                        <w:pStyle w:val="PlainText"/>
                        <w:ind w:firstLine="284"/>
                        <w:jc w:val="both"/>
                        <w:rPr>
                          <w:rFonts w:ascii="Times New Roman" w:eastAsia="MS Mincho" w:hAnsi="Times New Roman" w:cs="Times New Roman"/>
                        </w:rPr>
                      </w:pPr>
                      <w:r w:rsidRPr="00AF6838">
                        <w:rPr>
                          <w:rFonts w:ascii="Times New Roman" w:eastAsia="MS Mincho" w:hAnsi="Times New Roman" w:cs="Times New Roman"/>
                        </w:rPr>
                        <w:t>Customary landowners, especially in the oil palm project areas in West New Britain, Milne Bay and Northern provinces, are into it. They now understand that registration of customary land under this process is not alienation of customary land by the State or developers like what many people perceive</w:t>
                      </w:r>
                      <w:r>
                        <w:rPr>
                          <w:rFonts w:ascii="Times New Roman" w:eastAsia="MS Mincho" w:hAnsi="Times New Roman" w:cs="Times New Roman"/>
                        </w:rPr>
                        <w:t>…</w:t>
                      </w:r>
                      <w:r w:rsidRPr="00AF6838">
                        <w:rPr>
                          <w:rFonts w:ascii="Times New Roman" w:eastAsia="MS Mincho" w:hAnsi="Times New Roman" w:cs="Times New Roman"/>
                        </w:rPr>
                        <w:t>.</w:t>
                      </w:r>
                    </w:p>
                    <w:p w14:paraId="4FD4FE12" w14:textId="77777777" w:rsidR="009F661C" w:rsidRDefault="009F661C" w:rsidP="00707CF6">
                      <w:pPr>
                        <w:pStyle w:val="PlainText"/>
                        <w:ind w:left="567" w:firstLine="567"/>
                        <w:jc w:val="both"/>
                        <w:rPr>
                          <w:rFonts w:ascii="Times New Roman" w:eastAsia="MS Mincho" w:hAnsi="Times New Roman" w:cs="Times New Roman"/>
                        </w:rPr>
                      </w:pPr>
                    </w:p>
                    <w:p w14:paraId="3923D048" w14:textId="77777777" w:rsidR="009F661C" w:rsidRPr="00AF6838" w:rsidRDefault="009F661C" w:rsidP="00707CF6">
                      <w:pPr>
                        <w:pStyle w:val="PlainText"/>
                        <w:jc w:val="both"/>
                        <w:rPr>
                          <w:rFonts w:ascii="Times New Roman" w:eastAsia="MS Mincho" w:hAnsi="Times New Roman" w:cs="Times New Roman"/>
                        </w:rPr>
                      </w:pPr>
                      <w:r w:rsidRPr="00AF6838">
                        <w:rPr>
                          <w:rFonts w:ascii="Times New Roman" w:eastAsia="MS Mincho" w:hAnsi="Times New Roman" w:cs="Times New Roman"/>
                        </w:rPr>
                        <w:t>Robert Kopaol, Minister for Lands and Physical Planning, 2003</w:t>
                      </w:r>
                    </w:p>
                    <w:p w14:paraId="2DFA2888" w14:textId="77777777" w:rsidR="009F661C" w:rsidRPr="00AF6838" w:rsidRDefault="009F661C" w:rsidP="00707CF6">
                      <w:pPr>
                        <w:pStyle w:val="PlainText"/>
                        <w:ind w:left="567" w:firstLine="567"/>
                        <w:jc w:val="both"/>
                        <w:rPr>
                          <w:rFonts w:ascii="Times New Roman" w:eastAsia="MS Mincho" w:hAnsi="Times New Roman" w:cs="Times New Roman"/>
                        </w:rPr>
                      </w:pPr>
                    </w:p>
                    <w:p w14:paraId="70F1C318" w14:textId="77777777" w:rsidR="009F661C" w:rsidRDefault="009F661C"/>
                  </w:txbxContent>
                </v:textbox>
              </v:shape>
            </w:pict>
          </mc:Fallback>
        </mc:AlternateContent>
      </w:r>
    </w:p>
    <w:p w14:paraId="608D25C8" w14:textId="77777777" w:rsidR="009F661C" w:rsidRPr="00DC1614" w:rsidRDefault="009F661C" w:rsidP="00DC1614">
      <w:pPr>
        <w:ind w:firstLine="284"/>
        <w:jc w:val="both"/>
        <w:rPr>
          <w:sz w:val="20"/>
          <w:szCs w:val="20"/>
        </w:rPr>
      </w:pPr>
      <w:r>
        <w:rPr>
          <w:rFonts w:eastAsia="MS Mincho"/>
        </w:rPr>
        <w:br w:type="page"/>
      </w:r>
      <w:r w:rsidRPr="00DC1614">
        <w:rPr>
          <w:sz w:val="20"/>
          <w:szCs w:val="20"/>
        </w:rPr>
        <w:lastRenderedPageBreak/>
        <w:t>Power (2003) argues the need to create Melanesian property rights on similar grounds:</w:t>
      </w:r>
    </w:p>
    <w:p w14:paraId="21EF601F" w14:textId="77777777" w:rsidR="009F661C" w:rsidRPr="001D79C8" w:rsidRDefault="009F661C" w:rsidP="00C04504">
      <w:pPr>
        <w:pStyle w:val="DLText"/>
      </w:pPr>
    </w:p>
    <w:p w14:paraId="77473F67" w14:textId="77777777" w:rsidR="009F661C" w:rsidRPr="001D79C8" w:rsidRDefault="009F661C" w:rsidP="00DC1614">
      <w:pPr>
        <w:pStyle w:val="DLQuotes"/>
      </w:pPr>
      <w:r w:rsidRPr="001D79C8">
        <w:t>The majority of people in the country are in the traditional extra-legal situation on immobilized customary land, thereby not reaping the benefits that would be available to them in a formal property regime. Failure to act will give us a modern version of extra-legals on informal developments on customary land. Population growth will inevitably produce masses of landless people that will have to spill over to urban centres or to immobilized areas of low population thereby creating conflict.</w:t>
      </w:r>
      <w:r w:rsidRPr="001D79C8">
        <w:rPr>
          <w:rStyle w:val="FootnoteReference"/>
          <w:rFonts w:eastAsia="MS Mincho"/>
        </w:rPr>
        <w:t xml:space="preserve"> </w:t>
      </w:r>
    </w:p>
    <w:p w14:paraId="035850D3" w14:textId="77777777" w:rsidR="009F661C" w:rsidRPr="001D79C8" w:rsidRDefault="009F661C" w:rsidP="00C04504">
      <w:pPr>
        <w:pStyle w:val="DLText"/>
      </w:pPr>
    </w:p>
    <w:p w14:paraId="6E21729C" w14:textId="77777777" w:rsidR="009F661C" w:rsidRPr="001D79C8" w:rsidRDefault="009F661C" w:rsidP="00C04504">
      <w:pPr>
        <w:pStyle w:val="DLText"/>
        <w:rPr>
          <w:rFonts w:eastAsia="MS Mincho"/>
        </w:rPr>
      </w:pPr>
      <w:r w:rsidRPr="001D79C8">
        <w:rPr>
          <w:rFonts w:eastAsia="MS Mincho"/>
        </w:rPr>
        <w:t xml:space="preserve">But both </w:t>
      </w:r>
      <w:r>
        <w:rPr>
          <w:rFonts w:eastAsia="MS Mincho"/>
        </w:rPr>
        <w:t xml:space="preserve">Power and </w:t>
      </w:r>
      <w:r w:rsidRPr="001D79C8">
        <w:rPr>
          <w:rFonts w:eastAsia="MS Mincho"/>
        </w:rPr>
        <w:t>the Minister evidently stop short of proposing individuation of title through registration of existing individual usufructs - according to Power "this is tantamount to social suicide for Papua New Guineans as it will result in the complete breakdown of all our social fabric"(Power 2003). Similarly Power had previously stated that it was the individuation of title after the enclosures in England that had produced "masses of landless people" spilling over to the towns. In reality history shows that all population gr</w:t>
      </w:r>
      <w:r>
        <w:rPr>
          <w:rFonts w:eastAsia="MS Mincho"/>
        </w:rPr>
        <w:t>owth leads inexorably to urbaniz</w:t>
      </w:r>
      <w:r w:rsidRPr="001D79C8">
        <w:rPr>
          <w:rFonts w:eastAsia="MS Mincho"/>
        </w:rPr>
        <w:t>ation - and that the emergence of the urban market is what drives the formidable growth of agricultural productivity seen in Western Europe and North America over the last two hundred years. It seems improbable that merely registering communal land rights held through incorporated land groups (ILGs) w</w:t>
      </w:r>
      <w:r>
        <w:rPr>
          <w:rFonts w:eastAsia="MS Mincho"/>
        </w:rPr>
        <w:t>ould</w:t>
      </w:r>
      <w:r w:rsidRPr="001D79C8">
        <w:rPr>
          <w:rFonts w:eastAsia="MS Mincho"/>
        </w:rPr>
        <w:t xml:space="preserve"> be enough to reverse the drift of excess rural population to the towns in Papua New Guinea that has been revealed by the censuses of 1990 and 2000.</w:t>
      </w:r>
    </w:p>
    <w:p w14:paraId="1436C136" w14:textId="77777777" w:rsidR="009F661C" w:rsidRPr="001D79C8" w:rsidRDefault="009F661C" w:rsidP="009D3579">
      <w:pPr>
        <w:pStyle w:val="DLText"/>
      </w:pPr>
      <w:r w:rsidRPr="001D79C8">
        <w:t>It may therefore be helpful to describe how individual land tenure was achieved elsewhere, despite all the above problems, first in 1778 in the ancestral village of one of us, Wedmore, in Somerset, England, and secondly around 1960, in Kenya, where almost identical problems were successfully dealt with. The most important point is that contrary to the apparent belief of some of Papua New Guinea’s opponents of land reform, in neither case was any person dispossessed of any part of his customary land, even if subsequently as a matter of choice the land awarded was sold or otherwise disposed of.</w:t>
      </w:r>
    </w:p>
    <w:p w14:paraId="139EF5E2" w14:textId="77777777" w:rsidR="009F661C" w:rsidRPr="001D79C8" w:rsidRDefault="009F661C" w:rsidP="009D3579">
      <w:pPr>
        <w:pStyle w:val="DLText"/>
      </w:pPr>
      <w:r w:rsidRPr="001D79C8">
        <w:t>Thus in Wedmore in 1778, a large majority of the village’s customary landowners themselves applied to the Parliament in London for an Act enclosing Wedmore Moor, being the common land to the east of the village.</w:t>
      </w:r>
      <w:r w:rsidRPr="001D79C8">
        <w:rPr>
          <w:rStyle w:val="FootnoteReference"/>
        </w:rPr>
        <w:footnoteReference w:id="31"/>
      </w:r>
      <w:r w:rsidRPr="001D79C8">
        <w:t xml:space="preserve">  The Act made a total of 258 awards of customary tenements within the Moor to some 168 individuals (some obtained more than one allotment, </w:t>
      </w:r>
      <w:r w:rsidRPr="001D79C8">
        <w:lastRenderedPageBreak/>
        <w:t xml:space="preserve">in accordance with their acquired customary rights). This writer’s distant relative William Stone was one of those “allotted and awarded” full title to his “tenement” (i.e. parcel of land to which he had customary rights), as defined by survey and measuring two acres (about 0.8 hectares). The Act also allotted tenements of two acres each to William’s brother Benjamin, his cousin Gabriel, and his aunt Mary Stone. In return for granting them title, the Act required the Stones and the other recipients of awards to maintain and keep in repair “all gates, styles, hedges, mounds, bridges, fences and watercourses” on their land (Rose 1982, 20-26; 74-75; Rose 1997a). No persons who had customary rights to any part of the Moor lost their entitlement, but they did gain the right to sell their – or buy other – allotments. The population of Wedmore at the 1801 Census, by when the enclosure process had been completed, was 2,083; but contrary to Holzknecht’s assertion noted above that the enclosures led to a decrease in rural population, this village’s population had </w:t>
      </w:r>
      <w:r w:rsidRPr="001D79C8">
        <w:rPr>
          <w:i/>
          <w:iCs/>
        </w:rPr>
        <w:t xml:space="preserve">increased </w:t>
      </w:r>
      <w:r w:rsidRPr="001D79C8">
        <w:t xml:space="preserve">by the 1851 census to 3,865 (Page </w:t>
      </w:r>
      <w:r w:rsidRPr="001D79C8">
        <w:rPr>
          <w:i/>
          <w:iCs/>
        </w:rPr>
        <w:t>et al</w:t>
      </w:r>
      <w:r w:rsidRPr="001D79C8">
        <w:t>. 1911, 341).</w:t>
      </w:r>
    </w:p>
    <w:p w14:paraId="544B9A98" w14:textId="77777777" w:rsidR="009F661C" w:rsidRPr="001D79C8" w:rsidRDefault="009F661C" w:rsidP="009D3579">
      <w:pPr>
        <w:pStyle w:val="DLText"/>
      </w:pPr>
      <w:r w:rsidRPr="001D79C8">
        <w:t xml:space="preserve">The creation of individual title in Kenya was similar. Again, not only were traditional rights recognized, but in addition opportunity was taken to consolidate scattered fragments of land holdings into larger single units, and this was widely welcomed (Sorrenson 1967, 223). Unlike England, where the enclosures took place gradually over centuries, the process in Kenya’s highlands was completed within two decades. By 1977 over 90 per cent of 30 million hectares (equal to about 66 per cent of Papua New Guinea’s total area) of total registrable customary land (i.e. excluding the north-eastern nomadic areas) had been registered and title granted, amounting to some 1.7 million farms, of which about half were less than one hectare (Hazlewood 1979: 34-42). As noted above, the 2000 Census indicated that Papua New Guinea has about one million households, so that providing each of them with registered title would not be more difficult than in Kenya – and as in Kenya, aid donors could be asked to support the process with expertise and funding. </w:t>
      </w:r>
    </w:p>
    <w:p w14:paraId="73769B99" w14:textId="77777777" w:rsidR="009F661C" w:rsidRPr="001D79C8" w:rsidRDefault="009F661C" w:rsidP="009D3579">
      <w:pPr>
        <w:pStyle w:val="DLText"/>
      </w:pPr>
      <w:r w:rsidRPr="001D79C8">
        <w:t>A key feature of Kenya’s land reform, unlike England’s, is that it adopted South Australia’s Torrens system of 1858, whereby registration was compulsory and title was guaranteed by the State (Sorrenson 1967, 182-183). This was done to avoid the complexities of land conveyancing in England and use of the “corrupt” local courts in Kenya. But as noted already, central registration by the public sector can easily break down, so perhaps after all the British system of "searches" by solicitors to verify existence of unencumbered title deeds for a property being offered for sale is more practicable in the long run.</w:t>
      </w:r>
    </w:p>
    <w:p w14:paraId="283C2961" w14:textId="77777777" w:rsidR="009F661C" w:rsidRPr="001D79C8" w:rsidRDefault="009F661C" w:rsidP="009D3579">
      <w:pPr>
        <w:pStyle w:val="DLText"/>
      </w:pPr>
      <w:r w:rsidRPr="001D79C8">
        <w:lastRenderedPageBreak/>
        <w:t xml:space="preserve">The attempts by the Australian </w:t>
      </w:r>
      <w:r>
        <w:t xml:space="preserve">colonial </w:t>
      </w:r>
      <w:r w:rsidRPr="001D79C8">
        <w:t xml:space="preserve">governments in </w:t>
      </w:r>
      <w:r>
        <w:t>its</w:t>
      </w:r>
      <w:r w:rsidRPr="001D79C8">
        <w:t xml:space="preserve"> last decade of administering Papua New Guinea to put in place appropriate legislation to permit conversion of customary into individual land tenure contrast with the acquiescence of the Hawke and Keating governments in the landmark Mabo judgment and subsequent enactment of enabling legislation in the early 1990s. Ron Duncan (2003) states that Mabo effectively "turned the clock back 200 years" by returning land that had in effect been taken into public hands to customary - but not individual - ownership by the indigenous, Aboriginal, inhabitants of very large areas of Australia.</w:t>
      </w:r>
    </w:p>
    <w:p w14:paraId="270C3E30" w14:textId="77777777" w:rsidR="009F661C" w:rsidRPr="001D79C8" w:rsidRDefault="009F661C" w:rsidP="009D3579">
      <w:pPr>
        <w:pStyle w:val="DLText"/>
      </w:pPr>
      <w:r w:rsidRPr="001D79C8">
        <w:t xml:space="preserve">The final outcome remains unclear, but so far the restoration of traditional ownership under 'native title' appears to have done little to improve the appalling social indicators of the Aboriginal communities, especially in northern Australia, which in most respects are worse than Papua New Guinea's criticized so severely by Satish Chand (2004) amongst others. For example life expectancy of the Aboriginal and Torres Straits Islanders </w:t>
      </w:r>
      <w:r>
        <w:t>was much lower than in the rest of Australia, at 56.9 for indigenous males in 1996, compared with 75.2 for non-indigenous males, and with the death rate in the Northern territory 50 percent higher than in any of the State</w:t>
      </w:r>
      <w:r w:rsidRPr="001D79C8">
        <w:t>s</w:t>
      </w:r>
      <w:r>
        <w:t xml:space="preserve"> in 1998. The Mabo judgment did notbhing to reduce the </w:t>
      </w:r>
      <w:r w:rsidRPr="001D79C8">
        <w:t xml:space="preserve">90 per cent of the income of those in the Northern Territory </w:t>
      </w:r>
      <w:r>
        <w:t xml:space="preserve">that </w:t>
      </w:r>
      <w:r w:rsidRPr="001D79C8">
        <w:t>derives from welfare grants from the Australian government (Duncan 2003</w:t>
      </w:r>
      <w:r>
        <w:t>:</w:t>
      </w:r>
      <w:r w:rsidRPr="001D79C8">
        <w:t xml:space="preserve"> 305).  Duncan further points out </w:t>
      </w:r>
      <w:r>
        <w:t>(</w:t>
      </w:r>
      <w:r w:rsidRPr="001D79C8">
        <w:t>2003</w:t>
      </w:r>
      <w:r>
        <w:t>:</w:t>
      </w:r>
      <w:r w:rsidRPr="001D79C8">
        <w:t>, 315)</w:t>
      </w:r>
      <w:r>
        <w:t xml:space="preserve"> </w:t>
      </w:r>
      <w:r w:rsidRPr="001D79C8">
        <w:t xml:space="preserve">that considerable gains in rural productivity are possible without formal individualized title, especially if some form of individual leasehold tenure is available, as used to be the case in Fiji, but does not address the difficulties of achieving this in the context of clan or communal ownership such as we have described in chapters </w:t>
      </w:r>
      <w:r>
        <w:t>2</w:t>
      </w:r>
      <w:r w:rsidRPr="001D79C8">
        <w:t>-</w:t>
      </w:r>
      <w:r>
        <w:t>5</w:t>
      </w:r>
      <w:r w:rsidRPr="001D79C8">
        <w:t xml:space="preserve"> above</w:t>
      </w:r>
      <w:r>
        <w:t>.</w:t>
      </w:r>
    </w:p>
    <w:p w14:paraId="1BBA8A03" w14:textId="77777777" w:rsidR="009F661C" w:rsidRPr="001D79C8" w:rsidRDefault="009F661C" w:rsidP="009D3579">
      <w:pPr>
        <w:pStyle w:val="DLText"/>
      </w:pPr>
      <w:r w:rsidRPr="001D79C8">
        <w:t>However a recent dispute over the validity of titles that had been issued under Papua New Guinea's Land (Tenure Conversion) Act illustrates the difficulties that can arise even when legislation permits individual title but the government's administration of the titling process is incompetent. Plaintiffs contested the validity of certificates of title that purported to provide absolute ownership of 12,578 hectares of sea known as the Aliwo Passage near Kandrian, West New Britain Province. The judge held that the sea is a public highway, and that within territorial waters of Papua New Guinea, the domain is held by the State. He accordingly determined that the certificate of title (Volume 33 Folio 44) was a nullity. The judge (Robert Woods) added that</w:t>
      </w:r>
    </w:p>
    <w:p w14:paraId="5E4D4F02" w14:textId="77777777" w:rsidR="009F661C" w:rsidRPr="001D79C8" w:rsidRDefault="009F661C" w:rsidP="009D3579">
      <w:pPr>
        <w:pStyle w:val="DLText"/>
      </w:pPr>
    </w:p>
    <w:p w14:paraId="56DCE939" w14:textId="77777777" w:rsidR="009F661C" w:rsidRPr="001D79C8" w:rsidRDefault="009F661C" w:rsidP="00DC1614">
      <w:pPr>
        <w:pStyle w:val="DLQuotes"/>
        <w:rPr>
          <w:lang w:val="en-US"/>
        </w:rPr>
      </w:pPr>
      <w:r w:rsidRPr="001D79C8">
        <w:rPr>
          <w:lang w:val="en-US"/>
        </w:rPr>
        <w:t xml:space="preserve">...for some reason neither the State nor any of the parties were able to gain access to the files of the Land Titles Commission or the Registrar of Titles to enable the court or the parties to ascertain exactly the processes of the hearing by the Commission and how the Registrar issued the Title. The </w:t>
      </w:r>
      <w:r w:rsidRPr="001D79C8">
        <w:rPr>
          <w:lang w:val="en-US"/>
        </w:rPr>
        <w:lastRenderedPageBreak/>
        <w:t>lawyer for the State advises that in spite of subpoenas being issued she had been unable to produce the files from the Land Titles Commission and the Registrar-General concerning the issue of the Certificate of Title (</w:t>
      </w:r>
      <w:r w:rsidRPr="001D79C8">
        <w:rPr>
          <w:i/>
          <w:lang w:val="en-US"/>
        </w:rPr>
        <w:t>Papua New Guinea Law Reports 1998</w:t>
      </w:r>
      <w:r w:rsidRPr="001D79C8">
        <w:rPr>
          <w:lang w:val="en-US"/>
        </w:rPr>
        <w:t>, 31-33).</w:t>
      </w:r>
    </w:p>
    <w:p w14:paraId="73EC2651" w14:textId="77777777" w:rsidR="009F661C" w:rsidRPr="001D79C8" w:rsidRDefault="009F661C" w:rsidP="009D3579">
      <w:pPr>
        <w:pStyle w:val="DLText"/>
      </w:pPr>
    </w:p>
    <w:p w14:paraId="4586DFDF" w14:textId="77777777" w:rsidR="009F661C" w:rsidRPr="001D79C8" w:rsidRDefault="009F661C" w:rsidP="009D3579">
      <w:pPr>
        <w:pStyle w:val="DLText"/>
      </w:pPr>
      <w:r w:rsidRPr="001D79C8">
        <w:t>Judge Woods also noted other problems, such as the lack of evidence of the Land Titles Commission giving relevant notice when it purportedly signed away the powers of the State, and that the application for title by the Land Group in August 1995 was actually made before its formal incorporation in October 1995. But these are issues of efficiency or otherwise of governance, not principle.</w:t>
      </w:r>
    </w:p>
    <w:p w14:paraId="62473DF5" w14:textId="77777777" w:rsidR="009F661C" w:rsidRPr="00991378" w:rsidRDefault="009F661C" w:rsidP="00DC1614">
      <w:pPr>
        <w:pStyle w:val="DLHeading2"/>
        <w:rPr>
          <w:b w:val="0"/>
          <w:bCs w:val="0"/>
        </w:rPr>
      </w:pPr>
      <w:r w:rsidRPr="00991378">
        <w:t>Discussion</w:t>
      </w:r>
    </w:p>
    <w:p w14:paraId="6220D8F0" w14:textId="77777777" w:rsidR="009F661C" w:rsidRPr="001D79C8" w:rsidRDefault="009F661C" w:rsidP="009D3579">
      <w:pPr>
        <w:pStyle w:val="DLText"/>
      </w:pPr>
      <w:r w:rsidRPr="001D79C8">
        <w:t xml:space="preserve">Holzknecht (1999, 141) and Bourke (2005) amongst others argue that there is no economic necessity for Papua New Guinea to change its traditional forms of land tenure to modern forms based on alienation, “and making land a commodity to be bought and sold...because a high percentage of coffee, cocoa, copra exported from Papua New Guinea comes from smallholders working on their customary land”. The failure shown above of those smallholders to expand output in line with the growth of population is nevertheless </w:t>
      </w:r>
      <w:r w:rsidRPr="001D79C8">
        <w:rPr>
          <w:i/>
          <w:iCs/>
        </w:rPr>
        <w:t xml:space="preserve">prima facie </w:t>
      </w:r>
      <w:r w:rsidRPr="001D79C8">
        <w:t xml:space="preserve">evidence of a case for land reform, evidence that is supported by Holzknecht’s assessment   “some 93% of the poor live in rural areas, where over 41% of the population live below the poverty line”. Holzknecht’s further comments that “large [sic] tonnages of garden greens and other vegetables - and certainly not all traditional crops – are sold in markets around the country”, and that “the betel-nut market around Papua New Guinea is likely the highest value annual crop for which there has been developed a most sophisticated marketing network across Papua New Guinea all without any assistance from the state or from international donors” were shown </w:t>
      </w:r>
      <w:r>
        <w:t xml:space="preserve">in Chapter 8 </w:t>
      </w:r>
      <w:r w:rsidRPr="001D79C8">
        <w:t>above to be based on inadequate interpretation of the data, as well as being inconsistent with Holzknecht's own recognition (1999) of the depth of poverty in Papua New Guinea’s rural areas.</w:t>
      </w:r>
    </w:p>
    <w:p w14:paraId="212F4F79" w14:textId="77777777" w:rsidR="009F661C" w:rsidRPr="001D79C8" w:rsidRDefault="009F661C" w:rsidP="009D3579">
      <w:pPr>
        <w:pStyle w:val="DLText"/>
      </w:pPr>
      <w:r w:rsidRPr="001D79C8">
        <w:t xml:space="preserve">The experiences noted above of land reform </w:t>
      </w:r>
      <w:r>
        <w:t xml:space="preserve">and titling </w:t>
      </w:r>
      <w:r w:rsidRPr="001D79C8">
        <w:t xml:space="preserve">in countries as diverse as England, Egypt, Kenya </w:t>
      </w:r>
      <w:r>
        <w:t xml:space="preserve">and Zambia </w:t>
      </w:r>
      <w:r w:rsidRPr="001D79C8">
        <w:t xml:space="preserve">suggest the potential benefits available in Papua New Guinea. In particular, the expansion of Kenya’s smallholder production </w:t>
      </w:r>
      <w:r>
        <w:t xml:space="preserve">of </w:t>
      </w:r>
      <w:r w:rsidRPr="001D79C8">
        <w:t xml:space="preserve">tea </w:t>
      </w:r>
      <w:r>
        <w:t>had it been</w:t>
      </w:r>
      <w:r w:rsidRPr="001D79C8">
        <w:t xml:space="preserve"> replicated in Papua New Guinea could well have more than doubled the cash incomes of the latter’s smallholders in its highlands. The similar apparent inability of Papua New Guinea’s customary landowners to respond to the opportunities for much larger production of palm oil, sugar cane, </w:t>
      </w:r>
      <w:r>
        <w:t xml:space="preserve">not to mention expanded livestock </w:t>
      </w:r>
      <w:r>
        <w:lastRenderedPageBreak/>
        <w:t>herds enabling a protein enriched meat-based diet,</w:t>
      </w:r>
      <w:r w:rsidRPr="001D79C8">
        <w:t xml:space="preserve"> also suggests that the problem may lie in land tenure.</w:t>
      </w:r>
    </w:p>
    <w:p w14:paraId="2F089818" w14:textId="77777777" w:rsidR="009F661C" w:rsidRPr="001D79C8" w:rsidRDefault="009F661C" w:rsidP="009D3579">
      <w:pPr>
        <w:pStyle w:val="DLText"/>
      </w:pPr>
      <w:r w:rsidRPr="001D79C8">
        <w:t>Land reform of itself cannot solve all the problems of development, but it has been part and parcel of success in so many countries in the rest of the world that it deserves a chance in Papua New Guinea. Critics of this view are right that there is not much to be gained from simply titling existing smallholdings if this does not open up new opportunities to create the larger-scale holdings that are needed if more capital-intensive production is to be achieved. That would mean following up Moses Maladina's call for a revival of the plantation sector, and also perhaps in time greater willingness by Papua New Guinea to permit foreigners to acquire at least long-term leases ( 2003). Foreigners are reported to own no less than 1.2 million hectares of land in Queensland, or ten times as much as the total area of the oil palm estates in Papua New Guinea, and it can hardly be said that Queensland does not prosper whilst allowing this degree of foreign ownership of land (</w:t>
      </w:r>
      <w:r w:rsidRPr="001D79C8">
        <w:rPr>
          <w:i/>
          <w:lang w:val="en-AU"/>
        </w:rPr>
        <w:t>Australian Financial Review</w:t>
      </w:r>
      <w:r w:rsidRPr="001D79C8">
        <w:t xml:space="preserve"> 2004).</w:t>
      </w:r>
    </w:p>
    <w:p w14:paraId="77BFA0F7" w14:textId="77777777" w:rsidR="009F661C" w:rsidRPr="001D79C8" w:rsidRDefault="009F661C" w:rsidP="009D3579">
      <w:pPr>
        <w:pStyle w:val="DLText"/>
      </w:pPr>
      <w:r w:rsidRPr="001D79C8">
        <w:t xml:space="preserve">Similarly the data on log production from a New Zealand plantation cited above (Chapter </w:t>
      </w:r>
      <w:r>
        <w:t>9</w:t>
      </w:r>
      <w:r w:rsidRPr="001D79C8">
        <w:t>)  with output worth nearly three times more than Papua New Guinea's log exports in 2003 from a land area of 5 per cent of Papua New Guinea's forested area suggest the importance of commercial production from formally organi</w:t>
      </w:r>
      <w:r>
        <w:t>z</w:t>
      </w:r>
      <w:r w:rsidRPr="001D79C8">
        <w:t>ed forests and plantations. It certainly provides a counterfactual to the claims by Amarshi, Good, and Mortimer that...</w:t>
      </w:r>
    </w:p>
    <w:p w14:paraId="0D8F122E" w14:textId="77777777" w:rsidR="009F661C" w:rsidRPr="00DC1614" w:rsidRDefault="009F661C" w:rsidP="00DC1614">
      <w:pPr>
        <w:pStyle w:val="DLText"/>
        <w:ind w:left="284" w:right="284" w:firstLine="0"/>
        <w:rPr>
          <w:sz w:val="18"/>
          <w:szCs w:val="18"/>
        </w:rPr>
      </w:pPr>
    </w:p>
    <w:p w14:paraId="44B9184C" w14:textId="77777777" w:rsidR="009F661C" w:rsidRPr="00DC1614" w:rsidRDefault="009F661C" w:rsidP="00DC1614">
      <w:pPr>
        <w:pStyle w:val="DLText"/>
        <w:ind w:left="284" w:right="284" w:firstLine="0"/>
        <w:rPr>
          <w:sz w:val="18"/>
          <w:szCs w:val="18"/>
        </w:rPr>
      </w:pPr>
      <w:r w:rsidRPr="00DC1614">
        <w:rPr>
          <w:sz w:val="18"/>
          <w:szCs w:val="18"/>
        </w:rPr>
        <w:t>The plantation system gives rise to a fracturing of the economy manifested in:</w:t>
      </w:r>
    </w:p>
    <w:p w14:paraId="0BE5EE2F" w14:textId="77777777" w:rsidR="009F661C" w:rsidRPr="00DC1614" w:rsidRDefault="009F661C" w:rsidP="00DC1614">
      <w:pPr>
        <w:pStyle w:val="DLText"/>
        <w:numPr>
          <w:ilvl w:val="0"/>
          <w:numId w:val="7"/>
        </w:numPr>
        <w:tabs>
          <w:tab w:val="clear" w:pos="890"/>
          <w:tab w:val="num" w:pos="567"/>
        </w:tabs>
        <w:ind w:left="284" w:right="284" w:firstLine="0"/>
        <w:rPr>
          <w:sz w:val="18"/>
          <w:szCs w:val="18"/>
        </w:rPr>
      </w:pPr>
      <w:r w:rsidRPr="00DC1614">
        <w:rPr>
          <w:sz w:val="18"/>
          <w:szCs w:val="18"/>
        </w:rPr>
        <w:t>The peasant base and the export enclave following their own divergent paths in spite of the inter-dependence of the two sectors and</w:t>
      </w:r>
    </w:p>
    <w:p w14:paraId="0EEF3AFF" w14:textId="77777777" w:rsidR="009F661C" w:rsidRPr="00DC1614" w:rsidRDefault="009F661C" w:rsidP="00DC1614">
      <w:pPr>
        <w:pStyle w:val="DLText"/>
        <w:numPr>
          <w:ilvl w:val="0"/>
          <w:numId w:val="7"/>
        </w:numPr>
        <w:tabs>
          <w:tab w:val="clear" w:pos="890"/>
          <w:tab w:val="num" w:pos="567"/>
        </w:tabs>
        <w:ind w:left="284" w:right="284" w:firstLine="0"/>
        <w:rPr>
          <w:sz w:val="18"/>
          <w:szCs w:val="18"/>
        </w:rPr>
      </w:pPr>
      <w:r w:rsidRPr="00DC1614">
        <w:rPr>
          <w:sz w:val="18"/>
          <w:szCs w:val="18"/>
        </w:rPr>
        <w:t>A progressive divergence opening up between domestic resources and domestic demand…</w:t>
      </w:r>
    </w:p>
    <w:p w14:paraId="0AB70BC7" w14:textId="77777777" w:rsidR="009F661C" w:rsidRPr="00DC1614" w:rsidRDefault="009F661C" w:rsidP="00DC1614">
      <w:pPr>
        <w:pStyle w:val="DLText"/>
        <w:numPr>
          <w:ilvl w:val="0"/>
          <w:numId w:val="7"/>
        </w:numPr>
        <w:tabs>
          <w:tab w:val="clear" w:pos="890"/>
          <w:tab w:val="num" w:pos="567"/>
        </w:tabs>
        <w:ind w:left="284" w:right="284" w:firstLine="0"/>
        <w:rPr>
          <w:sz w:val="18"/>
          <w:szCs w:val="18"/>
        </w:rPr>
      </w:pPr>
      <w:r w:rsidRPr="00DC1614">
        <w:rPr>
          <w:sz w:val="18"/>
          <w:szCs w:val="18"/>
        </w:rPr>
        <w:t>The combination of foreign ownership of capital and the export orientation of production and accumulation continually militates against any spread effects...the plantation system causes a general decline in productivity and skills in subsistence production, thereby imposing on the peasant an increasingly marginal existence...wages and profits generated from plantation production tend to dissipate into import consumption rather than leading to the domestic production of consumer goods (1979, 32-33).</w:t>
      </w:r>
    </w:p>
    <w:p w14:paraId="2B4B7B2E" w14:textId="77777777" w:rsidR="009F661C" w:rsidRDefault="009F661C" w:rsidP="009D3579">
      <w:pPr>
        <w:pStyle w:val="DLText"/>
      </w:pPr>
    </w:p>
    <w:p w14:paraId="09C15BCC" w14:textId="77777777" w:rsidR="009F661C" w:rsidRPr="001D79C8" w:rsidRDefault="009F661C" w:rsidP="009D3579">
      <w:pPr>
        <w:pStyle w:val="DLText"/>
        <w:rPr>
          <w:bCs/>
        </w:rPr>
      </w:pPr>
      <w:r w:rsidRPr="001D79C8">
        <w:t xml:space="preserve">This classic Marxist analysis may have some limited validity as an account of colonial plantation systems, but hardly reflects the major importance of plantations of all kinds in post-colonial Malaysia and New Zealand. Nor does it do justice to the plantation sector in Papua New Guinea even in the colonial period, and by the time it was published in 1979 Papua </w:t>
      </w:r>
      <w:r w:rsidRPr="001D79C8">
        <w:lastRenderedPageBreak/>
        <w:t xml:space="preserve">New Guinea had already become independent, and the oil palm plantations established shortly before independence in West New Britain were far removed from this Marxist model. It would be interesting to see what those authors would make of the enthusiasm of the "peasant base" for entering into their lease-leaseback arrangement with New Britain Oil Palm Ltd at Hoskins in West New Britain in 2000. Moreover contrary to the authors' prediction, that company soon invested in a palm oil refinery rather than merely shipping its raw product to refiners in the "metropole". Similarly Ramu Sugar mills all of its sugar output for the local market, and Rimbunan Hijao operates a very large timber and veneer factory at its Wawoi Guavi timber operation in Western province. Domestic production of consumer goods, as measured by manufacturing production, did indeed grow at only 1.9 per cent p.a. from 1983 to 2003, but might well have grown faster but for the decline in employment in the dwindling non-oil palm plantation sector. For naturally replacement of an employed labor force by self-employed subsistence farmers will reduce, not increase, consumer demand for manufactured consumption goods, contrary to the analysis of Amarshi </w:t>
      </w:r>
      <w:r w:rsidRPr="001D79C8">
        <w:rPr>
          <w:i/>
          <w:iCs/>
        </w:rPr>
        <w:t>et al</w:t>
      </w:r>
      <w:r w:rsidRPr="001D79C8">
        <w:t>. (1979).</w:t>
      </w:r>
    </w:p>
    <w:p w14:paraId="59EB4A8B" w14:textId="77777777" w:rsidR="009F661C" w:rsidRDefault="009F661C" w:rsidP="009D3579">
      <w:pPr>
        <w:pStyle w:val="DLText"/>
      </w:pPr>
      <w:r w:rsidRPr="001D79C8">
        <w:t>Nevertheless their approach continues to have adherents, like MacWilliam (2008) who argues that it would be “unwise for current policy-makers to draw upon a romantici</w:t>
      </w:r>
      <w:r>
        <w:t>z</w:t>
      </w:r>
      <w:r w:rsidRPr="001D79C8">
        <w:t>ed depiction of the expatriate planters or settlers who occupied coconut, cocoa and coffee largeholdings during the decades after World War II. Their economic significance …has been seriously exaggerated”.  MacWilliam goes on to critici</w:t>
      </w:r>
      <w:r>
        <w:t>z</w:t>
      </w:r>
      <w:r w:rsidRPr="001D79C8">
        <w:t>e Hughes’ claim, supported by our own evidence in this book</w:t>
      </w:r>
      <w:r>
        <w:t>,</w:t>
      </w:r>
      <w:r w:rsidRPr="001D79C8">
        <w:t xml:space="preserve"> that “nowhere have </w:t>
      </w:r>
      <w:r w:rsidRPr="00DC1614">
        <w:rPr>
          <w:spacing w:val="-2"/>
        </w:rPr>
        <w:t>production increases been associated with ‘communal ownership/customary</w:t>
      </w:r>
      <w:r w:rsidRPr="001D79C8">
        <w:t xml:space="preserve"> tenure</w:t>
      </w:r>
      <w:r>
        <w:t>’”</w:t>
      </w:r>
      <w:r w:rsidRPr="001D79C8">
        <w:t xml:space="preserve">. </w:t>
      </w:r>
    </w:p>
    <w:p w14:paraId="3297A17F" w14:textId="77777777" w:rsidR="009F661C" w:rsidRPr="001D79C8" w:rsidRDefault="009F661C" w:rsidP="009D3579">
      <w:pPr>
        <w:pStyle w:val="DLText"/>
      </w:pPr>
      <w:r w:rsidRPr="001D79C8">
        <w:t>MacWilliam correctly points out that during the 50s and 60s there were major increases in smallholding production of immediately consumed and marketed crops on customary land, but this was due as much to a rising rate of population growth as the administration reached into the interior, as to the importance the later colonial government placed upon this form of production.</w:t>
      </w:r>
      <w:r>
        <w:t xml:space="preserve"> He </w:t>
      </w:r>
      <w:r w:rsidRPr="001D79C8">
        <w:t>goes on to critici</w:t>
      </w:r>
      <w:r>
        <w:t>z</w:t>
      </w:r>
      <w:r w:rsidRPr="001D79C8">
        <w:t xml:space="preserve">e earlier work by Curtin and Lea for their conclusion that documented individual land title produces superior outcomes, asserting that “the expatriate settlers or planters were of only minor significance” in the colony’s economic development to 1980, as allegedly “most had either sold out,  [were] bankrupted, or forced off their holdings by the late 1950s”. No doubt that might have been true of some individuals, but certainly as late as 1980 most of Papua New Guinea’s main primary exports (palm oil, coffee, copra, cocoa, rubber, and tea) were produced by expatriate estates, even if many of those were owned by companies rather than individuals. MacWilliam’s conclusion is that “the </w:t>
      </w:r>
      <w:r w:rsidRPr="001D79C8">
        <w:lastRenderedPageBreak/>
        <w:t>failure of the owner-occupier planters provides a possible indication of what will be the outcome of any political attempts in contemporary Papua New Guinea to install a stratum of indigenous large</w:t>
      </w:r>
      <w:r>
        <w:t>-</w:t>
      </w:r>
      <w:r w:rsidRPr="001D79C8">
        <w:t>holding owner-occupiers on supposedly securely titled land”.</w:t>
      </w:r>
    </w:p>
    <w:p w14:paraId="7E1B474C" w14:textId="77777777" w:rsidR="009F661C" w:rsidRPr="001D79C8" w:rsidRDefault="009F661C" w:rsidP="009D3579">
      <w:pPr>
        <w:pStyle w:val="DLText"/>
        <w:rPr>
          <w:b/>
          <w:bCs/>
        </w:rPr>
      </w:pPr>
      <w:r w:rsidRPr="001D79C8">
        <w:t>We believe that MacWilliam is misreading what is happening “on the ground”, which is far removed from “political attempts to install” owner-occupiers on titled land. In reality there is evidence instead of a growing demand by the Papua New Guinean “grassroots” to obtain registered title to their existing customary-tilted land holdings, as we have pointed out repeatedly here. Moreover Chand and Yala (2009) have shown how the form of land tenure does indeed affect farm-level productivity. They used farm-level data from the Hoskins oil palm project (West New Britain) to show how output, controlling</w:t>
      </w:r>
      <w:r w:rsidRPr="001D79C8">
        <w:rPr>
          <w:vertAlign w:val="superscript"/>
        </w:rPr>
        <w:t xml:space="preserve"> </w:t>
      </w:r>
      <w:r w:rsidRPr="001D79C8">
        <w:t>for all measured inputs, “shows systematic differences in productivity</w:t>
      </w:r>
      <w:r w:rsidRPr="001D79C8">
        <w:rPr>
          <w:vertAlign w:val="superscript"/>
        </w:rPr>
        <w:t xml:space="preserve"> </w:t>
      </w:r>
      <w:r w:rsidRPr="001D79C8">
        <w:t>across three land tenure types, namely, farms under customary</w:t>
      </w:r>
      <w:r w:rsidRPr="001D79C8">
        <w:rPr>
          <w:vertAlign w:val="superscript"/>
        </w:rPr>
        <w:t xml:space="preserve"> </w:t>
      </w:r>
      <w:r w:rsidRPr="001D79C8">
        <w:t>purchase agreements, those under the land settlement scheme,</w:t>
      </w:r>
      <w:r w:rsidRPr="001D79C8">
        <w:rPr>
          <w:vertAlign w:val="superscript"/>
        </w:rPr>
        <w:t xml:space="preserve"> </w:t>
      </w:r>
      <w:r w:rsidRPr="001D79C8">
        <w:t>and those under village-owned land schemes”. They conclude</w:t>
      </w:r>
      <w:r w:rsidRPr="001D79C8">
        <w:rPr>
          <w:vertAlign w:val="superscript"/>
        </w:rPr>
        <w:t xml:space="preserve"> </w:t>
      </w:r>
      <w:r w:rsidRPr="001D79C8">
        <w:t>that the farmers with greater security of tenure exhibit higher productivity “due to benefits from economies</w:t>
      </w:r>
      <w:r w:rsidRPr="001D79C8">
        <w:rPr>
          <w:vertAlign w:val="superscript"/>
        </w:rPr>
        <w:t xml:space="preserve"> </w:t>
      </w:r>
      <w:r w:rsidRPr="001D79C8">
        <w:t xml:space="preserve">of scale and absence of income sharing”, confirming the similar findings from Zambia </w:t>
      </w:r>
      <w:r>
        <w:t>shown above (</w:t>
      </w:r>
      <w:r w:rsidRPr="001D79C8">
        <w:t xml:space="preserve">Table </w:t>
      </w:r>
      <w:r>
        <w:t>10.3).</w:t>
      </w:r>
      <w:r w:rsidRPr="001D79C8">
        <w:t xml:space="preserve"> </w:t>
      </w:r>
    </w:p>
    <w:p w14:paraId="778B175B" w14:textId="77777777" w:rsidR="009F661C" w:rsidRPr="001D79C8" w:rsidRDefault="009F661C" w:rsidP="009D3579">
      <w:pPr>
        <w:pStyle w:val="DLText"/>
      </w:pPr>
      <w:r w:rsidRPr="001D79C8">
        <w:t>The truth is that the modern economy of Papua New Guinea owes a great deal to the contribution of the plantations in both German New Guinea prior to 1914 and in Anglo-Australian Papua up to 1939; the pre-independence period 1946-1975 showed some spectacular growth in both Papua and New Guinea that has certainly not been matched since. At independence in 1975 with the Panguna copper mine still only newly in production, the modern economy was practically coterminous with the plantation sector, and the rest of the economy was limited to subsistence production. Since 1975, while the non-agricultural economy has grown rapidly, agricultural food production has at best just kept pace with population growth, and commercial crops with associated downstream processing, including much of</w:t>
      </w:r>
      <w:r>
        <w:t xml:space="preserve"> </w:t>
      </w:r>
      <w:r w:rsidRPr="001D79C8">
        <w:t>the now very restricted plantation sector, (just five oil palm estates, one sugar estate, and two plywood-veneer operations), has stagnated (see Fig.</w:t>
      </w:r>
      <w:r>
        <w:t>10</w:t>
      </w:r>
      <w:r w:rsidRPr="001D79C8">
        <w:t>.1A) – and has also fallen behi</w:t>
      </w:r>
      <w:r>
        <w:t>n</w:t>
      </w:r>
      <w:r w:rsidRPr="001D79C8">
        <w:t>d population growth (apart from forestry and palm oil (as shown in Fig.</w:t>
      </w:r>
      <w:r>
        <w:t>10</w:t>
      </w:r>
      <w:r w:rsidRPr="001D79C8">
        <w:t>.1B).</w:t>
      </w:r>
    </w:p>
    <w:p w14:paraId="2E0BFBDD" w14:textId="77777777" w:rsidR="009F661C" w:rsidRPr="001D79C8" w:rsidRDefault="009F661C" w:rsidP="009D3579">
      <w:pPr>
        <w:pStyle w:val="DLText"/>
      </w:pPr>
      <w:r w:rsidRPr="001D79C8">
        <w:t xml:space="preserve">Much of the aversion in academic circles in Australia to promotion of land titling in </w:t>
      </w:r>
      <w:r>
        <w:t xml:space="preserve">both Australia and </w:t>
      </w:r>
      <w:r w:rsidRPr="001D79C8">
        <w:t xml:space="preserve">Papua New Guinea </w:t>
      </w:r>
      <w:r>
        <w:t>so well described by</w:t>
      </w:r>
      <w:r w:rsidRPr="001D79C8">
        <w:t xml:space="preserve"> Howson 2009</w:t>
      </w:r>
      <w:r>
        <w:t>,</w:t>
      </w:r>
      <w:r w:rsidRPr="001D79C8">
        <w:t xml:space="preserve"> </w:t>
      </w:r>
      <w:r>
        <w:t xml:space="preserve">and epitomized in </w:t>
      </w:r>
      <w:r w:rsidRPr="001D79C8">
        <w:t>Altman 1993</w:t>
      </w:r>
      <w:r>
        <w:t xml:space="preserve"> and Fingleton et al. 2005, </w:t>
      </w:r>
      <w:r w:rsidRPr="001D79C8">
        <w:t xml:space="preserve">dates back to what many now question, the determination when at last Australia gave formal recognition to Aboriginal land rights that these should </w:t>
      </w:r>
      <w:r>
        <w:t xml:space="preserve">be </w:t>
      </w:r>
      <w:r w:rsidRPr="001D79C8">
        <w:t>enshrined on a similar customary basis to that in Papua New Guinea</w:t>
      </w:r>
      <w:r>
        <w:t>.</w:t>
      </w:r>
      <w:r w:rsidRPr="001D79C8">
        <w:t xml:space="preserve"> Altman considers that land rights bestowed on the aboriginal population of </w:t>
      </w:r>
      <w:r w:rsidRPr="001D79C8">
        <w:lastRenderedPageBreak/>
        <w:t>Australia’s Northern Territory constitute “inalienable freehold title” (1993:6), but in reality the Mabo Native Title Act (1992) makes no provision for allowing either freehold or leasehold titling on an</w:t>
      </w:r>
      <w:r w:rsidRPr="001D79C8">
        <w:rPr>
          <w:i/>
        </w:rPr>
        <w:t xml:space="preserve"> individual</w:t>
      </w:r>
      <w:r w:rsidRPr="001D79C8">
        <w:t xml:space="preserve"> basis. Thus Mabo ensured that communalism remained the predominant form of land ownership in the Northern Territory, whereby the “freehold” enjoyed by “all” means that </w:t>
      </w:r>
      <w:r w:rsidRPr="001D79C8">
        <w:rPr>
          <w:i/>
        </w:rPr>
        <w:t>none</w:t>
      </w:r>
      <w:r w:rsidRPr="001D79C8">
        <w:t xml:space="preserve"> own any that they can develop on their own account, whether for housing or any other purpose. </w:t>
      </w:r>
    </w:p>
    <w:p w14:paraId="1CCA263A" w14:textId="77777777" w:rsidR="009F661C" w:rsidRPr="001D79C8" w:rsidRDefault="009F661C" w:rsidP="009D3579">
      <w:pPr>
        <w:pStyle w:val="DLText"/>
      </w:pPr>
      <w:r w:rsidRPr="001D79C8">
        <w:t>Garnaut 2007 note</w:t>
      </w:r>
      <w:r>
        <w:t>d</w:t>
      </w:r>
      <w:r w:rsidRPr="001D79C8">
        <w:t xml:space="preserve"> the huge productive potential of northern Australia – but most of that very large area of well watered and fertile soils has since Mabo been off limits to all non-indigenous Australians with their capital and expertise, much like the Bantustans established in South Africa between 1960 and 1990. Recent Australian governments have even introduced South Africa’s pre-Mandela permit system which denies access to </w:t>
      </w:r>
      <w:r>
        <w:t xml:space="preserve">much of the Northern Territory to </w:t>
      </w:r>
      <w:r w:rsidRPr="001D79C8">
        <w:t>non-black Australians other than public servants and approved journalists. The Mabo Native Title Act may be a beautiful legal artif</w:t>
      </w:r>
      <w:r>
        <w:t>a</w:t>
      </w:r>
      <w:r w:rsidRPr="001D79C8">
        <w:t>c</w:t>
      </w:r>
      <w:r>
        <w:t>t</w:t>
      </w:r>
      <w:r w:rsidRPr="001D79C8">
        <w:t>, but creating communal title across most of northern Australia cannot be said to have unleashed a massive surge in investment by Aborigines, resulting in rising agricultural output, despite rainfall and soils that graziers and wheat farmers in inland south-eastern Australia cannot imagine in their wildest dreams.</w:t>
      </w:r>
    </w:p>
    <w:p w14:paraId="122949DA" w14:textId="77777777" w:rsidR="009F661C" w:rsidRDefault="009F661C" w:rsidP="001D6B0D">
      <w:pPr>
        <w:pStyle w:val="DLText"/>
      </w:pPr>
      <w:r w:rsidRPr="001D79C8">
        <w:t xml:space="preserve">As Table </w:t>
      </w:r>
      <w:r>
        <w:t>10</w:t>
      </w:r>
      <w:r w:rsidRPr="001D79C8">
        <w:t>.</w:t>
      </w:r>
      <w:r>
        <w:t>4</w:t>
      </w:r>
      <w:r w:rsidRPr="001D79C8">
        <w:t xml:space="preserve"> shows, the Northern Territory, which is where the Mabo Act mostly holds sway, has the lowest level of agricultural and livestock productivity of any of Australia’s states and territories (there is virtually no agriculture in the Australian Capital Territory, so the data in the penultimate column in effect refer only to the NT). For example, while the NT livestock herd is about 6 per cent of the national total, the total value of its livestock sales (including livestock products) is less than one per cent of the national total. Crop production is minimal, and capital investment in 1998-99 was actually negative, a striking testimony to the dead end of communali</w:t>
      </w:r>
      <w:r>
        <w:t>z</w:t>
      </w:r>
      <w:r w:rsidRPr="001D79C8">
        <w:t xml:space="preserve">ed “native title”. </w:t>
      </w:r>
    </w:p>
    <w:p w14:paraId="5502EE4F" w14:textId="77777777" w:rsidR="009F661C" w:rsidRDefault="009F661C" w:rsidP="001D6B0D">
      <w:pPr>
        <w:pStyle w:val="DLText"/>
      </w:pPr>
      <w:r w:rsidRPr="001D79C8">
        <w:t xml:space="preserve">Not surprisingly, the Territory has by far the worst social indicators of any of Australia’s States and Territories, with appalling infant mortality, low life expectancy, and minimal school attendance (Altman 1979). Despite their “freehold” but </w:t>
      </w:r>
      <w:r>
        <w:t>non-individuated</w:t>
      </w:r>
      <w:r w:rsidRPr="001D79C8">
        <w:t xml:space="preserve"> land </w:t>
      </w:r>
      <w:r>
        <w:t>ownership</w:t>
      </w:r>
      <w:r w:rsidRPr="001D79C8">
        <w:t xml:space="preserve">, life expectancy and infant mortality for the </w:t>
      </w:r>
      <w:r>
        <w:t>indigenes</w:t>
      </w:r>
      <w:r w:rsidRPr="001D79C8">
        <w:t xml:space="preserve"> remain now as ever far worse than those of non-indigenous Australians</w:t>
      </w:r>
      <w:r>
        <w:t xml:space="preserve"> (ABS 2001:198)</w:t>
      </w:r>
      <w:r w:rsidRPr="001D79C8">
        <w:t xml:space="preserve"> – and the situation in Papua New Guinea is not much better for those living outside the small portion of the country where more conducive economic arrangements apply</w:t>
      </w:r>
      <w:r>
        <w:t>. As reported by Gibson 2001 (in Bourke et al., eds., 2001:47), its urban population enjoyed a more varied diet with a much higher protein content.</w:t>
      </w:r>
    </w:p>
    <w:p w14:paraId="6C7D3CCA" w14:textId="77777777" w:rsidR="009F661C" w:rsidRPr="00991378" w:rsidRDefault="009F661C" w:rsidP="00DC1614">
      <w:pPr>
        <w:pStyle w:val="h2"/>
        <w:ind w:firstLine="0"/>
      </w:pPr>
      <w:r>
        <w:lastRenderedPageBreak/>
        <w:t>Conclusions</w:t>
      </w:r>
    </w:p>
    <w:p w14:paraId="1B920766" w14:textId="77777777" w:rsidR="009F661C" w:rsidRDefault="009F661C" w:rsidP="00F761CA">
      <w:pPr>
        <w:pStyle w:val="DLText"/>
      </w:pPr>
      <w:r>
        <w:t xml:space="preserve">This chapter has evaluated empirically the outcomes of  the main alternative forms of land tenure, either customary, which generally means non-individualistic beyond the immediate confines of one’s homestead, and individualized, whereby one’s ownership can be alienated in favour of a lender or other  interested purchaser. We have provided evidence showing that in Kenya, individuated land tenure has produced a doubling of total incomes derived by its coffee and tea growers </w:t>
      </w:r>
      <w:r w:rsidRPr="006B1766">
        <w:t>relative to</w:t>
      </w:r>
      <w:r>
        <w:t xml:space="preserve"> those of  </w:t>
      </w:r>
      <w:r>
        <w:rPr>
          <w:i/>
        </w:rPr>
        <w:t xml:space="preserve"> </w:t>
      </w:r>
      <w:r>
        <w:t xml:space="preserve">their counterparts in Papua New Guinea between 1975 and 2007.  Similarly we have reported evidence from Zambia that those with land title have had access to bank credit that more than doubled their incomes relative to those of their peers lacking such access.  We have also shown how in Australia’s Northern Territory with its un-individuated land ownership regime since the Mabo judgment of 1992, the outcome has been the lowest agricultural and livestock incomes of anywhere in Australia, at much the same level as in Papua New Guinea, where land tenure in its rural areas is also not individually titled. Then in the Appendix, we describe in detail how Zimbabwe’s reversion since 2000 from having nearly half of its rural areas under freehold land tenure to virtually none has led to a total collapse of its rural economy, in terms of output, employment, and incomes. </w:t>
      </w:r>
    </w:p>
    <w:p w14:paraId="4C328AD4" w14:textId="77777777" w:rsidR="009F661C" w:rsidRDefault="009F661C" w:rsidP="004F00BD">
      <w:pPr>
        <w:pStyle w:val="DLText"/>
        <w:rPr>
          <w:color w:val="000000"/>
        </w:rPr>
      </w:pPr>
      <w:r w:rsidRPr="00F761CA">
        <w:t xml:space="preserve">Our empirical evidence </w:t>
      </w:r>
      <w:r>
        <w:t>showing t</w:t>
      </w:r>
      <w:r>
        <w:rPr>
          <w:color w:val="000000"/>
        </w:rPr>
        <w:t xml:space="preserve">he higher incomes of those with individual land title in Zambia and Kenya than of those with only customary or “common” title as in Northern Australia, Zimbabwe, and Papua New Guinea </w:t>
      </w:r>
      <w:r w:rsidRPr="00F761CA">
        <w:t xml:space="preserve">vindicates the prediction by John </w:t>
      </w:r>
      <w:r w:rsidRPr="00F761CA">
        <w:rPr>
          <w:color w:val="000000"/>
        </w:rPr>
        <w:t xml:space="preserve">Locke </w:t>
      </w:r>
      <w:r>
        <w:rPr>
          <w:color w:val="000000"/>
        </w:rPr>
        <w:t xml:space="preserve">(1632-1704) </w:t>
      </w:r>
      <w:r w:rsidRPr="00F761CA">
        <w:rPr>
          <w:color w:val="000000"/>
        </w:rPr>
        <w:t>that one who encloses the commons "does not</w:t>
      </w:r>
      <w:r>
        <w:rPr>
          <w:color w:val="000000"/>
        </w:rPr>
        <w:t xml:space="preserve"> </w:t>
      </w:r>
      <w:r w:rsidRPr="00F761CA">
        <w:rPr>
          <w:color w:val="000000"/>
        </w:rPr>
        <w:t>lessen, but increase the common stock of mankind</w:t>
      </w:r>
      <w:r>
        <w:rPr>
          <w:color w:val="000000"/>
        </w:rPr>
        <w:t>”.</w:t>
      </w:r>
      <w:r>
        <w:rPr>
          <w:rStyle w:val="FootnoteReference"/>
          <w:color w:val="000000"/>
        </w:rPr>
        <w:footnoteReference w:id="32"/>
      </w:r>
      <w:r>
        <w:rPr>
          <w:color w:val="000000"/>
        </w:rPr>
        <w:t xml:space="preserve"> </w:t>
      </w:r>
      <w:r w:rsidRPr="00F761CA">
        <w:rPr>
          <w:color w:val="000000"/>
        </w:rPr>
        <w:t xml:space="preserve">Most basically, </w:t>
      </w:r>
      <w:r>
        <w:rPr>
          <w:color w:val="000000"/>
        </w:rPr>
        <w:t>as Rosen (2006) puts it, “</w:t>
      </w:r>
      <w:r w:rsidRPr="00F761CA">
        <w:rPr>
          <w:color w:val="000000"/>
        </w:rPr>
        <w:t>creating or offering the</w:t>
      </w:r>
      <w:r>
        <w:rPr>
          <w:color w:val="000000"/>
        </w:rPr>
        <w:t xml:space="preserve"> </w:t>
      </w:r>
      <w:r w:rsidRPr="00F761CA">
        <w:rPr>
          <w:color w:val="000000"/>
        </w:rPr>
        <w:t>possibility of private property endows would-be property-owners with a powerful incentive</w:t>
      </w:r>
      <w:r>
        <w:rPr>
          <w:color w:val="000000"/>
        </w:rPr>
        <w:t xml:space="preserve"> </w:t>
      </w:r>
      <w:r w:rsidRPr="00F761CA">
        <w:rPr>
          <w:color w:val="000000"/>
        </w:rPr>
        <w:t>to work hard and accumulate wealth</w:t>
      </w:r>
      <w:r>
        <w:rPr>
          <w:color w:val="000000"/>
        </w:rPr>
        <w:t>”</w:t>
      </w:r>
      <w:r w:rsidRPr="00781ED7">
        <w:rPr>
          <w:color w:val="000000"/>
        </w:rPr>
        <w:t>.</w:t>
      </w:r>
      <w:r>
        <w:rPr>
          <w:color w:val="000000"/>
        </w:rPr>
        <w:t xml:space="preserve"> However that may not be enough to secure life liberty and happiness for everybody.</w:t>
      </w:r>
    </w:p>
    <w:p w14:paraId="4A04B863" w14:textId="77777777" w:rsidR="009F661C" w:rsidRDefault="009F661C" w:rsidP="00274F21">
      <w:pPr>
        <w:pStyle w:val="DLText"/>
      </w:pPr>
      <w:r>
        <w:rPr>
          <w:color w:val="000000"/>
        </w:rPr>
        <w:t xml:space="preserve">A Papua New Guinean writer has published a powerful commentary on her first visit to the United States (Rosa Koian, 2010). She was shocked to find on her arrival the number of people sleeping on the streets of San Francisco, a picture to be seen also in Sydney, London and Paris, when she had expected to find no evident poverty in what is the world’s richest country, and when although most people in her own country are deemed to be living on less than US$1 per person per day (although it is usually overlooked that this statistic equates over US$5 per household, and that in a subsistence economy most food consumption has been produced by the </w:t>
      </w:r>
      <w:r>
        <w:rPr>
          <w:color w:val="000000"/>
        </w:rPr>
        <w:lastRenderedPageBreak/>
        <w:t>households themselves). As Koian puts it, “w</w:t>
      </w:r>
      <w:r>
        <w:t xml:space="preserve">ithout money, 85 per cent of Papua New Guineans in rural areas are surviving on what their land provides. However, we have been told we are poor”, and adds “I thought about those empty houses in the rural areas and the abundance of food. </w:t>
      </w:r>
      <w:r>
        <w:br/>
        <w:t xml:space="preserve">I thought about the family system we have that takes care of each other’s needs. As I stood there and looking down at this man, old enough to be my father, I thought, where is the son or the daughter? We take care of our old people. What’s going on in this world? I thought”. Koian next comments “Our people wander in the bush and come home with fresh greens, nuts, meat, fruits and more. [That] man would wander around the blocks and may be picking from the trash bins as he goes along”.  </w:t>
      </w:r>
    </w:p>
    <w:p w14:paraId="322291D8" w14:textId="77777777" w:rsidR="009F661C" w:rsidRDefault="009F661C" w:rsidP="00274F21">
      <w:pPr>
        <w:pStyle w:val="DLText"/>
      </w:pPr>
      <w:r>
        <w:t>Koian rather less compellingly concludes: “I came to believe that without land there is no hope as we are beginning to see signs of it in some urban centres in PNG. Land parceled and registered would not give the freedom people are seeking. Instead it ties them in to work - work that does not even guarantee a long term comfort or sustenance…</w:t>
      </w:r>
      <w:r w:rsidRPr="00274F21">
        <w:t xml:space="preserve"> </w:t>
      </w:r>
      <w:r>
        <w:t>As I write this, I am more convinced land registration whether voluntarily or not will not help Papua New Guineans, [the majority of] whose population depends largely on the land”.</w:t>
      </w:r>
    </w:p>
    <w:p w14:paraId="7341EA2D" w14:textId="77777777" w:rsidR="009F661C" w:rsidRDefault="009F661C" w:rsidP="006B1766">
      <w:pPr>
        <w:pStyle w:val="DLText"/>
      </w:pPr>
      <w:r>
        <w:t>Koain’s account helps us to understand how so many anthropologists and other sentimental apologists for primitive forms of land ownership will excoriate the message of this book from the comfort of their university armchairs. But Koain like them overlooks the opportunity enjoyed by the great majority of Americans, to have full legal title to their homesteads and farms</w:t>
      </w:r>
      <w:r w:rsidRPr="004A0F28">
        <w:t xml:space="preserve"> </w:t>
      </w:r>
      <w:r>
        <w:t xml:space="preserve">to secure and to enjoy their high average incomes. Thus we are confident the majority of country people everywhere, given the chance, would vote to be enabled to secure title to their customary land entitlements, and we have noted above “grass roots” evidence for that even in Papua New Guinea.  </w:t>
      </w:r>
    </w:p>
    <w:p w14:paraId="42C1B0F7" w14:textId="77777777" w:rsidR="009F661C" w:rsidRDefault="009F661C" w:rsidP="00DC1614">
      <w:pPr>
        <w:pStyle w:val="DLQuotes"/>
        <w:ind w:left="0"/>
        <w:rPr>
          <w:sz w:val="20"/>
          <w:szCs w:val="20"/>
          <w:lang w:val="en-US"/>
        </w:rPr>
      </w:pPr>
    </w:p>
    <w:p w14:paraId="1BAECDDF" w14:textId="77777777" w:rsidR="009F661C" w:rsidRDefault="009F661C" w:rsidP="00DC1614">
      <w:pPr>
        <w:pStyle w:val="DLQuotes"/>
        <w:ind w:left="0"/>
      </w:pPr>
      <w:r>
        <w:rPr>
          <w:sz w:val="20"/>
          <w:szCs w:val="20"/>
          <w:lang w:val="en-US"/>
        </w:rPr>
        <w:br w:type="page"/>
      </w:r>
      <w:r w:rsidRPr="001D79C8">
        <w:lastRenderedPageBreak/>
        <w:t xml:space="preserve">Fig. </w:t>
      </w:r>
      <w:r>
        <w:t>10</w:t>
      </w:r>
      <w:r w:rsidRPr="001D79C8">
        <w:t>.1 Indices of Agricultural Exports and Population Growth Papua New Guinea 1980-2000</w:t>
      </w:r>
      <w:r>
        <w:t xml:space="preserve"> (1980 = 100)</w:t>
      </w:r>
      <w:r w:rsidRPr="001D79C8">
        <w:t xml:space="preserve">. </w:t>
      </w:r>
    </w:p>
    <w:p w14:paraId="1C1CAB32" w14:textId="77777777" w:rsidR="009F661C" w:rsidRDefault="009F661C" w:rsidP="00DC1614">
      <w:pPr>
        <w:pStyle w:val="DLQuotes"/>
        <w:ind w:left="0"/>
      </w:pPr>
    </w:p>
    <w:p w14:paraId="12E06613" w14:textId="77777777" w:rsidR="009F661C" w:rsidRDefault="009F661C" w:rsidP="00DC1614">
      <w:pPr>
        <w:pStyle w:val="DLQuotes"/>
        <w:ind w:left="0"/>
      </w:pPr>
      <w:r>
        <w:t xml:space="preserve">A. Population Growth and exports of </w:t>
      </w:r>
      <w:r w:rsidRPr="001D79C8">
        <w:t xml:space="preserve">Cocoa, Coffee, </w:t>
      </w:r>
      <w:r>
        <w:t xml:space="preserve">and </w:t>
      </w:r>
      <w:r w:rsidRPr="001D79C8">
        <w:t>Copra Oil</w:t>
      </w:r>
    </w:p>
    <w:p w14:paraId="45B89043" w14:textId="77777777" w:rsidR="009F661C" w:rsidRPr="001D79C8" w:rsidRDefault="009F661C" w:rsidP="00DC1614">
      <w:pPr>
        <w:pStyle w:val="DLQuotes"/>
        <w:ind w:left="0"/>
      </w:pPr>
    </w:p>
    <w:p w14:paraId="54833E5E" w14:textId="77777777" w:rsidR="009F661C" w:rsidRPr="001D79C8" w:rsidRDefault="00A44434" w:rsidP="00DC1614">
      <w:pPr>
        <w:pStyle w:val="DLQuotes"/>
        <w:ind w:left="-284" w:right="0"/>
        <w:rPr>
          <w:lang w:val="en-US"/>
        </w:rPr>
      </w:pPr>
      <w:r>
        <w:rPr>
          <w:noProof/>
          <w:lang w:eastAsia="en-AU"/>
        </w:rPr>
        <w:drawing>
          <wp:inline distT="0" distB="0" distL="0" distR="0" wp14:anchorId="33AB2573" wp14:editId="47C87DD9">
            <wp:extent cx="4200525" cy="380047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a:stretch>
                      <a:fillRect/>
                    </a:stretch>
                  </pic:blipFill>
                  <pic:spPr bwMode="auto">
                    <a:xfrm>
                      <a:off x="0" y="0"/>
                      <a:ext cx="4200525" cy="3800475"/>
                    </a:xfrm>
                    <a:prstGeom prst="rect">
                      <a:avLst/>
                    </a:prstGeom>
                    <a:noFill/>
                    <a:ln w="9525">
                      <a:noFill/>
                      <a:miter lim="800000"/>
                      <a:headEnd/>
                      <a:tailEnd/>
                    </a:ln>
                  </pic:spPr>
                </pic:pic>
              </a:graphicData>
            </a:graphic>
          </wp:inline>
        </w:drawing>
      </w:r>
    </w:p>
    <w:p w14:paraId="49FC88CB" w14:textId="77777777" w:rsidR="009F661C" w:rsidRPr="001D79C8" w:rsidRDefault="009F661C" w:rsidP="00C448B5">
      <w:pPr>
        <w:pStyle w:val="DLQuotes"/>
      </w:pPr>
    </w:p>
    <w:p w14:paraId="7818BC1E" w14:textId="77777777" w:rsidR="009F661C" w:rsidRDefault="009F661C" w:rsidP="00C448B5">
      <w:pPr>
        <w:pStyle w:val="DLQuotes"/>
      </w:pPr>
    </w:p>
    <w:p w14:paraId="67F5CC13" w14:textId="77777777" w:rsidR="009F661C" w:rsidRPr="00DC1614" w:rsidRDefault="009F661C" w:rsidP="00DC1614">
      <w:pPr>
        <w:rPr>
          <w:sz w:val="18"/>
          <w:szCs w:val="18"/>
        </w:rPr>
      </w:pPr>
      <w:r>
        <w:br w:type="page"/>
      </w:r>
      <w:r w:rsidRPr="00DC1614">
        <w:rPr>
          <w:sz w:val="18"/>
          <w:szCs w:val="18"/>
        </w:rPr>
        <w:lastRenderedPageBreak/>
        <w:t>B. Population Growth and Exports of Palm Oil and Logs</w:t>
      </w:r>
    </w:p>
    <w:p w14:paraId="5BA2D46F" w14:textId="77777777" w:rsidR="009F661C" w:rsidRDefault="009F661C" w:rsidP="00C448B5">
      <w:pPr>
        <w:pStyle w:val="DLQuotes"/>
      </w:pPr>
    </w:p>
    <w:p w14:paraId="10BC96DF" w14:textId="77777777" w:rsidR="009F661C" w:rsidRPr="001D79C8" w:rsidRDefault="00A44434" w:rsidP="00DC1614">
      <w:pPr>
        <w:pStyle w:val="DLQuotes"/>
        <w:ind w:left="-284" w:right="0"/>
        <w:rPr>
          <w:i/>
          <w:iCs/>
        </w:rPr>
      </w:pPr>
      <w:r>
        <w:rPr>
          <w:noProof/>
          <w:lang w:eastAsia="en-AU"/>
        </w:rPr>
        <w:drawing>
          <wp:inline distT="0" distB="0" distL="0" distR="0" wp14:anchorId="7190DC33" wp14:editId="5D5C7FB8">
            <wp:extent cx="4200525" cy="4914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srcRect/>
                    <a:stretch>
                      <a:fillRect/>
                    </a:stretch>
                  </pic:blipFill>
                  <pic:spPr bwMode="auto">
                    <a:xfrm>
                      <a:off x="0" y="0"/>
                      <a:ext cx="4200525" cy="4914900"/>
                    </a:xfrm>
                    <a:prstGeom prst="rect">
                      <a:avLst/>
                    </a:prstGeom>
                    <a:noFill/>
                    <a:ln w="9525">
                      <a:noFill/>
                      <a:miter lim="800000"/>
                      <a:headEnd/>
                      <a:tailEnd/>
                    </a:ln>
                  </pic:spPr>
                </pic:pic>
              </a:graphicData>
            </a:graphic>
          </wp:inline>
        </w:drawing>
      </w:r>
    </w:p>
    <w:p w14:paraId="2DF495BF" w14:textId="77777777" w:rsidR="009F661C" w:rsidRDefault="009F661C" w:rsidP="00C448B5">
      <w:pPr>
        <w:pStyle w:val="DLQuotes"/>
      </w:pPr>
    </w:p>
    <w:p w14:paraId="1B2184B9" w14:textId="77777777" w:rsidR="009F661C" w:rsidRDefault="009F661C" w:rsidP="00C448B5">
      <w:pPr>
        <w:pStyle w:val="DLQuotes"/>
      </w:pPr>
      <w:r>
        <w:t>Indices: 1980 = 100</w:t>
      </w:r>
    </w:p>
    <w:p w14:paraId="6FED79DB" w14:textId="77777777" w:rsidR="009F661C" w:rsidRDefault="009F661C" w:rsidP="00C448B5">
      <w:pPr>
        <w:pStyle w:val="DLQuotes"/>
      </w:pPr>
      <w:r w:rsidRPr="001D79C8">
        <w:t>Source: Bank of Papua New Guinea, 1998, 2001.</w:t>
      </w:r>
    </w:p>
    <w:p w14:paraId="0468BFCC" w14:textId="77777777" w:rsidR="009F661C" w:rsidRPr="00DC1614" w:rsidRDefault="009F661C" w:rsidP="00DC1614">
      <w:pPr>
        <w:spacing w:after="200" w:line="276" w:lineRule="auto"/>
        <w:rPr>
          <w:noProof/>
          <w:sz w:val="18"/>
          <w:szCs w:val="18"/>
          <w:lang w:val="en-US"/>
        </w:rPr>
      </w:pPr>
      <w:r>
        <w:br w:type="page"/>
      </w:r>
      <w:r w:rsidRPr="00DC1614">
        <w:rPr>
          <w:sz w:val="18"/>
          <w:szCs w:val="18"/>
        </w:rPr>
        <w:lastRenderedPageBreak/>
        <w:t xml:space="preserve">Fig.10.2A </w:t>
      </w:r>
      <w:r w:rsidR="00A44434">
        <w:rPr>
          <w:noProof/>
          <w:sz w:val="18"/>
          <w:szCs w:val="18"/>
          <w:lang w:eastAsia="en-AU"/>
        </w:rPr>
        <w:drawing>
          <wp:inline distT="0" distB="0" distL="0" distR="0" wp14:anchorId="409CA4F6" wp14:editId="54715984">
            <wp:extent cx="3752850" cy="2705100"/>
            <wp:effectExtent l="19050" t="0" r="0"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srcRect/>
                    <a:stretch>
                      <a:fillRect/>
                    </a:stretch>
                  </pic:blipFill>
                  <pic:spPr bwMode="auto">
                    <a:xfrm>
                      <a:off x="0" y="0"/>
                      <a:ext cx="3752850" cy="2705100"/>
                    </a:xfrm>
                    <a:prstGeom prst="rect">
                      <a:avLst/>
                    </a:prstGeom>
                    <a:noFill/>
                    <a:ln w="9525">
                      <a:noFill/>
                      <a:miter lim="800000"/>
                      <a:headEnd/>
                      <a:tailEnd/>
                    </a:ln>
                  </pic:spPr>
                </pic:pic>
              </a:graphicData>
            </a:graphic>
          </wp:inline>
        </w:drawing>
      </w:r>
    </w:p>
    <w:p w14:paraId="4192A4B0" w14:textId="77777777" w:rsidR="009F661C" w:rsidRPr="00DC1614" w:rsidRDefault="009F661C" w:rsidP="00DC1614">
      <w:pPr>
        <w:spacing w:after="200" w:line="276" w:lineRule="auto"/>
        <w:rPr>
          <w:sz w:val="18"/>
          <w:szCs w:val="18"/>
        </w:rPr>
      </w:pPr>
      <w:r w:rsidRPr="00DC1614">
        <w:rPr>
          <w:sz w:val="18"/>
          <w:szCs w:val="18"/>
        </w:rPr>
        <w:t>Source: R.M. Bourke, 2005.</w:t>
      </w:r>
    </w:p>
    <w:p w14:paraId="31C4DAE4" w14:textId="77777777" w:rsidR="009F661C" w:rsidRDefault="009F661C" w:rsidP="00C448B5">
      <w:pPr>
        <w:pStyle w:val="DLQuotes"/>
      </w:pPr>
    </w:p>
    <w:p w14:paraId="680E2655" w14:textId="77777777" w:rsidR="009F661C" w:rsidRPr="00DC1614" w:rsidRDefault="009F661C" w:rsidP="00DC1614">
      <w:pPr>
        <w:rPr>
          <w:sz w:val="18"/>
          <w:szCs w:val="18"/>
        </w:rPr>
      </w:pPr>
      <w:r>
        <w:br w:type="page"/>
      </w:r>
      <w:r w:rsidRPr="00DC1614">
        <w:rPr>
          <w:sz w:val="18"/>
          <w:szCs w:val="18"/>
        </w:rPr>
        <w:lastRenderedPageBreak/>
        <w:t>Fig.10.2B</w:t>
      </w:r>
    </w:p>
    <w:p w14:paraId="01E16BFD" w14:textId="77777777" w:rsidR="009F661C" w:rsidRPr="00645736" w:rsidRDefault="00A44434" w:rsidP="00DC1614">
      <w:pPr>
        <w:pStyle w:val="DLQuotes"/>
        <w:ind w:left="-426" w:right="-1191" w:firstLine="426"/>
        <w:rPr>
          <w:sz w:val="22"/>
          <w:szCs w:val="22"/>
        </w:rPr>
      </w:pPr>
      <w:r>
        <w:rPr>
          <w:noProof/>
          <w:sz w:val="22"/>
          <w:szCs w:val="22"/>
          <w:lang w:eastAsia="en-AU"/>
        </w:rPr>
        <w:drawing>
          <wp:inline distT="0" distB="0" distL="0" distR="0" wp14:anchorId="1B84093A" wp14:editId="3362BB9B">
            <wp:extent cx="3705225" cy="2990850"/>
            <wp:effectExtent l="19050" t="0" r="9525" b="0"/>
            <wp:docPr id="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srcRect l="8453" t="2736" r="18996" b="6453"/>
                    <a:stretch>
                      <a:fillRect/>
                    </a:stretch>
                  </pic:blipFill>
                  <pic:spPr bwMode="auto">
                    <a:xfrm>
                      <a:off x="0" y="0"/>
                      <a:ext cx="3705225" cy="2990850"/>
                    </a:xfrm>
                    <a:prstGeom prst="rect">
                      <a:avLst/>
                    </a:prstGeom>
                    <a:noFill/>
                    <a:ln w="9525">
                      <a:noFill/>
                      <a:miter lim="800000"/>
                      <a:headEnd/>
                      <a:tailEnd/>
                    </a:ln>
                  </pic:spPr>
                </pic:pic>
              </a:graphicData>
            </a:graphic>
          </wp:inline>
        </w:drawing>
      </w:r>
    </w:p>
    <w:p w14:paraId="3FF88BF9" w14:textId="77777777" w:rsidR="009F661C" w:rsidRPr="00645736" w:rsidRDefault="009F661C" w:rsidP="00C448B5">
      <w:pPr>
        <w:pStyle w:val="DLQuotes"/>
        <w:rPr>
          <w:sz w:val="22"/>
          <w:szCs w:val="22"/>
        </w:rPr>
      </w:pPr>
    </w:p>
    <w:p w14:paraId="3D1E98BD" w14:textId="77777777" w:rsidR="009F661C" w:rsidRDefault="009F661C" w:rsidP="00C448B5">
      <w:pPr>
        <w:pStyle w:val="DLQuotes"/>
      </w:pPr>
      <w:r>
        <w:t>Source: R.M. Bourke 2005.</w:t>
      </w:r>
    </w:p>
    <w:p w14:paraId="59D66DDD" w14:textId="77777777" w:rsidR="009F661C" w:rsidRDefault="009F661C">
      <w:pPr>
        <w:sectPr w:rsidR="009F661C" w:rsidSect="00503FDD">
          <w:headerReference w:type="even" r:id="rId44"/>
          <w:headerReference w:type="default" r:id="rId45"/>
          <w:footnotePr>
            <w:numRestart w:val="eachSect"/>
          </w:footnotePr>
          <w:type w:val="oddPage"/>
          <w:pgSz w:w="8392" w:h="11907" w:code="11"/>
          <w:pgMar w:top="1418" w:right="1191" w:bottom="851" w:left="1191" w:header="851" w:footer="0" w:gutter="0"/>
          <w:cols w:space="708"/>
          <w:titlePg/>
          <w:docGrid w:linePitch="360"/>
        </w:sectPr>
      </w:pPr>
    </w:p>
    <w:p w14:paraId="1241A402" w14:textId="77777777" w:rsidR="009F661C" w:rsidRPr="003F48B1" w:rsidRDefault="009F661C" w:rsidP="00DC1614">
      <w:pPr>
        <w:pStyle w:val="h1"/>
      </w:pPr>
      <w:r>
        <w:lastRenderedPageBreak/>
        <w:t>Bibliography</w:t>
      </w:r>
    </w:p>
    <w:p w14:paraId="7B3DA9B4" w14:textId="77777777" w:rsidR="009F661C" w:rsidRDefault="009F661C" w:rsidP="004130B8">
      <w:pPr>
        <w:tabs>
          <w:tab w:val="left" w:pos="5812"/>
        </w:tabs>
        <w:ind w:right="3406"/>
        <w:rPr>
          <w:sz w:val="20"/>
          <w:szCs w:val="20"/>
        </w:rPr>
      </w:pPr>
    </w:p>
    <w:p w14:paraId="07A45B73" w14:textId="77777777" w:rsidR="009F661C" w:rsidRDefault="009F661C" w:rsidP="004130B8">
      <w:pPr>
        <w:tabs>
          <w:tab w:val="left" w:pos="5812"/>
        </w:tabs>
        <w:ind w:right="3406"/>
        <w:rPr>
          <w:sz w:val="20"/>
          <w:szCs w:val="20"/>
        </w:rPr>
      </w:pPr>
    </w:p>
    <w:p w14:paraId="47550466" w14:textId="77777777" w:rsidR="009F661C" w:rsidRPr="003F48B1" w:rsidRDefault="009F661C" w:rsidP="004130B8">
      <w:pPr>
        <w:tabs>
          <w:tab w:val="left" w:pos="5812"/>
        </w:tabs>
        <w:ind w:right="3406"/>
        <w:rPr>
          <w:sz w:val="20"/>
          <w:szCs w:val="20"/>
        </w:rPr>
      </w:pPr>
    </w:p>
    <w:p w14:paraId="23968AAF" w14:textId="77777777" w:rsidR="009F661C" w:rsidRPr="00DC1614" w:rsidRDefault="009F661C" w:rsidP="00DC1614">
      <w:pPr>
        <w:pStyle w:val="FootnoteText"/>
        <w:tabs>
          <w:tab w:val="left" w:pos="5812"/>
        </w:tabs>
        <w:ind w:left="284" w:hanging="284"/>
        <w:jc w:val="both"/>
      </w:pPr>
      <w:r w:rsidRPr="00DC1614">
        <w:t xml:space="preserve">Aleck J. and J. Rannells (eds.) 1995. </w:t>
      </w:r>
      <w:r w:rsidRPr="00DC1614">
        <w:rPr>
          <w:i/>
        </w:rPr>
        <w:t>Custom at the Crossroad</w:t>
      </w:r>
      <w:r w:rsidRPr="00DC1614">
        <w:t>, University of Papua New Guinea, Port Moresby.</w:t>
      </w:r>
    </w:p>
    <w:p w14:paraId="615315F1" w14:textId="77777777" w:rsidR="009F661C" w:rsidRPr="00DC1614" w:rsidRDefault="009F661C" w:rsidP="00DC1614">
      <w:pPr>
        <w:pStyle w:val="FootnoteText"/>
        <w:ind w:left="284" w:hanging="284"/>
        <w:jc w:val="both"/>
      </w:pPr>
      <w:r w:rsidRPr="00DC1614">
        <w:t xml:space="preserve">Australian Bureau of Statistics 2001. </w:t>
      </w:r>
      <w:r w:rsidRPr="00DC1614">
        <w:rPr>
          <w:i/>
        </w:rPr>
        <w:t xml:space="preserve">Yearbook Australia </w:t>
      </w:r>
      <w:r w:rsidRPr="00DC1614">
        <w:t>2001. ABS, Canberra.</w:t>
      </w:r>
    </w:p>
    <w:p w14:paraId="4B7DAB7F" w14:textId="77777777" w:rsidR="009F661C" w:rsidRPr="0035619C" w:rsidRDefault="009F661C" w:rsidP="00DC1614">
      <w:pPr>
        <w:tabs>
          <w:tab w:val="left" w:pos="5812"/>
        </w:tabs>
        <w:ind w:left="284" w:hanging="284"/>
        <w:jc w:val="both"/>
        <w:rPr>
          <w:sz w:val="20"/>
          <w:szCs w:val="20"/>
          <w:lang w:val="en-US"/>
        </w:rPr>
      </w:pPr>
      <w:r w:rsidRPr="0035619C">
        <w:rPr>
          <w:sz w:val="20"/>
          <w:szCs w:val="20"/>
        </w:rPr>
        <w:t xml:space="preserve">—. </w:t>
      </w:r>
      <w:r w:rsidRPr="0035619C">
        <w:rPr>
          <w:i/>
          <w:sz w:val="20"/>
          <w:szCs w:val="20"/>
          <w:lang w:val="en-US"/>
        </w:rPr>
        <w:t>Livestock Products Australia</w:t>
      </w:r>
      <w:r w:rsidRPr="0035619C">
        <w:rPr>
          <w:sz w:val="20"/>
          <w:szCs w:val="20"/>
          <w:lang w:val="en-US"/>
        </w:rPr>
        <w:t>. ABS, Canberra.</w:t>
      </w:r>
    </w:p>
    <w:p w14:paraId="2F290506" w14:textId="77777777" w:rsidR="009F661C" w:rsidRPr="00DC1614" w:rsidRDefault="009F661C" w:rsidP="00DC1614">
      <w:pPr>
        <w:pStyle w:val="FootnoteText"/>
        <w:tabs>
          <w:tab w:val="left" w:pos="5812"/>
        </w:tabs>
        <w:ind w:left="284" w:hanging="284"/>
        <w:jc w:val="both"/>
      </w:pPr>
      <w:r w:rsidRPr="00DC1614">
        <w:t xml:space="preserve">Altman, J. and J.P. Nieuwenhuysen 1979. </w:t>
      </w:r>
      <w:r w:rsidRPr="00DC1614">
        <w:rPr>
          <w:i/>
        </w:rPr>
        <w:t xml:space="preserve">The economic status of Australian Aborigines. </w:t>
      </w:r>
      <w:r w:rsidRPr="00DC1614">
        <w:t>CUP, Cambridge and Melbourne.</w:t>
      </w:r>
    </w:p>
    <w:p w14:paraId="53B28182" w14:textId="77777777" w:rsidR="009F661C" w:rsidRPr="00DC1614" w:rsidRDefault="009F661C" w:rsidP="00DC1614">
      <w:pPr>
        <w:pStyle w:val="FootnoteText"/>
        <w:tabs>
          <w:tab w:val="left" w:pos="5812"/>
        </w:tabs>
        <w:ind w:left="284" w:hanging="284"/>
        <w:jc w:val="both"/>
      </w:pPr>
      <w:r w:rsidRPr="00DC1614">
        <w:t xml:space="preserve">Altman, J. 1993.Economic Dimensions of the High Court’s Mabo Judgment. </w:t>
      </w:r>
      <w:r w:rsidRPr="00DC1614">
        <w:rPr>
          <w:i/>
        </w:rPr>
        <w:t>Australian Economic Review</w:t>
      </w:r>
      <w:r w:rsidRPr="00DC1614">
        <w:t>, 3/93: 26-34.</w:t>
      </w:r>
    </w:p>
    <w:p w14:paraId="021F3943" w14:textId="77777777" w:rsidR="009F661C" w:rsidRPr="00DC1614" w:rsidRDefault="009F661C" w:rsidP="00DC1614">
      <w:pPr>
        <w:pStyle w:val="FootnoteText"/>
        <w:tabs>
          <w:tab w:val="left" w:pos="5812"/>
        </w:tabs>
        <w:ind w:left="284" w:hanging="284"/>
        <w:jc w:val="both"/>
      </w:pPr>
      <w:r w:rsidRPr="00DC1614">
        <w:t xml:space="preserve">Amet, A. 1993. </w:t>
      </w:r>
      <w:r w:rsidRPr="00DC1614">
        <w:rPr>
          <w:i/>
          <w:iCs/>
        </w:rPr>
        <w:t>Papua New Guinea Law Reports 199:</w:t>
      </w:r>
      <w:r w:rsidRPr="00DC1614">
        <w:t xml:space="preserve"> 310-319.</w:t>
      </w:r>
    </w:p>
    <w:p w14:paraId="02E47B70" w14:textId="77777777" w:rsidR="009F661C" w:rsidRPr="00DC1614" w:rsidRDefault="009F661C" w:rsidP="00DC1614">
      <w:pPr>
        <w:pStyle w:val="FootnoteText"/>
        <w:tabs>
          <w:tab w:val="left" w:pos="5812"/>
        </w:tabs>
        <w:ind w:left="284" w:hanging="284"/>
        <w:jc w:val="both"/>
      </w:pPr>
      <w:r>
        <w:t>—</w:t>
      </w:r>
      <w:r w:rsidRPr="00DC1614">
        <w:t xml:space="preserve">. 1995. Severing the umbilical cord from the common law,  in J. Aleck and J. Rannells (eds.), 1995 </w:t>
      </w:r>
      <w:r w:rsidRPr="00DC1614">
        <w:rPr>
          <w:i/>
        </w:rPr>
        <w:t>Custom at the Crossroad</w:t>
      </w:r>
      <w:r w:rsidRPr="00DC1614">
        <w:t>, University of Papua New Guinea, Port Moresby.</w:t>
      </w:r>
    </w:p>
    <w:p w14:paraId="12601EBB" w14:textId="77777777" w:rsidR="009F661C" w:rsidRPr="00DC1614" w:rsidRDefault="009F661C" w:rsidP="00DC1614">
      <w:pPr>
        <w:tabs>
          <w:tab w:val="left" w:pos="5812"/>
        </w:tabs>
        <w:ind w:left="284" w:hanging="284"/>
        <w:jc w:val="both"/>
        <w:rPr>
          <w:i/>
          <w:sz w:val="20"/>
          <w:szCs w:val="20"/>
        </w:rPr>
      </w:pPr>
      <w:r w:rsidRPr="00DC1614">
        <w:rPr>
          <w:sz w:val="20"/>
          <w:szCs w:val="20"/>
        </w:rPr>
        <w:t xml:space="preserve">Anderson, B., 2003. </w:t>
      </w:r>
      <w:r w:rsidRPr="00DC1614">
        <w:rPr>
          <w:i/>
          <w:sz w:val="20"/>
          <w:szCs w:val="20"/>
        </w:rPr>
        <w:t>Imagined Communities: Reflections on the Origin and Spread of Nationalism.</w:t>
      </w:r>
      <w:r w:rsidRPr="00DC1614">
        <w:rPr>
          <w:sz w:val="20"/>
          <w:szCs w:val="20"/>
        </w:rPr>
        <w:t xml:space="preserve"> Verso, London.</w:t>
      </w:r>
    </w:p>
    <w:p w14:paraId="0C87A866" w14:textId="77777777" w:rsidR="009F661C" w:rsidRPr="00DC1614" w:rsidRDefault="009F661C" w:rsidP="00DC1614">
      <w:pPr>
        <w:pStyle w:val="FootnoteText"/>
        <w:tabs>
          <w:tab w:val="left" w:pos="5812"/>
        </w:tabs>
        <w:ind w:left="284" w:hanging="284"/>
        <w:jc w:val="both"/>
      </w:pPr>
      <w:r w:rsidRPr="00DC1614">
        <w:t>Armstrong, W.A. 1989. Rural population growth, systems of employment, and incomes, in Mingay, (ed.), 1989.</w:t>
      </w:r>
    </w:p>
    <w:p w14:paraId="4B54134F" w14:textId="77777777" w:rsidR="009F661C" w:rsidRPr="00DC1614" w:rsidRDefault="009F661C" w:rsidP="00DC1614">
      <w:pPr>
        <w:pStyle w:val="EndnoteText"/>
        <w:tabs>
          <w:tab w:val="left" w:pos="5812"/>
        </w:tabs>
        <w:ind w:left="284" w:hanging="284"/>
        <w:jc w:val="both"/>
      </w:pPr>
      <w:r w:rsidRPr="00DC1614">
        <w:t>AusAID (Australian Agency for International Development) 2007.</w:t>
      </w:r>
      <w:r w:rsidRPr="00DC1614">
        <w:rPr>
          <w:i/>
        </w:rPr>
        <w:t xml:space="preserve"> Making Land Work: Volume Two. Case Studies on customary land and development in the Pacific, </w:t>
      </w:r>
      <w:r w:rsidRPr="00DC1614">
        <w:t>AusAID, Canberra.</w:t>
      </w:r>
    </w:p>
    <w:p w14:paraId="7375A591" w14:textId="77777777" w:rsidR="009F661C" w:rsidRPr="00DC1614" w:rsidRDefault="009F661C" w:rsidP="00DC1614">
      <w:pPr>
        <w:pStyle w:val="FootnoteText"/>
        <w:tabs>
          <w:tab w:val="left" w:pos="5812"/>
        </w:tabs>
        <w:ind w:left="284" w:hanging="284"/>
        <w:jc w:val="both"/>
      </w:pPr>
      <w:r w:rsidRPr="00DC1614">
        <w:t xml:space="preserve">Austen, J. 1995. </w:t>
      </w:r>
      <w:r w:rsidRPr="00DC1614">
        <w:rPr>
          <w:i/>
        </w:rPr>
        <w:t>The Province of Jurisprudence Determined</w:t>
      </w:r>
      <w:r w:rsidRPr="00DC1614">
        <w:t xml:space="preserve">, Cambridge University Press, Cambridge.  </w:t>
      </w:r>
    </w:p>
    <w:p w14:paraId="035D9A93" w14:textId="77777777" w:rsidR="009F661C" w:rsidRPr="00DC1614" w:rsidRDefault="009F661C" w:rsidP="00DC1614">
      <w:pPr>
        <w:pStyle w:val="EndnoteText"/>
        <w:tabs>
          <w:tab w:val="left" w:pos="5812"/>
        </w:tabs>
        <w:ind w:left="284" w:hanging="284"/>
        <w:jc w:val="both"/>
        <w:rPr>
          <w:rStyle w:val="Strong"/>
          <w:b w:val="0"/>
        </w:rPr>
      </w:pPr>
      <w:r w:rsidRPr="00DC1614">
        <w:t xml:space="preserve">Bainton, N., J. Cox and A. Regan 2008. </w:t>
      </w:r>
      <w:r w:rsidRPr="00DC1614">
        <w:rPr>
          <w:rStyle w:val="Strong"/>
          <w:b w:val="0"/>
        </w:rPr>
        <w:t>Parallel States, Parallel Economies: Legitimacy and Prosperity in Melanesia, seminar paper (July 17 2009), RMAP, Australian National University, Canberra.</w:t>
      </w:r>
    </w:p>
    <w:p w14:paraId="38FFA649" w14:textId="77777777" w:rsidR="009F661C" w:rsidRPr="00DC1614" w:rsidRDefault="009F661C" w:rsidP="00DC1614">
      <w:pPr>
        <w:tabs>
          <w:tab w:val="left" w:pos="5812"/>
        </w:tabs>
        <w:ind w:left="284" w:hanging="284"/>
        <w:jc w:val="both"/>
        <w:rPr>
          <w:sz w:val="20"/>
          <w:szCs w:val="20"/>
        </w:rPr>
      </w:pPr>
      <w:r w:rsidRPr="00DC1614">
        <w:rPr>
          <w:sz w:val="20"/>
          <w:szCs w:val="20"/>
        </w:rPr>
        <w:t>Ballard, C.  1997.  It’s the land, stupid! The moral economy of resource ownership in Papua New Guinea, in Lamour (ed.) 1997.</w:t>
      </w:r>
    </w:p>
    <w:p w14:paraId="429B10CA" w14:textId="77777777" w:rsidR="009F661C" w:rsidRPr="00DC1614" w:rsidRDefault="009F661C" w:rsidP="00DC1614">
      <w:pPr>
        <w:pStyle w:val="FootnoteText"/>
        <w:tabs>
          <w:tab w:val="left" w:pos="5812"/>
        </w:tabs>
        <w:ind w:left="284" w:hanging="284"/>
        <w:jc w:val="both"/>
      </w:pPr>
      <w:r w:rsidRPr="00DC1614">
        <w:t xml:space="preserve">Barnett, T. 1989. </w:t>
      </w:r>
      <w:r w:rsidRPr="00DC1614">
        <w:rPr>
          <w:i/>
          <w:iCs/>
        </w:rPr>
        <w:t>Commission of Inquiry into Aspects of the Forestry Industry</w:t>
      </w:r>
      <w:r w:rsidRPr="00DC1614">
        <w:t xml:space="preserve">, Government of Papua New Guinea, Port Moresby. </w:t>
      </w:r>
    </w:p>
    <w:p w14:paraId="51E00028" w14:textId="77777777" w:rsidR="009F661C" w:rsidRPr="00DC1614" w:rsidRDefault="009F661C" w:rsidP="00DC1614">
      <w:pPr>
        <w:pStyle w:val="FootnoteText"/>
        <w:tabs>
          <w:tab w:val="left" w:pos="5812"/>
        </w:tabs>
        <w:ind w:left="284" w:hanging="284"/>
        <w:jc w:val="both"/>
      </w:pPr>
      <w:r w:rsidRPr="00DC1614">
        <w:rPr>
          <w:iCs/>
        </w:rPr>
        <w:t xml:space="preserve">Benedicktsson, K.  2002. </w:t>
      </w:r>
      <w:r w:rsidRPr="00DC1614">
        <w:rPr>
          <w:i/>
          <w:iCs/>
        </w:rPr>
        <w:t>Harvesting Development</w:t>
      </w:r>
      <w:r w:rsidRPr="00DC1614">
        <w:t>. Singapore: Nordic Institute of Asian Studies, 240-241.</w:t>
      </w:r>
    </w:p>
    <w:p w14:paraId="1972D227" w14:textId="77777777" w:rsidR="009F661C" w:rsidRPr="00DC1614" w:rsidRDefault="009F661C" w:rsidP="00DC1614">
      <w:pPr>
        <w:tabs>
          <w:tab w:val="left" w:pos="5812"/>
        </w:tabs>
        <w:autoSpaceDE w:val="0"/>
        <w:autoSpaceDN w:val="0"/>
        <w:adjustRightInd w:val="0"/>
        <w:ind w:left="284" w:hanging="284"/>
        <w:jc w:val="both"/>
        <w:rPr>
          <w:sz w:val="20"/>
          <w:szCs w:val="20"/>
        </w:rPr>
      </w:pPr>
      <w:r w:rsidRPr="00DC1614">
        <w:rPr>
          <w:rStyle w:val="Emphasis"/>
          <w:b w:val="0"/>
          <w:sz w:val="20"/>
          <w:szCs w:val="20"/>
        </w:rPr>
        <w:t xml:space="preserve">Bethel, T. 1998. </w:t>
      </w:r>
      <w:r w:rsidRPr="00DC1614">
        <w:rPr>
          <w:rStyle w:val="Emphasis"/>
          <w:b w:val="0"/>
          <w:i/>
          <w:sz w:val="20"/>
          <w:szCs w:val="20"/>
        </w:rPr>
        <w:t>The Noblest Triumph</w:t>
      </w:r>
      <w:r w:rsidRPr="00DC1614">
        <w:rPr>
          <w:b/>
          <w:i/>
          <w:sz w:val="20"/>
          <w:szCs w:val="20"/>
        </w:rPr>
        <w:t xml:space="preserve"> –</w:t>
      </w:r>
      <w:r w:rsidRPr="00DC1614">
        <w:rPr>
          <w:i/>
          <w:sz w:val="20"/>
          <w:szCs w:val="20"/>
        </w:rPr>
        <w:t xml:space="preserve"> Property and Prosperity through the Ages</w:t>
      </w:r>
      <w:r w:rsidRPr="00DC1614">
        <w:rPr>
          <w:sz w:val="20"/>
          <w:szCs w:val="20"/>
        </w:rPr>
        <w:t>. New York,  St. Martin's Griffin Press.</w:t>
      </w:r>
    </w:p>
    <w:p w14:paraId="64F4F0EA" w14:textId="77777777" w:rsidR="009F661C" w:rsidRPr="00DC1614" w:rsidRDefault="009F661C" w:rsidP="00DC1614">
      <w:pPr>
        <w:tabs>
          <w:tab w:val="left" w:pos="5812"/>
        </w:tabs>
        <w:autoSpaceDE w:val="0"/>
        <w:autoSpaceDN w:val="0"/>
        <w:adjustRightInd w:val="0"/>
        <w:ind w:left="284" w:hanging="284"/>
        <w:jc w:val="both"/>
        <w:rPr>
          <w:sz w:val="20"/>
          <w:szCs w:val="20"/>
        </w:rPr>
      </w:pPr>
      <w:r w:rsidRPr="00DC1614">
        <w:rPr>
          <w:sz w:val="20"/>
          <w:szCs w:val="20"/>
        </w:rPr>
        <w:lastRenderedPageBreak/>
        <w:t xml:space="preserve">Bloemraad, I., 2006. </w:t>
      </w:r>
      <w:r w:rsidRPr="00DC1614">
        <w:rPr>
          <w:i/>
          <w:iCs/>
          <w:sz w:val="20"/>
          <w:szCs w:val="20"/>
        </w:rPr>
        <w:t xml:space="preserve">Becoming a Citizen: Incorporating Immigrants and Refugees in the United States and Canada, </w:t>
      </w:r>
      <w:r w:rsidRPr="00DC1614">
        <w:rPr>
          <w:sz w:val="20"/>
          <w:szCs w:val="20"/>
        </w:rPr>
        <w:t xml:space="preserve"> University of California Press, Berkeley.</w:t>
      </w:r>
    </w:p>
    <w:p w14:paraId="23CB3D8A" w14:textId="77777777" w:rsidR="009F661C" w:rsidRPr="00DC1614" w:rsidRDefault="009F661C" w:rsidP="00DC1614">
      <w:pPr>
        <w:tabs>
          <w:tab w:val="left" w:pos="5812"/>
        </w:tabs>
        <w:ind w:left="284" w:hanging="284"/>
        <w:jc w:val="both"/>
        <w:rPr>
          <w:sz w:val="20"/>
          <w:szCs w:val="20"/>
        </w:rPr>
      </w:pPr>
      <w:r w:rsidRPr="00DC1614">
        <w:rPr>
          <w:sz w:val="20"/>
          <w:szCs w:val="20"/>
        </w:rPr>
        <w:t xml:space="preserve">Boatright, J. 2009. “Book Review: </w:t>
      </w:r>
      <w:r w:rsidRPr="00DC1614">
        <w:rPr>
          <w:i/>
          <w:sz w:val="20"/>
          <w:szCs w:val="20"/>
        </w:rPr>
        <w:t>Finance: Servant or Deceiver? Financialization at the Crossroads</w:t>
      </w:r>
      <w:r w:rsidRPr="00DC1614">
        <w:rPr>
          <w:sz w:val="20"/>
          <w:szCs w:val="20"/>
        </w:rPr>
        <w:t xml:space="preserve">, by Paul H. Dembinski,” </w:t>
      </w:r>
      <w:r w:rsidRPr="00DC1614">
        <w:rPr>
          <w:i/>
          <w:sz w:val="20"/>
          <w:szCs w:val="20"/>
        </w:rPr>
        <w:t>Business Ethics Quarterly</w:t>
      </w:r>
      <w:r w:rsidRPr="00DC1614">
        <w:rPr>
          <w:sz w:val="20"/>
          <w:szCs w:val="20"/>
        </w:rPr>
        <w:t xml:space="preserve"> 19, 3: 453-465. </w:t>
      </w:r>
    </w:p>
    <w:p w14:paraId="4704ACA0" w14:textId="77777777" w:rsidR="009F661C" w:rsidRPr="00DC1614" w:rsidRDefault="009F661C" w:rsidP="00DC1614">
      <w:pPr>
        <w:pStyle w:val="FootnoteText"/>
        <w:tabs>
          <w:tab w:val="left" w:pos="5812"/>
        </w:tabs>
        <w:ind w:left="284" w:hanging="284"/>
        <w:jc w:val="both"/>
      </w:pPr>
      <w:r w:rsidRPr="00DC1614">
        <w:t>Bourke, R.M., M.G. Allen, and J.G. Salisbury (eds.) 2001.  Food Security for Papua New Guinea.ACIAR Proceedings No. 99, Canberra, and University of Technology, Lae.</w:t>
      </w:r>
    </w:p>
    <w:p w14:paraId="195F59A2" w14:textId="77777777" w:rsidR="009F661C" w:rsidRPr="00DC1614" w:rsidRDefault="009F661C" w:rsidP="00DC1614">
      <w:pPr>
        <w:pStyle w:val="FootnoteText"/>
        <w:tabs>
          <w:tab w:val="left" w:pos="5812"/>
        </w:tabs>
        <w:ind w:left="284" w:hanging="284"/>
        <w:jc w:val="both"/>
      </w:pPr>
      <w:r w:rsidRPr="00DC1614">
        <w:t xml:space="preserve">Bourke, R.M. and V. Vlassak 2004. </w:t>
      </w:r>
      <w:r w:rsidRPr="00DC1614">
        <w:rPr>
          <w:i/>
        </w:rPr>
        <w:t>Estimates of Food Crop Production in Papua New Guinea</w:t>
      </w:r>
      <w:r w:rsidRPr="00DC1614">
        <w:t>. ANU, Canberra.</w:t>
      </w:r>
    </w:p>
    <w:p w14:paraId="79FE57B7" w14:textId="77777777" w:rsidR="009F661C" w:rsidRPr="00DC1614" w:rsidRDefault="009F661C" w:rsidP="00DC1614">
      <w:pPr>
        <w:pStyle w:val="FootnoteText"/>
        <w:tabs>
          <w:tab w:val="left" w:pos="5812"/>
        </w:tabs>
        <w:ind w:left="284" w:hanging="284"/>
        <w:jc w:val="both"/>
      </w:pPr>
      <w:r w:rsidRPr="00DC1614">
        <w:t>Bourke, R.M. 2005. Agricultural production and customary land in Papua New Guinea, in Fingleton, J. (ed.) 2005.</w:t>
      </w:r>
    </w:p>
    <w:p w14:paraId="2D780CB4" w14:textId="77777777" w:rsidR="009F661C" w:rsidRPr="00DC1614" w:rsidRDefault="009F661C" w:rsidP="00DC1614">
      <w:pPr>
        <w:pStyle w:val="FootnoteText"/>
        <w:tabs>
          <w:tab w:val="left" w:pos="5812"/>
        </w:tabs>
        <w:ind w:left="284" w:hanging="284"/>
        <w:jc w:val="both"/>
      </w:pPr>
      <w:r w:rsidRPr="00DC1614">
        <w:t xml:space="preserve">Bowen, B. 2008. </w:t>
      </w:r>
      <w:r w:rsidRPr="00DC1614">
        <w:rPr>
          <w:i/>
        </w:rPr>
        <w:t>Deforestation in Papua New Guinea</w:t>
      </w:r>
      <w:r w:rsidRPr="00DC1614">
        <w:t xml:space="preserve">. Submission to the Garnaut Review, Melbourne, </w:t>
      </w:r>
      <w:hyperlink r:id="rId46" w:history="1">
        <w:r w:rsidRPr="00DC1614">
          <w:rPr>
            <w:rStyle w:val="Hyperlink"/>
            <w:color w:val="auto"/>
            <w:u w:val="none"/>
          </w:rPr>
          <w:t>www.garnautreview.org.au</w:t>
        </w:r>
      </w:hyperlink>
      <w:r w:rsidRPr="00DC1614">
        <w:t>.</w:t>
      </w:r>
    </w:p>
    <w:p w14:paraId="718C2DBA" w14:textId="77777777" w:rsidR="009F661C" w:rsidRPr="00DC1614" w:rsidRDefault="009F661C" w:rsidP="00DC1614">
      <w:pPr>
        <w:pStyle w:val="FootnoteText"/>
        <w:tabs>
          <w:tab w:val="left" w:pos="5812"/>
        </w:tabs>
        <w:ind w:left="284" w:hanging="284"/>
        <w:jc w:val="both"/>
      </w:pPr>
      <w:r w:rsidRPr="00DC1614">
        <w:t xml:space="preserve">Burton, J., 1992. The Porgera Census Project. </w:t>
      </w:r>
      <w:r w:rsidRPr="0035619C">
        <w:rPr>
          <w:rStyle w:val="Emphasis"/>
          <w:b w:val="0"/>
          <w:i/>
        </w:rPr>
        <w:t>Research in Melanesia</w:t>
      </w:r>
      <w:r w:rsidRPr="00DC1614">
        <w:rPr>
          <w:rStyle w:val="Emphasis"/>
        </w:rPr>
        <w:t xml:space="preserve"> </w:t>
      </w:r>
      <w:r w:rsidRPr="00DC1614">
        <w:t xml:space="preserve">16: 129–156. </w:t>
      </w:r>
    </w:p>
    <w:p w14:paraId="29C33EB2" w14:textId="77777777" w:rsidR="009F661C" w:rsidRPr="00DC1614" w:rsidRDefault="009F661C" w:rsidP="00DC1614">
      <w:pPr>
        <w:pStyle w:val="FootnoteText"/>
        <w:tabs>
          <w:tab w:val="left" w:pos="5812"/>
        </w:tabs>
        <w:ind w:left="284" w:hanging="284"/>
        <w:jc w:val="both"/>
      </w:pPr>
      <w:r>
        <w:t>—</w:t>
      </w:r>
      <w:r w:rsidRPr="00DC1614">
        <w:t xml:space="preserve">. 1999. Evidence of “The New Competencies”? In C. Filer (ed.), 1999. </w:t>
      </w:r>
    </w:p>
    <w:p w14:paraId="4248EB89" w14:textId="77777777" w:rsidR="009F661C" w:rsidRPr="00DC1614" w:rsidRDefault="009F661C" w:rsidP="00DC1614">
      <w:pPr>
        <w:pStyle w:val="FootnoteText"/>
        <w:tabs>
          <w:tab w:val="left" w:pos="5812"/>
        </w:tabs>
        <w:ind w:left="284" w:hanging="284"/>
        <w:jc w:val="both"/>
      </w:pPr>
      <w:r>
        <w:t>—</w:t>
      </w:r>
      <w:r w:rsidRPr="00DC1614">
        <w:t xml:space="preserve">. 2007. “Determinacy of Groups and the ‘owned Commons’ in Papua New Guinea and the Torres Strait,” in Weiner and Glaskin (eds) 2007.  </w:t>
      </w:r>
    </w:p>
    <w:p w14:paraId="0280BB71" w14:textId="77777777" w:rsidR="009F661C" w:rsidRPr="00DC1614" w:rsidRDefault="009F661C" w:rsidP="00DC1614">
      <w:pPr>
        <w:pStyle w:val="FootnoteText"/>
        <w:tabs>
          <w:tab w:val="left" w:pos="5812"/>
        </w:tabs>
        <w:ind w:left="284" w:hanging="284"/>
        <w:jc w:val="both"/>
      </w:pPr>
      <w:r w:rsidRPr="00DC1614">
        <w:t xml:space="preserve">Cacho, O.J., Hean, R.L., &amp; Wise, R.M. 2003 Carbon-accounting methods and reforestation. </w:t>
      </w:r>
      <w:r w:rsidRPr="00DC1614">
        <w:rPr>
          <w:i/>
          <w:iCs/>
        </w:rPr>
        <w:t>Australian Journal of Agricultural and Resource Economics</w:t>
      </w:r>
      <w:r w:rsidRPr="00DC1614">
        <w:t>, 47(2), 153-179.</w:t>
      </w:r>
    </w:p>
    <w:p w14:paraId="1FA39B45" w14:textId="77777777" w:rsidR="009F661C" w:rsidRPr="00DC1614" w:rsidRDefault="009F661C" w:rsidP="00DC1614">
      <w:pPr>
        <w:pStyle w:val="FootnoteText"/>
        <w:tabs>
          <w:tab w:val="left" w:pos="5812"/>
        </w:tabs>
        <w:ind w:left="284" w:hanging="284"/>
        <w:jc w:val="both"/>
      </w:pPr>
      <w:r w:rsidRPr="00DC1614">
        <w:t>Carruthers, D.S. 1990. Some implications for Papua New Guinea of the closure of the Bougainville copper mine, in May and Spriggs (eds.) 1990.</w:t>
      </w:r>
    </w:p>
    <w:p w14:paraId="628868E7" w14:textId="77777777" w:rsidR="009F661C" w:rsidRPr="00DC1614" w:rsidRDefault="009F661C" w:rsidP="00DC1614">
      <w:pPr>
        <w:pStyle w:val="FootnoteText"/>
        <w:tabs>
          <w:tab w:val="left" w:pos="5812"/>
        </w:tabs>
        <w:ind w:left="284" w:hanging="284"/>
        <w:jc w:val="both"/>
      </w:pPr>
      <w:r w:rsidRPr="00DC1614">
        <w:t xml:space="preserve">Chatham House 2010. </w:t>
      </w:r>
      <w:r w:rsidRPr="00DC1614">
        <w:rPr>
          <w:i/>
        </w:rPr>
        <w:t>Illegal logging.</w:t>
      </w:r>
      <w:r w:rsidRPr="00DC1614">
        <w:t xml:space="preserve"> </w:t>
      </w:r>
      <w:hyperlink r:id="rId47" w:history="1">
        <w:r w:rsidRPr="00DC1614">
          <w:rPr>
            <w:rStyle w:val="Hyperlink"/>
            <w:color w:val="auto"/>
            <w:u w:val="none"/>
          </w:rPr>
          <w:t>www.illegal-logging.info</w:t>
        </w:r>
      </w:hyperlink>
      <w:r w:rsidRPr="00DC1614">
        <w:t>, London.</w:t>
      </w:r>
    </w:p>
    <w:p w14:paraId="262D57A9" w14:textId="77777777" w:rsidR="009F661C" w:rsidRPr="00DC1614" w:rsidRDefault="009F661C" w:rsidP="00DC1614">
      <w:pPr>
        <w:pStyle w:val="FootnoteText"/>
        <w:tabs>
          <w:tab w:val="left" w:pos="5812"/>
        </w:tabs>
        <w:ind w:left="284" w:hanging="284"/>
        <w:jc w:val="both"/>
      </w:pPr>
      <w:r w:rsidRPr="00DC1614">
        <w:t>Chand, S. and R. Duncan 1997. Resolving property issues as a precondition for growth: access to land in the Pacific islands, in Larmour, P. (ed. 1997).</w:t>
      </w:r>
    </w:p>
    <w:p w14:paraId="3488BDE5" w14:textId="77777777" w:rsidR="009F661C" w:rsidRPr="00DC1614" w:rsidRDefault="009F661C" w:rsidP="00DC1614">
      <w:pPr>
        <w:pStyle w:val="FootnoteText"/>
        <w:tabs>
          <w:tab w:val="left" w:pos="5812"/>
        </w:tabs>
        <w:ind w:left="284" w:hanging="284"/>
        <w:jc w:val="both"/>
        <w:rPr>
          <w:rFonts w:cs="AIKDHF+Arial"/>
        </w:rPr>
      </w:pPr>
      <w:r>
        <w:t>—</w:t>
      </w:r>
      <w:r w:rsidRPr="00DC1614">
        <w:t xml:space="preserve">. </w:t>
      </w:r>
      <w:r w:rsidRPr="00DC1614">
        <w:rPr>
          <w:rFonts w:cs="AIKDHF+Arial"/>
        </w:rPr>
        <w:t xml:space="preserve">2004. Papua New Guinea Economic Survey: Transforming Good Luck into Policies for Long-Term Growth. </w:t>
      </w:r>
      <w:r w:rsidRPr="00DC1614">
        <w:rPr>
          <w:i/>
        </w:rPr>
        <w:t>Pacific Economic Bulletin</w:t>
      </w:r>
      <w:r w:rsidRPr="00DC1614">
        <w:t>,</w:t>
      </w:r>
      <w:r w:rsidRPr="00DC1614">
        <w:rPr>
          <w:rFonts w:cs="AIKDHF+Arial"/>
        </w:rPr>
        <w:t xml:space="preserve"> 19(1): 1-19.</w:t>
      </w:r>
    </w:p>
    <w:p w14:paraId="7CE9C950" w14:textId="77777777" w:rsidR="009F661C" w:rsidRPr="00DC1614" w:rsidRDefault="009F661C" w:rsidP="00DC1614">
      <w:pPr>
        <w:pStyle w:val="FootnoteText"/>
        <w:tabs>
          <w:tab w:val="left" w:pos="5812"/>
        </w:tabs>
        <w:ind w:left="284" w:hanging="284"/>
        <w:jc w:val="both"/>
      </w:pPr>
      <w:r w:rsidRPr="00DC1614">
        <w:t xml:space="preserve">Chand S. and C. Yala 2009. Land tenure and productivity. Farm-level evidence from Papua New Guinea. </w:t>
      </w:r>
      <w:r w:rsidRPr="00DC1614">
        <w:rPr>
          <w:i/>
        </w:rPr>
        <w:t>Land Economics</w:t>
      </w:r>
      <w:r w:rsidRPr="00DC1614">
        <w:t xml:space="preserve"> 85.3: 442-453.</w:t>
      </w:r>
    </w:p>
    <w:p w14:paraId="2FDCFB13" w14:textId="77777777" w:rsidR="009F661C" w:rsidRPr="00DC1614" w:rsidRDefault="009F661C" w:rsidP="00DC1614">
      <w:pPr>
        <w:pStyle w:val="FootnoteText"/>
        <w:tabs>
          <w:tab w:val="left" w:pos="5812"/>
        </w:tabs>
        <w:ind w:left="284" w:hanging="284"/>
        <w:jc w:val="both"/>
      </w:pPr>
      <w:r w:rsidRPr="00DC1614">
        <w:t xml:space="preserve">Clarence-Smith, W.G and S. Topik 2005. </w:t>
      </w:r>
      <w:r w:rsidRPr="00DC1614">
        <w:rPr>
          <w:i/>
        </w:rPr>
        <w:t>The Global Coffee Economy in Africa, Asia, and Latin America 1500-1989</w:t>
      </w:r>
      <w:r w:rsidRPr="00DC1614">
        <w:t xml:space="preserve">. CUP, Cambridge. </w:t>
      </w:r>
    </w:p>
    <w:p w14:paraId="4B98C8DD" w14:textId="77777777" w:rsidR="009F661C" w:rsidRPr="00DC1614" w:rsidRDefault="009F661C" w:rsidP="00DC1614">
      <w:pPr>
        <w:pStyle w:val="EndnoteText"/>
        <w:tabs>
          <w:tab w:val="left" w:pos="5812"/>
        </w:tabs>
        <w:ind w:left="284" w:hanging="284"/>
        <w:jc w:val="both"/>
      </w:pPr>
      <w:r w:rsidRPr="00DC1614">
        <w:t xml:space="preserve">Coase, R. H., 1937. The Nature of the Firm. </w:t>
      </w:r>
      <w:r w:rsidRPr="00DC1614">
        <w:rPr>
          <w:i/>
        </w:rPr>
        <w:t>Economica,</w:t>
      </w:r>
      <w:r w:rsidRPr="00DC1614">
        <w:t xml:space="preserve"> 4:386-405</w:t>
      </w:r>
    </w:p>
    <w:p w14:paraId="3F5EB2A2" w14:textId="77777777" w:rsidR="009F661C" w:rsidRPr="00DC1614" w:rsidRDefault="009F661C" w:rsidP="00DC1614">
      <w:pPr>
        <w:tabs>
          <w:tab w:val="left" w:pos="5812"/>
        </w:tabs>
        <w:ind w:left="284" w:hanging="284"/>
        <w:jc w:val="both"/>
        <w:rPr>
          <w:sz w:val="20"/>
          <w:szCs w:val="20"/>
        </w:rPr>
      </w:pPr>
      <w:r w:rsidRPr="0035619C">
        <w:rPr>
          <w:sz w:val="20"/>
          <w:szCs w:val="20"/>
        </w:rPr>
        <w:t xml:space="preserve">—. 1988. </w:t>
      </w:r>
      <w:r w:rsidRPr="0035619C">
        <w:rPr>
          <w:i/>
          <w:iCs/>
          <w:sz w:val="20"/>
          <w:szCs w:val="20"/>
        </w:rPr>
        <w:t>The Firm, the Market, and the Law</w:t>
      </w:r>
      <w:r w:rsidRPr="0035619C">
        <w:rPr>
          <w:sz w:val="20"/>
          <w:szCs w:val="20"/>
        </w:rPr>
        <w:t>. Chicago: University of</w:t>
      </w:r>
      <w:r w:rsidRPr="00DC1614">
        <w:rPr>
          <w:sz w:val="20"/>
          <w:szCs w:val="20"/>
        </w:rPr>
        <w:t xml:space="preserve"> Chicago Press.</w:t>
      </w:r>
    </w:p>
    <w:p w14:paraId="2EF7BD5B" w14:textId="77777777" w:rsidR="009F661C" w:rsidRPr="00DC1614" w:rsidRDefault="009F661C" w:rsidP="00DC1614">
      <w:pPr>
        <w:pStyle w:val="FootnoteText"/>
        <w:tabs>
          <w:tab w:val="left" w:pos="5812"/>
        </w:tabs>
        <w:ind w:left="284" w:hanging="284"/>
        <w:jc w:val="both"/>
        <w:rPr>
          <w:rFonts w:ascii="TimesNewRoman,Bold" w:hAnsi="TimesNewRoman,Bold" w:cs="TimesNewRoman,Bold"/>
          <w:bCs/>
        </w:rPr>
      </w:pPr>
      <w:r w:rsidRPr="00DC1614">
        <w:rPr>
          <w:rFonts w:ascii="TimesNewRoman,Bold" w:hAnsi="TimesNewRoman,Bold" w:cs="TimesNewRoman,Bold"/>
          <w:bCs/>
        </w:rPr>
        <w:lastRenderedPageBreak/>
        <w:t xml:space="preserve">Commission of European Union 2003. </w:t>
      </w:r>
      <w:r w:rsidRPr="00DC1614">
        <w:rPr>
          <w:rFonts w:ascii="TimesNewRoman,Bold" w:hAnsi="TimesNewRoman,Bold" w:cs="TimesNewRoman,Bold"/>
          <w:bCs/>
          <w:i/>
        </w:rPr>
        <w:t>Forest law enforcement, governance and trade</w:t>
      </w:r>
      <w:r w:rsidRPr="00DC1614">
        <w:rPr>
          <w:rFonts w:ascii="TimesNewRoman,Bold" w:hAnsi="TimesNewRoman,Bold" w:cs="TimesNewRoman,Bold"/>
          <w:bCs/>
        </w:rPr>
        <w:t>. CEU, Brussells.</w:t>
      </w:r>
    </w:p>
    <w:p w14:paraId="712810FD" w14:textId="77777777" w:rsidR="009F661C" w:rsidRPr="00DC1614" w:rsidRDefault="009F661C" w:rsidP="00DC1614">
      <w:pPr>
        <w:tabs>
          <w:tab w:val="left" w:pos="5812"/>
        </w:tabs>
        <w:ind w:left="284" w:hanging="284"/>
        <w:jc w:val="both"/>
        <w:rPr>
          <w:sz w:val="20"/>
          <w:szCs w:val="20"/>
        </w:rPr>
      </w:pPr>
      <w:r w:rsidRPr="00DC1614">
        <w:rPr>
          <w:sz w:val="20"/>
          <w:szCs w:val="20"/>
        </w:rPr>
        <w:t xml:space="preserve">Constitutional and Law Reform Commission (CLRC), 2008. </w:t>
      </w:r>
      <w:r w:rsidRPr="00DC1614">
        <w:rPr>
          <w:i/>
          <w:sz w:val="20"/>
          <w:szCs w:val="20"/>
        </w:rPr>
        <w:t>Review of Incorporated Land Groups and Design of a System of Voluntary Customary Registration</w:t>
      </w:r>
      <w:r w:rsidRPr="00DC1614">
        <w:rPr>
          <w:sz w:val="20"/>
          <w:szCs w:val="20"/>
        </w:rPr>
        <w:t>, CLRC, Port Moresby.</w:t>
      </w:r>
    </w:p>
    <w:p w14:paraId="2920BE4F" w14:textId="77777777" w:rsidR="009F661C" w:rsidRPr="0035619C" w:rsidRDefault="009F661C" w:rsidP="00DC1614">
      <w:pPr>
        <w:pStyle w:val="FootnoteText"/>
        <w:tabs>
          <w:tab w:val="left" w:pos="5812"/>
        </w:tabs>
        <w:ind w:left="284" w:hanging="284"/>
        <w:jc w:val="both"/>
      </w:pPr>
      <w:r w:rsidRPr="00DC1614">
        <w:t xml:space="preserve">Cooter, R. D 1989. </w:t>
      </w:r>
      <w:r w:rsidRPr="00DC1614">
        <w:rPr>
          <w:i/>
          <w:iCs/>
        </w:rPr>
        <w:t>Issues in Customary Land Law</w:t>
      </w:r>
      <w:r w:rsidRPr="00DC1614">
        <w:t xml:space="preserve">,  Institute of National </w:t>
      </w:r>
      <w:r w:rsidRPr="0035619C">
        <w:t>Affairs, Port Moresby.</w:t>
      </w:r>
    </w:p>
    <w:p w14:paraId="6831B50A" w14:textId="77777777" w:rsidR="009F661C" w:rsidRPr="0035619C" w:rsidRDefault="009F661C" w:rsidP="00DC1614">
      <w:pPr>
        <w:pStyle w:val="FootnoteText"/>
        <w:tabs>
          <w:tab w:val="left" w:pos="5812"/>
        </w:tabs>
        <w:ind w:left="284" w:hanging="284"/>
        <w:jc w:val="both"/>
      </w:pPr>
      <w:r w:rsidRPr="0035619C">
        <w:t xml:space="preserve">—. 1991. “Kin groups and the Common Law Process, in  Papua New Guinea,” P. Larmour (ed.) </w:t>
      </w:r>
      <w:r w:rsidRPr="0035619C">
        <w:rPr>
          <w:i/>
        </w:rPr>
        <w:t xml:space="preserve">Monograph 29 Customary Land Tenure in Papua New Guinea, </w:t>
      </w:r>
      <w:r w:rsidRPr="0035619C">
        <w:t xml:space="preserve"> NRI, Port Moresby: 33-49; </w:t>
      </w:r>
    </w:p>
    <w:p w14:paraId="55FB2064" w14:textId="77777777" w:rsidR="009F661C" w:rsidRPr="0035619C" w:rsidRDefault="009F661C" w:rsidP="00DC1614">
      <w:pPr>
        <w:pStyle w:val="FootnoteText"/>
        <w:tabs>
          <w:tab w:val="left" w:pos="5812"/>
        </w:tabs>
        <w:ind w:left="284" w:hanging="284"/>
        <w:jc w:val="both"/>
        <w:rPr>
          <w:rFonts w:cs="AIKDHF+Arial"/>
        </w:rPr>
      </w:pPr>
      <w:r w:rsidRPr="0035619C">
        <w:rPr>
          <w:rFonts w:cs="AIKDHF+Arial"/>
        </w:rPr>
        <w:t>Curtin, T. 2003. Scarcity amidst plenty: the economics of land tenure in Papua New Guinea, in Curtin T. et al. 2003.</w:t>
      </w:r>
    </w:p>
    <w:p w14:paraId="1E167B6A" w14:textId="77777777" w:rsidR="009F661C" w:rsidRPr="0035619C" w:rsidRDefault="009F661C" w:rsidP="00DC1614">
      <w:pPr>
        <w:tabs>
          <w:tab w:val="left" w:pos="5812"/>
        </w:tabs>
        <w:ind w:left="284" w:hanging="284"/>
        <w:jc w:val="both"/>
        <w:rPr>
          <w:sz w:val="20"/>
          <w:szCs w:val="20"/>
        </w:rPr>
      </w:pPr>
      <w:r w:rsidRPr="0035619C">
        <w:rPr>
          <w:sz w:val="20"/>
          <w:szCs w:val="20"/>
        </w:rPr>
        <w:t xml:space="preserve">—. 2004. A Contrarian View of Aid Effectiveness. </w:t>
      </w:r>
      <w:r w:rsidRPr="0035619C">
        <w:rPr>
          <w:i/>
          <w:sz w:val="20"/>
          <w:szCs w:val="20"/>
        </w:rPr>
        <w:t>Development Bulletin</w:t>
      </w:r>
      <w:r w:rsidRPr="0035619C">
        <w:rPr>
          <w:sz w:val="20"/>
          <w:szCs w:val="20"/>
        </w:rPr>
        <w:t xml:space="preserve"> 65: 27-30.  </w:t>
      </w:r>
    </w:p>
    <w:p w14:paraId="5F89583D" w14:textId="77777777" w:rsidR="009F661C" w:rsidRPr="0035619C" w:rsidRDefault="009F661C" w:rsidP="00DC1614">
      <w:pPr>
        <w:pStyle w:val="FootnoteText"/>
        <w:tabs>
          <w:tab w:val="left" w:pos="5812"/>
        </w:tabs>
        <w:ind w:left="284" w:hanging="284"/>
        <w:jc w:val="both"/>
      </w:pPr>
      <w:r w:rsidRPr="0035619C">
        <w:t xml:space="preserve">—. 2005. Papua New Guinea Economic Survey. A Comment. </w:t>
      </w:r>
      <w:r w:rsidRPr="0035619C">
        <w:rPr>
          <w:i/>
        </w:rPr>
        <w:t>Pacific Economic Bulletin</w:t>
      </w:r>
      <w:r w:rsidRPr="0035619C">
        <w:t>, 20.1:141-142.</w:t>
      </w:r>
    </w:p>
    <w:p w14:paraId="330B07FC" w14:textId="77777777" w:rsidR="009F661C" w:rsidRPr="0035619C" w:rsidRDefault="009F661C" w:rsidP="00DC1614">
      <w:pPr>
        <w:tabs>
          <w:tab w:val="left" w:pos="5812"/>
        </w:tabs>
        <w:ind w:left="284" w:hanging="284"/>
        <w:jc w:val="both"/>
        <w:rPr>
          <w:sz w:val="20"/>
          <w:szCs w:val="20"/>
        </w:rPr>
      </w:pPr>
      <w:r w:rsidRPr="0035619C">
        <w:rPr>
          <w:sz w:val="20"/>
          <w:szCs w:val="20"/>
        </w:rPr>
        <w:t xml:space="preserve">—. 2006. What constitutes illegal logging? </w:t>
      </w:r>
      <w:r w:rsidRPr="0035619C">
        <w:rPr>
          <w:i/>
          <w:sz w:val="20"/>
          <w:szCs w:val="20"/>
        </w:rPr>
        <w:t>Pacific Economic Bulletin</w:t>
      </w:r>
      <w:r w:rsidRPr="0035619C">
        <w:rPr>
          <w:sz w:val="20"/>
          <w:szCs w:val="20"/>
        </w:rPr>
        <w:t>, 22.1: 125-134.</w:t>
      </w:r>
    </w:p>
    <w:p w14:paraId="493E10A2" w14:textId="77777777" w:rsidR="009F661C" w:rsidRPr="0035619C" w:rsidRDefault="009F661C" w:rsidP="00DC1614">
      <w:pPr>
        <w:pStyle w:val="FootnoteText"/>
        <w:tabs>
          <w:tab w:val="left" w:pos="5812"/>
        </w:tabs>
        <w:ind w:left="284" w:hanging="284"/>
        <w:jc w:val="both"/>
        <w:rPr>
          <w:rFonts w:cs="AIKDHF+Arial"/>
        </w:rPr>
      </w:pPr>
      <w:r w:rsidRPr="0035619C">
        <w:rPr>
          <w:rFonts w:cs="AIKDHF+Arial"/>
        </w:rPr>
        <w:t>Curtin, T., H. Holzknecht, and P. Larmour 2003.</w:t>
      </w:r>
      <w:r w:rsidRPr="0035619C">
        <w:rPr>
          <w:rFonts w:cs="AIKDHF+Arial"/>
          <w:i/>
        </w:rPr>
        <w:t xml:space="preserve"> Land Registration in Papua New Guinea: Competing Perspectives</w:t>
      </w:r>
      <w:r w:rsidRPr="0035619C">
        <w:rPr>
          <w:rFonts w:cs="AIKDHF+Arial"/>
        </w:rPr>
        <w:t xml:space="preserve">. SSGM, ANU, Canberra. </w:t>
      </w:r>
    </w:p>
    <w:p w14:paraId="6D10F8A1" w14:textId="77777777" w:rsidR="009F661C" w:rsidRPr="00DC1614" w:rsidRDefault="009F661C" w:rsidP="00DC1614">
      <w:pPr>
        <w:tabs>
          <w:tab w:val="left" w:pos="-720"/>
          <w:tab w:val="left" w:pos="5812"/>
        </w:tabs>
        <w:suppressAutoHyphens/>
        <w:ind w:left="284" w:hanging="284"/>
        <w:jc w:val="both"/>
        <w:rPr>
          <w:sz w:val="20"/>
          <w:szCs w:val="20"/>
        </w:rPr>
      </w:pPr>
      <w:r w:rsidRPr="0035619C">
        <w:rPr>
          <w:spacing w:val="-3"/>
          <w:sz w:val="20"/>
          <w:szCs w:val="20"/>
        </w:rPr>
        <w:t>Curtin, T.  and D. Lea  2006. Land Titling and Socioeconomic Development</w:t>
      </w:r>
      <w:r w:rsidRPr="00DC1614">
        <w:rPr>
          <w:spacing w:val="-3"/>
          <w:sz w:val="20"/>
          <w:szCs w:val="20"/>
        </w:rPr>
        <w:t xml:space="preserve"> in the South Pacific: A Review Article. </w:t>
      </w:r>
      <w:r w:rsidRPr="00DC1614">
        <w:rPr>
          <w:i/>
          <w:sz w:val="20"/>
          <w:szCs w:val="20"/>
        </w:rPr>
        <w:t>Pacific Economic Bulletin,</w:t>
      </w:r>
      <w:r w:rsidRPr="00DC1614">
        <w:rPr>
          <w:sz w:val="20"/>
          <w:szCs w:val="20"/>
        </w:rPr>
        <w:t xml:space="preserve"> 21 (1): 153-181.</w:t>
      </w:r>
    </w:p>
    <w:p w14:paraId="3F1F3A44"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sidRPr="00DC1614">
        <w:rPr>
          <w:rFonts w:ascii="Times New Roman" w:hAnsi="Times New Roman" w:cs="Times New Roman"/>
          <w:color w:val="auto"/>
          <w:sz w:val="20"/>
          <w:szCs w:val="20"/>
        </w:rPr>
        <w:t xml:space="preserve">De Coppet, D. 1981. “The Life Giving Death”, in </w:t>
      </w:r>
      <w:r w:rsidRPr="00DC1614">
        <w:rPr>
          <w:rFonts w:ascii="Times New Roman" w:hAnsi="Times New Roman" w:cs="Times New Roman"/>
          <w:i/>
          <w:iCs/>
          <w:color w:val="auto"/>
          <w:sz w:val="20"/>
          <w:szCs w:val="20"/>
        </w:rPr>
        <w:t xml:space="preserve">Mortality and Immortality: The Anthropology and Archaeology of Death, </w:t>
      </w:r>
      <w:r w:rsidRPr="00DC1614">
        <w:rPr>
          <w:rFonts w:ascii="Times New Roman" w:hAnsi="Times New Roman" w:cs="Times New Roman"/>
          <w:color w:val="auto"/>
          <w:sz w:val="20"/>
          <w:szCs w:val="20"/>
        </w:rPr>
        <w:t>London: Academic Press.</w:t>
      </w:r>
    </w:p>
    <w:p w14:paraId="2C0B0D42" w14:textId="77777777" w:rsidR="009F661C" w:rsidRPr="00DC1614" w:rsidRDefault="009F661C" w:rsidP="00DC1614">
      <w:pPr>
        <w:tabs>
          <w:tab w:val="left" w:pos="5812"/>
        </w:tabs>
        <w:ind w:left="284" w:hanging="284"/>
        <w:jc w:val="both"/>
        <w:rPr>
          <w:sz w:val="20"/>
          <w:szCs w:val="20"/>
          <w:lang w:val="en-US"/>
        </w:rPr>
      </w:pPr>
      <w:r>
        <w:rPr>
          <w:sz w:val="20"/>
          <w:szCs w:val="20"/>
          <w:lang w:val="en-US"/>
        </w:rPr>
        <w:t>—</w:t>
      </w:r>
      <w:r w:rsidRPr="00DC1614">
        <w:rPr>
          <w:sz w:val="20"/>
          <w:szCs w:val="20"/>
          <w:lang w:val="en-US"/>
        </w:rPr>
        <w:t xml:space="preserve">. 1990. Society as the ultimate Value and the Socio-cosmic Configuration. </w:t>
      </w:r>
      <w:r w:rsidRPr="00DC1614">
        <w:rPr>
          <w:i/>
          <w:sz w:val="20"/>
          <w:szCs w:val="20"/>
          <w:lang w:val="en-US"/>
        </w:rPr>
        <w:t>Ethos</w:t>
      </w:r>
      <w:r w:rsidRPr="00DC1614">
        <w:rPr>
          <w:sz w:val="20"/>
          <w:szCs w:val="20"/>
          <w:lang w:val="en-US"/>
        </w:rPr>
        <w:t xml:space="preserve"> 55: 140-151.</w:t>
      </w:r>
    </w:p>
    <w:p w14:paraId="3F086C8D" w14:textId="77777777" w:rsidR="009F661C" w:rsidRPr="00DC1614" w:rsidRDefault="009F661C" w:rsidP="00DC1614">
      <w:pPr>
        <w:tabs>
          <w:tab w:val="left" w:pos="5812"/>
        </w:tabs>
        <w:ind w:left="284" w:hanging="284"/>
        <w:jc w:val="both"/>
        <w:rPr>
          <w:sz w:val="20"/>
          <w:szCs w:val="20"/>
        </w:rPr>
      </w:pPr>
      <w:r w:rsidRPr="00DC1614">
        <w:rPr>
          <w:sz w:val="20"/>
          <w:szCs w:val="20"/>
        </w:rPr>
        <w:t xml:space="preserve">Dembinski P.H. 2009. </w:t>
      </w:r>
      <w:bookmarkStart w:id="7" w:name="OLE_LINK5"/>
      <w:bookmarkStart w:id="8" w:name="OLE_LINK6"/>
      <w:r w:rsidRPr="00DC1614">
        <w:rPr>
          <w:i/>
          <w:sz w:val="20"/>
          <w:szCs w:val="20"/>
        </w:rPr>
        <w:t>Finance: Servant or Deceiver? Financialization at the Crossroads</w:t>
      </w:r>
      <w:r w:rsidRPr="00DC1614">
        <w:rPr>
          <w:sz w:val="20"/>
          <w:szCs w:val="20"/>
        </w:rPr>
        <w:t xml:space="preserve">, </w:t>
      </w:r>
      <w:bookmarkEnd w:id="7"/>
      <w:bookmarkEnd w:id="8"/>
      <w:r w:rsidRPr="00DC1614">
        <w:rPr>
          <w:sz w:val="20"/>
          <w:szCs w:val="20"/>
        </w:rPr>
        <w:t>Palgrave Macmillan, Basingstoke.</w:t>
      </w:r>
    </w:p>
    <w:p w14:paraId="41393351" w14:textId="77777777" w:rsidR="009F661C" w:rsidRPr="00DC1614" w:rsidRDefault="009F661C" w:rsidP="00DC1614">
      <w:pPr>
        <w:pStyle w:val="FootnoteText"/>
        <w:tabs>
          <w:tab w:val="left" w:pos="5812"/>
        </w:tabs>
        <w:ind w:left="284" w:hanging="284"/>
        <w:jc w:val="both"/>
      </w:pPr>
      <w:r w:rsidRPr="00DC1614">
        <w:t xml:space="preserve">Denoon, D. and C. Snowden (nd). </w:t>
      </w:r>
      <w:r w:rsidRPr="00DC1614">
        <w:rPr>
          <w:i/>
        </w:rPr>
        <w:t>A time to plant and a time to uproot. A history of agriculture in Papua New Guinea.</w:t>
      </w:r>
      <w:r w:rsidRPr="00DC1614">
        <w:t xml:space="preserve"> Institute of Papua New Guinea Studies, Port Moresby.</w:t>
      </w:r>
    </w:p>
    <w:p w14:paraId="4A7278F3" w14:textId="77777777" w:rsidR="009F661C" w:rsidRPr="00DC1614" w:rsidRDefault="009F661C" w:rsidP="00DC1614">
      <w:pPr>
        <w:tabs>
          <w:tab w:val="left" w:pos="5812"/>
        </w:tabs>
        <w:ind w:left="284" w:hanging="284"/>
        <w:jc w:val="both"/>
        <w:rPr>
          <w:sz w:val="20"/>
          <w:szCs w:val="20"/>
        </w:rPr>
      </w:pPr>
      <w:r w:rsidRPr="00DC1614">
        <w:rPr>
          <w:sz w:val="20"/>
          <w:szCs w:val="20"/>
        </w:rPr>
        <w:t xml:space="preserve">Denoon, D. 2000. </w:t>
      </w:r>
      <w:r w:rsidRPr="00DC1614">
        <w:rPr>
          <w:i/>
          <w:iCs/>
          <w:sz w:val="20"/>
          <w:szCs w:val="20"/>
        </w:rPr>
        <w:t>Under the Skin</w:t>
      </w:r>
      <w:r w:rsidRPr="00DC1614">
        <w:rPr>
          <w:sz w:val="20"/>
          <w:szCs w:val="20"/>
        </w:rPr>
        <w:t>, Melbourne University Press, Melbourne.</w:t>
      </w:r>
    </w:p>
    <w:p w14:paraId="2496E9E8" w14:textId="77777777" w:rsidR="009F661C" w:rsidRPr="00DC1614" w:rsidRDefault="009F661C" w:rsidP="00DC1614">
      <w:pPr>
        <w:tabs>
          <w:tab w:val="left" w:pos="5812"/>
        </w:tabs>
        <w:ind w:left="284" w:hanging="284"/>
        <w:jc w:val="both"/>
        <w:rPr>
          <w:sz w:val="20"/>
          <w:szCs w:val="20"/>
        </w:rPr>
      </w:pPr>
      <w:r w:rsidRPr="00DC1614">
        <w:rPr>
          <w:sz w:val="20"/>
          <w:szCs w:val="20"/>
        </w:rPr>
        <w:t xml:space="preserve">Department of National Planning and Monitoring 2004. </w:t>
      </w:r>
      <w:r w:rsidRPr="00DC1614">
        <w:rPr>
          <w:i/>
          <w:sz w:val="20"/>
          <w:szCs w:val="20"/>
        </w:rPr>
        <w:t>Towards Sustainable Timber Production - A  Review of Existing Logging Projects Volume I - Main Report, The Review of Current Logging Projects</w:t>
      </w:r>
      <w:r w:rsidRPr="00DC1614">
        <w:rPr>
          <w:sz w:val="20"/>
          <w:szCs w:val="20"/>
        </w:rPr>
        <w:t xml:space="preserve">, The 2003/2004 Review Team,Waigani.   </w:t>
      </w:r>
    </w:p>
    <w:p w14:paraId="4C9824C6" w14:textId="77777777" w:rsidR="009F661C" w:rsidRPr="00DC1614" w:rsidRDefault="009F661C" w:rsidP="00DC1614">
      <w:pPr>
        <w:pStyle w:val="EndnoteText"/>
        <w:tabs>
          <w:tab w:val="left" w:pos="5812"/>
        </w:tabs>
        <w:ind w:left="284" w:hanging="284"/>
        <w:jc w:val="both"/>
        <w:rPr>
          <w:iCs/>
        </w:rPr>
      </w:pPr>
      <w:r w:rsidRPr="00DC1614">
        <w:t xml:space="preserve">De Soto, H. 2000. </w:t>
      </w:r>
      <w:r w:rsidRPr="00DC1614">
        <w:rPr>
          <w:i/>
        </w:rPr>
        <w:t xml:space="preserve">The Mystery of Capital: why capitalism triumphs in the west and fails everywhere else. </w:t>
      </w:r>
      <w:r w:rsidRPr="00DC1614">
        <w:rPr>
          <w:iCs/>
        </w:rPr>
        <w:t>Bantam Press, New York.</w:t>
      </w:r>
    </w:p>
    <w:p w14:paraId="03C7A251" w14:textId="77777777" w:rsidR="009F661C" w:rsidRPr="00DC1614" w:rsidRDefault="009F661C" w:rsidP="00DC1614">
      <w:pPr>
        <w:pStyle w:val="FootnoteText"/>
        <w:tabs>
          <w:tab w:val="left" w:pos="6379"/>
        </w:tabs>
        <w:ind w:left="284" w:hanging="284"/>
        <w:jc w:val="both"/>
      </w:pPr>
      <w:r w:rsidRPr="00DC1614">
        <w:lastRenderedPageBreak/>
        <w:t xml:space="preserve">Dinnen S. "Custom, Community and Criminal Justice in Papua New Guinea", in J.. Aleck,  and J. Rannells, (eds.), </w:t>
      </w:r>
      <w:r w:rsidRPr="00DC1614">
        <w:rPr>
          <w:i/>
        </w:rPr>
        <w:t>Custom at the Crossroads</w:t>
      </w:r>
      <w:r w:rsidRPr="00DC1614">
        <w:t>", University of Papua New Guinea, Port Moresby: 148-161.</w:t>
      </w:r>
    </w:p>
    <w:p w14:paraId="1CAA9D7F" w14:textId="77777777" w:rsidR="009F661C" w:rsidRPr="00DC1614" w:rsidRDefault="009F661C" w:rsidP="00DC1614">
      <w:pPr>
        <w:pStyle w:val="FootnoteText"/>
        <w:tabs>
          <w:tab w:val="left" w:pos="5812"/>
        </w:tabs>
        <w:ind w:left="284" w:hanging="284"/>
        <w:jc w:val="both"/>
      </w:pPr>
      <w:r w:rsidRPr="00DC1614">
        <w:t xml:space="preserve">Doherty, T. 1996.  National Court of Justice [1993], </w:t>
      </w:r>
      <w:r w:rsidRPr="00DC1614">
        <w:rPr>
          <w:i/>
        </w:rPr>
        <w:t xml:space="preserve">Papua New Guinea Law Reports </w:t>
      </w:r>
      <w:r w:rsidRPr="00DC1614">
        <w:t>1996, 492.</w:t>
      </w:r>
    </w:p>
    <w:p w14:paraId="5868E116" w14:textId="77777777" w:rsidR="009F661C" w:rsidRPr="00DC1614" w:rsidRDefault="009F661C" w:rsidP="00DC1614">
      <w:pPr>
        <w:pStyle w:val="FootnoteText"/>
        <w:tabs>
          <w:tab w:val="left" w:pos="5812"/>
        </w:tabs>
        <w:ind w:left="284" w:hanging="284"/>
        <w:jc w:val="both"/>
      </w:pPr>
      <w:r w:rsidRPr="00DC1614">
        <w:t xml:space="preserve">Downes, R.R. and S.P. Keyna 1988. </w:t>
      </w:r>
      <w:r w:rsidRPr="00DC1614">
        <w:rPr>
          <w:i/>
        </w:rPr>
        <w:t>Land and Society in Contemporary Africa.</w:t>
      </w:r>
      <w:r w:rsidRPr="00DC1614">
        <w:t xml:space="preserve"> University Press of New England, Hanover and London.</w:t>
      </w:r>
    </w:p>
    <w:p w14:paraId="4A8FDB90" w14:textId="77777777" w:rsidR="009F661C" w:rsidRPr="00DC1614" w:rsidRDefault="009F661C" w:rsidP="00DC1614">
      <w:pPr>
        <w:pStyle w:val="FootnoteText"/>
        <w:tabs>
          <w:tab w:val="left" w:pos="5812"/>
        </w:tabs>
        <w:ind w:left="284" w:hanging="284"/>
        <w:jc w:val="both"/>
      </w:pPr>
      <w:r w:rsidRPr="00DC1614">
        <w:t xml:space="preserve">Drummond, J. 2001. Freehold provides collateral for a better future. </w:t>
      </w:r>
      <w:r w:rsidRPr="00DC1614">
        <w:rPr>
          <w:i/>
        </w:rPr>
        <w:t>Financial Times</w:t>
      </w:r>
      <w:r w:rsidRPr="00DC1614">
        <w:t>, 18 October 2001, London.</w:t>
      </w:r>
    </w:p>
    <w:p w14:paraId="0BE70399" w14:textId="77777777" w:rsidR="009F661C" w:rsidRPr="00DC1614" w:rsidRDefault="009F661C" w:rsidP="00DC1614">
      <w:pPr>
        <w:pStyle w:val="FootnoteText"/>
        <w:tabs>
          <w:tab w:val="left" w:pos="5812"/>
        </w:tabs>
        <w:ind w:left="284" w:hanging="284"/>
        <w:jc w:val="both"/>
      </w:pPr>
      <w:r w:rsidRPr="00DC1614">
        <w:t>Duncan, R. and P.J. Eddowes 1990. Backwards to the Future. Is processing in Papua New Guinea a viable proposition? in Millett, J. (ed.) 1990.</w:t>
      </w:r>
    </w:p>
    <w:p w14:paraId="3881C7B8" w14:textId="77777777" w:rsidR="009F661C" w:rsidRPr="00DC1614" w:rsidRDefault="009F661C" w:rsidP="00DC1614">
      <w:pPr>
        <w:pStyle w:val="FootnoteText"/>
        <w:tabs>
          <w:tab w:val="left" w:pos="5812"/>
        </w:tabs>
        <w:ind w:left="284" w:hanging="284"/>
        <w:jc w:val="both"/>
      </w:pPr>
      <w:r w:rsidRPr="00DC1614">
        <w:t xml:space="preserve">Duncan, R. and I. Temu, 1995. The need for fiscal discipline. </w:t>
      </w:r>
      <w:r w:rsidRPr="00DC1614">
        <w:rPr>
          <w:i/>
        </w:rPr>
        <w:t>Pacific Economic Bulletin</w:t>
      </w:r>
      <w:r w:rsidRPr="00DC1614">
        <w:t>, 10.1: 14-18.</w:t>
      </w:r>
    </w:p>
    <w:p w14:paraId="65D7AE17" w14:textId="77777777" w:rsidR="009F661C" w:rsidRPr="00DC1614" w:rsidRDefault="009F661C" w:rsidP="00DC1614">
      <w:pPr>
        <w:pStyle w:val="FootnoteText"/>
        <w:tabs>
          <w:tab w:val="left" w:pos="5812"/>
        </w:tabs>
        <w:ind w:left="284" w:hanging="284"/>
        <w:jc w:val="both"/>
      </w:pPr>
      <w:r w:rsidRPr="00DC1614">
        <w:rPr>
          <w:rFonts w:cs="AIKDHF+Arial"/>
        </w:rPr>
        <w:t xml:space="preserve">Duncan R. 1994. </w:t>
      </w:r>
      <w:r w:rsidRPr="00DC1614">
        <w:rPr>
          <w:i/>
        </w:rPr>
        <w:t>Melanesian Forestry Sector Study</w:t>
      </w:r>
      <w:r w:rsidRPr="00DC1614">
        <w:t>. AIDAB (now AusAid), Canberra</w:t>
      </w:r>
      <w:r w:rsidRPr="00DC1614">
        <w:rPr>
          <w:rFonts w:cs="AIKDHF+Arial"/>
        </w:rPr>
        <w:t>.</w:t>
      </w:r>
    </w:p>
    <w:p w14:paraId="1E3E96CD" w14:textId="77777777" w:rsidR="009F661C" w:rsidRPr="00DC1614" w:rsidRDefault="009F661C" w:rsidP="00DC1614">
      <w:pPr>
        <w:pStyle w:val="FootnoteText"/>
        <w:tabs>
          <w:tab w:val="left" w:pos="5812"/>
        </w:tabs>
        <w:ind w:left="284" w:hanging="284"/>
        <w:jc w:val="both"/>
      </w:pPr>
      <w:r>
        <w:t>—</w:t>
      </w:r>
      <w:r w:rsidRPr="00DC1614">
        <w:t xml:space="preserve">. 2003. Agricultural economics and Aboriginal communities. </w:t>
      </w:r>
      <w:r w:rsidRPr="00DC1614">
        <w:rPr>
          <w:i/>
          <w:iCs/>
        </w:rPr>
        <w:t>Australian Journal of Agricultural and Resource Economics</w:t>
      </w:r>
      <w:r w:rsidRPr="00DC1614">
        <w:t>. 47(3), 307-324.</w:t>
      </w:r>
    </w:p>
    <w:p w14:paraId="622C0645" w14:textId="77777777" w:rsidR="009F661C" w:rsidRPr="00DC1614" w:rsidRDefault="009F661C" w:rsidP="00DC1614">
      <w:pPr>
        <w:pStyle w:val="FootnoteText"/>
        <w:tabs>
          <w:tab w:val="left" w:pos="5812"/>
        </w:tabs>
        <w:ind w:left="284" w:hanging="284"/>
        <w:jc w:val="both"/>
      </w:pPr>
      <w:r w:rsidRPr="00DC1614">
        <w:t xml:space="preserve">Eddowes, P. J. 1990. Backwards to the Future. Is processing in Papua New Guinea a viable proposition? in Millett, J. (ed.), 1990. </w:t>
      </w:r>
    </w:p>
    <w:p w14:paraId="4DF97010" w14:textId="77777777" w:rsidR="009F661C" w:rsidRPr="00DC1614" w:rsidRDefault="009F661C" w:rsidP="00DC1614">
      <w:pPr>
        <w:pStyle w:val="FootnoteText"/>
        <w:tabs>
          <w:tab w:val="left" w:pos="5812"/>
        </w:tabs>
        <w:ind w:left="284" w:hanging="284"/>
        <w:jc w:val="both"/>
      </w:pPr>
      <w:r w:rsidRPr="00DC1614">
        <w:t xml:space="preserve">Epstein, A.L. 1969.  </w:t>
      </w:r>
      <w:r w:rsidRPr="00DC1614">
        <w:rPr>
          <w:i/>
          <w:iCs/>
        </w:rPr>
        <w:t>Matupit. Land politics and change among the Tolai of East New Britain,</w:t>
      </w:r>
      <w:r w:rsidRPr="00DC1614">
        <w:t xml:space="preserve"> ANU Press, Canberra.</w:t>
      </w:r>
    </w:p>
    <w:p w14:paraId="754CFE56" w14:textId="77777777" w:rsidR="009F661C" w:rsidRPr="00DC1614" w:rsidRDefault="009F661C" w:rsidP="00DC1614">
      <w:pPr>
        <w:tabs>
          <w:tab w:val="left" w:pos="5812"/>
        </w:tabs>
        <w:ind w:left="284" w:hanging="284"/>
        <w:jc w:val="both"/>
        <w:rPr>
          <w:sz w:val="20"/>
          <w:szCs w:val="20"/>
        </w:rPr>
      </w:pPr>
      <w:r w:rsidRPr="00DC1614">
        <w:rPr>
          <w:sz w:val="20"/>
          <w:szCs w:val="20"/>
        </w:rPr>
        <w:t xml:space="preserve">Filer, C. 1990. “The Bougainville Rebellion, the Mining Industry and the Process of Social Disintegration” in May and Spriggs (eds.) </w:t>
      </w:r>
      <w:r w:rsidRPr="00DC1614">
        <w:rPr>
          <w:i/>
          <w:sz w:val="20"/>
          <w:szCs w:val="20"/>
        </w:rPr>
        <w:t>The Bougainville Crisis</w:t>
      </w:r>
      <w:r w:rsidRPr="00DC1614">
        <w:rPr>
          <w:sz w:val="20"/>
          <w:szCs w:val="20"/>
        </w:rPr>
        <w:t>, Crawford House Press, Bathurst.</w:t>
      </w:r>
    </w:p>
    <w:p w14:paraId="25C611FE" w14:textId="77777777" w:rsidR="009F661C" w:rsidRPr="00DC1614" w:rsidRDefault="009F661C" w:rsidP="00DC1614">
      <w:pPr>
        <w:pStyle w:val="FootnoteText"/>
        <w:tabs>
          <w:tab w:val="left" w:pos="5812"/>
        </w:tabs>
        <w:ind w:left="284" w:hanging="284"/>
        <w:jc w:val="both"/>
      </w:pPr>
      <w:r>
        <w:t>—</w:t>
      </w:r>
      <w:r w:rsidRPr="00DC1614">
        <w:t>. 1997. A statistical profile of the log export industry, in Filer, C. (ed.) 1997.</w:t>
      </w:r>
    </w:p>
    <w:p w14:paraId="3AAD14B7" w14:textId="77777777" w:rsidR="009F661C" w:rsidRPr="00DC1614" w:rsidRDefault="009F661C" w:rsidP="00DC1614">
      <w:pPr>
        <w:pStyle w:val="FootnoteText"/>
        <w:tabs>
          <w:tab w:val="left" w:pos="5812"/>
        </w:tabs>
        <w:ind w:left="284" w:hanging="284"/>
        <w:jc w:val="both"/>
      </w:pPr>
      <w:r>
        <w:t>—</w:t>
      </w:r>
      <w:r w:rsidRPr="00DC1614">
        <w:t xml:space="preserve">. (ed.) 1997 </w:t>
      </w:r>
      <w:r w:rsidRPr="00DC1614">
        <w:rPr>
          <w:i/>
        </w:rPr>
        <w:t>The Political Economy of Forest Management in Papua New Guinea</w:t>
      </w:r>
      <w:r w:rsidRPr="00DC1614">
        <w:t>. NRI and IIED, Boroko, and London.</w:t>
      </w:r>
    </w:p>
    <w:p w14:paraId="1D008959" w14:textId="77777777" w:rsidR="009F661C" w:rsidRPr="00DC1614" w:rsidRDefault="009F661C" w:rsidP="00DC1614">
      <w:pPr>
        <w:pStyle w:val="FootnoteText"/>
        <w:tabs>
          <w:tab w:val="left" w:pos="5812"/>
        </w:tabs>
        <w:ind w:left="284" w:hanging="284"/>
        <w:jc w:val="both"/>
      </w:pPr>
      <w:r w:rsidRPr="00DC1614">
        <w:t xml:space="preserve">Filer, C. and N. Sekhran 1998. </w:t>
      </w:r>
      <w:r w:rsidRPr="00DC1614">
        <w:rPr>
          <w:i/>
          <w:iCs/>
        </w:rPr>
        <w:t>Loggers, donors, and resource owners</w:t>
      </w:r>
      <w:r w:rsidRPr="00DC1614">
        <w:t>, IIED and NRI, London and Port Moresby.</w:t>
      </w:r>
    </w:p>
    <w:p w14:paraId="38A1DF25" w14:textId="77777777" w:rsidR="009F661C" w:rsidRPr="00DC1614" w:rsidRDefault="009F661C" w:rsidP="00DC1614">
      <w:pPr>
        <w:pStyle w:val="FootnoteText"/>
        <w:tabs>
          <w:tab w:val="left" w:pos="5812"/>
        </w:tabs>
        <w:ind w:left="284" w:hanging="284"/>
        <w:jc w:val="both"/>
      </w:pPr>
      <w:r w:rsidRPr="00DC1614">
        <w:t xml:space="preserve">Filer, C. (ed.), 1999. </w:t>
      </w:r>
      <w:r w:rsidRPr="00DC1614">
        <w:rPr>
          <w:rStyle w:val="Emphasis"/>
          <w:b w:val="0"/>
          <w:i/>
        </w:rPr>
        <w:t>Dilemmas of Development: The Social and Economic Impact of the Porgera Gold Mine, 1989–1994</w:t>
      </w:r>
      <w:r w:rsidRPr="00DC1614">
        <w:rPr>
          <w:b/>
          <w:i/>
        </w:rPr>
        <w:t>.</w:t>
      </w:r>
      <w:r w:rsidRPr="00DC1614">
        <w:t xml:space="preserve"> Asia Pacific Press, ANU, Canberra.</w:t>
      </w:r>
    </w:p>
    <w:p w14:paraId="34FA50AE" w14:textId="77777777" w:rsidR="009F661C" w:rsidRPr="00DC1614" w:rsidRDefault="009F661C" w:rsidP="00DC1614">
      <w:pPr>
        <w:pStyle w:val="FootnoteText"/>
        <w:tabs>
          <w:tab w:val="left" w:pos="5812"/>
        </w:tabs>
        <w:ind w:left="284" w:hanging="284"/>
        <w:jc w:val="both"/>
      </w:pPr>
      <w:r w:rsidRPr="00DC1614">
        <w:t>Filer, C., N.K. Dubash, and K. Kalit, 2000.</w:t>
      </w:r>
      <w:r w:rsidRPr="00DC1614">
        <w:rPr>
          <w:i/>
          <w:iCs/>
        </w:rPr>
        <w:t xml:space="preserve"> The Thin Green Line. World Bank leverage and forest policy reform in Papua New Guinea.</w:t>
      </w:r>
      <w:r w:rsidRPr="00DC1614">
        <w:t xml:space="preserve"> NRI and ANU, Port Moresby and Canberra. </w:t>
      </w:r>
    </w:p>
    <w:p w14:paraId="01F5EC92" w14:textId="77777777" w:rsidR="009F661C" w:rsidRPr="00DC1614" w:rsidRDefault="009F661C" w:rsidP="00DC1614">
      <w:pPr>
        <w:tabs>
          <w:tab w:val="left" w:pos="5812"/>
        </w:tabs>
        <w:ind w:left="284" w:hanging="284"/>
        <w:jc w:val="both"/>
        <w:rPr>
          <w:noProof/>
          <w:sz w:val="20"/>
          <w:szCs w:val="20"/>
          <w:lang w:val="en-US"/>
        </w:rPr>
      </w:pPr>
      <w:r w:rsidRPr="00DC1614">
        <w:rPr>
          <w:noProof/>
          <w:sz w:val="20"/>
          <w:szCs w:val="20"/>
          <w:lang w:val="en-US"/>
        </w:rPr>
        <w:t xml:space="preserve">Filer, C. 2004. A serious case of conditionality: The World Bank gets stuck in the forests of Papua New Guinea. </w:t>
      </w:r>
      <w:r w:rsidRPr="00DC1614">
        <w:rPr>
          <w:i/>
          <w:iCs/>
          <w:noProof/>
          <w:sz w:val="20"/>
          <w:szCs w:val="20"/>
          <w:lang w:val="en-US"/>
        </w:rPr>
        <w:t>Development Bulletin</w:t>
      </w:r>
      <w:r w:rsidRPr="00DC1614">
        <w:rPr>
          <w:noProof/>
          <w:sz w:val="20"/>
          <w:szCs w:val="20"/>
          <w:lang w:val="en-US"/>
        </w:rPr>
        <w:t xml:space="preserve"> (65), 95.</w:t>
      </w:r>
    </w:p>
    <w:p w14:paraId="528149D8" w14:textId="77777777" w:rsidR="009F661C" w:rsidRPr="00DC1614" w:rsidRDefault="009F661C" w:rsidP="00DC1614">
      <w:pPr>
        <w:tabs>
          <w:tab w:val="left" w:pos="5812"/>
        </w:tabs>
        <w:ind w:left="284" w:hanging="284"/>
        <w:jc w:val="both"/>
        <w:rPr>
          <w:sz w:val="20"/>
          <w:szCs w:val="20"/>
        </w:rPr>
      </w:pPr>
      <w:r w:rsidRPr="00DC1614">
        <w:rPr>
          <w:sz w:val="20"/>
          <w:szCs w:val="20"/>
        </w:rPr>
        <w:t>Filer, C. 2009. The Double Movement of Property Rights and Rental Regimes in Papua New Guinea, unpublished paper presented at the Australian National University 2/17/2009.</w:t>
      </w:r>
    </w:p>
    <w:p w14:paraId="44FAD523" w14:textId="77777777" w:rsidR="009F661C" w:rsidRPr="00DC1614" w:rsidRDefault="009F661C" w:rsidP="00DC1614">
      <w:pPr>
        <w:tabs>
          <w:tab w:val="left" w:pos="5812"/>
        </w:tabs>
        <w:ind w:left="284" w:hanging="284"/>
        <w:jc w:val="both"/>
        <w:rPr>
          <w:sz w:val="20"/>
          <w:szCs w:val="20"/>
        </w:rPr>
      </w:pPr>
      <w:r w:rsidRPr="00DC1614">
        <w:rPr>
          <w:sz w:val="20"/>
          <w:szCs w:val="20"/>
          <w:lang w:val="en-US"/>
        </w:rPr>
        <w:lastRenderedPageBreak/>
        <w:t xml:space="preserve">Filer, </w:t>
      </w:r>
      <w:r w:rsidRPr="00DC1614">
        <w:rPr>
          <w:sz w:val="20"/>
          <w:szCs w:val="20"/>
        </w:rPr>
        <w:t xml:space="preserve">C., </w:t>
      </w:r>
      <w:r w:rsidRPr="00DC1614">
        <w:rPr>
          <w:sz w:val="20"/>
          <w:szCs w:val="20"/>
          <w:lang w:val="en-US"/>
        </w:rPr>
        <w:t>B</w:t>
      </w:r>
      <w:r w:rsidRPr="00DC1614">
        <w:rPr>
          <w:sz w:val="20"/>
          <w:szCs w:val="20"/>
        </w:rPr>
        <w:t>.J.</w:t>
      </w:r>
      <w:r w:rsidRPr="00DC1614">
        <w:rPr>
          <w:sz w:val="20"/>
          <w:szCs w:val="20"/>
          <w:lang w:val="en-US"/>
        </w:rPr>
        <w:t xml:space="preserve"> Allen, R</w:t>
      </w:r>
      <w:r w:rsidRPr="00DC1614">
        <w:rPr>
          <w:sz w:val="20"/>
          <w:szCs w:val="20"/>
        </w:rPr>
        <w:t>.</w:t>
      </w:r>
      <w:r w:rsidRPr="00DC1614">
        <w:rPr>
          <w:sz w:val="20"/>
          <w:szCs w:val="20"/>
          <w:lang w:val="en-US"/>
        </w:rPr>
        <w:t xml:space="preserve"> J. Keenan, J</w:t>
      </w:r>
      <w:r w:rsidRPr="00DC1614">
        <w:rPr>
          <w:sz w:val="20"/>
          <w:szCs w:val="20"/>
        </w:rPr>
        <w:t>.R.</w:t>
      </w:r>
      <w:r w:rsidRPr="00DC1614">
        <w:rPr>
          <w:sz w:val="20"/>
          <w:szCs w:val="20"/>
          <w:lang w:val="en-US"/>
        </w:rPr>
        <w:t xml:space="preserve"> McAlpine,</w:t>
      </w:r>
      <w:r w:rsidRPr="00DC1614">
        <w:rPr>
          <w:sz w:val="20"/>
          <w:szCs w:val="20"/>
        </w:rPr>
        <w:t xml:space="preserve"> 2009. Deforestation and forest degradation </w:t>
      </w:r>
      <w:r w:rsidRPr="00DC1614">
        <w:rPr>
          <w:sz w:val="20"/>
          <w:szCs w:val="20"/>
          <w:lang w:val="en-US"/>
        </w:rPr>
        <w:t>in Papua New Guinea,</w:t>
      </w:r>
      <w:r w:rsidRPr="00DC1614">
        <w:rPr>
          <w:b/>
          <w:sz w:val="20"/>
          <w:szCs w:val="20"/>
        </w:rPr>
        <w:t xml:space="preserve"> </w:t>
      </w:r>
      <w:r w:rsidRPr="00DC1614">
        <w:rPr>
          <w:sz w:val="20"/>
          <w:szCs w:val="20"/>
        </w:rPr>
        <w:t>(in press).</w:t>
      </w:r>
    </w:p>
    <w:p w14:paraId="65CF7F3F" w14:textId="77777777" w:rsidR="009F661C" w:rsidRPr="00DC1614" w:rsidRDefault="009F661C" w:rsidP="00DC1614">
      <w:pPr>
        <w:tabs>
          <w:tab w:val="left" w:pos="5812"/>
        </w:tabs>
        <w:ind w:left="284" w:hanging="284"/>
        <w:jc w:val="both"/>
        <w:rPr>
          <w:noProof/>
          <w:sz w:val="20"/>
          <w:szCs w:val="20"/>
          <w:lang w:val="en-US"/>
        </w:rPr>
      </w:pPr>
      <w:r w:rsidRPr="00DC1614">
        <w:rPr>
          <w:iCs/>
          <w:noProof/>
          <w:sz w:val="20"/>
          <w:szCs w:val="20"/>
          <w:lang w:val="en-US"/>
        </w:rPr>
        <w:t xml:space="preserve">Fletcher Challenge 2002. </w:t>
      </w:r>
      <w:r w:rsidRPr="00DC1614">
        <w:rPr>
          <w:i/>
          <w:iCs/>
          <w:noProof/>
          <w:sz w:val="20"/>
          <w:szCs w:val="20"/>
          <w:lang w:val="en-US"/>
        </w:rPr>
        <w:t>Global scale - global vision: aquisition of the assets of the central north island forest partnership.</w:t>
      </w:r>
      <w:r w:rsidRPr="00DC1614">
        <w:rPr>
          <w:noProof/>
          <w:sz w:val="20"/>
          <w:szCs w:val="20"/>
          <w:lang w:val="en-US"/>
        </w:rPr>
        <w:t xml:space="preserve"> Auckland: Fletcher Challenge Forests.</w:t>
      </w:r>
    </w:p>
    <w:p w14:paraId="6451846D" w14:textId="77777777" w:rsidR="009F661C" w:rsidRPr="00DC1614" w:rsidRDefault="009F661C" w:rsidP="00DC1614">
      <w:pPr>
        <w:pStyle w:val="FootnoteText"/>
        <w:tabs>
          <w:tab w:val="left" w:pos="5812"/>
        </w:tabs>
        <w:ind w:left="284" w:hanging="284"/>
        <w:jc w:val="both"/>
      </w:pPr>
      <w:r w:rsidRPr="00DC1614">
        <w:t xml:space="preserve">Fingleton. J. 2004. “Is Papua New Guinea viable </w:t>
      </w:r>
      <w:r w:rsidRPr="00DC1614">
        <w:rPr>
          <w:i/>
          <w:iCs/>
        </w:rPr>
        <w:t xml:space="preserve">without </w:t>
      </w:r>
      <w:r w:rsidRPr="00DC1614">
        <w:t>customary groups?”</w:t>
      </w:r>
      <w:r w:rsidRPr="00DC1614">
        <w:rPr>
          <w:i/>
          <w:iCs/>
        </w:rPr>
        <w:t xml:space="preserve"> Pacific Economic Bulletin</w:t>
      </w:r>
      <w:r w:rsidRPr="00DC1614">
        <w:t>, 19(2): 111-120.</w:t>
      </w:r>
    </w:p>
    <w:p w14:paraId="2652430F" w14:textId="77777777" w:rsidR="009F661C" w:rsidRPr="00DC1614" w:rsidRDefault="009F661C" w:rsidP="00DC1614">
      <w:pPr>
        <w:pStyle w:val="FootnoteText"/>
        <w:tabs>
          <w:tab w:val="left" w:pos="5812"/>
        </w:tabs>
        <w:ind w:left="284" w:hanging="284"/>
        <w:jc w:val="both"/>
      </w:pPr>
      <w:r>
        <w:t>—</w:t>
      </w:r>
      <w:r w:rsidRPr="00DC1614">
        <w:t xml:space="preserve">. (ed.) 2005. </w:t>
      </w:r>
      <w:r w:rsidRPr="00DC1614">
        <w:rPr>
          <w:i/>
        </w:rPr>
        <w:t>Privatising Land in the Pacific. A defence of customary tenures</w:t>
      </w:r>
      <w:r w:rsidRPr="00DC1614">
        <w:t>. Australia Institute, Canberra.</w:t>
      </w:r>
    </w:p>
    <w:p w14:paraId="3CE35AC9" w14:textId="77777777" w:rsidR="009F661C" w:rsidRPr="00DC1614" w:rsidRDefault="009F661C" w:rsidP="00DC1614">
      <w:pPr>
        <w:pStyle w:val="EndnoteText"/>
        <w:tabs>
          <w:tab w:val="left" w:pos="5812"/>
        </w:tabs>
        <w:ind w:left="284" w:hanging="284"/>
        <w:jc w:val="both"/>
      </w:pPr>
      <w:r>
        <w:t>—.</w:t>
      </w:r>
      <w:r w:rsidRPr="00DC1614">
        <w:t xml:space="preserve"> 2007. A Legal Regime for issuing group titles to Customary Land: Lessons from the East Sepik, in Weiner and Glaskin (eds) 2007.  </w:t>
      </w:r>
    </w:p>
    <w:p w14:paraId="791E9DAB" w14:textId="77777777" w:rsidR="009F661C" w:rsidRPr="00DC1614" w:rsidRDefault="009F661C" w:rsidP="00DC1614">
      <w:pPr>
        <w:pStyle w:val="PlainText"/>
        <w:tabs>
          <w:tab w:val="left" w:pos="5812"/>
        </w:tabs>
        <w:ind w:left="284" w:hanging="284"/>
        <w:jc w:val="both"/>
        <w:rPr>
          <w:rFonts w:ascii="Times New Roman" w:hAnsi="Times New Roman" w:cs="Times New Roman"/>
        </w:rPr>
      </w:pPr>
      <w:r w:rsidRPr="00DC1614">
        <w:rPr>
          <w:rFonts w:ascii="Times New Roman" w:hAnsi="Times New Roman" w:cs="Times New Roman"/>
        </w:rPr>
        <w:t xml:space="preserve">Fitzgerald, K., 2009. Vanuatu - The World’s Happiest People? </w:t>
      </w:r>
      <w:r w:rsidRPr="00DC1614">
        <w:rPr>
          <w:rFonts w:ascii="Times New Roman" w:hAnsi="Times New Roman" w:cs="Times New Roman"/>
          <w:i/>
          <w:iCs/>
        </w:rPr>
        <w:t>Progress Magazine</w:t>
      </w:r>
      <w:r w:rsidRPr="00DC1614">
        <w:rPr>
          <w:rFonts w:ascii="Times New Roman" w:hAnsi="Times New Roman" w:cs="Times New Roman"/>
        </w:rPr>
        <w:t xml:space="preserve"> 20 (April 2009) .</w:t>
      </w:r>
    </w:p>
    <w:p w14:paraId="2693A25B" w14:textId="77777777" w:rsidR="009F661C" w:rsidRPr="00DC1614" w:rsidRDefault="009F661C" w:rsidP="00DC1614">
      <w:pPr>
        <w:pStyle w:val="FootnoteText"/>
        <w:tabs>
          <w:tab w:val="left" w:pos="5812"/>
        </w:tabs>
        <w:ind w:left="284" w:hanging="284"/>
        <w:jc w:val="both"/>
      </w:pPr>
      <w:r w:rsidRPr="00DC1614">
        <w:t xml:space="preserve">Fleming, E. and G. Anthony 1993. </w:t>
      </w:r>
      <w:r w:rsidRPr="00DC1614">
        <w:rPr>
          <w:i/>
        </w:rPr>
        <w:t>The Coffee Economy in Papua New Guinea. Analysis and Prospects</w:t>
      </w:r>
      <w:r w:rsidRPr="00DC1614">
        <w:t>. Institute of National Affairs, Port Moresby.</w:t>
      </w:r>
    </w:p>
    <w:p w14:paraId="08C85301" w14:textId="77777777" w:rsidR="009F661C" w:rsidRPr="00DC1614" w:rsidRDefault="009F661C" w:rsidP="00DC1614">
      <w:pPr>
        <w:tabs>
          <w:tab w:val="left" w:pos="5812"/>
        </w:tabs>
        <w:ind w:left="284" w:hanging="284"/>
        <w:jc w:val="both"/>
        <w:rPr>
          <w:sz w:val="20"/>
          <w:szCs w:val="20"/>
        </w:rPr>
      </w:pPr>
      <w:r w:rsidRPr="00DC1614">
        <w:rPr>
          <w:sz w:val="20"/>
          <w:szCs w:val="20"/>
        </w:rPr>
        <w:t xml:space="preserve">Fleming, E. 2001. The case against reintroducing price stabilisation schemes in Papua New Guinea: a study of cocoa. </w:t>
      </w:r>
      <w:r w:rsidRPr="00DC1614">
        <w:rPr>
          <w:i/>
          <w:sz w:val="20"/>
          <w:szCs w:val="20"/>
        </w:rPr>
        <w:t>Pacific Economic Bulletin</w:t>
      </w:r>
      <w:r w:rsidRPr="00DC1614">
        <w:rPr>
          <w:sz w:val="20"/>
          <w:szCs w:val="20"/>
        </w:rPr>
        <w:t>,16.2: 53-62.</w:t>
      </w:r>
    </w:p>
    <w:p w14:paraId="08250DF5" w14:textId="77777777" w:rsidR="009F661C" w:rsidRDefault="009F661C" w:rsidP="00DC1614">
      <w:pPr>
        <w:pStyle w:val="Bibliography"/>
        <w:tabs>
          <w:tab w:val="left" w:pos="5812"/>
        </w:tabs>
        <w:ind w:left="284" w:hanging="284"/>
        <w:jc w:val="both"/>
        <w:rPr>
          <w:noProof/>
          <w:sz w:val="20"/>
          <w:szCs w:val="20"/>
        </w:rPr>
      </w:pPr>
      <w:r w:rsidRPr="00DC1614">
        <w:rPr>
          <w:noProof/>
          <w:sz w:val="20"/>
          <w:szCs w:val="20"/>
        </w:rPr>
        <w:t xml:space="preserve">Garnaut, R. 2007. </w:t>
      </w:r>
      <w:r w:rsidRPr="00DC1614">
        <w:rPr>
          <w:i/>
          <w:iCs/>
          <w:noProof/>
          <w:sz w:val="20"/>
          <w:szCs w:val="20"/>
        </w:rPr>
        <w:t>Will climate change bring an end to the platinum age?</w:t>
      </w:r>
      <w:r w:rsidRPr="00DC1614">
        <w:rPr>
          <w:noProof/>
          <w:sz w:val="20"/>
          <w:szCs w:val="20"/>
        </w:rPr>
        <w:t xml:space="preserve"> Inaugural S.T. Lee Lecture. ANU, Canberra: </w:t>
      </w:r>
    </w:p>
    <w:p w14:paraId="10951326" w14:textId="77777777" w:rsidR="009F661C" w:rsidRPr="00DC1614" w:rsidRDefault="009F661C" w:rsidP="00DC1614">
      <w:pPr>
        <w:pStyle w:val="Bibliography"/>
        <w:tabs>
          <w:tab w:val="left" w:pos="5812"/>
        </w:tabs>
        <w:ind w:left="284" w:hanging="284"/>
        <w:jc w:val="both"/>
        <w:rPr>
          <w:noProof/>
          <w:sz w:val="20"/>
          <w:szCs w:val="20"/>
        </w:rPr>
      </w:pPr>
      <w:r>
        <w:rPr>
          <w:noProof/>
          <w:sz w:val="20"/>
          <w:szCs w:val="20"/>
        </w:rPr>
        <w:tab/>
      </w:r>
      <w:r w:rsidRPr="00DC1614">
        <w:rPr>
          <w:noProof/>
          <w:sz w:val="20"/>
          <w:szCs w:val="20"/>
        </w:rPr>
        <w:t>www.garnautreview.com.au.</w:t>
      </w:r>
    </w:p>
    <w:p w14:paraId="420C538C" w14:textId="77777777" w:rsidR="009F661C" w:rsidRPr="00DC1614" w:rsidRDefault="009F661C" w:rsidP="00DC1614">
      <w:pPr>
        <w:tabs>
          <w:tab w:val="left" w:pos="709"/>
          <w:tab w:val="left" w:pos="5812"/>
        </w:tabs>
        <w:ind w:left="284" w:hanging="284"/>
        <w:jc w:val="both"/>
        <w:rPr>
          <w:noProof/>
          <w:sz w:val="20"/>
          <w:szCs w:val="20"/>
          <w:lang w:val="en-US"/>
        </w:rPr>
      </w:pPr>
      <w:r>
        <w:rPr>
          <w:noProof/>
          <w:sz w:val="20"/>
          <w:szCs w:val="20"/>
          <w:lang w:val="en-US"/>
        </w:rPr>
        <w:t>—</w:t>
      </w:r>
      <w:r w:rsidRPr="00DC1614">
        <w:rPr>
          <w:noProof/>
          <w:sz w:val="20"/>
          <w:szCs w:val="20"/>
          <w:lang w:val="en-US"/>
        </w:rPr>
        <w:t xml:space="preserve">. 2008. </w:t>
      </w:r>
      <w:r w:rsidRPr="00DC1614">
        <w:rPr>
          <w:i/>
          <w:noProof/>
          <w:sz w:val="20"/>
          <w:szCs w:val="20"/>
          <w:lang w:val="en-US"/>
        </w:rPr>
        <w:t>The Garnaut Climate Change Review</w:t>
      </w:r>
      <w:r w:rsidRPr="00DC1614">
        <w:rPr>
          <w:noProof/>
          <w:sz w:val="20"/>
          <w:szCs w:val="20"/>
          <w:lang w:val="en-US"/>
        </w:rPr>
        <w:t>. Cambridge University Press. Cambridge and Melbourne.</w:t>
      </w:r>
    </w:p>
    <w:p w14:paraId="6DEE0B48" w14:textId="77777777" w:rsidR="009F661C" w:rsidRPr="00DC1614" w:rsidRDefault="009F661C" w:rsidP="00DC1614">
      <w:pPr>
        <w:pStyle w:val="FootnoteText"/>
        <w:tabs>
          <w:tab w:val="left" w:pos="5812"/>
        </w:tabs>
        <w:ind w:left="284" w:hanging="284"/>
        <w:jc w:val="both"/>
      </w:pPr>
      <w:r w:rsidRPr="00DC1614">
        <w:rPr>
          <w:lang w:val="en-US"/>
        </w:rPr>
        <w:t xml:space="preserve">Gibson, J. and S. Rozelle, </w:t>
      </w:r>
      <w:r w:rsidRPr="00DC1614">
        <w:t>1998. Results of the household survey component of the 1996 poverty assessment for Papua New Guinea.  Population and Human Resources Division, World Bank,  Washington, DC.</w:t>
      </w:r>
    </w:p>
    <w:p w14:paraId="6033B8CC" w14:textId="77777777" w:rsidR="009F661C" w:rsidRPr="00DC1614" w:rsidRDefault="009F661C" w:rsidP="00DC1614">
      <w:pPr>
        <w:pStyle w:val="FootnoteText"/>
        <w:tabs>
          <w:tab w:val="left" w:pos="5812"/>
        </w:tabs>
        <w:ind w:left="284" w:hanging="284"/>
        <w:jc w:val="both"/>
      </w:pPr>
      <w:r w:rsidRPr="00DC1614">
        <w:t xml:space="preserve">Gibson, J. and S. Rozelle 2003. Poverty and access to roads in Papua New Guinea. </w:t>
      </w:r>
      <w:r w:rsidRPr="00DC1614">
        <w:rPr>
          <w:i/>
        </w:rPr>
        <w:t>Economic Development and Cultural Change</w:t>
      </w:r>
      <w:r w:rsidRPr="00DC1614">
        <w:t>, 52.1: 159-185.</w:t>
      </w:r>
    </w:p>
    <w:p w14:paraId="3B455CD3" w14:textId="77777777" w:rsidR="009F661C" w:rsidRPr="00DC1614" w:rsidRDefault="009F661C" w:rsidP="00DC1614">
      <w:pPr>
        <w:pStyle w:val="FootnoteText"/>
        <w:tabs>
          <w:tab w:val="left" w:pos="5812"/>
        </w:tabs>
        <w:ind w:left="284" w:hanging="284"/>
        <w:jc w:val="both"/>
        <w:rPr>
          <w:lang w:val="en-US"/>
        </w:rPr>
      </w:pPr>
      <w:r w:rsidRPr="00DC1614">
        <w:rPr>
          <w:lang w:val="en-US"/>
        </w:rPr>
        <w:t>Gibson, J. 2001a. The economic and nutritional importance of household food production in PNG, in Bourke et al. (eds.) 2001.</w:t>
      </w:r>
    </w:p>
    <w:p w14:paraId="6F06E803" w14:textId="77777777" w:rsidR="009F661C" w:rsidRPr="00DC1614" w:rsidRDefault="009F661C" w:rsidP="00DC1614">
      <w:pPr>
        <w:pStyle w:val="FootnoteText"/>
        <w:tabs>
          <w:tab w:val="left" w:pos="5812"/>
        </w:tabs>
        <w:ind w:left="284" w:hanging="284"/>
        <w:jc w:val="both"/>
        <w:rPr>
          <w:lang w:val="en-US"/>
        </w:rPr>
      </w:pPr>
      <w:r>
        <w:rPr>
          <w:lang w:val="en-US"/>
        </w:rPr>
        <w:t>—</w:t>
      </w:r>
      <w:r w:rsidRPr="00DC1614">
        <w:rPr>
          <w:lang w:val="en-US"/>
        </w:rPr>
        <w:t>.  2001b Food demand in the rural and urban sectors of PNG, in Bourke et al. (eds), 2001.</w:t>
      </w:r>
    </w:p>
    <w:p w14:paraId="76FFA15D" w14:textId="77777777" w:rsidR="009F661C" w:rsidRPr="00DC1614" w:rsidRDefault="009F661C" w:rsidP="00DC1614">
      <w:pPr>
        <w:pStyle w:val="FootnoteText"/>
        <w:tabs>
          <w:tab w:val="left" w:pos="5812"/>
        </w:tabs>
        <w:ind w:left="284" w:hanging="284"/>
        <w:jc w:val="both"/>
        <w:rPr>
          <w:lang w:val="en-US"/>
        </w:rPr>
      </w:pPr>
      <w:r w:rsidRPr="00DC1614">
        <w:t xml:space="preserve">Golub, A. 2007.  From agency to agents. Forging landowner identities in Porgera, in Wiener and Glaskin (eds.), 2007. </w:t>
      </w:r>
    </w:p>
    <w:p w14:paraId="47DE6ABD" w14:textId="77777777" w:rsidR="009F661C" w:rsidRPr="00DC1614" w:rsidRDefault="009F661C" w:rsidP="00DC1614">
      <w:pPr>
        <w:tabs>
          <w:tab w:val="left" w:pos="5812"/>
        </w:tabs>
        <w:autoSpaceDE w:val="0"/>
        <w:autoSpaceDN w:val="0"/>
        <w:adjustRightInd w:val="0"/>
        <w:ind w:left="284" w:hanging="284"/>
        <w:jc w:val="both"/>
        <w:rPr>
          <w:sz w:val="20"/>
          <w:szCs w:val="20"/>
        </w:rPr>
      </w:pPr>
      <w:r w:rsidRPr="00DC1614">
        <w:rPr>
          <w:sz w:val="20"/>
          <w:szCs w:val="20"/>
          <w:lang w:val="en-US"/>
        </w:rPr>
        <w:t>Griffin, K., A.R. Khan</w:t>
      </w:r>
      <w:r w:rsidRPr="00DC1614">
        <w:rPr>
          <w:sz w:val="20"/>
          <w:szCs w:val="20"/>
        </w:rPr>
        <w:t>, and A. I</w:t>
      </w:r>
      <w:r w:rsidRPr="00DC1614">
        <w:rPr>
          <w:sz w:val="20"/>
          <w:szCs w:val="20"/>
          <w:lang w:val="en-US"/>
        </w:rPr>
        <w:t>ckowitz</w:t>
      </w:r>
      <w:r w:rsidRPr="00DC1614">
        <w:rPr>
          <w:sz w:val="20"/>
          <w:szCs w:val="20"/>
        </w:rPr>
        <w:t xml:space="preserve">. </w:t>
      </w:r>
      <w:r w:rsidRPr="00DC1614">
        <w:rPr>
          <w:sz w:val="20"/>
          <w:szCs w:val="20"/>
          <w:lang w:val="en-US"/>
        </w:rPr>
        <w:t>Povert</w:t>
      </w:r>
      <w:r w:rsidRPr="00DC1614">
        <w:rPr>
          <w:sz w:val="20"/>
          <w:szCs w:val="20"/>
        </w:rPr>
        <w:t xml:space="preserve">y and the Distribution of Land. </w:t>
      </w:r>
      <w:r w:rsidRPr="00DC1614">
        <w:rPr>
          <w:i/>
          <w:sz w:val="20"/>
          <w:szCs w:val="20"/>
        </w:rPr>
        <w:t>Journal of Agrarian Change</w:t>
      </w:r>
      <w:r w:rsidRPr="00DC1614">
        <w:rPr>
          <w:sz w:val="20"/>
          <w:szCs w:val="20"/>
        </w:rPr>
        <w:t xml:space="preserve">, </w:t>
      </w:r>
      <w:r w:rsidRPr="00DC1614">
        <w:rPr>
          <w:i/>
          <w:iCs/>
          <w:sz w:val="20"/>
          <w:szCs w:val="20"/>
        </w:rPr>
        <w:t>2</w:t>
      </w:r>
      <w:r w:rsidRPr="00DC1614">
        <w:rPr>
          <w:sz w:val="20"/>
          <w:szCs w:val="20"/>
        </w:rPr>
        <w:t>(3), 279-330.</w:t>
      </w:r>
    </w:p>
    <w:p w14:paraId="3AB1BB8A" w14:textId="77777777" w:rsidR="009F661C" w:rsidRPr="00DC1614" w:rsidRDefault="009F661C" w:rsidP="00DC1614">
      <w:pPr>
        <w:tabs>
          <w:tab w:val="left" w:pos="5812"/>
        </w:tabs>
        <w:ind w:left="284" w:hanging="284"/>
        <w:jc w:val="both"/>
        <w:rPr>
          <w:noProof/>
          <w:sz w:val="20"/>
          <w:szCs w:val="20"/>
        </w:rPr>
      </w:pPr>
      <w:r w:rsidRPr="00DC1614">
        <w:rPr>
          <w:i/>
          <w:noProof/>
          <w:sz w:val="20"/>
          <w:szCs w:val="20"/>
        </w:rPr>
        <w:t>Guardian Weekly</w:t>
      </w:r>
      <w:r w:rsidRPr="00DC1614">
        <w:rPr>
          <w:noProof/>
          <w:sz w:val="20"/>
          <w:szCs w:val="20"/>
        </w:rPr>
        <w:t xml:space="preserve"> 2004. "Give us back our land, say Masai" (report).  </w:t>
      </w:r>
      <w:r w:rsidRPr="00DC1614">
        <w:rPr>
          <w:i/>
          <w:iCs/>
          <w:noProof/>
          <w:sz w:val="20"/>
          <w:szCs w:val="20"/>
        </w:rPr>
        <w:t xml:space="preserve"> The Guardian, </w:t>
      </w:r>
      <w:r w:rsidRPr="00DC1614">
        <w:rPr>
          <w:noProof/>
          <w:sz w:val="20"/>
          <w:szCs w:val="20"/>
        </w:rPr>
        <w:t>London.</w:t>
      </w:r>
    </w:p>
    <w:p w14:paraId="4F745FAB" w14:textId="77777777" w:rsidR="009F661C" w:rsidRPr="00DC1614" w:rsidRDefault="009F661C" w:rsidP="00DC1614">
      <w:pPr>
        <w:tabs>
          <w:tab w:val="left" w:pos="5812"/>
        </w:tabs>
        <w:ind w:left="284" w:hanging="284"/>
        <w:jc w:val="both"/>
        <w:rPr>
          <w:sz w:val="20"/>
          <w:szCs w:val="20"/>
        </w:rPr>
      </w:pPr>
      <w:r w:rsidRPr="00DC1614">
        <w:rPr>
          <w:sz w:val="20"/>
          <w:szCs w:val="20"/>
        </w:rPr>
        <w:t xml:space="preserve">Gosarevski, S., H. Hughes and S. Windybank  2004a. “Is Papua New Guinea viable?” </w:t>
      </w:r>
      <w:r w:rsidRPr="00DC1614">
        <w:rPr>
          <w:i/>
          <w:iCs/>
          <w:sz w:val="20"/>
          <w:szCs w:val="20"/>
        </w:rPr>
        <w:t xml:space="preserve">Pacific Economic Bulletin, </w:t>
      </w:r>
      <w:r w:rsidRPr="00DC1614">
        <w:rPr>
          <w:sz w:val="20"/>
          <w:szCs w:val="20"/>
        </w:rPr>
        <w:t xml:space="preserve">19.1: 134-48; </w:t>
      </w:r>
    </w:p>
    <w:p w14:paraId="3E87085A" w14:textId="77777777" w:rsidR="009F661C" w:rsidRPr="00DC1614" w:rsidRDefault="009F661C" w:rsidP="00DC1614">
      <w:pPr>
        <w:tabs>
          <w:tab w:val="left" w:pos="5812"/>
        </w:tabs>
        <w:ind w:left="284" w:hanging="284"/>
        <w:jc w:val="both"/>
        <w:rPr>
          <w:sz w:val="20"/>
          <w:szCs w:val="20"/>
        </w:rPr>
      </w:pPr>
      <w:r w:rsidRPr="00DC1614">
        <w:rPr>
          <w:sz w:val="20"/>
          <w:szCs w:val="20"/>
        </w:rPr>
        <w:lastRenderedPageBreak/>
        <w:t xml:space="preserve">Gosarevski, S., Hughes, H., Windybank S., 2004b. “Is Papua New Guinea viable </w:t>
      </w:r>
      <w:r w:rsidRPr="00DC1614">
        <w:rPr>
          <w:i/>
          <w:iCs/>
          <w:sz w:val="20"/>
          <w:szCs w:val="20"/>
        </w:rPr>
        <w:t xml:space="preserve">with </w:t>
      </w:r>
      <w:r w:rsidRPr="00DC1614">
        <w:rPr>
          <w:sz w:val="20"/>
          <w:szCs w:val="20"/>
        </w:rPr>
        <w:t xml:space="preserve">customary land ownership?” </w:t>
      </w:r>
      <w:r w:rsidRPr="00DC1614">
        <w:rPr>
          <w:i/>
          <w:iCs/>
          <w:sz w:val="20"/>
          <w:szCs w:val="20"/>
        </w:rPr>
        <w:t>Pacific Economic Bulletin</w:t>
      </w:r>
      <w:r w:rsidRPr="00DC1614">
        <w:rPr>
          <w:sz w:val="20"/>
          <w:szCs w:val="20"/>
        </w:rPr>
        <w:t>, 19.3: 133-36.</w:t>
      </w:r>
    </w:p>
    <w:p w14:paraId="5D582761" w14:textId="77777777" w:rsidR="009F661C" w:rsidRPr="00DC1614" w:rsidRDefault="009F661C" w:rsidP="00DC1614">
      <w:pPr>
        <w:tabs>
          <w:tab w:val="left" w:pos="5812"/>
        </w:tabs>
        <w:ind w:left="284" w:hanging="284"/>
        <w:jc w:val="both"/>
        <w:rPr>
          <w:sz w:val="20"/>
          <w:szCs w:val="20"/>
        </w:rPr>
      </w:pPr>
      <w:r w:rsidRPr="00DC1614">
        <w:rPr>
          <w:sz w:val="20"/>
          <w:szCs w:val="20"/>
        </w:rPr>
        <w:t xml:space="preserve">Irawan, S. and L. Tacconi 2009. Reducing emissions from deforestation and forst degration (REDD) and decentralized forest management. </w:t>
      </w:r>
      <w:r w:rsidRPr="00DC1614">
        <w:rPr>
          <w:i/>
          <w:sz w:val="20"/>
          <w:szCs w:val="20"/>
        </w:rPr>
        <w:t>International Forestry Review</w:t>
      </w:r>
      <w:r w:rsidRPr="00DC1614">
        <w:rPr>
          <w:sz w:val="20"/>
          <w:szCs w:val="20"/>
        </w:rPr>
        <w:t>, 11.4: 427:438.</w:t>
      </w:r>
    </w:p>
    <w:p w14:paraId="19EBA768" w14:textId="77777777" w:rsidR="009F661C" w:rsidRPr="00DC1614" w:rsidRDefault="009F661C" w:rsidP="00DC1614">
      <w:pPr>
        <w:tabs>
          <w:tab w:val="left" w:pos="5812"/>
        </w:tabs>
        <w:ind w:left="284" w:hanging="284"/>
        <w:jc w:val="both"/>
        <w:rPr>
          <w:sz w:val="20"/>
          <w:szCs w:val="20"/>
        </w:rPr>
      </w:pPr>
      <w:r w:rsidRPr="00DC1614">
        <w:rPr>
          <w:sz w:val="20"/>
          <w:szCs w:val="20"/>
        </w:rPr>
        <w:t xml:space="preserve">ITS Global (2006). </w:t>
      </w:r>
      <w:r w:rsidRPr="00DC1614">
        <w:rPr>
          <w:i/>
          <w:sz w:val="20"/>
          <w:szCs w:val="20"/>
        </w:rPr>
        <w:t>The economic importance of the forestry industry to Papua New Guinea</w:t>
      </w:r>
      <w:r w:rsidRPr="00DC1614">
        <w:rPr>
          <w:sz w:val="20"/>
          <w:szCs w:val="20"/>
        </w:rPr>
        <w:t>. Melbourne.</w:t>
      </w:r>
    </w:p>
    <w:p w14:paraId="0081FB3B"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sidRPr="00DC1614">
        <w:rPr>
          <w:rFonts w:ascii="Times New Roman" w:hAnsi="Times New Roman" w:cs="Times New Roman"/>
          <w:color w:val="auto"/>
          <w:sz w:val="20"/>
          <w:szCs w:val="20"/>
        </w:rPr>
        <w:t xml:space="preserve">Habermas, J. 1991 </w:t>
      </w:r>
      <w:r w:rsidRPr="00DC1614">
        <w:rPr>
          <w:rFonts w:ascii="Times New Roman" w:hAnsi="Times New Roman" w:cs="Times New Roman"/>
          <w:i/>
          <w:iCs/>
          <w:color w:val="auto"/>
          <w:sz w:val="20"/>
          <w:szCs w:val="20"/>
        </w:rPr>
        <w:t xml:space="preserve">The Philosophical Discourse of Modernity, </w:t>
      </w:r>
      <w:r w:rsidRPr="00DC1614">
        <w:rPr>
          <w:rFonts w:ascii="Times New Roman" w:hAnsi="Times New Roman" w:cs="Times New Roman"/>
          <w:color w:val="auto"/>
          <w:sz w:val="20"/>
          <w:szCs w:val="20"/>
        </w:rPr>
        <w:t>trans. F. Lawrence. MIT Press,  Cambridge, MA.</w:t>
      </w:r>
    </w:p>
    <w:p w14:paraId="158FADA0" w14:textId="77777777" w:rsidR="009F661C" w:rsidRPr="00DC1614" w:rsidRDefault="009F661C" w:rsidP="00DC1614">
      <w:pPr>
        <w:pStyle w:val="FootnoteText"/>
        <w:tabs>
          <w:tab w:val="left" w:pos="5812"/>
        </w:tabs>
        <w:ind w:left="284" w:hanging="284"/>
        <w:jc w:val="both"/>
      </w:pPr>
      <w:r w:rsidRPr="00DC1614">
        <w:t xml:space="preserve">Hanson, L.W., B.J. Allen, R.M. Bourke, and T.J. McCarthy 2001. </w:t>
      </w:r>
      <w:r w:rsidRPr="00DC1614">
        <w:rPr>
          <w:i/>
        </w:rPr>
        <w:t>Papua New Guinea. Rural Development Handbook.</w:t>
      </w:r>
      <w:r w:rsidRPr="00DC1614">
        <w:t xml:space="preserve"> ANU, Canberra.</w:t>
      </w:r>
    </w:p>
    <w:p w14:paraId="44048687" w14:textId="77777777" w:rsidR="009F661C" w:rsidRPr="00DC1614" w:rsidRDefault="009F661C" w:rsidP="00DC1614">
      <w:pPr>
        <w:tabs>
          <w:tab w:val="left" w:pos="5812"/>
        </w:tabs>
        <w:ind w:left="284" w:hanging="284"/>
        <w:jc w:val="both"/>
        <w:rPr>
          <w:sz w:val="20"/>
          <w:szCs w:val="20"/>
        </w:rPr>
      </w:pPr>
      <w:r w:rsidRPr="00DC1614">
        <w:rPr>
          <w:sz w:val="20"/>
          <w:szCs w:val="20"/>
        </w:rPr>
        <w:t xml:space="preserve">Hardin, G.  1968. The Tragedy of the Commons. </w:t>
      </w:r>
      <w:r w:rsidRPr="00DC1614">
        <w:rPr>
          <w:i/>
          <w:sz w:val="20"/>
          <w:szCs w:val="20"/>
        </w:rPr>
        <w:t>Science</w:t>
      </w:r>
      <w:r w:rsidRPr="00DC1614">
        <w:rPr>
          <w:sz w:val="20"/>
          <w:szCs w:val="20"/>
        </w:rPr>
        <w:t>, 162, 1243-1248.</w:t>
      </w:r>
    </w:p>
    <w:p w14:paraId="7CA9BF3F" w14:textId="77777777" w:rsidR="009F661C" w:rsidRPr="00DC1614" w:rsidRDefault="009F661C" w:rsidP="00DC1614">
      <w:pPr>
        <w:pStyle w:val="FootnoteText"/>
        <w:tabs>
          <w:tab w:val="left" w:pos="5812"/>
        </w:tabs>
        <w:ind w:left="284" w:hanging="284"/>
        <w:jc w:val="both"/>
      </w:pPr>
      <w:r w:rsidRPr="00DC1614">
        <w:t xml:space="preserve">Harding, T.G. 1973. Land Tenure, </w:t>
      </w:r>
      <w:r w:rsidRPr="00DC1614">
        <w:rPr>
          <w:lang w:val="en-US"/>
        </w:rPr>
        <w:t xml:space="preserve">in Hogbin 1973. </w:t>
      </w:r>
    </w:p>
    <w:p w14:paraId="171AC016" w14:textId="77777777" w:rsidR="009F661C" w:rsidRPr="00DC1614" w:rsidRDefault="009F661C" w:rsidP="00DC1614">
      <w:pPr>
        <w:pStyle w:val="FootnoteText"/>
        <w:tabs>
          <w:tab w:val="left" w:pos="5812"/>
        </w:tabs>
        <w:ind w:left="284" w:hanging="284"/>
        <w:jc w:val="both"/>
      </w:pPr>
      <w:r w:rsidRPr="00DC1614">
        <w:t>Hart  H.L.A 1961.</w:t>
      </w:r>
      <w:r w:rsidRPr="00DC1614">
        <w:rPr>
          <w:i/>
        </w:rPr>
        <w:t xml:space="preserve"> The Concept of Law, </w:t>
      </w:r>
      <w:r w:rsidRPr="00DC1614">
        <w:t>Oxford University Press, Oxford.</w:t>
      </w:r>
    </w:p>
    <w:p w14:paraId="7847CA8E" w14:textId="77777777" w:rsidR="009F661C" w:rsidRPr="00DC1614" w:rsidRDefault="009F661C" w:rsidP="00DC1614">
      <w:pPr>
        <w:pStyle w:val="EndnoteText"/>
        <w:tabs>
          <w:tab w:val="left" w:pos="5812"/>
        </w:tabs>
        <w:ind w:left="284" w:hanging="284"/>
        <w:jc w:val="both"/>
      </w:pPr>
      <w:r w:rsidRPr="00DC1614">
        <w:t xml:space="preserve">Hayek, F.A., 1973. </w:t>
      </w:r>
      <w:r w:rsidRPr="00DC1614">
        <w:rPr>
          <w:i/>
        </w:rPr>
        <w:t>Law, Legislation and Liberty: Rules and Order</w:t>
      </w:r>
      <w:r w:rsidRPr="00DC1614">
        <w:t xml:space="preserve"> Vol 1, University of Chicago Press, Chicago. </w:t>
      </w:r>
    </w:p>
    <w:p w14:paraId="75329D1F" w14:textId="77777777" w:rsidR="009F661C" w:rsidRPr="00DC1614" w:rsidRDefault="009F661C" w:rsidP="00DC1614">
      <w:pPr>
        <w:tabs>
          <w:tab w:val="left" w:pos="5812"/>
        </w:tabs>
        <w:ind w:left="284" w:hanging="284"/>
        <w:jc w:val="both"/>
        <w:rPr>
          <w:sz w:val="20"/>
          <w:szCs w:val="20"/>
        </w:rPr>
      </w:pPr>
      <w:r w:rsidRPr="00DC1614">
        <w:rPr>
          <w:sz w:val="20"/>
          <w:szCs w:val="20"/>
        </w:rPr>
        <w:t xml:space="preserve">Hazlewood, A. 1979. </w:t>
      </w:r>
      <w:r w:rsidRPr="00DC1614">
        <w:rPr>
          <w:i/>
          <w:sz w:val="20"/>
          <w:szCs w:val="20"/>
        </w:rPr>
        <w:t>The Economy of Kenya. The Kenyatta Era</w:t>
      </w:r>
      <w:r w:rsidRPr="00DC1614">
        <w:rPr>
          <w:sz w:val="20"/>
          <w:szCs w:val="20"/>
        </w:rPr>
        <w:t>. OUP, Oxford.</w:t>
      </w:r>
    </w:p>
    <w:p w14:paraId="31C2B210" w14:textId="77777777" w:rsidR="009F661C" w:rsidRPr="00DC1614" w:rsidRDefault="009F661C" w:rsidP="00DC1614">
      <w:pPr>
        <w:tabs>
          <w:tab w:val="left" w:pos="5812"/>
        </w:tabs>
        <w:ind w:left="284" w:hanging="284"/>
        <w:jc w:val="both"/>
        <w:rPr>
          <w:sz w:val="20"/>
          <w:szCs w:val="20"/>
        </w:rPr>
      </w:pPr>
      <w:r w:rsidRPr="00DC1614">
        <w:rPr>
          <w:sz w:val="20"/>
          <w:szCs w:val="20"/>
        </w:rPr>
        <w:t>Henao, L. 2001. Mobilising customary land through customary land registration in N. Sullivan (ed.).</w:t>
      </w:r>
    </w:p>
    <w:p w14:paraId="1535D6C6" w14:textId="77777777" w:rsidR="009F661C" w:rsidRPr="00DC1614" w:rsidRDefault="009F661C" w:rsidP="00DC1614">
      <w:pPr>
        <w:pStyle w:val="FootnoteText"/>
        <w:tabs>
          <w:tab w:val="left" w:pos="5812"/>
        </w:tabs>
        <w:ind w:left="284" w:hanging="284"/>
        <w:jc w:val="both"/>
        <w:rPr>
          <w:i/>
          <w:iCs/>
        </w:rPr>
      </w:pPr>
      <w:r w:rsidRPr="00DC1614">
        <w:rPr>
          <w:lang w:val="en-US"/>
        </w:rPr>
        <w:t xml:space="preserve">Hide, R. </w:t>
      </w:r>
      <w:r w:rsidRPr="00DC1614">
        <w:rPr>
          <w:i/>
          <w:iCs/>
          <w:lang w:val="en-US"/>
        </w:rPr>
        <w:t>et al.</w:t>
      </w:r>
      <w:r w:rsidRPr="00DC1614">
        <w:rPr>
          <w:lang w:val="en-US"/>
        </w:rPr>
        <w:t xml:space="preserve">1995. </w:t>
      </w:r>
      <w:r w:rsidRPr="00DC1614">
        <w:rPr>
          <w:i/>
          <w:lang w:val="en-US"/>
        </w:rPr>
        <w:t xml:space="preserve">Agricultural Systems of Papua New Guinea. Western Highlands Province. </w:t>
      </w:r>
      <w:r w:rsidRPr="00DC1614">
        <w:rPr>
          <w:lang w:val="en-US"/>
        </w:rPr>
        <w:t>Department of Human Geography, ANU, Canberra.</w:t>
      </w:r>
    </w:p>
    <w:p w14:paraId="4D7D1DEE" w14:textId="77777777" w:rsidR="009F661C" w:rsidRPr="00DC1614" w:rsidRDefault="009F661C" w:rsidP="00DC1614">
      <w:pPr>
        <w:pStyle w:val="FootnoteText"/>
        <w:tabs>
          <w:tab w:val="left" w:pos="5812"/>
        </w:tabs>
        <w:ind w:left="284" w:hanging="284"/>
        <w:jc w:val="both"/>
      </w:pPr>
      <w:r w:rsidRPr="00DC1614">
        <w:t xml:space="preserve">Hide, R., 2003. </w:t>
      </w:r>
      <w:r w:rsidRPr="00DC1614">
        <w:rPr>
          <w:i/>
          <w:iCs/>
        </w:rPr>
        <w:t>Pig Husbandry in Papua New Guinea</w:t>
      </w:r>
      <w:r w:rsidRPr="00DC1614">
        <w:t xml:space="preserve">, ACIAR, Canberra.  </w:t>
      </w:r>
    </w:p>
    <w:p w14:paraId="53F20F8C" w14:textId="77777777" w:rsidR="009F661C" w:rsidRPr="00DC1614" w:rsidRDefault="009F661C" w:rsidP="00DC1614">
      <w:pPr>
        <w:pStyle w:val="FootnoteText"/>
        <w:tabs>
          <w:tab w:val="left" w:pos="5812"/>
        </w:tabs>
        <w:ind w:left="284" w:hanging="284"/>
        <w:jc w:val="both"/>
      </w:pPr>
      <w:r w:rsidRPr="00DC1614">
        <w:rPr>
          <w:lang w:val="en-US"/>
        </w:rPr>
        <w:t xml:space="preserve">Hogbin, I. 1973. </w:t>
      </w:r>
      <w:r w:rsidRPr="00DC1614">
        <w:rPr>
          <w:i/>
          <w:iCs/>
          <w:lang w:val="en-US"/>
        </w:rPr>
        <w:t>Anthropology in Papua New Guinea</w:t>
      </w:r>
      <w:r w:rsidRPr="00DC1614">
        <w:rPr>
          <w:lang w:val="en-US"/>
        </w:rPr>
        <w:t>, Melbourne University Press, Melbourne.</w:t>
      </w:r>
    </w:p>
    <w:p w14:paraId="084B50C5" w14:textId="77777777" w:rsidR="009F661C" w:rsidRPr="00DC1614" w:rsidRDefault="009F661C" w:rsidP="00DC1614">
      <w:pPr>
        <w:tabs>
          <w:tab w:val="left" w:pos="5812"/>
        </w:tabs>
        <w:ind w:left="284" w:hanging="284"/>
        <w:jc w:val="both"/>
        <w:rPr>
          <w:sz w:val="20"/>
          <w:szCs w:val="20"/>
        </w:rPr>
      </w:pPr>
      <w:r w:rsidRPr="00DC1614">
        <w:rPr>
          <w:sz w:val="20"/>
          <w:szCs w:val="20"/>
        </w:rPr>
        <w:t xml:space="preserve">Holzknecht, H. 1996.  Policy Reform, Customary Tenure and Stakeholder Clashes in Papua New Guinea's Rainforests. </w:t>
      </w:r>
      <w:r w:rsidRPr="00DC1614">
        <w:rPr>
          <w:i/>
          <w:sz w:val="20"/>
          <w:szCs w:val="20"/>
        </w:rPr>
        <w:t>Rural Forestry Network Paper</w:t>
      </w:r>
      <w:r w:rsidRPr="00DC1614">
        <w:rPr>
          <w:sz w:val="20"/>
          <w:szCs w:val="20"/>
        </w:rPr>
        <w:t xml:space="preserve"> . </w:t>
      </w:r>
    </w:p>
    <w:p w14:paraId="4C66400D" w14:textId="77777777" w:rsidR="009F661C" w:rsidRPr="00DC1614" w:rsidRDefault="009F661C" w:rsidP="00DC1614">
      <w:pPr>
        <w:tabs>
          <w:tab w:val="left" w:pos="5812"/>
        </w:tabs>
        <w:ind w:left="284" w:hanging="284"/>
        <w:jc w:val="both"/>
        <w:rPr>
          <w:sz w:val="20"/>
          <w:szCs w:val="20"/>
          <w:lang w:val="en-US"/>
        </w:rPr>
      </w:pPr>
      <w:r>
        <w:rPr>
          <w:sz w:val="20"/>
          <w:szCs w:val="20"/>
          <w:lang w:val="en-US"/>
        </w:rPr>
        <w:t>—</w:t>
      </w:r>
      <w:r w:rsidRPr="00DC1614">
        <w:rPr>
          <w:sz w:val="20"/>
          <w:szCs w:val="20"/>
          <w:lang w:val="en-US"/>
        </w:rPr>
        <w:t xml:space="preserve">. 1997. Pro bono public: conservation and appropriate resourcs management strategies in Papua New Guinea, in C. Filer (ed.) 1997. </w:t>
      </w:r>
    </w:p>
    <w:p w14:paraId="09B40C31" w14:textId="77777777" w:rsidR="009F661C" w:rsidRPr="00DC1614" w:rsidRDefault="009F661C" w:rsidP="00DC1614">
      <w:pPr>
        <w:tabs>
          <w:tab w:val="left" w:pos="5812"/>
        </w:tabs>
        <w:ind w:left="284" w:hanging="284"/>
        <w:jc w:val="both"/>
        <w:rPr>
          <w:sz w:val="20"/>
          <w:szCs w:val="20"/>
          <w:lang w:val="en-US"/>
        </w:rPr>
      </w:pPr>
      <w:r>
        <w:rPr>
          <w:sz w:val="20"/>
          <w:szCs w:val="20"/>
          <w:lang w:val="en-US"/>
        </w:rPr>
        <w:t>—</w:t>
      </w:r>
      <w:r w:rsidRPr="00DC1614">
        <w:rPr>
          <w:sz w:val="20"/>
          <w:szCs w:val="20"/>
          <w:lang w:val="en-US"/>
        </w:rPr>
        <w:t>. 1999. Customary property rights and economic development, in T. van Meijl and F. von Benda-Backman (eds.) 1999.</w:t>
      </w:r>
    </w:p>
    <w:p w14:paraId="5B4462A1" w14:textId="77777777" w:rsidR="009F661C" w:rsidRPr="00DC1614" w:rsidRDefault="009F661C" w:rsidP="00DC1614">
      <w:pPr>
        <w:tabs>
          <w:tab w:val="left" w:pos="5812"/>
        </w:tabs>
        <w:ind w:left="284" w:hanging="284"/>
        <w:jc w:val="both"/>
        <w:rPr>
          <w:sz w:val="20"/>
          <w:szCs w:val="20"/>
          <w:lang w:val="en-US"/>
        </w:rPr>
      </w:pPr>
      <w:r>
        <w:rPr>
          <w:sz w:val="20"/>
          <w:szCs w:val="20"/>
          <w:lang w:val="en-US"/>
        </w:rPr>
        <w:t>—</w:t>
      </w:r>
      <w:r w:rsidRPr="00DC1614">
        <w:rPr>
          <w:sz w:val="20"/>
          <w:szCs w:val="20"/>
          <w:lang w:val="en-US"/>
        </w:rPr>
        <w:t xml:space="preserve">. 2003. Customary land tenure systems: resilient, appropriate, and productive, in Curtin et al. 2003. </w:t>
      </w:r>
    </w:p>
    <w:p w14:paraId="6988A87B" w14:textId="77777777" w:rsidR="009F661C" w:rsidRPr="00DC1614" w:rsidRDefault="009F661C" w:rsidP="00DC1614">
      <w:pPr>
        <w:tabs>
          <w:tab w:val="left" w:pos="5812"/>
        </w:tabs>
        <w:ind w:left="284" w:hanging="284"/>
        <w:jc w:val="both"/>
        <w:rPr>
          <w:sz w:val="20"/>
          <w:szCs w:val="20"/>
        </w:rPr>
      </w:pPr>
      <w:r w:rsidRPr="00DC1614">
        <w:rPr>
          <w:sz w:val="20"/>
          <w:szCs w:val="20"/>
        </w:rPr>
        <w:t xml:space="preserve">Howson, P. 2009. Back to Coombs, or Forward. </w:t>
      </w:r>
      <w:r w:rsidRPr="00DC1614">
        <w:rPr>
          <w:i/>
          <w:sz w:val="20"/>
          <w:szCs w:val="20"/>
        </w:rPr>
        <w:t>Quadrant</w:t>
      </w:r>
      <w:r w:rsidRPr="00DC1614">
        <w:rPr>
          <w:sz w:val="20"/>
          <w:szCs w:val="20"/>
        </w:rPr>
        <w:t xml:space="preserve">, January-February, LIII, 1-2. </w:t>
      </w:r>
    </w:p>
    <w:p w14:paraId="3AB46966" w14:textId="77777777" w:rsidR="009F661C" w:rsidRPr="00DC1614" w:rsidRDefault="009F661C" w:rsidP="00DC1614">
      <w:pPr>
        <w:tabs>
          <w:tab w:val="left" w:pos="5812"/>
        </w:tabs>
        <w:ind w:left="284" w:hanging="284"/>
        <w:jc w:val="both"/>
        <w:rPr>
          <w:sz w:val="20"/>
          <w:szCs w:val="20"/>
        </w:rPr>
      </w:pPr>
      <w:r w:rsidRPr="00DC1614">
        <w:rPr>
          <w:sz w:val="20"/>
          <w:szCs w:val="20"/>
        </w:rPr>
        <w:t xml:space="preserve">Hughes, H. 2004a </w:t>
      </w:r>
      <w:r w:rsidRPr="00DC1614">
        <w:rPr>
          <w:i/>
          <w:iCs/>
          <w:sz w:val="20"/>
          <w:szCs w:val="20"/>
        </w:rPr>
        <w:t>Can Papua New Guinea come back from the brink?</w:t>
      </w:r>
      <w:r w:rsidRPr="00DC1614">
        <w:rPr>
          <w:sz w:val="20"/>
          <w:szCs w:val="20"/>
        </w:rPr>
        <w:t xml:space="preserve"> Centre for Independent Studies, Sydney.</w:t>
      </w:r>
    </w:p>
    <w:p w14:paraId="363C4B6B" w14:textId="77777777" w:rsidR="009F661C" w:rsidRPr="00DC1614" w:rsidRDefault="009F661C" w:rsidP="00DC1614">
      <w:pPr>
        <w:tabs>
          <w:tab w:val="left" w:pos="5812"/>
        </w:tabs>
        <w:ind w:left="284" w:hanging="284"/>
        <w:jc w:val="both"/>
        <w:rPr>
          <w:sz w:val="20"/>
          <w:szCs w:val="20"/>
        </w:rPr>
      </w:pPr>
      <w:r>
        <w:rPr>
          <w:sz w:val="20"/>
          <w:szCs w:val="20"/>
        </w:rPr>
        <w:t>—</w:t>
      </w:r>
      <w:r w:rsidRPr="00DC1614">
        <w:rPr>
          <w:sz w:val="20"/>
          <w:szCs w:val="20"/>
        </w:rPr>
        <w:t xml:space="preserve">. 2004b and 2004c, in Gosarevski S. </w:t>
      </w:r>
      <w:r w:rsidRPr="00DC1614">
        <w:rPr>
          <w:i/>
          <w:sz w:val="20"/>
          <w:szCs w:val="20"/>
        </w:rPr>
        <w:t>et al.</w:t>
      </w:r>
      <w:r w:rsidRPr="00DC1614">
        <w:rPr>
          <w:sz w:val="20"/>
          <w:szCs w:val="20"/>
        </w:rPr>
        <w:t>, 2004a and 2004b.</w:t>
      </w:r>
    </w:p>
    <w:p w14:paraId="422607C9" w14:textId="77777777" w:rsidR="009F661C" w:rsidRPr="00DC1614" w:rsidRDefault="009F661C" w:rsidP="00DC1614">
      <w:pPr>
        <w:tabs>
          <w:tab w:val="left" w:pos="5812"/>
        </w:tabs>
        <w:ind w:left="284" w:hanging="284"/>
        <w:jc w:val="both"/>
        <w:rPr>
          <w:sz w:val="20"/>
          <w:szCs w:val="20"/>
        </w:rPr>
      </w:pPr>
      <w:r w:rsidRPr="00DC1614">
        <w:rPr>
          <w:sz w:val="20"/>
          <w:szCs w:val="20"/>
        </w:rPr>
        <w:lastRenderedPageBreak/>
        <w:t xml:space="preserve">Hunt, C. (ed.) 2002. </w:t>
      </w:r>
      <w:r w:rsidRPr="00DC1614">
        <w:rPr>
          <w:i/>
          <w:iCs/>
          <w:sz w:val="20"/>
          <w:szCs w:val="20"/>
        </w:rPr>
        <w:t xml:space="preserve">Production, privatisation, and preservation in Papua New Guinea forestry. </w:t>
      </w:r>
      <w:r w:rsidRPr="00DC1614">
        <w:rPr>
          <w:iCs/>
          <w:sz w:val="20"/>
          <w:szCs w:val="20"/>
        </w:rPr>
        <w:t>IIED,</w:t>
      </w:r>
      <w:r w:rsidRPr="00DC1614">
        <w:rPr>
          <w:i/>
          <w:iCs/>
          <w:sz w:val="20"/>
          <w:szCs w:val="20"/>
        </w:rPr>
        <w:t xml:space="preserve"> </w:t>
      </w:r>
      <w:r w:rsidRPr="00DC1614">
        <w:rPr>
          <w:sz w:val="20"/>
          <w:szCs w:val="20"/>
        </w:rPr>
        <w:t xml:space="preserve"> London.</w:t>
      </w:r>
    </w:p>
    <w:p w14:paraId="48058189" w14:textId="77777777" w:rsidR="009F661C" w:rsidRPr="00DC1614" w:rsidRDefault="009F661C" w:rsidP="00DC1614">
      <w:pPr>
        <w:tabs>
          <w:tab w:val="left" w:pos="5812"/>
        </w:tabs>
        <w:ind w:left="284" w:hanging="284"/>
        <w:jc w:val="both"/>
        <w:rPr>
          <w:sz w:val="20"/>
          <w:szCs w:val="20"/>
        </w:rPr>
      </w:pPr>
      <w:r w:rsidRPr="00DC1614">
        <w:rPr>
          <w:sz w:val="20"/>
          <w:szCs w:val="20"/>
        </w:rPr>
        <w:t xml:space="preserve">Hunter D. and P. Whitten (eds) 1975. </w:t>
      </w:r>
      <w:r w:rsidRPr="00DC1614">
        <w:rPr>
          <w:i/>
          <w:iCs/>
          <w:sz w:val="20"/>
          <w:szCs w:val="20"/>
        </w:rPr>
        <w:t xml:space="preserve">Anthropology, Contemporary Perspectives. </w:t>
      </w:r>
      <w:r w:rsidRPr="00DC1614">
        <w:rPr>
          <w:sz w:val="20"/>
          <w:szCs w:val="20"/>
        </w:rPr>
        <w:t xml:space="preserve">Little, Brown &amp; Co., Boston. </w:t>
      </w:r>
    </w:p>
    <w:p w14:paraId="1647449B"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sidRPr="00DC1614">
        <w:rPr>
          <w:rFonts w:ascii="Times New Roman" w:hAnsi="Times New Roman" w:cs="Times New Roman"/>
          <w:color w:val="auto"/>
          <w:sz w:val="20"/>
          <w:szCs w:val="20"/>
        </w:rPr>
        <w:t xml:space="preserve">Iteanu, A. (1983) </w:t>
      </w:r>
      <w:r w:rsidRPr="00DC1614">
        <w:rPr>
          <w:rFonts w:ascii="Times New Roman" w:hAnsi="Times New Roman" w:cs="Times New Roman"/>
          <w:i/>
          <w:iCs/>
          <w:color w:val="auto"/>
          <w:sz w:val="20"/>
          <w:szCs w:val="20"/>
        </w:rPr>
        <w:t xml:space="preserve">La Ronde des echanges: De les circulation Valeurs chez. Orokaiva, </w:t>
      </w:r>
      <w:r w:rsidRPr="00DC1614">
        <w:rPr>
          <w:rFonts w:ascii="Times New Roman" w:hAnsi="Times New Roman" w:cs="Times New Roman"/>
          <w:color w:val="auto"/>
          <w:sz w:val="20"/>
          <w:szCs w:val="20"/>
        </w:rPr>
        <w:t>Cambridge: Cambridge University Press.</w:t>
      </w:r>
    </w:p>
    <w:p w14:paraId="471FADFF" w14:textId="77777777" w:rsidR="009F661C" w:rsidRPr="00DC1614" w:rsidRDefault="009F661C" w:rsidP="00DC1614">
      <w:pPr>
        <w:tabs>
          <w:tab w:val="left" w:pos="5812"/>
        </w:tabs>
        <w:ind w:left="284" w:hanging="284"/>
        <w:jc w:val="both"/>
        <w:rPr>
          <w:sz w:val="20"/>
          <w:szCs w:val="20"/>
        </w:rPr>
      </w:pPr>
      <w:r w:rsidRPr="00DC1614">
        <w:rPr>
          <w:sz w:val="20"/>
          <w:szCs w:val="20"/>
        </w:rPr>
        <w:t xml:space="preserve">James, R.W. 1985. </w:t>
      </w:r>
      <w:r w:rsidRPr="00DC1614">
        <w:rPr>
          <w:i/>
          <w:sz w:val="20"/>
          <w:szCs w:val="20"/>
        </w:rPr>
        <w:t>Land, law and policy in Papua New Guinea.</w:t>
      </w:r>
      <w:r w:rsidRPr="00DC1614">
        <w:rPr>
          <w:sz w:val="20"/>
          <w:szCs w:val="20"/>
        </w:rPr>
        <w:t xml:space="preserve"> Port Moresby: PNG Land Reform Commission.</w:t>
      </w:r>
    </w:p>
    <w:p w14:paraId="2562F89D" w14:textId="77777777" w:rsidR="009F661C" w:rsidRPr="00DC1614" w:rsidRDefault="009F661C" w:rsidP="00DC1614">
      <w:pPr>
        <w:tabs>
          <w:tab w:val="left" w:pos="5812"/>
        </w:tabs>
        <w:ind w:left="284" w:hanging="284"/>
        <w:jc w:val="both"/>
        <w:rPr>
          <w:sz w:val="20"/>
          <w:szCs w:val="20"/>
        </w:rPr>
      </w:pPr>
      <w:r w:rsidRPr="00DC1614">
        <w:rPr>
          <w:sz w:val="20"/>
          <w:szCs w:val="20"/>
        </w:rPr>
        <w:t xml:space="preserve">Jones, L.T. and P.A. McGavin 2000. </w:t>
      </w:r>
      <w:r w:rsidRPr="00DC1614">
        <w:rPr>
          <w:i/>
          <w:sz w:val="20"/>
          <w:szCs w:val="20"/>
        </w:rPr>
        <w:t>Creating economic incentives for land mobilisation in Papua New Guinea</w:t>
      </w:r>
      <w:r w:rsidRPr="00DC1614">
        <w:rPr>
          <w:sz w:val="20"/>
          <w:szCs w:val="20"/>
        </w:rPr>
        <w:t>. Institute of National Affairs. Port Moresby.</w:t>
      </w:r>
    </w:p>
    <w:p w14:paraId="60E864DE" w14:textId="77777777" w:rsidR="009F661C" w:rsidRPr="00DC1614" w:rsidRDefault="009F661C" w:rsidP="00DC1614">
      <w:pPr>
        <w:pStyle w:val="FootnoteText"/>
        <w:tabs>
          <w:tab w:val="left" w:pos="5812"/>
        </w:tabs>
        <w:ind w:left="284" w:hanging="284"/>
        <w:jc w:val="both"/>
      </w:pPr>
      <w:r w:rsidRPr="00DC1614">
        <w:t xml:space="preserve">Kelsen, H., 1945. </w:t>
      </w:r>
      <w:r w:rsidRPr="00DC1614">
        <w:rPr>
          <w:i/>
        </w:rPr>
        <w:t>The General Theory of Law and the State.</w:t>
      </w:r>
      <w:r w:rsidRPr="00DC1614">
        <w:t xml:space="preserve"> A. Wedberg  (trans.) Harvard University Press, Cambridge Mass.</w:t>
      </w:r>
    </w:p>
    <w:p w14:paraId="4E727D94" w14:textId="77777777" w:rsidR="009F661C" w:rsidRPr="00DC1614" w:rsidRDefault="009F661C" w:rsidP="00DC1614">
      <w:pPr>
        <w:tabs>
          <w:tab w:val="left" w:pos="5812"/>
        </w:tabs>
        <w:ind w:left="284" w:hanging="284"/>
        <w:jc w:val="both"/>
        <w:rPr>
          <w:sz w:val="20"/>
          <w:szCs w:val="20"/>
        </w:rPr>
      </w:pPr>
      <w:r w:rsidRPr="00DC1614">
        <w:rPr>
          <w:sz w:val="20"/>
          <w:szCs w:val="20"/>
        </w:rPr>
        <w:t xml:space="preserve">Killick, T. (ed.) 1981. </w:t>
      </w:r>
      <w:r w:rsidRPr="00DC1614">
        <w:rPr>
          <w:i/>
          <w:sz w:val="20"/>
          <w:szCs w:val="20"/>
        </w:rPr>
        <w:t>Papers on the Kenyan Economy</w:t>
      </w:r>
      <w:r w:rsidRPr="00DC1614">
        <w:rPr>
          <w:sz w:val="20"/>
          <w:szCs w:val="20"/>
        </w:rPr>
        <w:t>. Heinemann, London.</w:t>
      </w:r>
    </w:p>
    <w:p w14:paraId="194863F2" w14:textId="77777777" w:rsidR="009F661C" w:rsidRPr="00DC1614" w:rsidRDefault="009F661C" w:rsidP="00DC1614">
      <w:pPr>
        <w:pStyle w:val="FootnoteText"/>
        <w:tabs>
          <w:tab w:val="left" w:pos="5812"/>
        </w:tabs>
        <w:ind w:left="284" w:hanging="284"/>
        <w:jc w:val="both"/>
      </w:pPr>
      <w:r w:rsidRPr="00DC1614">
        <w:t xml:space="preserve">Koczberski, G. Curry, K Gibson, 2001. </w:t>
      </w:r>
      <w:r w:rsidRPr="00DC1614">
        <w:rPr>
          <w:i/>
          <w:iCs/>
        </w:rPr>
        <w:t>Improving productivity of the smallholder oil palm sector in Papua New Guinea,</w:t>
      </w:r>
      <w:r w:rsidRPr="00DC1614">
        <w:t xml:space="preserve"> ANU, Canberra. </w:t>
      </w:r>
    </w:p>
    <w:p w14:paraId="092EF1D7" w14:textId="77777777" w:rsidR="009F661C" w:rsidRPr="00DC1614" w:rsidRDefault="009F661C" w:rsidP="00DC1614">
      <w:pPr>
        <w:pStyle w:val="FootnoteText"/>
        <w:tabs>
          <w:tab w:val="left" w:pos="5812"/>
        </w:tabs>
        <w:ind w:left="284" w:hanging="284"/>
        <w:jc w:val="both"/>
      </w:pPr>
      <w:r w:rsidRPr="00DC1614">
        <w:t xml:space="preserve">Koian, R. 2010. Being Homeless. </w:t>
      </w:r>
      <w:r w:rsidRPr="00DC1614">
        <w:rPr>
          <w:i/>
        </w:rPr>
        <w:t>Post-Courier,</w:t>
      </w:r>
      <w:r w:rsidRPr="00DC1614">
        <w:t xml:space="preserve"> 12 February 2010, Port Moresby.</w:t>
      </w:r>
    </w:p>
    <w:p w14:paraId="69007E0C" w14:textId="77777777" w:rsidR="009F661C" w:rsidRPr="00DC1614" w:rsidRDefault="009F661C" w:rsidP="00DC1614">
      <w:pPr>
        <w:pStyle w:val="EndnoteText"/>
        <w:tabs>
          <w:tab w:val="left" w:pos="5812"/>
        </w:tabs>
        <w:ind w:left="284" w:hanging="284"/>
        <w:jc w:val="both"/>
      </w:pPr>
      <w:r w:rsidRPr="00DC1614">
        <w:t xml:space="preserve">Kymlicka, W., 1989.   </w:t>
      </w:r>
      <w:r w:rsidRPr="00DC1614">
        <w:rPr>
          <w:i/>
        </w:rPr>
        <w:t>Liberalism, Community and Culture.</w:t>
      </w:r>
      <w:r w:rsidRPr="00DC1614">
        <w:t xml:space="preserve"> Clarendon Press, Oxford.</w:t>
      </w:r>
    </w:p>
    <w:p w14:paraId="52F0945C" w14:textId="77777777" w:rsidR="009F661C" w:rsidRPr="00DC1614" w:rsidRDefault="009F661C" w:rsidP="00DC1614">
      <w:pPr>
        <w:pStyle w:val="EndnoteText"/>
        <w:tabs>
          <w:tab w:val="left" w:pos="5812"/>
        </w:tabs>
        <w:ind w:left="284" w:hanging="284"/>
        <w:jc w:val="both"/>
      </w:pPr>
      <w:r>
        <w:t>—</w:t>
      </w:r>
      <w:r w:rsidRPr="00DC1614">
        <w:t xml:space="preserve">.  1996. </w:t>
      </w:r>
      <w:r w:rsidRPr="00DC1614">
        <w:rPr>
          <w:i/>
        </w:rPr>
        <w:t>Multicultural Citizenship.</w:t>
      </w:r>
      <w:r w:rsidRPr="00DC1614">
        <w:t xml:space="preserve"> Oxford University Press, Oxford.</w:t>
      </w:r>
    </w:p>
    <w:p w14:paraId="72786CE1" w14:textId="77777777" w:rsidR="009F661C" w:rsidRPr="00DC1614" w:rsidRDefault="009F661C" w:rsidP="00DC1614">
      <w:pPr>
        <w:pStyle w:val="EndnoteText"/>
        <w:tabs>
          <w:tab w:val="left" w:pos="5812"/>
        </w:tabs>
        <w:ind w:left="284" w:hanging="284"/>
        <w:jc w:val="both"/>
        <w:rPr>
          <w:bCs/>
        </w:rPr>
      </w:pPr>
      <w:r>
        <w:rPr>
          <w:iCs/>
        </w:rPr>
        <w:t>—.</w:t>
      </w:r>
      <w:r w:rsidRPr="00DC1614">
        <w:rPr>
          <w:iCs/>
        </w:rPr>
        <w:t xml:space="preserve"> 2008 in Isaac, J., Rohrschneider, R., Kymlicka, W., Laurence, J., </w:t>
      </w:r>
      <w:r w:rsidRPr="00DC1614">
        <w:rPr>
          <w:bCs/>
        </w:rPr>
        <w:t xml:space="preserve">“The Challenges of Multiculturalism in Advanced Democracies,” </w:t>
      </w:r>
      <w:r w:rsidRPr="00DC1614">
        <w:rPr>
          <w:bCs/>
          <w:i/>
        </w:rPr>
        <w:t>Perspectives on Politics</w:t>
      </w:r>
      <w:r w:rsidRPr="00DC1614">
        <w:rPr>
          <w:bCs/>
        </w:rPr>
        <w:t xml:space="preserve"> 6, 4:  801-811.</w:t>
      </w:r>
    </w:p>
    <w:p w14:paraId="10F5DD51" w14:textId="77777777" w:rsidR="009F661C" w:rsidRPr="00DC1614" w:rsidRDefault="009F661C" w:rsidP="00DC1614">
      <w:pPr>
        <w:tabs>
          <w:tab w:val="left" w:pos="5812"/>
        </w:tabs>
        <w:ind w:left="284" w:hanging="284"/>
        <w:jc w:val="both"/>
        <w:rPr>
          <w:b/>
          <w:bCs/>
          <w:sz w:val="20"/>
          <w:szCs w:val="20"/>
        </w:rPr>
      </w:pPr>
      <w:r w:rsidRPr="00DC1614">
        <w:rPr>
          <w:sz w:val="20"/>
          <w:szCs w:val="20"/>
        </w:rPr>
        <w:t xml:space="preserve">Lamade, E. and J-P. Bouillet 2006. </w:t>
      </w:r>
      <w:r w:rsidRPr="00DC1614">
        <w:rPr>
          <w:bCs/>
          <w:sz w:val="20"/>
          <w:szCs w:val="20"/>
        </w:rPr>
        <w:t xml:space="preserve">Carbon storage and global change: the role of oil palm. </w:t>
      </w:r>
      <w:r w:rsidRPr="00DC1614">
        <w:rPr>
          <w:i/>
          <w:iCs/>
          <w:sz w:val="20"/>
          <w:szCs w:val="20"/>
        </w:rPr>
        <w:t>Oléagineux, Corps gras et Lipides</w:t>
      </w:r>
      <w:r w:rsidRPr="00DC1614">
        <w:rPr>
          <w:sz w:val="20"/>
          <w:szCs w:val="20"/>
        </w:rPr>
        <w:t>, 12 (2), 154–160.</w:t>
      </w:r>
    </w:p>
    <w:p w14:paraId="43381D5B" w14:textId="77777777" w:rsidR="009F661C" w:rsidRPr="00DC1614" w:rsidRDefault="009F661C" w:rsidP="00DC1614">
      <w:pPr>
        <w:pStyle w:val="FootnoteText"/>
        <w:tabs>
          <w:tab w:val="left" w:pos="5812"/>
        </w:tabs>
        <w:ind w:left="284" w:hanging="284"/>
        <w:jc w:val="both"/>
      </w:pPr>
      <w:r w:rsidRPr="00DC1614">
        <w:t xml:space="preserve">Larmour, P. (ed.) 1997. </w:t>
      </w:r>
      <w:r w:rsidRPr="00DC1614">
        <w:rPr>
          <w:i/>
        </w:rPr>
        <w:t>The Governance of Common Property in the Pacific Region</w:t>
      </w:r>
      <w:r w:rsidRPr="00DC1614">
        <w:t>. ANU, Canberra.</w:t>
      </w:r>
    </w:p>
    <w:p w14:paraId="5ACAF6FC" w14:textId="77777777" w:rsidR="009F661C" w:rsidRPr="00DC1614" w:rsidRDefault="009F661C" w:rsidP="00DC1614">
      <w:pPr>
        <w:tabs>
          <w:tab w:val="left" w:pos="5812"/>
        </w:tabs>
        <w:ind w:left="284" w:hanging="284"/>
        <w:jc w:val="both"/>
        <w:rPr>
          <w:sz w:val="20"/>
          <w:szCs w:val="20"/>
        </w:rPr>
      </w:pPr>
      <w:r w:rsidRPr="00DC1614">
        <w:rPr>
          <w:sz w:val="20"/>
          <w:szCs w:val="20"/>
        </w:rPr>
        <w:t xml:space="preserve">Lea, D.R. 2001. Resolving the complexity of land mobilisation issues in Papua New Guinea. </w:t>
      </w:r>
      <w:r w:rsidRPr="00DC1614">
        <w:rPr>
          <w:i/>
          <w:sz w:val="20"/>
          <w:szCs w:val="20"/>
        </w:rPr>
        <w:t>Pacific Economic Bulletin</w:t>
      </w:r>
      <w:r w:rsidRPr="00DC1614">
        <w:rPr>
          <w:sz w:val="20"/>
          <w:szCs w:val="20"/>
        </w:rPr>
        <w:t xml:space="preserve"> 16.2: 36-52</w:t>
      </w:r>
    </w:p>
    <w:p w14:paraId="377213F7" w14:textId="77777777" w:rsidR="009F661C" w:rsidRPr="00DC1614" w:rsidRDefault="009F661C" w:rsidP="00DC1614">
      <w:pPr>
        <w:tabs>
          <w:tab w:val="left" w:pos="5812"/>
        </w:tabs>
        <w:ind w:left="284" w:hanging="284"/>
        <w:jc w:val="both"/>
        <w:rPr>
          <w:sz w:val="20"/>
          <w:szCs w:val="20"/>
          <w:lang w:val="en-US"/>
        </w:rPr>
      </w:pPr>
      <w:r w:rsidRPr="00DC1614">
        <w:rPr>
          <w:sz w:val="20"/>
          <w:szCs w:val="20"/>
          <w:lang w:val="en-US"/>
        </w:rPr>
        <w:t xml:space="preserve">Lea, D. 2001. </w:t>
      </w:r>
      <w:r w:rsidRPr="00DC1614">
        <w:rPr>
          <w:i/>
          <w:sz w:val="20"/>
          <w:szCs w:val="20"/>
          <w:lang w:val="en-US"/>
        </w:rPr>
        <w:t>Introduction to the ethics of business and development in contemporary Melanesia.</w:t>
      </w:r>
      <w:r w:rsidRPr="00DC1614">
        <w:rPr>
          <w:sz w:val="20"/>
          <w:szCs w:val="20"/>
          <w:lang w:val="en-US"/>
        </w:rPr>
        <w:t xml:space="preserve"> University of Papua New Guinea Press, Port Moresby.</w:t>
      </w:r>
    </w:p>
    <w:p w14:paraId="2E74AC38" w14:textId="77777777" w:rsidR="009F661C" w:rsidRPr="00DC1614" w:rsidRDefault="009F661C" w:rsidP="00DC1614">
      <w:pPr>
        <w:tabs>
          <w:tab w:val="left" w:pos="5812"/>
        </w:tabs>
        <w:ind w:left="284" w:hanging="284"/>
        <w:jc w:val="both"/>
        <w:rPr>
          <w:sz w:val="20"/>
          <w:szCs w:val="20"/>
          <w:lang w:eastAsia="en-AU"/>
        </w:rPr>
      </w:pPr>
      <w:r>
        <w:rPr>
          <w:sz w:val="20"/>
          <w:szCs w:val="20"/>
          <w:lang w:eastAsia="en-AU"/>
        </w:rPr>
        <w:t>—</w:t>
      </w:r>
      <w:r w:rsidRPr="00DC1614">
        <w:rPr>
          <w:sz w:val="20"/>
          <w:szCs w:val="20"/>
          <w:lang w:eastAsia="en-AU"/>
        </w:rPr>
        <w:t xml:space="preserve">. 2002a. ‘Incorporated Land Groups in Papua New Guinea: Part of the Problem or Part of the Solution?’ </w:t>
      </w:r>
      <w:r w:rsidRPr="00DC1614">
        <w:rPr>
          <w:i/>
          <w:iCs/>
          <w:sz w:val="20"/>
          <w:szCs w:val="20"/>
          <w:lang w:eastAsia="en-AU"/>
        </w:rPr>
        <w:t>Pacific Economic Bulletin</w:t>
      </w:r>
      <w:r w:rsidRPr="00DC1614">
        <w:rPr>
          <w:sz w:val="20"/>
          <w:szCs w:val="20"/>
          <w:lang w:eastAsia="en-AU"/>
        </w:rPr>
        <w:t xml:space="preserve"> 17(1): 79–90. </w:t>
      </w:r>
    </w:p>
    <w:p w14:paraId="4CFFB0BE" w14:textId="77777777" w:rsidR="009F661C" w:rsidRPr="00DC1614" w:rsidRDefault="009F661C" w:rsidP="00DC1614">
      <w:pPr>
        <w:tabs>
          <w:tab w:val="left" w:pos="5812"/>
        </w:tabs>
        <w:ind w:left="284" w:hanging="284"/>
        <w:jc w:val="both"/>
        <w:rPr>
          <w:sz w:val="20"/>
          <w:szCs w:val="20"/>
          <w:lang w:val="en-US"/>
        </w:rPr>
      </w:pPr>
      <w:r>
        <w:rPr>
          <w:sz w:val="20"/>
          <w:szCs w:val="20"/>
          <w:lang w:eastAsia="en-AU"/>
        </w:rPr>
        <w:t>—</w:t>
      </w:r>
      <w:r w:rsidRPr="00DC1614">
        <w:rPr>
          <w:sz w:val="20"/>
          <w:szCs w:val="20"/>
          <w:lang w:eastAsia="en-AU"/>
        </w:rPr>
        <w:t xml:space="preserve">. 2002b. ‘Are there Advantages to Maintaining Customary Land Tenure in Papua New Guinea?’ </w:t>
      </w:r>
      <w:r w:rsidRPr="00DC1614">
        <w:rPr>
          <w:i/>
          <w:iCs/>
          <w:sz w:val="20"/>
          <w:szCs w:val="20"/>
          <w:lang w:eastAsia="en-AU"/>
        </w:rPr>
        <w:t>Pacific Economic Bulletin</w:t>
      </w:r>
      <w:r w:rsidRPr="00DC1614">
        <w:rPr>
          <w:sz w:val="20"/>
          <w:szCs w:val="20"/>
          <w:lang w:eastAsia="en-AU"/>
        </w:rPr>
        <w:t xml:space="preserve"> 17(2): 42–55.</w:t>
      </w:r>
      <w:r w:rsidRPr="00DC1614">
        <w:rPr>
          <w:rFonts w:ascii="Arial" w:hAnsi="Arial" w:cs="Arial"/>
          <w:sz w:val="20"/>
          <w:szCs w:val="20"/>
          <w:lang w:eastAsia="en-AU"/>
        </w:rPr>
        <w:t xml:space="preserve"> </w:t>
      </w:r>
    </w:p>
    <w:p w14:paraId="082C3F0B" w14:textId="77777777" w:rsidR="009F661C" w:rsidRPr="00DC1614" w:rsidRDefault="009F661C" w:rsidP="00DC1614">
      <w:pPr>
        <w:tabs>
          <w:tab w:val="left" w:pos="5812"/>
        </w:tabs>
        <w:ind w:left="284" w:hanging="284"/>
        <w:jc w:val="both"/>
        <w:rPr>
          <w:sz w:val="20"/>
          <w:szCs w:val="20"/>
        </w:rPr>
      </w:pPr>
      <w:r>
        <w:rPr>
          <w:sz w:val="20"/>
          <w:szCs w:val="20"/>
        </w:rPr>
        <w:t>—</w:t>
      </w:r>
      <w:r w:rsidRPr="00DC1614">
        <w:rPr>
          <w:sz w:val="20"/>
          <w:szCs w:val="20"/>
        </w:rPr>
        <w:t xml:space="preserve">. 2005.  "The PNG forestry industry, incorporated entities, and environmental protection". </w:t>
      </w:r>
      <w:r w:rsidRPr="00DC1614">
        <w:rPr>
          <w:i/>
          <w:sz w:val="20"/>
          <w:szCs w:val="20"/>
        </w:rPr>
        <w:t>Pacific Economic Bulletin</w:t>
      </w:r>
      <w:r w:rsidRPr="00DC1614">
        <w:rPr>
          <w:sz w:val="20"/>
          <w:szCs w:val="20"/>
        </w:rPr>
        <w:t xml:space="preserve"> 20 (1): 168-177.</w:t>
      </w:r>
    </w:p>
    <w:p w14:paraId="247B508E" w14:textId="77777777" w:rsidR="009F661C" w:rsidRPr="00DC1614" w:rsidRDefault="009F661C" w:rsidP="00DC1614">
      <w:pPr>
        <w:tabs>
          <w:tab w:val="left" w:pos="5812"/>
        </w:tabs>
        <w:ind w:left="284" w:hanging="284"/>
        <w:jc w:val="both"/>
        <w:rPr>
          <w:sz w:val="20"/>
          <w:szCs w:val="20"/>
        </w:rPr>
      </w:pPr>
      <w:r>
        <w:rPr>
          <w:iCs/>
          <w:sz w:val="20"/>
          <w:szCs w:val="20"/>
        </w:rPr>
        <w:lastRenderedPageBreak/>
        <w:t>—</w:t>
      </w:r>
      <w:r w:rsidRPr="00DC1614">
        <w:rPr>
          <w:iCs/>
          <w:sz w:val="20"/>
          <w:szCs w:val="20"/>
        </w:rPr>
        <w:t xml:space="preserve">. 2008. </w:t>
      </w:r>
      <w:r w:rsidRPr="00DC1614">
        <w:rPr>
          <w:i/>
          <w:iCs/>
          <w:sz w:val="20"/>
          <w:szCs w:val="20"/>
        </w:rPr>
        <w:t xml:space="preserve">Property Rights, Indigenous People and the Developing World: Issues from Aboriginal Entitlement to Intellectual Ownership Rights.  </w:t>
      </w:r>
      <w:r w:rsidRPr="00DC1614">
        <w:rPr>
          <w:sz w:val="20"/>
          <w:szCs w:val="20"/>
        </w:rPr>
        <w:t>Martinus Nijhoff Publishers, Amsterdam, Netherlands  (An Imprint of Brill).</w:t>
      </w:r>
    </w:p>
    <w:p w14:paraId="29CE1CF9" w14:textId="77777777" w:rsidR="009F661C" w:rsidRPr="00DC1614" w:rsidRDefault="009F661C" w:rsidP="00DC1614">
      <w:pPr>
        <w:tabs>
          <w:tab w:val="left" w:pos="5812"/>
        </w:tabs>
        <w:ind w:left="284" w:hanging="284"/>
        <w:jc w:val="both"/>
        <w:rPr>
          <w:sz w:val="20"/>
          <w:szCs w:val="20"/>
        </w:rPr>
      </w:pPr>
      <w:r>
        <w:rPr>
          <w:sz w:val="20"/>
          <w:szCs w:val="20"/>
          <w:lang w:val="en-US"/>
        </w:rPr>
        <w:t>—.</w:t>
      </w:r>
      <w:r w:rsidRPr="00DC1614">
        <w:rPr>
          <w:sz w:val="20"/>
          <w:szCs w:val="20"/>
          <w:lang w:val="en-US"/>
        </w:rPr>
        <w:t xml:space="preserve"> 2009. </w:t>
      </w:r>
      <w:r w:rsidRPr="00DC1614">
        <w:rPr>
          <w:sz w:val="20"/>
          <w:szCs w:val="20"/>
        </w:rPr>
        <w:t xml:space="preserve">New Initiatives in the Development of Customary Land: Group versus Individual Interests. </w:t>
      </w:r>
      <w:r w:rsidRPr="00DC1614">
        <w:rPr>
          <w:i/>
          <w:iCs/>
          <w:sz w:val="20"/>
          <w:szCs w:val="20"/>
        </w:rPr>
        <w:t>Pacific Economic Bulletin, 24</w:t>
      </w:r>
      <w:r w:rsidRPr="00DC1614">
        <w:rPr>
          <w:sz w:val="20"/>
          <w:szCs w:val="20"/>
        </w:rPr>
        <w:t>(1), 49-64.</w:t>
      </w:r>
    </w:p>
    <w:p w14:paraId="633A3793" w14:textId="77777777" w:rsidR="009F661C" w:rsidRPr="00DC1614" w:rsidRDefault="009F661C" w:rsidP="00DC1614">
      <w:pPr>
        <w:tabs>
          <w:tab w:val="left" w:pos="5812"/>
        </w:tabs>
        <w:ind w:left="284" w:hanging="284"/>
        <w:jc w:val="both"/>
        <w:rPr>
          <w:sz w:val="20"/>
          <w:szCs w:val="20"/>
        </w:rPr>
      </w:pPr>
      <w:r w:rsidRPr="00DC1614">
        <w:rPr>
          <w:sz w:val="20"/>
          <w:szCs w:val="20"/>
        </w:rPr>
        <w:t xml:space="preserve">Locke, J. 1990. </w:t>
      </w:r>
      <w:r w:rsidRPr="00DC1614">
        <w:rPr>
          <w:i/>
          <w:sz w:val="20"/>
          <w:szCs w:val="20"/>
        </w:rPr>
        <w:t>Second Treatise of Government</w:t>
      </w:r>
      <w:r w:rsidRPr="00DC1614">
        <w:rPr>
          <w:sz w:val="20"/>
          <w:szCs w:val="20"/>
        </w:rPr>
        <w:t xml:space="preserve"> (1689). Dent, London.</w:t>
      </w:r>
    </w:p>
    <w:p w14:paraId="4B72E84E" w14:textId="77777777" w:rsidR="009F661C" w:rsidRPr="00DC1614" w:rsidRDefault="009F661C" w:rsidP="00DC1614">
      <w:pPr>
        <w:tabs>
          <w:tab w:val="left" w:pos="5812"/>
        </w:tabs>
        <w:ind w:left="284" w:hanging="284"/>
        <w:jc w:val="both"/>
        <w:rPr>
          <w:sz w:val="20"/>
          <w:szCs w:val="20"/>
        </w:rPr>
      </w:pPr>
      <w:r w:rsidRPr="00DC1614">
        <w:rPr>
          <w:sz w:val="20"/>
          <w:szCs w:val="20"/>
        </w:rPr>
        <w:t xml:space="preserve">Mabro, R. 1974. </w:t>
      </w:r>
      <w:r w:rsidRPr="00DC1614">
        <w:rPr>
          <w:i/>
          <w:sz w:val="20"/>
          <w:szCs w:val="20"/>
        </w:rPr>
        <w:t>The Economy of Egypt 1952-1972</w:t>
      </w:r>
      <w:r w:rsidRPr="00DC1614">
        <w:rPr>
          <w:sz w:val="20"/>
          <w:szCs w:val="20"/>
        </w:rPr>
        <w:t xml:space="preserve">. Clarendon Press, Oxford.   </w:t>
      </w:r>
    </w:p>
    <w:p w14:paraId="1246D360" w14:textId="77777777" w:rsidR="009F661C" w:rsidRPr="00DC1614" w:rsidRDefault="009F661C" w:rsidP="00DC1614">
      <w:pPr>
        <w:tabs>
          <w:tab w:val="left" w:pos="5812"/>
        </w:tabs>
        <w:ind w:left="284" w:hanging="284"/>
        <w:jc w:val="both"/>
        <w:rPr>
          <w:sz w:val="20"/>
          <w:szCs w:val="20"/>
        </w:rPr>
      </w:pPr>
      <w:r w:rsidRPr="00DC1614">
        <w:rPr>
          <w:sz w:val="20"/>
          <w:szCs w:val="20"/>
        </w:rPr>
        <w:t>MacWilliam, S. 2008. Placing the Planters. European Settlers in late colonial Papua New Guinea.</w:t>
      </w:r>
      <w:r w:rsidRPr="00DC1614" w:rsidDel="0077204E">
        <w:rPr>
          <w:sz w:val="20"/>
          <w:szCs w:val="20"/>
        </w:rPr>
        <w:t xml:space="preserve"> </w:t>
      </w:r>
      <w:r w:rsidRPr="00DC1614">
        <w:rPr>
          <w:sz w:val="20"/>
          <w:szCs w:val="20"/>
        </w:rPr>
        <w:t>Crawford School (mimeo), ANU, Canberra.</w:t>
      </w:r>
    </w:p>
    <w:p w14:paraId="4227D7F3" w14:textId="77777777" w:rsidR="009F661C" w:rsidRPr="00DC1614" w:rsidRDefault="009F661C" w:rsidP="00DC1614">
      <w:pPr>
        <w:pStyle w:val="FootnoteText"/>
        <w:tabs>
          <w:tab w:val="left" w:pos="5812"/>
        </w:tabs>
        <w:ind w:left="284" w:hanging="284"/>
        <w:jc w:val="both"/>
      </w:pPr>
      <w:r w:rsidRPr="00DC1614">
        <w:t xml:space="preserve">Maladina, M. 2003. </w:t>
      </w:r>
      <w:r w:rsidRPr="00DC1614">
        <w:rPr>
          <w:i/>
          <w:iCs/>
        </w:rPr>
        <w:t>Post-Courier</w:t>
      </w:r>
      <w:r w:rsidRPr="00DC1614">
        <w:t xml:space="preserve"> (report of speech, January 30 2003).</w:t>
      </w:r>
    </w:p>
    <w:p w14:paraId="0D946976" w14:textId="77777777" w:rsidR="009F661C" w:rsidRPr="00DC1614" w:rsidRDefault="009F661C" w:rsidP="00DC1614">
      <w:pPr>
        <w:tabs>
          <w:tab w:val="left" w:pos="5812"/>
        </w:tabs>
        <w:ind w:left="284" w:hanging="284"/>
        <w:jc w:val="both"/>
        <w:rPr>
          <w:sz w:val="20"/>
          <w:szCs w:val="20"/>
        </w:rPr>
      </w:pPr>
      <w:r w:rsidRPr="00DC1614">
        <w:rPr>
          <w:sz w:val="20"/>
          <w:szCs w:val="20"/>
        </w:rPr>
        <w:t xml:space="preserve">Malcolm D.G. Jr. and J. Skog (eds) </w:t>
      </w:r>
      <w:r w:rsidRPr="00DC1614">
        <w:rPr>
          <w:i/>
          <w:sz w:val="20"/>
          <w:szCs w:val="20"/>
        </w:rPr>
        <w:t>Land Culture and Development in the Aquatic Continent</w:t>
      </w:r>
      <w:r w:rsidRPr="00DC1614">
        <w:rPr>
          <w:sz w:val="20"/>
          <w:szCs w:val="20"/>
        </w:rPr>
        <w:t xml:space="preserve">, Kapallua Pacific Center, Kihei, Hawaii.  </w:t>
      </w:r>
    </w:p>
    <w:p w14:paraId="119E81BA"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sidRPr="00DC1614">
        <w:rPr>
          <w:rFonts w:ascii="Times New Roman" w:hAnsi="Times New Roman" w:cs="Times New Roman"/>
          <w:color w:val="auto"/>
          <w:sz w:val="20"/>
          <w:szCs w:val="20"/>
        </w:rPr>
        <w:t xml:space="preserve">Malinowski, B. 1961 </w:t>
      </w:r>
      <w:r w:rsidRPr="00DC1614">
        <w:rPr>
          <w:rFonts w:ascii="Times New Roman" w:hAnsi="Times New Roman" w:cs="Times New Roman"/>
          <w:i/>
          <w:iCs/>
          <w:color w:val="auto"/>
          <w:sz w:val="20"/>
          <w:szCs w:val="20"/>
        </w:rPr>
        <w:t>Argonauts of the Western Pacific : An Account of Native Enterprise and Adventure in the Archipelagoes of Melanesian New Guinea.</w:t>
      </w:r>
      <w:r w:rsidRPr="00DC1614">
        <w:rPr>
          <w:rFonts w:ascii="Times New Roman" w:hAnsi="Times New Roman" w:cs="Times New Roman"/>
          <w:color w:val="auto"/>
          <w:sz w:val="20"/>
          <w:szCs w:val="20"/>
        </w:rPr>
        <w:t xml:space="preserve"> E.P.Dutton, New York. </w:t>
      </w:r>
    </w:p>
    <w:p w14:paraId="08E37658" w14:textId="77777777" w:rsidR="009F661C" w:rsidRPr="00DC1614" w:rsidRDefault="009F661C" w:rsidP="00DC1614">
      <w:pPr>
        <w:tabs>
          <w:tab w:val="left" w:pos="5812"/>
        </w:tabs>
        <w:ind w:left="284" w:hanging="284"/>
        <w:jc w:val="both"/>
        <w:rPr>
          <w:sz w:val="20"/>
          <w:szCs w:val="20"/>
          <w:lang w:val="en-US"/>
        </w:rPr>
      </w:pPr>
      <w:r w:rsidRPr="00DC1614">
        <w:rPr>
          <w:sz w:val="20"/>
          <w:szCs w:val="20"/>
        </w:rPr>
        <w:t xml:space="preserve">Mantovani, E. 1987. Traditional Values and Ethics, in Stratigos and Hughes (eds), </w:t>
      </w:r>
      <w:r w:rsidRPr="00DC1614">
        <w:rPr>
          <w:sz w:val="20"/>
          <w:szCs w:val="20"/>
          <w:lang w:val="en-US"/>
        </w:rPr>
        <w:t>102–111.</w:t>
      </w:r>
    </w:p>
    <w:p w14:paraId="193FC32C"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sidRPr="00DC1614">
        <w:rPr>
          <w:rFonts w:ascii="Times New Roman" w:hAnsi="Times New Roman" w:cs="Times New Roman"/>
          <w:color w:val="auto"/>
          <w:sz w:val="20"/>
          <w:szCs w:val="20"/>
        </w:rPr>
        <w:t xml:space="preserve">McIntyre, A. 1981. </w:t>
      </w:r>
      <w:r w:rsidRPr="00DC1614">
        <w:rPr>
          <w:rFonts w:ascii="Times New Roman" w:hAnsi="Times New Roman" w:cs="Times New Roman"/>
          <w:i/>
          <w:iCs/>
          <w:color w:val="auto"/>
          <w:sz w:val="20"/>
          <w:szCs w:val="20"/>
        </w:rPr>
        <w:t xml:space="preserve">After Virtue, </w:t>
      </w:r>
      <w:r w:rsidRPr="00DC1614">
        <w:rPr>
          <w:rFonts w:ascii="Times New Roman" w:hAnsi="Times New Roman" w:cs="Times New Roman"/>
          <w:color w:val="auto"/>
          <w:sz w:val="20"/>
          <w:szCs w:val="20"/>
        </w:rPr>
        <w:t>Notre Dame Press, Notre Dame.</w:t>
      </w:r>
    </w:p>
    <w:p w14:paraId="3E2F211D"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Pr>
          <w:rFonts w:ascii="Times New Roman" w:hAnsi="Times New Roman" w:cs="Times New Roman"/>
          <w:color w:val="auto"/>
          <w:sz w:val="20"/>
          <w:szCs w:val="20"/>
        </w:rPr>
        <w:t>—</w:t>
      </w:r>
      <w:r w:rsidRPr="00DC1614">
        <w:rPr>
          <w:rFonts w:ascii="Times New Roman" w:hAnsi="Times New Roman" w:cs="Times New Roman"/>
          <w:color w:val="auto"/>
          <w:sz w:val="20"/>
          <w:szCs w:val="20"/>
        </w:rPr>
        <w:t xml:space="preserve">. 1988.  </w:t>
      </w:r>
      <w:r w:rsidRPr="00DC1614">
        <w:rPr>
          <w:rFonts w:ascii="Times New Roman" w:hAnsi="Times New Roman" w:cs="Times New Roman"/>
          <w:i/>
          <w:color w:val="auto"/>
          <w:sz w:val="20"/>
          <w:szCs w:val="20"/>
        </w:rPr>
        <w:t xml:space="preserve">Whose </w:t>
      </w:r>
      <w:r w:rsidRPr="00DC1614">
        <w:rPr>
          <w:rFonts w:ascii="Times New Roman" w:hAnsi="Times New Roman" w:cs="Times New Roman"/>
          <w:i/>
          <w:iCs/>
          <w:color w:val="auto"/>
          <w:sz w:val="20"/>
          <w:szCs w:val="20"/>
        </w:rPr>
        <w:t xml:space="preserve">justice? Which Rationality? </w:t>
      </w:r>
      <w:r w:rsidRPr="00DC1614">
        <w:rPr>
          <w:rFonts w:ascii="Times New Roman" w:hAnsi="Times New Roman" w:cs="Times New Roman"/>
          <w:color w:val="auto"/>
          <w:sz w:val="20"/>
          <w:szCs w:val="20"/>
        </w:rPr>
        <w:t xml:space="preserve">Notre Dame Press, Notre Dame. </w:t>
      </w:r>
    </w:p>
    <w:p w14:paraId="31161CDE"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sidRPr="00DC1614">
        <w:rPr>
          <w:rFonts w:ascii="Times New Roman" w:hAnsi="Times New Roman" w:cs="Times New Roman"/>
          <w:color w:val="auto"/>
          <w:sz w:val="20"/>
          <w:szCs w:val="20"/>
        </w:rPr>
        <w:t xml:space="preserve">May, R.J., and M. Spriggs (eds.) 1990. </w:t>
      </w:r>
      <w:r w:rsidRPr="00DC1614">
        <w:rPr>
          <w:rFonts w:ascii="Times New Roman" w:hAnsi="Times New Roman" w:cs="Times New Roman"/>
          <w:i/>
          <w:color w:val="auto"/>
          <w:sz w:val="20"/>
          <w:szCs w:val="20"/>
        </w:rPr>
        <w:t>The Bougainville Crisis</w:t>
      </w:r>
      <w:r w:rsidRPr="00DC1614">
        <w:rPr>
          <w:rFonts w:ascii="Times New Roman" w:hAnsi="Times New Roman" w:cs="Times New Roman"/>
          <w:color w:val="auto"/>
          <w:sz w:val="20"/>
          <w:szCs w:val="20"/>
        </w:rPr>
        <w:t>. Crawford House, Bathurst.</w:t>
      </w:r>
    </w:p>
    <w:p w14:paraId="385E477E" w14:textId="77777777" w:rsidR="009F661C" w:rsidRPr="00DC1614" w:rsidRDefault="009F661C" w:rsidP="00DC1614">
      <w:pPr>
        <w:tabs>
          <w:tab w:val="left" w:pos="5812"/>
        </w:tabs>
        <w:ind w:left="284" w:hanging="284"/>
        <w:jc w:val="both"/>
        <w:rPr>
          <w:sz w:val="20"/>
          <w:szCs w:val="20"/>
          <w:lang w:val="en-US"/>
        </w:rPr>
      </w:pPr>
      <w:r w:rsidRPr="00DC1614">
        <w:rPr>
          <w:sz w:val="20"/>
          <w:szCs w:val="20"/>
          <w:lang w:val="en-US"/>
        </w:rPr>
        <w:t xml:space="preserve">Millett, J. (ed.) 1988. </w:t>
      </w:r>
      <w:r w:rsidRPr="00DC1614">
        <w:rPr>
          <w:i/>
          <w:sz w:val="20"/>
          <w:szCs w:val="20"/>
          <w:lang w:val="en-US"/>
        </w:rPr>
        <w:t>INA Forestry Seminar, November 1988</w:t>
      </w:r>
      <w:r w:rsidRPr="00DC1614">
        <w:rPr>
          <w:sz w:val="20"/>
          <w:szCs w:val="20"/>
          <w:lang w:val="en-US"/>
        </w:rPr>
        <w:t>. INA, Port Moresby.</w:t>
      </w:r>
    </w:p>
    <w:p w14:paraId="13E97442" w14:textId="77777777" w:rsidR="009F661C" w:rsidRPr="00DC1614" w:rsidRDefault="009F661C" w:rsidP="00DC1614">
      <w:pPr>
        <w:tabs>
          <w:tab w:val="left" w:pos="5812"/>
        </w:tabs>
        <w:ind w:left="284" w:hanging="284"/>
        <w:jc w:val="both"/>
        <w:rPr>
          <w:sz w:val="20"/>
          <w:szCs w:val="20"/>
        </w:rPr>
      </w:pPr>
      <w:r>
        <w:rPr>
          <w:sz w:val="20"/>
          <w:szCs w:val="20"/>
          <w:lang w:val="en-US"/>
        </w:rPr>
        <w:t>—</w:t>
      </w:r>
      <w:r w:rsidRPr="00DC1614">
        <w:rPr>
          <w:sz w:val="20"/>
          <w:szCs w:val="20"/>
          <w:lang w:val="en-US"/>
        </w:rPr>
        <w:t xml:space="preserve">. (ed.) 1990. </w:t>
      </w:r>
      <w:r w:rsidRPr="00DC1614">
        <w:rPr>
          <w:i/>
          <w:iCs/>
          <w:sz w:val="20"/>
          <w:szCs w:val="20"/>
        </w:rPr>
        <w:t>Log Export Processing - policies revisited. The risk evaluation</w:t>
      </w:r>
      <w:r w:rsidRPr="00DC1614">
        <w:rPr>
          <w:sz w:val="20"/>
          <w:szCs w:val="20"/>
        </w:rPr>
        <w:t>. Institute of National Affairs, Port Moresby.</w:t>
      </w:r>
    </w:p>
    <w:p w14:paraId="7E1DC663" w14:textId="77777777" w:rsidR="009F661C" w:rsidRPr="00DC1614" w:rsidRDefault="009F661C" w:rsidP="00DC1614">
      <w:pPr>
        <w:pStyle w:val="FootnoteText"/>
        <w:tabs>
          <w:tab w:val="left" w:pos="5812"/>
        </w:tabs>
        <w:ind w:left="284" w:hanging="284"/>
        <w:jc w:val="both"/>
      </w:pPr>
      <w:r w:rsidRPr="00DC1614">
        <w:t>Mingay, G.E. (ed.) 1989. The Agrarian History of England and Wales, VI: 1750-1850. CUP, Cambridge.</w:t>
      </w:r>
    </w:p>
    <w:p w14:paraId="5750CFEE" w14:textId="77777777" w:rsidR="009F661C" w:rsidRPr="00DC1614" w:rsidRDefault="009F661C" w:rsidP="00DC1614">
      <w:pPr>
        <w:pStyle w:val="FootnoteText"/>
        <w:tabs>
          <w:tab w:val="left" w:pos="5812"/>
        </w:tabs>
        <w:ind w:left="284" w:hanging="284"/>
        <w:jc w:val="both"/>
      </w:pPr>
      <w:r w:rsidRPr="00DC1614">
        <w:t xml:space="preserve">Montagu, S. (1997). Process and outcome in the Gogol, in C. Filer (ed.) 1997. </w:t>
      </w:r>
    </w:p>
    <w:p w14:paraId="5245C2FD" w14:textId="77777777" w:rsidR="009F661C" w:rsidRPr="00DC1614" w:rsidRDefault="009F661C" w:rsidP="00DC1614">
      <w:pPr>
        <w:pStyle w:val="FootnoteText"/>
        <w:tabs>
          <w:tab w:val="left" w:pos="5812"/>
        </w:tabs>
        <w:ind w:left="284" w:hanging="284"/>
        <w:jc w:val="both"/>
      </w:pPr>
      <w:r w:rsidRPr="00DC1614">
        <w:rPr>
          <w:lang w:val="en-US"/>
        </w:rPr>
        <w:t>Muntwiler, M. and R.M. Shelton 2001. Survey of nutrition and protein intake in rural families in Eastern Highlands Province, in Bourke et al. (eds.) 2001.</w:t>
      </w:r>
    </w:p>
    <w:p w14:paraId="59564278"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sidRPr="00DC1614">
        <w:rPr>
          <w:rFonts w:ascii="Times New Roman" w:hAnsi="Times New Roman" w:cs="Times New Roman"/>
          <w:color w:val="auto"/>
          <w:sz w:val="20"/>
          <w:szCs w:val="20"/>
        </w:rPr>
        <w:t xml:space="preserve">Narokobi, B. (1980) </w:t>
      </w:r>
      <w:r w:rsidRPr="00DC1614">
        <w:rPr>
          <w:rFonts w:ascii="Times New Roman" w:hAnsi="Times New Roman" w:cs="Times New Roman"/>
          <w:i/>
          <w:iCs/>
          <w:color w:val="auto"/>
          <w:sz w:val="20"/>
          <w:szCs w:val="20"/>
        </w:rPr>
        <w:t xml:space="preserve">The Melanesian Way. </w:t>
      </w:r>
      <w:r w:rsidRPr="00DC1614">
        <w:rPr>
          <w:rFonts w:ascii="Times New Roman" w:hAnsi="Times New Roman" w:cs="Times New Roman"/>
          <w:color w:val="auto"/>
          <w:sz w:val="20"/>
          <w:szCs w:val="20"/>
        </w:rPr>
        <w:t>Institute of Pacific Studies, Suva.</w:t>
      </w:r>
    </w:p>
    <w:p w14:paraId="5D40D846" w14:textId="77777777" w:rsidR="009F661C" w:rsidRPr="00DC1614" w:rsidRDefault="009F661C" w:rsidP="00DC1614">
      <w:pPr>
        <w:tabs>
          <w:tab w:val="left" w:pos="5812"/>
        </w:tabs>
        <w:autoSpaceDE w:val="0"/>
        <w:autoSpaceDN w:val="0"/>
        <w:adjustRightInd w:val="0"/>
        <w:ind w:left="284" w:hanging="284"/>
        <w:jc w:val="both"/>
        <w:rPr>
          <w:i/>
          <w:iCs/>
          <w:sz w:val="20"/>
          <w:szCs w:val="20"/>
          <w:lang w:val="en-US"/>
        </w:rPr>
      </w:pPr>
      <w:r w:rsidRPr="00DC1614">
        <w:rPr>
          <w:iCs/>
          <w:sz w:val="20"/>
          <w:szCs w:val="20"/>
          <w:lang w:val="en-US"/>
        </w:rPr>
        <w:t>National Land Development Program, 2007</w:t>
      </w:r>
      <w:r w:rsidRPr="00DC1614">
        <w:rPr>
          <w:i/>
          <w:iCs/>
          <w:sz w:val="20"/>
          <w:szCs w:val="20"/>
          <w:lang w:val="en-US"/>
        </w:rPr>
        <w:t xml:space="preserve">. </w:t>
      </w:r>
      <w:r w:rsidRPr="00DC1614">
        <w:rPr>
          <w:i/>
          <w:sz w:val="20"/>
          <w:szCs w:val="20"/>
        </w:rPr>
        <w:t xml:space="preserve">National Land Development Program Concept Design Document. </w:t>
      </w:r>
      <w:r w:rsidRPr="00DC1614">
        <w:rPr>
          <w:sz w:val="20"/>
          <w:szCs w:val="20"/>
        </w:rPr>
        <w:t>Port Moresby.</w:t>
      </w:r>
    </w:p>
    <w:p w14:paraId="1BB5D7BD" w14:textId="77777777" w:rsidR="009F661C" w:rsidRPr="00DC1614" w:rsidRDefault="009F661C" w:rsidP="00DC1614">
      <w:pPr>
        <w:pStyle w:val="EndnoteText"/>
        <w:tabs>
          <w:tab w:val="left" w:pos="5812"/>
        </w:tabs>
        <w:ind w:left="284" w:hanging="284"/>
        <w:jc w:val="both"/>
      </w:pPr>
      <w:r w:rsidRPr="00DC1614">
        <w:lastRenderedPageBreak/>
        <w:t xml:space="preserve">National Land Development Taskforce, 2007.  </w:t>
      </w:r>
      <w:r w:rsidRPr="00DC1614">
        <w:rPr>
          <w:i/>
        </w:rPr>
        <w:t>National Land Development Taskforce Report:  Land Administration, Land Dispute Settlement, and Customary land Development,</w:t>
      </w:r>
      <w:r w:rsidRPr="00DC1614">
        <w:t xml:space="preserve"> NRI,  Port Moresby.  </w:t>
      </w:r>
    </w:p>
    <w:p w14:paraId="2A222D20" w14:textId="77777777" w:rsidR="009F661C" w:rsidRPr="00DC1614" w:rsidRDefault="009F661C" w:rsidP="00DC1614">
      <w:pPr>
        <w:pStyle w:val="FootnoteText"/>
        <w:tabs>
          <w:tab w:val="left" w:pos="5812"/>
        </w:tabs>
        <w:ind w:left="284" w:hanging="284"/>
        <w:jc w:val="both"/>
      </w:pPr>
      <w:r w:rsidRPr="00DC1614">
        <w:t xml:space="preserve">Nonggor, J. 1995. The development of an "Indigenous Jurisprudence" in Papua New Guinea: the past record and future prospects, in J. Aleck and J. Rannells (eds) 1995. </w:t>
      </w:r>
    </w:p>
    <w:p w14:paraId="7C29F8B1"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sidRPr="00DC1614">
        <w:rPr>
          <w:rFonts w:ascii="Times New Roman" w:hAnsi="Times New Roman" w:cs="Times New Roman"/>
          <w:color w:val="auto"/>
          <w:sz w:val="20"/>
          <w:szCs w:val="20"/>
        </w:rPr>
        <w:t xml:space="preserve">Nozick, R. 1974. </w:t>
      </w:r>
      <w:r w:rsidRPr="00DC1614">
        <w:rPr>
          <w:rFonts w:ascii="Times New Roman" w:hAnsi="Times New Roman" w:cs="Times New Roman"/>
          <w:i/>
          <w:color w:val="auto"/>
          <w:sz w:val="20"/>
          <w:szCs w:val="20"/>
        </w:rPr>
        <w:t>Anarchy, State and Utopia</w:t>
      </w:r>
      <w:r w:rsidRPr="00DC1614">
        <w:rPr>
          <w:rFonts w:ascii="Times New Roman" w:hAnsi="Times New Roman" w:cs="Times New Roman"/>
          <w:color w:val="auto"/>
          <w:sz w:val="20"/>
          <w:szCs w:val="20"/>
        </w:rPr>
        <w:t>. Basic Books, New York.</w:t>
      </w:r>
      <w:r w:rsidRPr="00DC1614">
        <w:rPr>
          <w:rFonts w:ascii="Times New Roman" w:hAnsi="Times New Roman" w:cs="Times New Roman"/>
          <w:i/>
          <w:color w:val="auto"/>
          <w:sz w:val="20"/>
          <w:szCs w:val="20"/>
        </w:rPr>
        <w:t xml:space="preserve"> </w:t>
      </w:r>
    </w:p>
    <w:p w14:paraId="713696DC" w14:textId="77777777" w:rsidR="009F661C" w:rsidRPr="00DC1614" w:rsidRDefault="009F661C" w:rsidP="00DC1614">
      <w:pPr>
        <w:pStyle w:val="FootnoteText"/>
        <w:tabs>
          <w:tab w:val="left" w:pos="5812"/>
        </w:tabs>
        <w:ind w:left="284" w:hanging="284"/>
        <w:jc w:val="both"/>
      </w:pPr>
      <w:r w:rsidRPr="00DC1614">
        <w:t xml:space="preserve">Papua New Guinea. </w:t>
      </w:r>
      <w:r w:rsidRPr="00DC1614">
        <w:rPr>
          <w:i/>
        </w:rPr>
        <w:t>Law Reports, (passim).</w:t>
      </w:r>
      <w:r w:rsidRPr="00DC1614">
        <w:t xml:space="preserve"> </w:t>
      </w:r>
    </w:p>
    <w:p w14:paraId="564659CD" w14:textId="77777777" w:rsidR="009F661C" w:rsidRPr="00DC1614" w:rsidRDefault="009F661C" w:rsidP="00DC1614">
      <w:pPr>
        <w:pStyle w:val="FootnoteText"/>
        <w:tabs>
          <w:tab w:val="left" w:pos="5812"/>
        </w:tabs>
        <w:ind w:left="284" w:hanging="284"/>
        <w:jc w:val="both"/>
      </w:pPr>
      <w:r w:rsidRPr="00DC1614">
        <w:t>Ploeg, A. 1999. Land tenure and the Commercialisation of Agriculture in Papua New Guinea, in van Meijl and Benda-Backman (eds.), 1999, 165-185</w:t>
      </w:r>
    </w:p>
    <w:p w14:paraId="63EFEC41" w14:textId="77777777" w:rsidR="009F661C" w:rsidRPr="00DC1614" w:rsidRDefault="009F661C" w:rsidP="00DC1614">
      <w:pPr>
        <w:pStyle w:val="FootnoteText"/>
        <w:tabs>
          <w:tab w:val="left" w:pos="5812"/>
        </w:tabs>
        <w:ind w:left="284" w:hanging="284"/>
        <w:jc w:val="both"/>
      </w:pPr>
      <w:r w:rsidRPr="00DC1614">
        <w:t>Power, A. 1998. “Resources development in the East Sepik Province,” in Thirlwall and Hughes (eds.).</w:t>
      </w:r>
    </w:p>
    <w:p w14:paraId="06477134" w14:textId="77777777" w:rsidR="009F661C" w:rsidRPr="00DC1614" w:rsidRDefault="009F661C" w:rsidP="00DC1614">
      <w:pPr>
        <w:pStyle w:val="FootnoteText"/>
        <w:tabs>
          <w:tab w:val="left" w:pos="5812"/>
        </w:tabs>
        <w:ind w:left="284" w:hanging="284"/>
        <w:jc w:val="both"/>
        <w:rPr>
          <w:lang w:val="en-US"/>
        </w:rPr>
      </w:pPr>
      <w:r>
        <w:rPr>
          <w:lang w:val="en-US"/>
        </w:rPr>
        <w:t>—</w:t>
      </w:r>
      <w:r w:rsidRPr="00DC1614">
        <w:rPr>
          <w:lang w:val="en-US"/>
        </w:rPr>
        <w:t xml:space="preserve">. 2001. State Neglect a Major Factor. </w:t>
      </w:r>
      <w:r w:rsidRPr="00DC1614">
        <w:rPr>
          <w:i/>
          <w:lang w:val="en-US"/>
        </w:rPr>
        <w:t>The  National,</w:t>
      </w:r>
      <w:r w:rsidRPr="00DC1614">
        <w:rPr>
          <w:lang w:val="en-US"/>
        </w:rPr>
        <w:t xml:space="preserve"> May 19 2001</w:t>
      </w:r>
      <w:r w:rsidRPr="00DC1614">
        <w:rPr>
          <w:i/>
          <w:lang w:val="en-US"/>
        </w:rPr>
        <w:t xml:space="preserve">, </w:t>
      </w:r>
      <w:r w:rsidRPr="00DC1614">
        <w:rPr>
          <w:lang w:val="en-US"/>
        </w:rPr>
        <w:t xml:space="preserve">Port Moresby, </w:t>
      </w:r>
    </w:p>
    <w:p w14:paraId="7DCE8777" w14:textId="77777777" w:rsidR="009F661C" w:rsidRPr="00DC1614" w:rsidRDefault="009F661C" w:rsidP="00DC1614">
      <w:pPr>
        <w:pStyle w:val="EndnoteText"/>
        <w:tabs>
          <w:tab w:val="left" w:pos="5812"/>
        </w:tabs>
        <w:ind w:left="284" w:hanging="284"/>
        <w:jc w:val="both"/>
        <w:rPr>
          <w:i/>
        </w:rPr>
      </w:pPr>
      <w:r w:rsidRPr="00DC1614">
        <w:t xml:space="preserve">Power, A. P. 2007. Case Study One: Incorporated Land Groups in Papua New Guinea, in AusAID  ed., </w:t>
      </w:r>
      <w:r w:rsidRPr="00DC1614">
        <w:rPr>
          <w:i/>
        </w:rPr>
        <w:t xml:space="preserve">Making Land Work: Volume Two. Case Studies on customary land and development in the Pacific, </w:t>
      </w:r>
      <w:r w:rsidRPr="00DC1614">
        <w:t xml:space="preserve">AusAID, Canberra: </w:t>
      </w:r>
      <w:r w:rsidRPr="00DC1614">
        <w:rPr>
          <w:i/>
        </w:rPr>
        <w:t xml:space="preserve"> </w:t>
      </w:r>
      <w:r w:rsidRPr="00DC1614">
        <w:t>6-19</w:t>
      </w:r>
    </w:p>
    <w:p w14:paraId="772FED8B" w14:textId="77777777" w:rsidR="009F661C" w:rsidRPr="00DC1614" w:rsidRDefault="009F661C" w:rsidP="00DC1614">
      <w:pPr>
        <w:pStyle w:val="EndnoteText"/>
        <w:tabs>
          <w:tab w:val="left" w:pos="5812"/>
        </w:tabs>
        <w:ind w:left="284" w:hanging="284"/>
        <w:jc w:val="both"/>
      </w:pPr>
      <w:r w:rsidRPr="00DC1614">
        <w:t xml:space="preserve">Purdy, J., 2005. “A Freedom-Promoting Approach to Property: A Renewed Tradition for New Debates,” </w:t>
      </w:r>
      <w:r w:rsidRPr="00DC1614">
        <w:rPr>
          <w:i/>
          <w:iCs/>
        </w:rPr>
        <w:t>University of Chicago Law Review</w:t>
      </w:r>
      <w:r w:rsidRPr="00DC1614">
        <w:t xml:space="preserve"> 72, No. 4: 1237-1298.</w:t>
      </w:r>
    </w:p>
    <w:p w14:paraId="04B8DD85" w14:textId="77777777" w:rsidR="009F661C" w:rsidRPr="00DC1614" w:rsidRDefault="009F661C" w:rsidP="00DC1614">
      <w:pPr>
        <w:pStyle w:val="EndnoteText"/>
        <w:tabs>
          <w:tab w:val="left" w:pos="5812"/>
        </w:tabs>
        <w:ind w:left="284" w:hanging="284"/>
        <w:jc w:val="both"/>
      </w:pPr>
      <w:r w:rsidRPr="00DC1614">
        <w:rPr>
          <w:iCs/>
        </w:rPr>
        <w:t>Rawls, J. 1971.</w:t>
      </w:r>
      <w:r w:rsidRPr="00DC1614">
        <w:rPr>
          <w:i/>
          <w:iCs/>
        </w:rPr>
        <w:t xml:space="preserve"> A Theory of Justice</w:t>
      </w:r>
      <w:r w:rsidRPr="00DC1614">
        <w:t>.  Belknap Press, Cambridge MA.</w:t>
      </w:r>
    </w:p>
    <w:p w14:paraId="4316D9B5" w14:textId="77777777" w:rsidR="009F661C" w:rsidRPr="00DC1614" w:rsidRDefault="009F661C" w:rsidP="00DC1614">
      <w:pPr>
        <w:pStyle w:val="FootnoteText"/>
        <w:tabs>
          <w:tab w:val="left" w:pos="5812"/>
        </w:tabs>
        <w:ind w:left="284" w:hanging="284"/>
        <w:jc w:val="both"/>
        <w:rPr>
          <w:lang w:val="en-US"/>
        </w:rPr>
      </w:pPr>
      <w:r w:rsidRPr="00DC1614">
        <w:rPr>
          <w:lang w:val="en-US"/>
        </w:rPr>
        <w:t xml:space="preserve">Reichart J. and P. Werhane (eds) 2000. </w:t>
      </w:r>
      <w:r w:rsidRPr="00DC1614">
        <w:rPr>
          <w:i/>
          <w:lang w:val="en-US"/>
        </w:rPr>
        <w:t>Environmental Challenges to Business,</w:t>
      </w:r>
      <w:r w:rsidRPr="00DC1614">
        <w:rPr>
          <w:lang w:val="en-US"/>
        </w:rPr>
        <w:t xml:space="preserve"> Ruffin Series No. 2, Bowling Green, Society for Business Ethics: 53-75.</w:t>
      </w:r>
    </w:p>
    <w:p w14:paraId="5EAADCE7" w14:textId="77777777" w:rsidR="009F661C" w:rsidRPr="00DC1614" w:rsidRDefault="009F661C" w:rsidP="00DC1614">
      <w:pPr>
        <w:pStyle w:val="FootnoteText"/>
        <w:tabs>
          <w:tab w:val="left" w:pos="5812"/>
        </w:tabs>
        <w:ind w:left="284" w:hanging="284"/>
        <w:jc w:val="both"/>
      </w:pPr>
      <w:r w:rsidRPr="00DC1614">
        <w:t xml:space="preserve">Rodman, M. “Breathing spaces: customary land tenure in Vanuatu,” in R.G. Ward  and E. Kingdon (eds.) </w:t>
      </w:r>
      <w:r w:rsidRPr="00DC1614">
        <w:rPr>
          <w:i/>
        </w:rPr>
        <w:t>Land, Custom and Practice in the South Pacific</w:t>
      </w:r>
      <w:r w:rsidRPr="00DC1614">
        <w:t xml:space="preserve"> (Melbourne: Cambridge University Press, 1995): 65-109,</w:t>
      </w:r>
    </w:p>
    <w:p w14:paraId="5BE97630" w14:textId="77777777" w:rsidR="009F661C" w:rsidRPr="00DC1614" w:rsidRDefault="009F661C" w:rsidP="00DC1614">
      <w:pPr>
        <w:pStyle w:val="FootnoteText"/>
        <w:tabs>
          <w:tab w:val="left" w:pos="5812"/>
        </w:tabs>
        <w:ind w:left="284" w:hanging="284"/>
        <w:jc w:val="both"/>
      </w:pPr>
      <w:r w:rsidRPr="00DC1614">
        <w:t xml:space="preserve">Roper, J. 2001, </w:t>
      </w:r>
      <w:r w:rsidRPr="00DC1614">
        <w:rPr>
          <w:i/>
        </w:rPr>
        <w:t>Tropical Forests and Climate Change</w:t>
      </w:r>
      <w:r w:rsidRPr="00DC1614">
        <w:t xml:space="preserve"> 2001, CIDA Forestry Advisers Network</w:t>
      </w:r>
      <w:r w:rsidRPr="00DC1614">
        <w:rPr>
          <w:i/>
        </w:rPr>
        <w:t xml:space="preserve">, </w:t>
      </w:r>
      <w:hyperlink r:id="rId48" w:history="1">
        <w:r w:rsidRPr="00DC1614">
          <w:rPr>
            <w:rStyle w:val="Hyperlink"/>
            <w:b/>
            <w:color w:val="auto"/>
            <w:u w:val="none"/>
          </w:rPr>
          <w:t>www.rfca-cfan.org/english/issues</w:t>
        </w:r>
      </w:hyperlink>
    </w:p>
    <w:p w14:paraId="2667FB56" w14:textId="77777777" w:rsidR="009F661C" w:rsidRPr="00DC1614" w:rsidRDefault="009F661C" w:rsidP="00DC1614">
      <w:pPr>
        <w:pStyle w:val="FootnoteText"/>
        <w:tabs>
          <w:tab w:val="left" w:pos="5812"/>
        </w:tabs>
        <w:ind w:left="284" w:hanging="284"/>
        <w:jc w:val="both"/>
      </w:pPr>
      <w:r w:rsidRPr="00DC1614">
        <w:t xml:space="preserve">Rosen, M. 2006.  </w:t>
      </w:r>
      <w:r w:rsidRPr="00DC1614">
        <w:rPr>
          <w:i/>
        </w:rPr>
        <w:t>Commons problems</w:t>
      </w:r>
      <w:r w:rsidRPr="00DC1614">
        <w:t xml:space="preserve">. </w:t>
      </w:r>
      <w:hyperlink r:id="rId49" w:history="1">
        <w:r w:rsidRPr="00DC1614">
          <w:rPr>
            <w:rStyle w:val="Hyperlink"/>
            <w:color w:val="auto"/>
            <w:u w:val="none"/>
          </w:rPr>
          <w:t>interview@tcsdaily.com</w:t>
        </w:r>
      </w:hyperlink>
    </w:p>
    <w:p w14:paraId="7E21DB4B" w14:textId="77777777" w:rsidR="009F661C" w:rsidRPr="00DC1614" w:rsidRDefault="009F661C" w:rsidP="00DC1614">
      <w:pPr>
        <w:pStyle w:val="FootnoteText"/>
        <w:tabs>
          <w:tab w:val="left" w:pos="5812"/>
        </w:tabs>
        <w:ind w:left="284" w:hanging="284"/>
        <w:jc w:val="both"/>
        <w:rPr>
          <w:lang w:val="en-US"/>
        </w:rPr>
      </w:pPr>
      <w:r w:rsidRPr="00DC1614">
        <w:rPr>
          <w:lang w:val="en-US"/>
        </w:rPr>
        <w:t xml:space="preserve">Sagoff, M. 2000. Do We Consume Too much?  in Reichart and Werhane (eds) 2000. </w:t>
      </w:r>
    </w:p>
    <w:p w14:paraId="73E6D044" w14:textId="77777777" w:rsidR="009F661C" w:rsidRPr="00DC1614" w:rsidRDefault="009F661C" w:rsidP="00DC1614">
      <w:pPr>
        <w:tabs>
          <w:tab w:val="left" w:pos="5812"/>
        </w:tabs>
        <w:ind w:left="284" w:hanging="284"/>
        <w:jc w:val="both"/>
        <w:rPr>
          <w:sz w:val="20"/>
          <w:szCs w:val="20"/>
          <w:lang w:val="en-US"/>
        </w:rPr>
      </w:pPr>
      <w:r w:rsidRPr="00DC1614">
        <w:rPr>
          <w:sz w:val="20"/>
          <w:szCs w:val="20"/>
        </w:rPr>
        <w:t xml:space="preserve">Stratigos, S. and P. Hughes (eds), 1987. </w:t>
      </w:r>
      <w:r w:rsidRPr="00DC1614">
        <w:rPr>
          <w:i/>
          <w:iCs/>
          <w:sz w:val="20"/>
          <w:szCs w:val="20"/>
        </w:rPr>
        <w:t xml:space="preserve">Ethics of Development: The Pacific in the Twentieth Century; </w:t>
      </w:r>
      <w:r w:rsidRPr="00DC1614">
        <w:rPr>
          <w:sz w:val="20"/>
          <w:szCs w:val="20"/>
        </w:rPr>
        <w:t>UPNG Press, Port Moresby:</w:t>
      </w:r>
    </w:p>
    <w:p w14:paraId="78D0C300" w14:textId="77777777" w:rsidR="009F661C" w:rsidRPr="00DC1614" w:rsidRDefault="009F661C" w:rsidP="00DC1614">
      <w:pPr>
        <w:pStyle w:val="EndnoteText"/>
        <w:tabs>
          <w:tab w:val="left" w:pos="5812"/>
        </w:tabs>
        <w:ind w:left="284" w:hanging="284"/>
        <w:jc w:val="both"/>
      </w:pPr>
      <w:r w:rsidRPr="00DC1614">
        <w:t xml:space="preserve">Sen, A. (ed.) 2002 </w:t>
      </w:r>
      <w:r w:rsidRPr="00DC1614">
        <w:rPr>
          <w:i/>
          <w:iCs/>
        </w:rPr>
        <w:t>Rationality and Freedom,</w:t>
      </w:r>
      <w:r w:rsidRPr="00DC1614">
        <w:t xml:space="preserve"> Belknap Press, Cambridge: 501-530. </w:t>
      </w:r>
    </w:p>
    <w:p w14:paraId="7BD5D267" w14:textId="77777777" w:rsidR="009F661C" w:rsidRPr="00DC1614" w:rsidRDefault="009F661C" w:rsidP="00DC1614">
      <w:pPr>
        <w:pStyle w:val="EndnoteText"/>
        <w:tabs>
          <w:tab w:val="left" w:pos="5812"/>
        </w:tabs>
        <w:ind w:left="284" w:hanging="284"/>
        <w:jc w:val="both"/>
      </w:pPr>
      <w:r>
        <w:t>—.</w:t>
      </w:r>
      <w:r w:rsidRPr="00DC1614">
        <w:t xml:space="preserve"> 2002. Markets and Freedoms, in A. Sen (ed.) 2002:501-530.</w:t>
      </w:r>
    </w:p>
    <w:p w14:paraId="54F5BFEA" w14:textId="77777777" w:rsidR="009F661C" w:rsidRPr="00DC1614" w:rsidRDefault="009F661C" w:rsidP="00DC1614">
      <w:pPr>
        <w:pStyle w:val="EndnoteText"/>
        <w:tabs>
          <w:tab w:val="left" w:pos="5812"/>
        </w:tabs>
        <w:ind w:left="284" w:hanging="284"/>
        <w:jc w:val="both"/>
      </w:pPr>
      <w:r>
        <w:t>—.</w:t>
      </w:r>
      <w:r w:rsidRPr="00DC1614">
        <w:t xml:space="preserve"> 2006.  </w:t>
      </w:r>
      <w:r w:rsidRPr="00DC1614">
        <w:rPr>
          <w:i/>
          <w:iCs/>
        </w:rPr>
        <w:t>Identity and Violence: The illusion of destiny.</w:t>
      </w:r>
      <w:r w:rsidRPr="00DC1614">
        <w:t xml:space="preserve"> Norton and Co., New York.</w:t>
      </w:r>
    </w:p>
    <w:p w14:paraId="72D04FA4" w14:textId="77777777" w:rsidR="009F661C" w:rsidRPr="00DC1614" w:rsidRDefault="009F661C" w:rsidP="00DC1614">
      <w:pPr>
        <w:pStyle w:val="FootnoteText"/>
        <w:tabs>
          <w:tab w:val="left" w:pos="5812"/>
        </w:tabs>
        <w:ind w:left="284" w:hanging="284"/>
        <w:jc w:val="both"/>
      </w:pPr>
      <w:r w:rsidRPr="00DC1614">
        <w:lastRenderedPageBreak/>
        <w:t xml:space="preserve">Shearman, P., Cannon, J. (2002). </w:t>
      </w:r>
      <w:r w:rsidRPr="00DC1614">
        <w:rPr>
          <w:i/>
          <w:iCs/>
        </w:rPr>
        <w:t>PNG Forest Resources and the Log Export Industry</w:t>
      </w:r>
      <w:r w:rsidRPr="00DC1614">
        <w:t>.  Boroko NCD: Papua New Guinea Eco-Forestry Forum.</w:t>
      </w:r>
    </w:p>
    <w:p w14:paraId="3C8C4C67" w14:textId="77777777" w:rsidR="009F661C" w:rsidRPr="00DC1614" w:rsidRDefault="009F661C" w:rsidP="00DC1614">
      <w:pPr>
        <w:pStyle w:val="FootnoteText"/>
        <w:tabs>
          <w:tab w:val="left" w:pos="5812"/>
        </w:tabs>
        <w:ind w:left="284" w:hanging="284"/>
        <w:jc w:val="both"/>
      </w:pPr>
      <w:r w:rsidRPr="00DC1614">
        <w:t xml:space="preserve">Shearman, P., J.E. Bryan , J.Ash, P. Hunnam, B. Mackey, and B. Lokes  2008. </w:t>
      </w:r>
      <w:r w:rsidRPr="00DC1614">
        <w:rPr>
          <w:i/>
        </w:rPr>
        <w:t>The state of the forests of Papua New Guinea</w:t>
      </w:r>
      <w:r w:rsidRPr="00DC1614">
        <w:t>. University of Papua New Guinea, Port Moresby.</w:t>
      </w:r>
    </w:p>
    <w:p w14:paraId="6D5BCEC7" w14:textId="77777777" w:rsidR="009F661C" w:rsidRPr="00DC1614" w:rsidRDefault="009F661C" w:rsidP="00DC1614">
      <w:pPr>
        <w:pStyle w:val="FootnoteText"/>
        <w:tabs>
          <w:tab w:val="left" w:pos="5812"/>
        </w:tabs>
        <w:ind w:left="284" w:hanging="284"/>
        <w:jc w:val="both"/>
      </w:pPr>
      <w:r w:rsidRPr="00DC1614">
        <w:t>Shipton, P.  1988. The Kenyan land tenure reform: misunderstandings in the public creation of private property, in Downs and Keyna (eds.) 1988.</w:t>
      </w:r>
    </w:p>
    <w:p w14:paraId="76188D71" w14:textId="77777777" w:rsidR="009F661C" w:rsidRPr="00DC1614" w:rsidRDefault="009F661C" w:rsidP="00DC1614">
      <w:pPr>
        <w:pStyle w:val="FootnoteText"/>
        <w:tabs>
          <w:tab w:val="left" w:pos="5812"/>
        </w:tabs>
        <w:ind w:left="284" w:hanging="284"/>
        <w:jc w:val="both"/>
      </w:pPr>
      <w:r w:rsidRPr="00DC1614">
        <w:t xml:space="preserve">Statistics New Zealand, 1994. </w:t>
      </w:r>
      <w:r w:rsidRPr="00DC1614">
        <w:rPr>
          <w:i/>
          <w:iCs/>
        </w:rPr>
        <w:t>New Zealand Official Yearbook 1994:</w:t>
      </w:r>
      <w:r w:rsidRPr="00DC1614">
        <w:t xml:space="preserve"> 369-376. Auckland.</w:t>
      </w:r>
    </w:p>
    <w:p w14:paraId="26F730A6" w14:textId="77777777" w:rsidR="009F661C" w:rsidRPr="00DC1614" w:rsidRDefault="009F661C" w:rsidP="00DC1614">
      <w:pPr>
        <w:tabs>
          <w:tab w:val="left" w:pos="5812"/>
        </w:tabs>
        <w:ind w:left="284" w:hanging="284"/>
        <w:jc w:val="both"/>
        <w:rPr>
          <w:sz w:val="20"/>
          <w:szCs w:val="20"/>
        </w:rPr>
      </w:pPr>
      <w:r w:rsidRPr="00DC1614">
        <w:rPr>
          <w:sz w:val="20"/>
          <w:szCs w:val="20"/>
        </w:rPr>
        <w:t xml:space="preserve">Sullivan, N. (ed.) 2001. </w:t>
      </w:r>
      <w:r w:rsidRPr="00DC1614">
        <w:rPr>
          <w:i/>
          <w:iCs/>
          <w:sz w:val="20"/>
          <w:szCs w:val="20"/>
        </w:rPr>
        <w:t>Culture vs. Progress. The Melanesian Philosophy of Land and Development in Papua New Guinea.</w:t>
      </w:r>
      <w:r w:rsidRPr="00DC1614">
        <w:rPr>
          <w:sz w:val="20"/>
          <w:szCs w:val="20"/>
        </w:rPr>
        <w:t xml:space="preserve">  DWU Press, Madang.</w:t>
      </w:r>
    </w:p>
    <w:p w14:paraId="741208DF" w14:textId="77777777" w:rsidR="009F661C" w:rsidRPr="00DC1614" w:rsidRDefault="009F661C" w:rsidP="00DC1614">
      <w:pPr>
        <w:pStyle w:val="EndnoteText"/>
        <w:tabs>
          <w:tab w:val="left" w:pos="5812"/>
        </w:tabs>
        <w:ind w:left="284" w:hanging="284"/>
        <w:jc w:val="both"/>
      </w:pPr>
      <w:r w:rsidRPr="00DC1614">
        <w:t xml:space="preserve">Sullivan, P. 1997.  A Sacred Land, A Sovereign People, An Aboriginal Corporation: Prescribed Bodies and the Native Title Act. </w:t>
      </w:r>
      <w:r w:rsidRPr="00DC1614">
        <w:rPr>
          <w:rFonts w:ascii="Times New Roman Italic" w:hAnsi="Times New Roman Italic" w:cs="Times New Roman Italic"/>
        </w:rPr>
        <w:t>NARU Report Series No. 3.</w:t>
      </w:r>
      <w:r w:rsidRPr="00DC1614">
        <w:t xml:space="preserve"> North Australia Research Unit, Darwin.  </w:t>
      </w:r>
    </w:p>
    <w:p w14:paraId="72EB5888" w14:textId="77777777" w:rsidR="009F661C" w:rsidRPr="00DC1614" w:rsidRDefault="009F661C" w:rsidP="00DC1614">
      <w:pPr>
        <w:tabs>
          <w:tab w:val="left" w:pos="5812"/>
        </w:tabs>
        <w:autoSpaceDE w:val="0"/>
        <w:autoSpaceDN w:val="0"/>
        <w:adjustRightInd w:val="0"/>
        <w:ind w:left="284" w:hanging="284"/>
        <w:jc w:val="both"/>
        <w:rPr>
          <w:rFonts w:ascii="Palatino-Roman" w:hAnsi="Palatino-Roman" w:cs="Palatino-Roman"/>
          <w:sz w:val="20"/>
          <w:szCs w:val="20"/>
        </w:rPr>
      </w:pPr>
      <w:r w:rsidRPr="00DC1614">
        <w:rPr>
          <w:sz w:val="20"/>
          <w:szCs w:val="20"/>
        </w:rPr>
        <w:t xml:space="preserve">Svedberg, P., 2003. Undernutrition overestimated.  </w:t>
      </w:r>
      <w:r w:rsidRPr="00DC1614">
        <w:rPr>
          <w:i/>
          <w:iCs/>
          <w:sz w:val="20"/>
          <w:szCs w:val="20"/>
        </w:rPr>
        <w:t>Economic Development and Cultural Change,</w:t>
      </w:r>
      <w:r w:rsidRPr="00DC1614">
        <w:rPr>
          <w:sz w:val="20"/>
          <w:szCs w:val="20"/>
        </w:rPr>
        <w:t xml:space="preserve"> 52(1):5–36.</w:t>
      </w:r>
    </w:p>
    <w:p w14:paraId="49B04D9F"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sidRPr="00DC1614">
        <w:rPr>
          <w:rFonts w:ascii="Times New Roman" w:hAnsi="Times New Roman" w:cs="Times New Roman"/>
          <w:color w:val="auto"/>
          <w:sz w:val="20"/>
          <w:szCs w:val="20"/>
        </w:rPr>
        <w:t xml:space="preserve">Taylor, C. 1985. </w:t>
      </w:r>
      <w:r w:rsidRPr="00DC1614">
        <w:rPr>
          <w:rFonts w:ascii="Times New Roman" w:hAnsi="Times New Roman" w:cs="Times New Roman"/>
          <w:i/>
          <w:iCs/>
          <w:color w:val="auto"/>
          <w:sz w:val="20"/>
          <w:szCs w:val="20"/>
        </w:rPr>
        <w:t>Philosophy and the Human Sciences:  Philosophical Papers.</w:t>
      </w:r>
      <w:r w:rsidRPr="00DC1614">
        <w:rPr>
          <w:rFonts w:ascii="Times New Roman" w:hAnsi="Times New Roman" w:cs="Times New Roman"/>
          <w:color w:val="auto"/>
          <w:sz w:val="20"/>
          <w:szCs w:val="20"/>
        </w:rPr>
        <w:t xml:space="preserve"> Cambridge University Press,  </w:t>
      </w:r>
      <w:r w:rsidRPr="00DC1614">
        <w:rPr>
          <w:rFonts w:ascii="Times New Roman" w:hAnsi="Times New Roman" w:cs="Times New Roman"/>
          <w:i/>
          <w:iCs/>
          <w:color w:val="auto"/>
          <w:sz w:val="20"/>
          <w:szCs w:val="20"/>
        </w:rPr>
        <w:t xml:space="preserve"> </w:t>
      </w:r>
      <w:r w:rsidRPr="00DC1614">
        <w:rPr>
          <w:rFonts w:ascii="Times New Roman" w:hAnsi="Times New Roman" w:cs="Times New Roman"/>
          <w:color w:val="auto"/>
          <w:sz w:val="20"/>
          <w:szCs w:val="20"/>
        </w:rPr>
        <w:t xml:space="preserve">Cambridge. </w:t>
      </w:r>
    </w:p>
    <w:p w14:paraId="0B9E9C1D"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Pr>
          <w:rFonts w:ascii="Times New Roman" w:hAnsi="Times New Roman" w:cs="Times New Roman"/>
          <w:color w:val="auto"/>
          <w:sz w:val="20"/>
          <w:szCs w:val="20"/>
        </w:rPr>
        <w:t>—</w:t>
      </w:r>
      <w:r w:rsidRPr="00DC1614">
        <w:rPr>
          <w:rFonts w:ascii="Times New Roman" w:hAnsi="Times New Roman" w:cs="Times New Roman"/>
          <w:color w:val="auto"/>
          <w:sz w:val="20"/>
          <w:szCs w:val="20"/>
        </w:rPr>
        <w:t xml:space="preserve">. 1989. </w:t>
      </w:r>
      <w:r w:rsidRPr="00DC1614">
        <w:rPr>
          <w:rFonts w:ascii="Times New Roman" w:hAnsi="Times New Roman" w:cs="Times New Roman"/>
          <w:i/>
          <w:iCs/>
          <w:color w:val="auto"/>
          <w:sz w:val="20"/>
          <w:szCs w:val="20"/>
        </w:rPr>
        <w:t xml:space="preserve">Sources of Self:  The Making of Modern Identity, </w:t>
      </w:r>
      <w:r w:rsidRPr="00DC1614">
        <w:rPr>
          <w:rFonts w:ascii="Times New Roman" w:hAnsi="Times New Roman" w:cs="Times New Roman"/>
          <w:color w:val="auto"/>
          <w:sz w:val="20"/>
          <w:szCs w:val="20"/>
        </w:rPr>
        <w:t xml:space="preserve">Harvard University Press, Cambridge, MA. </w:t>
      </w:r>
    </w:p>
    <w:p w14:paraId="5ED7C5B9" w14:textId="77777777" w:rsidR="009F661C" w:rsidRPr="00DC1614" w:rsidRDefault="009F661C" w:rsidP="00DC1614">
      <w:pPr>
        <w:tabs>
          <w:tab w:val="left" w:pos="5812"/>
        </w:tabs>
        <w:ind w:left="284" w:hanging="284"/>
        <w:jc w:val="both"/>
        <w:rPr>
          <w:sz w:val="20"/>
          <w:szCs w:val="20"/>
        </w:rPr>
      </w:pPr>
      <w:r w:rsidRPr="00DC1614">
        <w:rPr>
          <w:sz w:val="20"/>
          <w:szCs w:val="20"/>
        </w:rPr>
        <w:t xml:space="preserve">Taylor, J.  2009. What Crisis? Why Europe’s Poorest Country is a Paragon of Financial Stability. </w:t>
      </w:r>
      <w:r w:rsidRPr="00DC1614">
        <w:rPr>
          <w:i/>
          <w:sz w:val="20"/>
          <w:szCs w:val="20"/>
        </w:rPr>
        <w:t xml:space="preserve">Atlantic Monthly, </w:t>
      </w:r>
      <w:r w:rsidRPr="00DC1614">
        <w:rPr>
          <w:sz w:val="20"/>
          <w:szCs w:val="20"/>
        </w:rPr>
        <w:t xml:space="preserve">July-August: 29-30.  </w:t>
      </w:r>
    </w:p>
    <w:p w14:paraId="16C92519" w14:textId="77777777" w:rsidR="009F661C" w:rsidRPr="00DC1614" w:rsidRDefault="009F661C" w:rsidP="00DC1614">
      <w:pPr>
        <w:pStyle w:val="FootnoteText"/>
        <w:tabs>
          <w:tab w:val="left" w:pos="5812"/>
        </w:tabs>
        <w:ind w:left="284" w:hanging="284"/>
        <w:jc w:val="both"/>
      </w:pPr>
      <w:r w:rsidRPr="00DC1614">
        <w:t xml:space="preserve">Taylor, R. 1997. The State versus Custom, in C. Filer (ed.) 1997. </w:t>
      </w:r>
    </w:p>
    <w:p w14:paraId="3DA0F039" w14:textId="77777777" w:rsidR="009F661C" w:rsidRPr="00DC1614" w:rsidRDefault="009F661C" w:rsidP="00DC1614">
      <w:pPr>
        <w:pStyle w:val="FootnoteText"/>
        <w:tabs>
          <w:tab w:val="left" w:pos="5812"/>
        </w:tabs>
        <w:ind w:left="284" w:hanging="284"/>
        <w:jc w:val="both"/>
      </w:pPr>
      <w:r w:rsidRPr="00DC1614">
        <w:t>Thirlwall, C. &amp; P. Hughes  (eds.)</w:t>
      </w:r>
      <w:r w:rsidRPr="00DC1614">
        <w:rPr>
          <w:i/>
        </w:rPr>
        <w:t xml:space="preserve"> </w:t>
      </w:r>
      <w:r w:rsidRPr="00DC1614">
        <w:t>(nd)</w:t>
      </w:r>
      <w:r w:rsidRPr="00DC1614">
        <w:rPr>
          <w:i/>
        </w:rPr>
        <w:t xml:space="preserve"> Ethics of Development, Choices in Development Planning.</w:t>
      </w:r>
      <w:r w:rsidRPr="00DC1614">
        <w:t xml:space="preserve"> UPNG Press, Port Moresby</w:t>
      </w:r>
      <w:r w:rsidRPr="00DC1614">
        <w:rPr>
          <w:lang w:val="en-US"/>
        </w:rPr>
        <w:t>.</w:t>
      </w:r>
      <w:r w:rsidRPr="00DC1614">
        <w:t xml:space="preserve">  </w:t>
      </w:r>
    </w:p>
    <w:p w14:paraId="622C80C3" w14:textId="77777777" w:rsidR="009F661C" w:rsidRPr="00DC1614" w:rsidRDefault="009F661C" w:rsidP="00DC1614">
      <w:pPr>
        <w:pStyle w:val="EndnoteText"/>
        <w:tabs>
          <w:tab w:val="left" w:pos="5812"/>
        </w:tabs>
        <w:ind w:left="284" w:hanging="284"/>
        <w:jc w:val="both"/>
      </w:pPr>
      <w:r w:rsidRPr="00DC1614">
        <w:t xml:space="preserve">Tully, J., 1980. </w:t>
      </w:r>
      <w:r w:rsidRPr="00DC1614">
        <w:rPr>
          <w:i/>
        </w:rPr>
        <w:t>A Discourse on Property: John Locke and his Adversaries,</w:t>
      </w:r>
      <w:r w:rsidRPr="00DC1614">
        <w:t xml:space="preserve"> Cambridge University Press, Cambridge.</w:t>
      </w:r>
    </w:p>
    <w:p w14:paraId="6054B2AC" w14:textId="77777777" w:rsidR="009F661C" w:rsidRPr="00DC1614" w:rsidRDefault="009F661C" w:rsidP="00DC1614">
      <w:pPr>
        <w:pStyle w:val="EndnoteText"/>
        <w:tabs>
          <w:tab w:val="left" w:pos="5812"/>
        </w:tabs>
        <w:ind w:left="284" w:hanging="284"/>
        <w:jc w:val="both"/>
      </w:pPr>
      <w:r>
        <w:t>—</w:t>
      </w:r>
      <w:r w:rsidRPr="00DC1614">
        <w:t xml:space="preserve">. 1994a. Aboriginal property and Western theory: rediscovering a Middle Ground. </w:t>
      </w:r>
      <w:r w:rsidRPr="00DC1614">
        <w:rPr>
          <w:i/>
          <w:iCs/>
        </w:rPr>
        <w:t xml:space="preserve">Social Philosophy and Policy </w:t>
      </w:r>
      <w:r w:rsidRPr="00DC1614">
        <w:t xml:space="preserve">11: 153-80.  </w:t>
      </w:r>
    </w:p>
    <w:p w14:paraId="2C5757AA" w14:textId="77777777" w:rsidR="009F661C" w:rsidRPr="00DC1614" w:rsidRDefault="009F661C" w:rsidP="00DC1614">
      <w:pPr>
        <w:pStyle w:val="EndnoteText"/>
        <w:tabs>
          <w:tab w:val="left" w:pos="5812"/>
        </w:tabs>
        <w:ind w:left="284" w:hanging="284"/>
        <w:jc w:val="both"/>
      </w:pPr>
      <w:r>
        <w:t>—</w:t>
      </w:r>
      <w:r w:rsidRPr="00DC1614">
        <w:t xml:space="preserve">. 1994b.  “Rediscovering America: the two Treatises and Aboriginal rights,” in G. A. Rogers ed., </w:t>
      </w:r>
      <w:r w:rsidRPr="00DC1614">
        <w:rPr>
          <w:i/>
          <w:iCs/>
        </w:rPr>
        <w:t>Locke's Philosophy: Content and context</w:t>
      </w:r>
      <w:r w:rsidRPr="00DC1614">
        <w:t xml:space="preserve">, Clarendon Press, Oxford: 165-96. </w:t>
      </w:r>
    </w:p>
    <w:p w14:paraId="2DCACCCE" w14:textId="77777777" w:rsidR="009F661C" w:rsidRPr="00DC1614" w:rsidRDefault="009F661C" w:rsidP="00DC1614">
      <w:pPr>
        <w:pStyle w:val="EndnoteText"/>
        <w:tabs>
          <w:tab w:val="left" w:pos="5812"/>
        </w:tabs>
        <w:ind w:left="284" w:hanging="284"/>
        <w:jc w:val="both"/>
      </w:pPr>
      <w:r>
        <w:t>—</w:t>
      </w:r>
      <w:r w:rsidRPr="00DC1614">
        <w:t xml:space="preserve">. 1996.  </w:t>
      </w:r>
      <w:r w:rsidRPr="00DC1614">
        <w:rPr>
          <w:i/>
          <w:iCs/>
        </w:rPr>
        <w:t>Strange Multiplicity: Constitutionalism in the Age of Diversity.</w:t>
      </w:r>
      <w:r w:rsidRPr="00DC1614">
        <w:t xml:space="preserve"> Cambridge University Press, New York . </w:t>
      </w:r>
    </w:p>
    <w:p w14:paraId="581FCF94" w14:textId="77777777" w:rsidR="009F661C" w:rsidRPr="00DC1614" w:rsidRDefault="009F661C" w:rsidP="00DC1614">
      <w:pPr>
        <w:tabs>
          <w:tab w:val="left" w:pos="5812"/>
        </w:tabs>
        <w:ind w:left="284" w:hanging="284"/>
        <w:jc w:val="both"/>
        <w:rPr>
          <w:sz w:val="20"/>
          <w:szCs w:val="20"/>
        </w:rPr>
      </w:pPr>
      <w:r w:rsidRPr="00DC1614">
        <w:rPr>
          <w:sz w:val="20"/>
          <w:szCs w:val="20"/>
        </w:rPr>
        <w:t>Tutton, M. 2009. Recession Sparks Interest in Islamic Banking,</w:t>
      </w:r>
      <w:r w:rsidRPr="00DC1614">
        <w:rPr>
          <w:rFonts w:ascii="Verdana" w:hAnsi="Verdana"/>
          <w:sz w:val="20"/>
          <w:szCs w:val="20"/>
        </w:rPr>
        <w:t xml:space="preserve"> </w:t>
      </w:r>
      <w:hyperlink r:id="rId50" w:history="1">
        <w:r w:rsidRPr="00DC1614">
          <w:rPr>
            <w:rStyle w:val="Hyperlink"/>
            <w:color w:val="auto"/>
            <w:sz w:val="20"/>
            <w:szCs w:val="20"/>
            <w:u w:val="none"/>
          </w:rPr>
          <w:t>http://edition.cnn.com/2009/BUSINESS...nce/index.html</w:t>
        </w:r>
      </w:hyperlink>
    </w:p>
    <w:p w14:paraId="576B4B50" w14:textId="77777777" w:rsidR="009F661C" w:rsidRPr="00DC1614" w:rsidRDefault="009F661C" w:rsidP="00DC1614">
      <w:pPr>
        <w:tabs>
          <w:tab w:val="left" w:pos="5812"/>
        </w:tabs>
        <w:ind w:left="284" w:hanging="284"/>
        <w:jc w:val="both"/>
        <w:rPr>
          <w:sz w:val="20"/>
          <w:szCs w:val="20"/>
        </w:rPr>
      </w:pPr>
      <w:r w:rsidRPr="00DC1614">
        <w:rPr>
          <w:sz w:val="20"/>
          <w:szCs w:val="20"/>
        </w:rPr>
        <w:t xml:space="preserve">Van Meijl, T, and F. von Benda-Backman (eds.) 1999. </w:t>
      </w:r>
      <w:r w:rsidRPr="00DC1614">
        <w:rPr>
          <w:i/>
          <w:sz w:val="20"/>
          <w:szCs w:val="20"/>
        </w:rPr>
        <w:t xml:space="preserve">Property rights and economic development: land and natural resources in South-east Asia and Oceania. </w:t>
      </w:r>
      <w:r w:rsidRPr="00DC1614">
        <w:rPr>
          <w:sz w:val="20"/>
          <w:szCs w:val="20"/>
        </w:rPr>
        <w:t>Kegan Paul, London.</w:t>
      </w:r>
    </w:p>
    <w:p w14:paraId="4A352124" w14:textId="77777777" w:rsidR="009F661C" w:rsidRPr="00DC1614" w:rsidRDefault="009F661C" w:rsidP="00DC1614">
      <w:pPr>
        <w:pStyle w:val="FootnoteText"/>
        <w:tabs>
          <w:tab w:val="left" w:pos="5812"/>
        </w:tabs>
        <w:ind w:left="284" w:hanging="284"/>
        <w:jc w:val="both"/>
      </w:pPr>
      <w:r w:rsidRPr="00DC1614">
        <w:rPr>
          <w:lang w:val="en-US"/>
        </w:rPr>
        <w:t>Vincent, D. and S. Low 2000.</w:t>
      </w:r>
      <w:r w:rsidRPr="00DC1614">
        <w:rPr>
          <w:rFonts w:ascii="Verdana" w:hAnsi="Verdana"/>
          <w:kern w:val="36"/>
        </w:rPr>
        <w:t xml:space="preserve"> </w:t>
      </w:r>
      <w:r w:rsidRPr="00DC1614">
        <w:rPr>
          <w:i/>
          <w:kern w:val="36"/>
        </w:rPr>
        <w:t xml:space="preserve">A Review of Papua New Guinea's Red Meat Industry. </w:t>
      </w:r>
      <w:r w:rsidRPr="00DC1614">
        <w:t>ACIAR, Canberra.</w:t>
      </w:r>
    </w:p>
    <w:p w14:paraId="73453D30" w14:textId="77777777" w:rsidR="009F661C" w:rsidRPr="00DC1614" w:rsidRDefault="009F661C" w:rsidP="00DC1614">
      <w:pPr>
        <w:pStyle w:val="FootnoteText"/>
        <w:tabs>
          <w:tab w:val="left" w:pos="5812"/>
        </w:tabs>
        <w:ind w:left="284" w:hanging="284"/>
        <w:jc w:val="both"/>
      </w:pPr>
      <w:r w:rsidRPr="00DC1614">
        <w:lastRenderedPageBreak/>
        <w:t xml:space="preserve">Ward, A.D. 1975. Agrarian revolution. </w:t>
      </w:r>
      <w:r w:rsidRPr="00DC1614">
        <w:rPr>
          <w:i/>
        </w:rPr>
        <w:t>New Guinea Quarterly</w:t>
      </w:r>
      <w:r w:rsidRPr="00DC1614">
        <w:t xml:space="preserve"> 6:  32-40.</w:t>
      </w:r>
    </w:p>
    <w:p w14:paraId="424955D8" w14:textId="77777777" w:rsidR="009F661C" w:rsidRPr="00DC1614" w:rsidRDefault="009F661C" w:rsidP="00DC1614">
      <w:pPr>
        <w:tabs>
          <w:tab w:val="left" w:pos="5812"/>
        </w:tabs>
        <w:ind w:left="284" w:hanging="284"/>
        <w:jc w:val="both"/>
        <w:rPr>
          <w:sz w:val="20"/>
          <w:szCs w:val="20"/>
        </w:rPr>
      </w:pPr>
      <w:r w:rsidRPr="00DC1614">
        <w:rPr>
          <w:sz w:val="20"/>
          <w:szCs w:val="20"/>
        </w:rPr>
        <w:t xml:space="preserve">Ward, R.G. 1992. Pacific Island Land Tenure: An overview of practices and issues, in Malcolm and Skog (eds) 1992. </w:t>
      </w:r>
    </w:p>
    <w:p w14:paraId="126F1F9B" w14:textId="77777777" w:rsidR="009F661C" w:rsidRPr="00DC1614" w:rsidRDefault="009F661C" w:rsidP="00DC1614">
      <w:pPr>
        <w:pStyle w:val="FootnoteText"/>
        <w:tabs>
          <w:tab w:val="left" w:pos="5812"/>
        </w:tabs>
        <w:ind w:left="284" w:hanging="284"/>
        <w:jc w:val="both"/>
      </w:pPr>
      <w:r w:rsidRPr="00DC1614">
        <w:t xml:space="preserve">Ward, R. G. and E. Kingdon 1995. </w:t>
      </w:r>
      <w:r w:rsidRPr="00DC1614">
        <w:rPr>
          <w:i/>
          <w:iCs/>
        </w:rPr>
        <w:t>Land, Custom, and Practice in the South Pacific</w:t>
      </w:r>
      <w:r w:rsidRPr="00DC1614">
        <w:t xml:space="preserve">, Cambridge University Press, Cambridge. </w:t>
      </w:r>
    </w:p>
    <w:p w14:paraId="4C1C3282"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sidRPr="00DC1614">
        <w:rPr>
          <w:rFonts w:ascii="Times New Roman" w:hAnsi="Times New Roman" w:cs="Times New Roman"/>
          <w:color w:val="auto"/>
          <w:sz w:val="20"/>
          <w:szCs w:val="20"/>
        </w:rPr>
        <w:t xml:space="preserve">Weiner, A. 1976. </w:t>
      </w:r>
      <w:r w:rsidRPr="00DC1614">
        <w:rPr>
          <w:rFonts w:ascii="Times New Roman" w:hAnsi="Times New Roman" w:cs="Times New Roman"/>
          <w:i/>
          <w:iCs/>
          <w:color w:val="auto"/>
          <w:sz w:val="20"/>
          <w:szCs w:val="20"/>
        </w:rPr>
        <w:t xml:space="preserve">Women of Value, Men of Renown: a new perspective on Trobriand Exchange. </w:t>
      </w:r>
      <w:r w:rsidRPr="00DC1614">
        <w:rPr>
          <w:rFonts w:ascii="Times New Roman" w:hAnsi="Times New Roman" w:cs="Times New Roman"/>
          <w:color w:val="auto"/>
          <w:sz w:val="20"/>
          <w:szCs w:val="20"/>
        </w:rPr>
        <w:t xml:space="preserve">University of Texas Press, Austin. </w:t>
      </w:r>
    </w:p>
    <w:p w14:paraId="70CA7DB7" w14:textId="77777777" w:rsidR="009F661C" w:rsidRPr="00DC1614" w:rsidRDefault="009F661C" w:rsidP="00DC1614">
      <w:pPr>
        <w:tabs>
          <w:tab w:val="left" w:pos="5812"/>
        </w:tabs>
        <w:ind w:left="284" w:hanging="284"/>
        <w:jc w:val="both"/>
        <w:rPr>
          <w:sz w:val="20"/>
          <w:szCs w:val="20"/>
        </w:rPr>
      </w:pPr>
      <w:r w:rsidRPr="00DC1614">
        <w:rPr>
          <w:sz w:val="20"/>
          <w:szCs w:val="20"/>
        </w:rPr>
        <w:t xml:space="preserve">Weiner J. &amp; Glaskin, K.  2007.  </w:t>
      </w:r>
      <w:r w:rsidRPr="00DC1614">
        <w:rPr>
          <w:i/>
          <w:sz w:val="20"/>
          <w:szCs w:val="20"/>
        </w:rPr>
        <w:t>Customary Land Tenure and Registration in Australia and Papua New Guinea: Anthropological Perspectives,</w:t>
      </w:r>
      <w:r w:rsidRPr="00DC1614">
        <w:rPr>
          <w:sz w:val="20"/>
          <w:szCs w:val="20"/>
        </w:rPr>
        <w:t xml:space="preserve"> ANU E-press Publication, Canberra.</w:t>
      </w:r>
    </w:p>
    <w:p w14:paraId="2345C32D" w14:textId="77777777" w:rsidR="009F661C" w:rsidRPr="00DC1614" w:rsidRDefault="009F661C" w:rsidP="00DC1614">
      <w:pPr>
        <w:tabs>
          <w:tab w:val="left" w:pos="5812"/>
        </w:tabs>
        <w:ind w:left="284" w:hanging="284"/>
        <w:jc w:val="both"/>
        <w:rPr>
          <w:sz w:val="20"/>
          <w:szCs w:val="20"/>
        </w:rPr>
      </w:pPr>
      <w:r w:rsidRPr="00DC1614">
        <w:rPr>
          <w:sz w:val="20"/>
          <w:szCs w:val="20"/>
        </w:rPr>
        <w:t xml:space="preserve">Weiner, J. 2007 </w:t>
      </w:r>
      <w:r w:rsidRPr="00DC1614">
        <w:rPr>
          <w:rFonts w:ascii="ApolloMTStd" w:hAnsi="ApolloMTStd" w:cs="ApolloMTStd"/>
          <w:sz w:val="20"/>
          <w:szCs w:val="20"/>
          <w:lang w:val="en-US"/>
        </w:rPr>
        <w:t xml:space="preserve">The Foi Incorporated Land Group: Group Definition and Collective Action in the Kutubu Oil Project Area, Papua New Guinea, </w:t>
      </w:r>
      <w:r w:rsidRPr="00DC1614">
        <w:rPr>
          <w:sz w:val="20"/>
          <w:szCs w:val="20"/>
        </w:rPr>
        <w:t>in Weiner and Glaskin (eds.) 2007.</w:t>
      </w:r>
    </w:p>
    <w:p w14:paraId="465D6C31" w14:textId="77777777" w:rsidR="009F661C" w:rsidRPr="00DC1614" w:rsidRDefault="009F661C" w:rsidP="00DC1614">
      <w:pPr>
        <w:tabs>
          <w:tab w:val="left" w:pos="5812"/>
        </w:tabs>
        <w:ind w:left="284" w:hanging="284"/>
        <w:jc w:val="both"/>
        <w:rPr>
          <w:sz w:val="20"/>
          <w:szCs w:val="20"/>
        </w:rPr>
      </w:pPr>
      <w:r>
        <w:rPr>
          <w:sz w:val="20"/>
          <w:szCs w:val="20"/>
        </w:rPr>
        <w:t>—.</w:t>
      </w:r>
      <w:r w:rsidRPr="00DC1614">
        <w:rPr>
          <w:sz w:val="20"/>
          <w:szCs w:val="20"/>
        </w:rPr>
        <w:t xml:space="preserve"> 2009. The incorporated what group: why do land and development have to be joined at the hip in PNG? unpublished paper presented at the (RMAP) Research Seminar, Australian National University March 17, 2009.</w:t>
      </w:r>
    </w:p>
    <w:p w14:paraId="090C5B49" w14:textId="77777777" w:rsidR="009F661C" w:rsidRPr="00DC1614" w:rsidRDefault="009F661C" w:rsidP="00DC1614">
      <w:pPr>
        <w:pStyle w:val="FootnoteText"/>
        <w:tabs>
          <w:tab w:val="left" w:pos="5812"/>
        </w:tabs>
        <w:ind w:left="284" w:hanging="284"/>
        <w:jc w:val="both"/>
      </w:pPr>
      <w:r w:rsidRPr="00DC1614">
        <w:t xml:space="preserve">Woods, R. 1998. Ene Land Group Inc. v Fonsen Logging (PNG) Pty Ltd and G.R. Logging Pty Ltd. Kimbe. </w:t>
      </w:r>
      <w:r w:rsidRPr="00DC1614">
        <w:rPr>
          <w:i/>
          <w:iCs/>
        </w:rPr>
        <w:t>Papua New Guinea Law Reports 1998.</w:t>
      </w:r>
      <w:r w:rsidRPr="00DC1614">
        <w:t xml:space="preserve"> ANU, Canberra.</w:t>
      </w:r>
    </w:p>
    <w:p w14:paraId="3A16BDEF" w14:textId="77777777" w:rsidR="009F661C" w:rsidRPr="00DC1614" w:rsidRDefault="009F661C" w:rsidP="00DC1614">
      <w:pPr>
        <w:tabs>
          <w:tab w:val="left" w:pos="5812"/>
        </w:tabs>
        <w:ind w:left="284" w:hanging="284"/>
        <w:jc w:val="both"/>
        <w:rPr>
          <w:sz w:val="20"/>
          <w:szCs w:val="20"/>
        </w:rPr>
      </w:pPr>
      <w:r w:rsidRPr="00DC1614">
        <w:rPr>
          <w:iCs/>
          <w:sz w:val="20"/>
          <w:szCs w:val="20"/>
        </w:rPr>
        <w:t>World Bank 1998.</w:t>
      </w:r>
      <w:r w:rsidRPr="00DC1614">
        <w:rPr>
          <w:i/>
          <w:iCs/>
          <w:sz w:val="20"/>
          <w:szCs w:val="20"/>
        </w:rPr>
        <w:t xml:space="preserve"> Papua New Guinea. Improving governance and performance</w:t>
      </w:r>
      <w:r w:rsidRPr="00DC1614">
        <w:rPr>
          <w:sz w:val="20"/>
          <w:szCs w:val="20"/>
        </w:rPr>
        <w:t>.  Report No.19388-PNG, Washington DC.</w:t>
      </w:r>
    </w:p>
    <w:p w14:paraId="15815F6E" w14:textId="77777777" w:rsidR="009F661C" w:rsidRPr="00DC1614" w:rsidRDefault="009F661C" w:rsidP="00DC1614">
      <w:pPr>
        <w:tabs>
          <w:tab w:val="left" w:pos="5812"/>
        </w:tabs>
        <w:ind w:left="284" w:hanging="284"/>
        <w:jc w:val="both"/>
        <w:rPr>
          <w:sz w:val="20"/>
          <w:szCs w:val="20"/>
        </w:rPr>
      </w:pPr>
      <w:r>
        <w:rPr>
          <w:iCs/>
          <w:sz w:val="20"/>
          <w:szCs w:val="20"/>
        </w:rPr>
        <w:t>—.</w:t>
      </w:r>
      <w:r w:rsidRPr="00DC1614">
        <w:rPr>
          <w:iCs/>
          <w:sz w:val="20"/>
          <w:szCs w:val="20"/>
        </w:rPr>
        <w:t xml:space="preserve"> 2001. </w:t>
      </w:r>
      <w:r w:rsidRPr="00DC1614">
        <w:rPr>
          <w:i/>
          <w:iCs/>
          <w:sz w:val="20"/>
          <w:szCs w:val="20"/>
        </w:rPr>
        <w:t xml:space="preserve">Project Appraisal Document on a proposed loan to Papua New Guinea for a forestry and conservation project. </w:t>
      </w:r>
      <w:r w:rsidRPr="00DC1614">
        <w:rPr>
          <w:sz w:val="20"/>
          <w:szCs w:val="20"/>
        </w:rPr>
        <w:t>Report No. 20641-PG, Washington DC.</w:t>
      </w:r>
    </w:p>
    <w:p w14:paraId="1F36BE21" w14:textId="77777777" w:rsidR="009F661C" w:rsidRPr="00DC1614" w:rsidRDefault="009F661C" w:rsidP="00DC1614">
      <w:pPr>
        <w:pStyle w:val="Default"/>
        <w:tabs>
          <w:tab w:val="left" w:pos="5812"/>
        </w:tabs>
        <w:ind w:left="284" w:hanging="284"/>
        <w:jc w:val="both"/>
        <w:rPr>
          <w:rFonts w:ascii="Times New Roman" w:hAnsi="Times New Roman" w:cs="Times New Roman"/>
          <w:color w:val="auto"/>
          <w:sz w:val="20"/>
          <w:szCs w:val="20"/>
        </w:rPr>
      </w:pPr>
      <w:r w:rsidRPr="00DC1614">
        <w:rPr>
          <w:rFonts w:ascii="Times New Roman" w:hAnsi="Times New Roman" w:cs="Times New Roman"/>
          <w:color w:val="auto"/>
          <w:sz w:val="20"/>
          <w:szCs w:val="20"/>
        </w:rPr>
        <w:t>Worsley, P.M. 1975. `Cargo Cults', in Hunter and Whitten (eds): 290-7.</w:t>
      </w:r>
    </w:p>
    <w:p w14:paraId="1228B030" w14:textId="77777777" w:rsidR="009F661C" w:rsidRDefault="009F661C" w:rsidP="00DC1614">
      <w:pPr>
        <w:tabs>
          <w:tab w:val="left" w:pos="5812"/>
        </w:tabs>
        <w:ind w:left="284" w:hanging="284"/>
        <w:jc w:val="both"/>
        <w:rPr>
          <w:sz w:val="20"/>
          <w:szCs w:val="20"/>
        </w:rPr>
      </w:pPr>
      <w:r w:rsidRPr="00DC1614">
        <w:rPr>
          <w:sz w:val="20"/>
          <w:szCs w:val="20"/>
        </w:rPr>
        <w:t>Yala, C. 2008. Improving Access to Finance through Land Titling:</w:t>
      </w:r>
      <w:r w:rsidRPr="003F48B1">
        <w:rPr>
          <w:sz w:val="20"/>
          <w:szCs w:val="20"/>
        </w:rPr>
        <w:t xml:space="preserve"> Evidence from the Hoskins Smallholder Oil Palm Project. </w:t>
      </w:r>
      <w:r w:rsidRPr="003F48B1">
        <w:rPr>
          <w:i/>
          <w:sz w:val="20"/>
          <w:szCs w:val="20"/>
        </w:rPr>
        <w:t>Pacific Economic Bulletin</w:t>
      </w:r>
      <w:r w:rsidRPr="003F48B1">
        <w:rPr>
          <w:sz w:val="20"/>
          <w:szCs w:val="20"/>
        </w:rPr>
        <w:t xml:space="preserve"> 23 (1): 39-56. </w:t>
      </w:r>
    </w:p>
    <w:p w14:paraId="3DFBDDC1" w14:textId="77777777" w:rsidR="009F661C" w:rsidRDefault="009F661C" w:rsidP="00DC1614">
      <w:pPr>
        <w:tabs>
          <w:tab w:val="left" w:pos="5812"/>
        </w:tabs>
        <w:ind w:left="284" w:hanging="284"/>
        <w:jc w:val="both"/>
        <w:rPr>
          <w:sz w:val="20"/>
          <w:szCs w:val="20"/>
        </w:rPr>
        <w:sectPr w:rsidR="009F661C" w:rsidSect="00503FDD">
          <w:headerReference w:type="even" r:id="rId51"/>
          <w:headerReference w:type="default" r:id="rId52"/>
          <w:footnotePr>
            <w:numRestart w:val="eachSect"/>
          </w:footnotePr>
          <w:type w:val="oddPage"/>
          <w:pgSz w:w="8392" w:h="11907" w:code="11"/>
          <w:pgMar w:top="1418" w:right="1191" w:bottom="851" w:left="1191" w:header="851" w:footer="0" w:gutter="0"/>
          <w:cols w:space="708"/>
          <w:titlePg/>
          <w:docGrid w:linePitch="360"/>
        </w:sectPr>
      </w:pPr>
    </w:p>
    <w:p w14:paraId="0277176C" w14:textId="77777777" w:rsidR="009F661C" w:rsidRPr="00991378" w:rsidRDefault="009F661C" w:rsidP="0035619C">
      <w:pPr>
        <w:pStyle w:val="h1"/>
        <w:rPr>
          <w:lang w:val="en-US"/>
        </w:rPr>
      </w:pPr>
      <w:r w:rsidRPr="00991378">
        <w:rPr>
          <w:lang w:val="en-US"/>
        </w:rPr>
        <w:lastRenderedPageBreak/>
        <w:t>Appendix</w:t>
      </w:r>
    </w:p>
    <w:p w14:paraId="2DCA49B3" w14:textId="77777777" w:rsidR="009F661C" w:rsidRDefault="009F661C" w:rsidP="0035619C">
      <w:pPr>
        <w:pStyle w:val="h1"/>
        <w:rPr>
          <w:lang w:val="en-US"/>
        </w:rPr>
      </w:pPr>
      <w:r w:rsidRPr="00991378">
        <w:rPr>
          <w:lang w:val="en-US"/>
        </w:rPr>
        <w:t xml:space="preserve">From </w:t>
      </w:r>
      <w:r>
        <w:rPr>
          <w:lang w:val="en-US"/>
        </w:rPr>
        <w:t>C</w:t>
      </w:r>
      <w:r w:rsidRPr="00991378">
        <w:rPr>
          <w:lang w:val="en-US"/>
        </w:rPr>
        <w:t xml:space="preserve">ustomary to </w:t>
      </w:r>
      <w:r>
        <w:rPr>
          <w:lang w:val="en-US"/>
        </w:rPr>
        <w:t>T</w:t>
      </w:r>
      <w:r w:rsidRPr="00991378">
        <w:rPr>
          <w:lang w:val="en-US"/>
        </w:rPr>
        <w:t xml:space="preserve">itled </w:t>
      </w:r>
      <w:r>
        <w:rPr>
          <w:lang w:val="en-US"/>
        </w:rPr>
        <w:t>L</w:t>
      </w:r>
      <w:r w:rsidRPr="00991378">
        <w:rPr>
          <w:lang w:val="en-US"/>
        </w:rPr>
        <w:t xml:space="preserve">and </w:t>
      </w:r>
      <w:r>
        <w:rPr>
          <w:lang w:val="en-US"/>
        </w:rPr>
        <w:t>T</w:t>
      </w:r>
      <w:r w:rsidRPr="00991378">
        <w:rPr>
          <w:lang w:val="en-US"/>
        </w:rPr>
        <w:t xml:space="preserve">enure – and </w:t>
      </w:r>
      <w:r>
        <w:rPr>
          <w:lang w:val="en-US"/>
        </w:rPr>
        <w:t>B</w:t>
      </w:r>
      <w:r w:rsidRPr="00991378">
        <w:rPr>
          <w:lang w:val="en-US"/>
        </w:rPr>
        <w:t xml:space="preserve">ack </w:t>
      </w:r>
      <w:r>
        <w:rPr>
          <w:lang w:val="en-US"/>
        </w:rPr>
        <w:t>A</w:t>
      </w:r>
      <w:r w:rsidRPr="00991378">
        <w:rPr>
          <w:lang w:val="en-US"/>
        </w:rPr>
        <w:t>gain</w:t>
      </w:r>
      <w:r>
        <w:rPr>
          <w:lang w:val="en-US"/>
        </w:rPr>
        <w:t>:</w:t>
      </w:r>
      <w:r>
        <w:rPr>
          <w:lang w:val="en-US"/>
        </w:rPr>
        <w:br/>
      </w:r>
      <w:r w:rsidRPr="00991378">
        <w:rPr>
          <w:lang w:val="en-US"/>
        </w:rPr>
        <w:t xml:space="preserve">Zimbabwe’s </w:t>
      </w:r>
      <w:r>
        <w:rPr>
          <w:lang w:val="en-US"/>
        </w:rPr>
        <w:t>R</w:t>
      </w:r>
      <w:r w:rsidRPr="00991378">
        <w:rPr>
          <w:lang w:val="en-US"/>
        </w:rPr>
        <w:t xml:space="preserve">oad to </w:t>
      </w:r>
      <w:r>
        <w:rPr>
          <w:lang w:val="en-US"/>
        </w:rPr>
        <w:t>R</w:t>
      </w:r>
      <w:r w:rsidRPr="00991378">
        <w:rPr>
          <w:lang w:val="en-US"/>
        </w:rPr>
        <w:t>uin</w:t>
      </w:r>
      <w:r w:rsidRPr="0035619C">
        <w:rPr>
          <w:rStyle w:val="FootnoteReference"/>
          <w:bCs w:val="0"/>
          <w:sz w:val="28"/>
          <w:lang w:val="en-US"/>
        </w:rPr>
        <w:footnoteReference w:id="33"/>
      </w:r>
    </w:p>
    <w:p w14:paraId="447A2C19" w14:textId="77777777" w:rsidR="009F661C" w:rsidRPr="00991378" w:rsidRDefault="009F661C" w:rsidP="0035619C">
      <w:pPr>
        <w:pStyle w:val="h1"/>
        <w:rPr>
          <w:lang w:val="en-US"/>
        </w:rPr>
      </w:pPr>
      <w:r>
        <w:rPr>
          <w:lang w:val="en-US"/>
        </w:rPr>
        <w:t>Timothy Curtin</w:t>
      </w:r>
    </w:p>
    <w:p w14:paraId="1DFAA449" w14:textId="77777777" w:rsidR="009F661C" w:rsidRDefault="009F661C" w:rsidP="00C24C73">
      <w:pPr>
        <w:pStyle w:val="BodyTextIndent2"/>
        <w:ind w:left="0" w:right="-86" w:firstLine="284"/>
        <w:jc w:val="both"/>
        <w:rPr>
          <w:sz w:val="20"/>
          <w:szCs w:val="20"/>
        </w:rPr>
      </w:pPr>
    </w:p>
    <w:p w14:paraId="337D38E5" w14:textId="77777777" w:rsidR="009F661C" w:rsidRDefault="009F661C" w:rsidP="00C24C73">
      <w:pPr>
        <w:pStyle w:val="BodyTextIndent2"/>
        <w:ind w:left="0" w:right="-86" w:firstLine="284"/>
        <w:jc w:val="both"/>
        <w:rPr>
          <w:sz w:val="20"/>
          <w:szCs w:val="20"/>
        </w:rPr>
      </w:pPr>
    </w:p>
    <w:p w14:paraId="65FC81C1" w14:textId="77777777" w:rsidR="009F661C" w:rsidRDefault="009F661C" w:rsidP="00C24C73">
      <w:pPr>
        <w:pStyle w:val="BodyTextIndent2"/>
        <w:ind w:left="0" w:right="-86" w:firstLine="284"/>
        <w:jc w:val="both"/>
        <w:rPr>
          <w:sz w:val="20"/>
          <w:szCs w:val="20"/>
        </w:rPr>
      </w:pPr>
    </w:p>
    <w:p w14:paraId="230ABDC7" w14:textId="77777777" w:rsidR="009F661C" w:rsidRPr="009A7122" w:rsidRDefault="009F661C" w:rsidP="00C24C73">
      <w:pPr>
        <w:pStyle w:val="BodyTextIndent2"/>
        <w:ind w:left="0" w:right="-86" w:firstLine="284"/>
        <w:jc w:val="both"/>
        <w:rPr>
          <w:sz w:val="20"/>
          <w:szCs w:val="20"/>
        </w:rPr>
      </w:pPr>
      <w:r w:rsidRPr="009A7122">
        <w:rPr>
          <w:sz w:val="20"/>
          <w:szCs w:val="20"/>
        </w:rPr>
        <w:t xml:space="preserve">The conventional view is that the white settlers who descended on Zimbabwe, then Southern Rhodesia, just over a century ago, appropriated all or most of the best land, and that the indigenous majority was confined to inferior land across the country. This paper shows that the view is largely incorrect. In fact most of the land appropriated by the settlers was in the alleged inferior land categories (III, IV, and V), and Africans retained their customary ownership of most of the land they had actually been occupying at the time the settlers arrived. </w:t>
      </w:r>
    </w:p>
    <w:p w14:paraId="6E1F4E03" w14:textId="77777777" w:rsidR="009F661C" w:rsidRPr="009A7122" w:rsidRDefault="009F661C" w:rsidP="00C24C73">
      <w:pPr>
        <w:pStyle w:val="BodyTextIndent2"/>
        <w:ind w:left="0" w:right="-86" w:firstLine="284"/>
        <w:jc w:val="both"/>
        <w:rPr>
          <w:sz w:val="20"/>
          <w:szCs w:val="20"/>
        </w:rPr>
      </w:pPr>
      <w:r w:rsidRPr="009A7122">
        <w:rPr>
          <w:sz w:val="20"/>
          <w:szCs w:val="20"/>
        </w:rPr>
        <w:t>However, for reasons that will be explained, the majority was never able fully to utilize its endowment, and never equaled the production levels attained by the white farmers from a similar aggregate holding. This enhanced the perception of an inequitable land distribution. Zimbabwe’s land problem after 1980 is not that so much remained in white ownership (in fact as many as one third of white farms at independence had been transferred to black ownership by 2000) but that both all the old tribal areas and most of the new black-owned farms remained unproductive. The paper concludes by offering some lessons for South Africa and Australia with their similar land ownership history and structure.</w:t>
      </w:r>
    </w:p>
    <w:p w14:paraId="4200B74F" w14:textId="77777777" w:rsidR="009F661C" w:rsidRPr="009A7122" w:rsidRDefault="009F661C" w:rsidP="00C24C73">
      <w:pPr>
        <w:ind w:right="-86" w:firstLine="284"/>
        <w:jc w:val="both"/>
        <w:rPr>
          <w:sz w:val="20"/>
          <w:szCs w:val="20"/>
          <w:lang w:val="en-US"/>
        </w:rPr>
      </w:pPr>
      <w:r w:rsidRPr="009A7122">
        <w:rPr>
          <w:sz w:val="20"/>
          <w:szCs w:val="20"/>
          <w:lang w:val="en-US"/>
        </w:rPr>
        <w:t xml:space="preserve">The conventional view is </w:t>
      </w:r>
      <w:r>
        <w:rPr>
          <w:sz w:val="20"/>
          <w:szCs w:val="20"/>
          <w:lang w:val="en-US"/>
        </w:rPr>
        <w:t xml:space="preserve">well illustrated by </w:t>
      </w:r>
      <w:r w:rsidRPr="009A7122">
        <w:rPr>
          <w:sz w:val="20"/>
          <w:szCs w:val="20"/>
        </w:rPr>
        <w:t xml:space="preserve">the World Bank’s Deininger </w:t>
      </w:r>
      <w:r w:rsidRPr="009A7122">
        <w:rPr>
          <w:i/>
          <w:iCs/>
          <w:sz w:val="20"/>
          <w:szCs w:val="20"/>
        </w:rPr>
        <w:t>et al</w:t>
      </w:r>
      <w:r w:rsidRPr="009A7122">
        <w:rPr>
          <w:sz w:val="20"/>
          <w:szCs w:val="20"/>
        </w:rPr>
        <w:t xml:space="preserve">. (2004) </w:t>
      </w:r>
      <w:r>
        <w:rPr>
          <w:sz w:val="20"/>
          <w:szCs w:val="20"/>
        </w:rPr>
        <w:t xml:space="preserve">who </w:t>
      </w:r>
      <w:r w:rsidRPr="009A7122">
        <w:rPr>
          <w:sz w:val="20"/>
          <w:szCs w:val="20"/>
        </w:rPr>
        <w:t xml:space="preserve">state that in 1980 “about 15 million acres of predominantly </w:t>
      </w:r>
      <w:r w:rsidRPr="009A7122">
        <w:rPr>
          <w:sz w:val="20"/>
          <w:szCs w:val="20"/>
        </w:rPr>
        <w:lastRenderedPageBreak/>
        <w:t xml:space="preserve">good quality land was occupied by about 6,100 families of European descent, and 16.4 million hectares of less fertile land was occupied by a little less than 800,000 indigenous families”. This echoed the similar claim by Kinsey (1999:177). These authors fail to mention that by 1971 as many as 300,000 African families were </w:t>
      </w:r>
      <w:r w:rsidRPr="009A7122">
        <w:rPr>
          <w:i/>
          <w:iCs/>
          <w:sz w:val="20"/>
          <w:szCs w:val="20"/>
        </w:rPr>
        <w:t>de facto</w:t>
      </w:r>
      <w:r w:rsidRPr="009A7122">
        <w:rPr>
          <w:sz w:val="20"/>
          <w:szCs w:val="20"/>
        </w:rPr>
        <w:t xml:space="preserve"> permanently domiciled on the white farms, or that about 500,000 families were domiciled in the “white” towns and cities (Curtin 1973:661), where by 1963 they were able to buy or lease houses in designated suburbs (known as townships). Similarly, these authors failed to observe the identical quality of the land holdings of the majority of each racial group, see Table 2 below.</w:t>
      </w:r>
      <w:r w:rsidRPr="009A7122">
        <w:rPr>
          <w:sz w:val="20"/>
          <w:szCs w:val="20"/>
          <w:lang w:val="en-US"/>
        </w:rPr>
        <w:t xml:space="preserve"> </w:t>
      </w:r>
    </w:p>
    <w:p w14:paraId="30853308" w14:textId="77777777" w:rsidR="009F661C" w:rsidRDefault="009F661C" w:rsidP="00C24C73">
      <w:pPr>
        <w:ind w:right="-86" w:firstLine="284"/>
        <w:jc w:val="both"/>
        <w:rPr>
          <w:sz w:val="20"/>
          <w:szCs w:val="20"/>
        </w:rPr>
      </w:pPr>
      <w:r w:rsidRPr="009A7122">
        <w:rPr>
          <w:sz w:val="20"/>
          <w:szCs w:val="20"/>
        </w:rPr>
        <w:t xml:space="preserve">The history of land settlement in S. Rhodesia is also a little more complex than </w:t>
      </w:r>
      <w:r>
        <w:rPr>
          <w:sz w:val="20"/>
          <w:szCs w:val="20"/>
        </w:rPr>
        <w:t xml:space="preserve">it appears </w:t>
      </w:r>
      <w:r w:rsidRPr="009A7122">
        <w:rPr>
          <w:sz w:val="20"/>
          <w:szCs w:val="20"/>
        </w:rPr>
        <w:t>in many accounts. First, the prime motivation of those in the Pioneer Column (and its sponsor Cecil John Rhodes) of just under 200 hundred would–be settlers that arrived in what is now Harare in 1890, was in fact gold, not farmland. Secondly, when the gold proved elusive and farming seemed a better option, an Ndebele uprising in what is now Bulawayo in 1893, the Shona Rebellion of early 1896, and the second Matabele war later in 1896, made it clear that there were limits to the amount of land that could be “seized” by force (over and above the restrictions in the Charter of Rhodes’ BSA Company) (for accounts of these events see Palley 1966, Blake 1977). The Company and the settlers perforce took the line of least resistance and occupied mostly the less populated areas, which explains the patchwork quilt of the final land distribution (Palmer 1977). For a district-by-district account of how the land was “apportioned” between settlers and the original occupiers, see</w:t>
      </w:r>
      <w:r>
        <w:rPr>
          <w:sz w:val="20"/>
          <w:szCs w:val="20"/>
        </w:rPr>
        <w:t xml:space="preserve"> </w:t>
      </w:r>
      <w:r w:rsidRPr="009A7122">
        <w:rPr>
          <w:sz w:val="20"/>
          <w:szCs w:val="20"/>
        </w:rPr>
        <w:t xml:space="preserve">Palmer (1977, Appendix I). It was a messy business – far removed from the clinical process implied by Deininger </w:t>
      </w:r>
      <w:r w:rsidRPr="009A7122">
        <w:rPr>
          <w:i/>
          <w:sz w:val="20"/>
          <w:szCs w:val="20"/>
        </w:rPr>
        <w:t>et al.</w:t>
      </w:r>
      <w:r w:rsidRPr="009A7122">
        <w:rPr>
          <w:sz w:val="20"/>
          <w:szCs w:val="20"/>
        </w:rPr>
        <w:t xml:space="preserve"> (2004). There was a nearly endless process of negotiation between the administration, which had genuine concerns to avoid creation of a wholly landless indigenous population, the ever-importunate settlers, and the often effective negotiating skills of traditional leaders of the indigenes (Ranger </w:t>
      </w:r>
      <w:r>
        <w:rPr>
          <w:sz w:val="20"/>
          <w:szCs w:val="20"/>
        </w:rPr>
        <w:t>1969, Moore 2005</w:t>
      </w:r>
      <w:r w:rsidRPr="009A7122">
        <w:rPr>
          <w:sz w:val="20"/>
          <w:szCs w:val="20"/>
        </w:rPr>
        <w:t>).</w:t>
      </w:r>
    </w:p>
    <w:p w14:paraId="010391E0" w14:textId="77777777" w:rsidR="009F661C" w:rsidRPr="009A7122" w:rsidRDefault="009F661C" w:rsidP="00C24C73">
      <w:pPr>
        <w:tabs>
          <w:tab w:val="left" w:pos="5954"/>
        </w:tabs>
        <w:ind w:right="-86" w:firstLine="284"/>
        <w:jc w:val="both"/>
        <w:rPr>
          <w:sz w:val="20"/>
          <w:szCs w:val="20"/>
        </w:rPr>
      </w:pPr>
      <w:r w:rsidRPr="009A7122">
        <w:rPr>
          <w:sz w:val="20"/>
          <w:szCs w:val="20"/>
        </w:rPr>
        <w:t>The country had in effect by 1970 been equally divided into black and white areas (see Table 1</w:t>
      </w:r>
      <w:r>
        <w:rPr>
          <w:sz w:val="20"/>
          <w:szCs w:val="20"/>
        </w:rPr>
        <w:t xml:space="preserve"> and Plate A1 below</w:t>
      </w:r>
      <w:r w:rsidRPr="009A7122">
        <w:rPr>
          <w:sz w:val="20"/>
          <w:szCs w:val="20"/>
        </w:rPr>
        <w:t xml:space="preserve">, </w:t>
      </w:r>
      <w:r>
        <w:rPr>
          <w:sz w:val="20"/>
          <w:szCs w:val="20"/>
        </w:rPr>
        <w:t>and</w:t>
      </w:r>
      <w:r w:rsidRPr="009A7122">
        <w:rPr>
          <w:sz w:val="20"/>
          <w:szCs w:val="20"/>
        </w:rPr>
        <w:t xml:space="preserve"> Palmer 1977), inequitably on a per capita basis, of course, but rather different from South Africa where the area wholly assigned to Africans was never more than 13 per cent, as against Rhodesia’s 49 per cent. Arguably</w:t>
      </w:r>
      <w:r>
        <w:rPr>
          <w:sz w:val="20"/>
          <w:szCs w:val="20"/>
        </w:rPr>
        <w:t>,</w:t>
      </w:r>
      <w:r w:rsidRPr="009A7122">
        <w:rPr>
          <w:sz w:val="20"/>
          <w:szCs w:val="20"/>
        </w:rPr>
        <w:t xml:space="preserve"> game reserves and forests benefited all equally. African suburbs in the towns are absent from these statistics, as they deem all towns to be 100 per cent white occupied, but by the 1950s townships like Harare and Highfield in Salisbury (now Harare) and Sakubva in Umtali, were vibrant urban communities in their own right, </w:t>
      </w:r>
      <w:r>
        <w:rPr>
          <w:sz w:val="20"/>
          <w:szCs w:val="20"/>
        </w:rPr>
        <w:lastRenderedPageBreak/>
        <w:t>accounting b</w:t>
      </w:r>
      <w:r w:rsidRPr="009A7122">
        <w:rPr>
          <w:sz w:val="20"/>
          <w:szCs w:val="20"/>
        </w:rPr>
        <w:t>y 1978 for 23 percent of the total African population, Tickner 1979:8).</w:t>
      </w:r>
      <w:r w:rsidRPr="009A7122">
        <w:rPr>
          <w:rStyle w:val="FootnoteReference"/>
          <w:sz w:val="20"/>
          <w:szCs w:val="20"/>
        </w:rPr>
        <w:footnoteReference w:id="34"/>
      </w:r>
    </w:p>
    <w:p w14:paraId="00FFFB4C" w14:textId="77777777" w:rsidR="009F661C" w:rsidRPr="009A7122" w:rsidRDefault="009F661C" w:rsidP="00C24C73">
      <w:pPr>
        <w:tabs>
          <w:tab w:val="left" w:pos="5954"/>
        </w:tabs>
        <w:ind w:right="-86" w:firstLine="284"/>
        <w:jc w:val="both"/>
        <w:rPr>
          <w:sz w:val="20"/>
          <w:szCs w:val="20"/>
        </w:rPr>
      </w:pPr>
      <w:r w:rsidRPr="009A7122">
        <w:rPr>
          <w:sz w:val="20"/>
          <w:szCs w:val="20"/>
        </w:rPr>
        <w:t xml:space="preserve">The data in Table 2 reveal the more nuanced outcome. While 87 per cent of Africans’ total land holding was in the less favoured zones III, IV, and V, with their more uncertain rainfall and variable soils, no less than 72 per cent of the whites’ land was in the same areas. Moreover some of the biggest alienated holdings (many of them owned by ranching companies) were in Zone V, most of which was in the south and west of the country, namely Matabeleland. Clearly more than two-thirds of the settlers’ landholdings were in the drought-prone Zones III-V, contrary to the received view of all previous discussions of land in Zimbabwe, especially those in Palmer (1977) and the World Bank study (Deininger </w:t>
      </w:r>
      <w:r w:rsidRPr="009A7122">
        <w:rPr>
          <w:i/>
          <w:iCs/>
          <w:sz w:val="20"/>
          <w:szCs w:val="20"/>
        </w:rPr>
        <w:t>et al.</w:t>
      </w:r>
      <w:r w:rsidRPr="009A7122">
        <w:rPr>
          <w:sz w:val="20"/>
          <w:szCs w:val="20"/>
        </w:rPr>
        <w:t xml:space="preserve"> 2004).</w:t>
      </w:r>
    </w:p>
    <w:p w14:paraId="77583992" w14:textId="77777777" w:rsidR="009F661C" w:rsidRPr="009A7122" w:rsidRDefault="009F661C" w:rsidP="00C24C73">
      <w:pPr>
        <w:tabs>
          <w:tab w:val="left" w:pos="5954"/>
        </w:tabs>
        <w:ind w:right="-86" w:firstLine="284"/>
        <w:jc w:val="both"/>
        <w:rPr>
          <w:sz w:val="20"/>
          <w:szCs w:val="20"/>
        </w:rPr>
      </w:pPr>
      <w:r w:rsidRPr="009A7122">
        <w:rPr>
          <w:sz w:val="20"/>
          <w:szCs w:val="20"/>
        </w:rPr>
        <w:t xml:space="preserve">Non-Africans certainly owned most of Zone I with its excellent red soils and abundant rainfall, but that Zone accounted for only just over one per cent of the country’s total land area. Fortuitously the very small areas of thick red loamy soils that dominate Zone I had been largely uninhabited because hoe-based farming could not work these heavy soils, which need the ox-drawn ploughs that the Shona had yet to devise as of 1890. Plainly, on a per capita basis Zimbabwe’s land allocation was “inequitable”, yet, ironically, the Mugabe Government’s own data show that in 1995 there was less African poverty in the large-scale commercial farming sector than in the communal. </w:t>
      </w:r>
    </w:p>
    <w:p w14:paraId="0EA58CC4" w14:textId="77777777" w:rsidR="009F661C" w:rsidRPr="009A7122" w:rsidRDefault="009F661C" w:rsidP="00C24C73">
      <w:pPr>
        <w:tabs>
          <w:tab w:val="left" w:pos="5954"/>
        </w:tabs>
        <w:ind w:right="-86" w:firstLine="284"/>
        <w:jc w:val="both"/>
        <w:rPr>
          <w:sz w:val="20"/>
          <w:szCs w:val="20"/>
        </w:rPr>
      </w:pPr>
      <w:r w:rsidRPr="009A7122">
        <w:rPr>
          <w:sz w:val="20"/>
          <w:szCs w:val="20"/>
        </w:rPr>
        <w:t xml:space="preserve">Another of the stylized facts about Zimbabwe’s land history that is misleading is that it was white </w:t>
      </w:r>
      <w:r w:rsidRPr="009A7122">
        <w:rPr>
          <w:i/>
          <w:iCs/>
          <w:sz w:val="20"/>
          <w:szCs w:val="20"/>
        </w:rPr>
        <w:t>individuals</w:t>
      </w:r>
      <w:r w:rsidRPr="009A7122">
        <w:rPr>
          <w:sz w:val="20"/>
          <w:szCs w:val="20"/>
        </w:rPr>
        <w:t xml:space="preserve"> who owned the rather small total of 6,100 farms held under freehold title by 1980. In fact from the earliest days the BSA Company had difficulty getting enough individuals to buy farms, so that by 1899 more than half of the alienated land of some 16 million acres (6.3 mn hectares, and 16 per cent of the total land area of about 100 million acres) was owned by companies and syndicates – that basic pattern persisted until 2000, with the largest holdings throughout the country still owned by various multinational companies, notably the cattle and game ranches of Matabeleland, the sugar estates at Triangle and Chiredzi, and the forest, tea, and coffee plantations of Manicaland (Tickner 1979:20).  For example, of 1,471 farms identified for take-over in 1998, company ownership accounted for 59 per cent by number and 72 per cent of the 3.99 million hectares (Moyo 2000: 17).</w:t>
      </w:r>
      <w:r w:rsidRPr="009A7122">
        <w:rPr>
          <w:rStyle w:val="FootnoteReference"/>
          <w:sz w:val="20"/>
          <w:szCs w:val="20"/>
        </w:rPr>
        <w:footnoteReference w:id="35"/>
      </w:r>
    </w:p>
    <w:p w14:paraId="0015E398" w14:textId="77777777" w:rsidR="009F661C" w:rsidRPr="009A7122" w:rsidRDefault="009F661C" w:rsidP="00C24C73">
      <w:pPr>
        <w:tabs>
          <w:tab w:val="left" w:pos="5954"/>
        </w:tabs>
        <w:ind w:right="-86" w:firstLine="284"/>
        <w:jc w:val="both"/>
        <w:rPr>
          <w:sz w:val="20"/>
          <w:szCs w:val="20"/>
          <w:lang w:val="en-US"/>
        </w:rPr>
      </w:pPr>
      <w:r w:rsidRPr="009A7122">
        <w:rPr>
          <w:sz w:val="20"/>
          <w:szCs w:val="20"/>
          <w:lang w:val="en-US"/>
        </w:rPr>
        <w:lastRenderedPageBreak/>
        <w:t>The indigenous majority did not make as good use of its nearly equal total allocation as compared with white farmers using much the same land types (for a full account, see Tickner 1979). Although by 1979 the African farmlands held more beef cattle, sheep and goats than the European areas, (Tickner 197</w:t>
      </w:r>
      <w:r>
        <w:rPr>
          <w:sz w:val="20"/>
          <w:szCs w:val="20"/>
          <w:lang w:val="en-US"/>
        </w:rPr>
        <w:t>9</w:t>
      </w:r>
      <w:r w:rsidRPr="009A7122">
        <w:rPr>
          <w:sz w:val="20"/>
          <w:szCs w:val="20"/>
          <w:lang w:val="en-US"/>
        </w:rPr>
        <w:t xml:space="preserve">: Table 10), Poulton </w:t>
      </w:r>
      <w:r w:rsidRPr="009A7122">
        <w:rPr>
          <w:i/>
          <w:iCs/>
          <w:sz w:val="20"/>
          <w:szCs w:val="20"/>
          <w:lang w:val="en-US"/>
        </w:rPr>
        <w:t>et al.</w:t>
      </w:r>
      <w:r w:rsidRPr="009A7122">
        <w:rPr>
          <w:sz w:val="20"/>
          <w:szCs w:val="20"/>
          <w:lang w:val="en-US"/>
        </w:rPr>
        <w:t xml:space="preserve"> (2007) note even by the 1990s only 5% of cattle bought by the Cold Storage Commission was from the smallholder sector. The ongoing insurrection in the 1970s clearly had an impact on production in the Tribal Trust Lands (TTL), but not enough to explain why the value of agricultural production from the European areas (targeted by the Patriotic Front of Robert Mugabe and Joshua Nkomo) was R$428.4 million, while that from the Front’s own homelands (including for its own consumption) was R$90 million (Tickner 1979:19). Actual sales from the TTLs were worth only R$24.6 million, while in 1976 (well before the insurrection reached its peak) the European areas were responsible for 92 percent of marketed output (</w:t>
      </w:r>
      <w:r w:rsidRPr="009A7122">
        <w:rPr>
          <w:i/>
          <w:sz w:val="20"/>
          <w:szCs w:val="20"/>
          <w:lang w:val="en-US"/>
        </w:rPr>
        <w:t>ibid.</w:t>
      </w:r>
      <w:r w:rsidRPr="009A7122">
        <w:rPr>
          <w:sz w:val="20"/>
          <w:szCs w:val="20"/>
          <w:lang w:val="en-US"/>
        </w:rPr>
        <w:t>19-20).</w:t>
      </w:r>
    </w:p>
    <w:p w14:paraId="62C8EE05" w14:textId="77777777" w:rsidR="009F661C" w:rsidRPr="009A7122" w:rsidRDefault="009F661C" w:rsidP="00C24C73">
      <w:pPr>
        <w:tabs>
          <w:tab w:val="left" w:pos="5954"/>
        </w:tabs>
        <w:ind w:right="-86" w:firstLine="284"/>
        <w:jc w:val="both"/>
        <w:rPr>
          <w:sz w:val="20"/>
          <w:szCs w:val="20"/>
          <w:lang w:val="en-US"/>
        </w:rPr>
      </w:pPr>
      <w:r w:rsidRPr="009A7122">
        <w:rPr>
          <w:sz w:val="20"/>
          <w:szCs w:val="20"/>
          <w:lang w:val="en-US"/>
        </w:rPr>
        <w:t>The disproportion in production from white- and black-occupied farmland created and over time enhanced the perception of an inequitable land distribution. That perception is vividly illustrated in the Google Earth satellite image</w:t>
      </w:r>
      <w:r>
        <w:rPr>
          <w:sz w:val="20"/>
          <w:szCs w:val="20"/>
          <w:lang w:val="en-US"/>
        </w:rPr>
        <w:t>s</w:t>
      </w:r>
      <w:r w:rsidRPr="009A7122">
        <w:rPr>
          <w:sz w:val="20"/>
          <w:szCs w:val="20"/>
          <w:lang w:val="en-US"/>
        </w:rPr>
        <w:t xml:space="preserve"> of the Chitonga farming area in West Mashonaland during the early expropriations up to 2005 (Craig Richardson, 2006b, see </w:t>
      </w:r>
      <w:r>
        <w:rPr>
          <w:sz w:val="20"/>
          <w:szCs w:val="20"/>
          <w:lang w:val="en-US"/>
        </w:rPr>
        <w:t>Plate A2 here. L</w:t>
      </w:r>
      <w:r w:rsidRPr="009A7122">
        <w:rPr>
          <w:sz w:val="20"/>
          <w:szCs w:val="20"/>
          <w:lang w:val="en-US"/>
        </w:rPr>
        <w:t>ater views, also available at Google Earth, of the situation in 2007</w:t>
      </w:r>
      <w:r>
        <w:rPr>
          <w:sz w:val="20"/>
          <w:szCs w:val="20"/>
          <w:lang w:val="en-US"/>
        </w:rPr>
        <w:t>, see Plate A3, and 2010, Plate A4)</w:t>
      </w:r>
      <w:r w:rsidRPr="009A7122">
        <w:rPr>
          <w:sz w:val="20"/>
          <w:szCs w:val="20"/>
          <w:lang w:val="en-US"/>
        </w:rPr>
        <w:t xml:space="preserve"> by when that process was complete). Clearly the topography of the adjoining black and white farmlands in Chitonga is very similar, and they share the same rivers, but the visual impression </w:t>
      </w:r>
      <w:r>
        <w:rPr>
          <w:sz w:val="20"/>
          <w:szCs w:val="20"/>
          <w:lang w:val="en-US"/>
        </w:rPr>
        <w:t xml:space="preserve">in Plate A2 </w:t>
      </w:r>
      <w:r w:rsidRPr="009A7122">
        <w:rPr>
          <w:sz w:val="20"/>
          <w:szCs w:val="20"/>
          <w:lang w:val="en-US"/>
        </w:rPr>
        <w:t xml:space="preserve">of starkly discrepant relative productivity is very striking. The ability of the white farmers with their land title to raise the significant capital needed to build the many large dams in their area is very evident, relative to their absence in the communal area. Dams and the associated irrigation enable farmers of any colour to create rainfall security even in a Zone III area like Chitonga. The later Google Earth views suggest the reversion of the white areas to effective untitled or communal ownership by 2008 led to the drying up of the dams and an evident widespread abandonment of cultivation (partly because of the cessation of irrigation). </w:t>
      </w:r>
    </w:p>
    <w:p w14:paraId="516031AC" w14:textId="77777777" w:rsidR="009F661C" w:rsidRPr="009A7122" w:rsidRDefault="009F661C" w:rsidP="00C24C73">
      <w:pPr>
        <w:tabs>
          <w:tab w:val="left" w:pos="5954"/>
        </w:tabs>
        <w:ind w:right="-86" w:firstLine="284"/>
        <w:jc w:val="both"/>
        <w:rPr>
          <w:sz w:val="20"/>
          <w:szCs w:val="20"/>
          <w:lang w:val="en-US"/>
        </w:rPr>
      </w:pPr>
      <w:r w:rsidRPr="009A7122">
        <w:rPr>
          <w:sz w:val="20"/>
          <w:szCs w:val="20"/>
          <w:lang w:val="en-US"/>
        </w:rPr>
        <w:lastRenderedPageBreak/>
        <w:t xml:space="preserve">It might be thought that the coming of “freedom” in 1980 would have brought an end to the previous largely race-based land allocation, but it did not. While white-owned farmland became available for purchase by all Zimbabweans, white or black, and the British government provided £50 million to finance purchases of white farms by black Zimbabweans, no Zimbabweans, black or white, were legally enabled to purchase farms in the former TTL, where the prehistoric (i.e. pre-white settlement) customary land tenure system remained in full force. </w:t>
      </w:r>
    </w:p>
    <w:p w14:paraId="725E84A0" w14:textId="77777777" w:rsidR="009F661C" w:rsidRPr="009A7122" w:rsidRDefault="009F661C" w:rsidP="00C24C73">
      <w:pPr>
        <w:ind w:right="-86" w:firstLine="284"/>
        <w:jc w:val="both"/>
        <w:rPr>
          <w:sz w:val="20"/>
          <w:szCs w:val="20"/>
          <w:lang w:val="en-US"/>
        </w:rPr>
      </w:pPr>
      <w:r w:rsidRPr="009A7122">
        <w:rPr>
          <w:sz w:val="20"/>
          <w:szCs w:val="20"/>
          <w:lang w:val="en-US"/>
        </w:rPr>
        <w:t>After 2000 both whites and blacks were prevented from acquiring land title in nearly all the country – and since the constitutional amendments of 2002, no white can own or occupy farmland anywhere at all, and even the blacks are excluded from all titled ownership in rural areas (as in Stalin’s Soviet Union and Mao’s China). Although blacks in former white farmlands do have some occupation rights, these are removable in favour of the cleptocracy – and have already often been so removed, for example by cabinet ministers like Didymus Mutasa and Stan Mudenge</w:t>
      </w:r>
      <w:r w:rsidRPr="009A7122">
        <w:rPr>
          <w:rStyle w:val="FootnoteReference"/>
          <w:sz w:val="20"/>
          <w:szCs w:val="20"/>
          <w:lang w:val="en-US"/>
        </w:rPr>
        <w:footnoteReference w:id="36"/>
      </w:r>
      <w:r w:rsidRPr="009A7122">
        <w:rPr>
          <w:sz w:val="20"/>
          <w:szCs w:val="20"/>
          <w:lang w:val="en-US"/>
        </w:rPr>
        <w:t xml:space="preserve">. Another minister, Nathan Shamuyarira, </w:t>
      </w:r>
      <w:r w:rsidRPr="009A7122">
        <w:rPr>
          <w:sz w:val="20"/>
          <w:szCs w:val="20"/>
        </w:rPr>
        <w:t>was implicated in the forcible takeover of Ben Freeth’s Mount Carmel mango farm at Chegutu in Mashonaland West</w:t>
      </w:r>
      <w:r>
        <w:rPr>
          <w:sz w:val="20"/>
          <w:szCs w:val="20"/>
        </w:rPr>
        <w:t>, and his son supervised the burning down of their homestead</w:t>
      </w:r>
      <w:r w:rsidRPr="009A7122">
        <w:rPr>
          <w:rStyle w:val="FootnoteReference"/>
          <w:sz w:val="20"/>
          <w:szCs w:val="20"/>
          <w:lang w:val="en-US"/>
        </w:rPr>
        <w:t xml:space="preserve"> </w:t>
      </w:r>
      <w:r w:rsidRPr="009A7122">
        <w:rPr>
          <w:rStyle w:val="FootnoteReference"/>
          <w:sz w:val="20"/>
          <w:szCs w:val="20"/>
          <w:lang w:val="en-US"/>
        </w:rPr>
        <w:footnoteReference w:id="37"/>
      </w:r>
      <w:r w:rsidRPr="009A7122">
        <w:rPr>
          <w:sz w:val="20"/>
          <w:szCs w:val="20"/>
          <w:lang w:val="en-US"/>
        </w:rPr>
        <w:t>. None of these demean themselves by undertaking any farming, but enjoy weekend retreats in the charming residences of the expelled farmers</w:t>
      </w:r>
      <w:r>
        <w:rPr>
          <w:sz w:val="20"/>
          <w:szCs w:val="20"/>
          <w:lang w:val="en-US"/>
        </w:rPr>
        <w:t>, except of course when burnt down.</w:t>
      </w:r>
      <w:r w:rsidRPr="009A7122">
        <w:rPr>
          <w:sz w:val="20"/>
          <w:szCs w:val="20"/>
          <w:lang w:val="en-US"/>
        </w:rPr>
        <w:t xml:space="preserve"> For earlier cases, see Todd (2007).</w:t>
      </w:r>
    </w:p>
    <w:p w14:paraId="2F12D29B" w14:textId="77777777" w:rsidR="009F661C" w:rsidRPr="009A7122" w:rsidRDefault="009F661C" w:rsidP="00C24C73">
      <w:pPr>
        <w:ind w:right="-86" w:firstLine="284"/>
        <w:jc w:val="both"/>
        <w:rPr>
          <w:sz w:val="20"/>
          <w:szCs w:val="20"/>
          <w:lang w:val="en-US"/>
        </w:rPr>
      </w:pPr>
      <w:r w:rsidRPr="009A7122">
        <w:rPr>
          <w:sz w:val="20"/>
          <w:szCs w:val="20"/>
          <w:lang w:val="en-US"/>
        </w:rPr>
        <w:t xml:space="preserve">Thus the real problem with land after 1980 is not that so much remained in white ownership as that while all the old tribal areas remained unproductive, most of the 71,000 new black-owned farms created in the land (3.5 million hectares) bought from some 2,000 white farmers using the British government’s grant, soon lapsed into the same state, partly because of their small average size, </w:t>
      </w:r>
      <w:r>
        <w:rPr>
          <w:sz w:val="20"/>
          <w:szCs w:val="20"/>
          <w:lang w:val="en-US"/>
        </w:rPr>
        <w:t>but mainly</w:t>
      </w:r>
      <w:r w:rsidRPr="009A7122">
        <w:rPr>
          <w:sz w:val="20"/>
          <w:szCs w:val="20"/>
          <w:lang w:val="en-US"/>
        </w:rPr>
        <w:t xml:space="preserve"> because none of the resettled households obtained documented title (Kinsey 1999, Freeman 2007).  The outcome even before the farm invasions of 2000 is evident in Fig.1, showing no growth in communal output, despite the inclusion of the output of the 70,000 new settlers on over 3 million hectares of formerly white land, while despite losing those 3 million hectares the commercial sector showed considerable growth between 1982 and 1996.</w:t>
      </w:r>
    </w:p>
    <w:p w14:paraId="00264E1E" w14:textId="77777777" w:rsidR="009F661C" w:rsidRPr="009A7122" w:rsidRDefault="009F661C" w:rsidP="00C24C73">
      <w:pPr>
        <w:ind w:right="-86" w:firstLine="284"/>
        <w:jc w:val="both"/>
        <w:rPr>
          <w:sz w:val="20"/>
          <w:szCs w:val="20"/>
          <w:lang w:val="en-US"/>
        </w:rPr>
      </w:pPr>
      <w:r w:rsidRPr="009A7122">
        <w:rPr>
          <w:sz w:val="20"/>
          <w:szCs w:val="20"/>
          <w:lang w:val="en-US"/>
        </w:rPr>
        <w:t xml:space="preserve">The inability of Zimbabwe’s own leading analyst of the “land reform” programme to assess such data is striking. Instead, Moyo claims economic </w:t>
      </w:r>
      <w:r w:rsidRPr="009A7122">
        <w:rPr>
          <w:sz w:val="20"/>
          <w:szCs w:val="20"/>
          <w:lang w:val="en-US"/>
        </w:rPr>
        <w:lastRenderedPageBreak/>
        <w:t>efficiency would be promoted “through reducing the size of land holdings…” (2000:7), and that it is a myth that “freehold tenure and existing private land markets are effective and absolutely superior to other forms of tenure such as leasehold and customary (so-called communal) tenure (2000:7)</w:t>
      </w:r>
      <w:r w:rsidRPr="009A7122">
        <w:rPr>
          <w:rStyle w:val="FootnoteReference"/>
          <w:sz w:val="20"/>
          <w:szCs w:val="20"/>
          <w:lang w:val="en-US"/>
        </w:rPr>
        <w:footnoteReference w:id="38"/>
      </w:r>
      <w:r w:rsidRPr="009A7122">
        <w:rPr>
          <w:sz w:val="20"/>
          <w:szCs w:val="20"/>
          <w:lang w:val="en-US"/>
        </w:rPr>
        <w:t xml:space="preserve">. He concludes “that the dominant fear that state-led land reform will bring economic collapse is unfounded” (2000:5). If Zimbabwe’s economy </w:t>
      </w:r>
      <w:r>
        <w:rPr>
          <w:sz w:val="20"/>
          <w:szCs w:val="20"/>
          <w:lang w:val="en-US"/>
        </w:rPr>
        <w:t>wa</w:t>
      </w:r>
      <w:r w:rsidRPr="009A7122">
        <w:rPr>
          <w:sz w:val="20"/>
          <w:szCs w:val="20"/>
          <w:lang w:val="en-US"/>
        </w:rPr>
        <w:t xml:space="preserve">s not </w:t>
      </w:r>
      <w:r>
        <w:rPr>
          <w:sz w:val="20"/>
          <w:szCs w:val="20"/>
          <w:lang w:val="en-US"/>
        </w:rPr>
        <w:t>in 2008 i</w:t>
      </w:r>
      <w:r w:rsidRPr="009A7122">
        <w:rPr>
          <w:sz w:val="20"/>
          <w:szCs w:val="20"/>
          <w:lang w:val="en-US"/>
        </w:rPr>
        <w:t>n a collapsed state, what would be such a state, with inflation at some 50 billion percent a year and rising, and cZ$400 billion (at the 2000 denomination) now needed to buy one US dollar (unless one is a member of the Mugabe inner regime, for whom only Z$0.003 is enough to acquire US$1.00).  Such hyperinflation results from the deficiency of supply relative to the availability of nominal demand.</w:t>
      </w:r>
    </w:p>
    <w:p w14:paraId="588F8527" w14:textId="77777777" w:rsidR="009F661C" w:rsidRDefault="009F661C">
      <w:pPr>
        <w:rPr>
          <w:sz w:val="20"/>
          <w:szCs w:val="20"/>
          <w:lang w:val="en-US"/>
        </w:rPr>
      </w:pPr>
    </w:p>
    <w:p w14:paraId="14F4021D" w14:textId="77777777" w:rsidR="009F661C" w:rsidRDefault="009F661C" w:rsidP="00495AE1">
      <w:pPr>
        <w:ind w:right="-86"/>
        <w:jc w:val="both"/>
        <w:rPr>
          <w:sz w:val="20"/>
          <w:szCs w:val="20"/>
          <w:lang w:val="en-US"/>
        </w:rPr>
      </w:pPr>
      <w:r w:rsidRPr="00B1093A">
        <w:rPr>
          <w:sz w:val="20"/>
          <w:szCs w:val="20"/>
          <w:lang w:val="en-US"/>
        </w:rPr>
        <w:object w:dxaOrig="10484" w:dyaOrig="11204" w14:anchorId="6DC3F25C">
          <v:shape id="_x0000_i1026" type="#_x0000_t75" style="width:298pt;height:264pt" o:ole="">
            <v:imagedata r:id="rId53" o:title="" croptop="3352f" cropbottom="8060f"/>
          </v:shape>
          <o:OLEObject Type="Embed" ProgID="MSPhotoEd.3" ShapeID="_x0000_i1026" DrawAspect="Content" ObjectID="_1616412833" r:id="rId54"/>
        </w:object>
      </w:r>
    </w:p>
    <w:p w14:paraId="7001C555" w14:textId="77777777" w:rsidR="009F661C" w:rsidRDefault="009F661C" w:rsidP="00495AE1">
      <w:pPr>
        <w:ind w:right="-86"/>
        <w:jc w:val="both"/>
        <w:rPr>
          <w:sz w:val="18"/>
          <w:szCs w:val="18"/>
          <w:lang w:val="en-US"/>
        </w:rPr>
      </w:pPr>
    </w:p>
    <w:p w14:paraId="0EFC53EE" w14:textId="77777777" w:rsidR="009F661C" w:rsidRPr="00495AE1" w:rsidRDefault="009F661C" w:rsidP="00495AE1">
      <w:pPr>
        <w:ind w:right="-86"/>
        <w:jc w:val="both"/>
        <w:rPr>
          <w:sz w:val="18"/>
          <w:szCs w:val="18"/>
          <w:lang w:val="en-US"/>
        </w:rPr>
      </w:pPr>
      <w:r w:rsidRPr="00495AE1">
        <w:rPr>
          <w:sz w:val="18"/>
          <w:szCs w:val="18"/>
          <w:lang w:val="en-US"/>
        </w:rPr>
        <w:lastRenderedPageBreak/>
        <w:t>Plate A1. Zimbabwe’s Land Apportionment Act (pre-1980).</w:t>
      </w:r>
    </w:p>
    <w:p w14:paraId="012C834B" w14:textId="77777777" w:rsidR="009F661C" w:rsidRPr="00495AE1" w:rsidRDefault="009F661C" w:rsidP="00495AE1">
      <w:pPr>
        <w:jc w:val="both"/>
        <w:rPr>
          <w:sz w:val="18"/>
          <w:szCs w:val="18"/>
          <w:lang w:val="en-US"/>
        </w:rPr>
      </w:pPr>
      <w:r>
        <w:rPr>
          <w:sz w:val="20"/>
          <w:szCs w:val="20"/>
          <w:lang w:val="en-US"/>
        </w:rPr>
        <w:br w:type="page"/>
      </w:r>
      <w:r w:rsidRPr="00495AE1">
        <w:rPr>
          <w:sz w:val="18"/>
          <w:szCs w:val="18"/>
          <w:lang w:val="en-US"/>
        </w:rPr>
        <w:object w:dxaOrig="3751" w:dyaOrig="2985" w14:anchorId="1135B773">
          <v:shape id="_x0000_i1027" type="#_x0000_t75" style="width:287pt;height:170pt" o:ole="">
            <v:imagedata r:id="rId55" o:title=""/>
          </v:shape>
          <o:OLEObject Type="Embed" ProgID="MSPhotoEd.3" ShapeID="_x0000_i1027" DrawAspect="Content" ObjectID="_1616412834" r:id="rId56"/>
        </w:object>
      </w:r>
    </w:p>
    <w:p w14:paraId="23B57FB5" w14:textId="77777777" w:rsidR="009F661C" w:rsidRPr="00495AE1" w:rsidRDefault="009F661C" w:rsidP="00495AE1">
      <w:pPr>
        <w:jc w:val="both"/>
        <w:rPr>
          <w:sz w:val="18"/>
          <w:szCs w:val="18"/>
          <w:lang w:val="en-US"/>
        </w:rPr>
      </w:pPr>
    </w:p>
    <w:p w14:paraId="04F103B9" w14:textId="77777777" w:rsidR="009F661C" w:rsidRPr="00495AE1" w:rsidRDefault="009F661C" w:rsidP="00495AE1">
      <w:pPr>
        <w:jc w:val="both"/>
        <w:rPr>
          <w:sz w:val="18"/>
          <w:szCs w:val="18"/>
          <w:lang w:val="en-US"/>
        </w:rPr>
      </w:pPr>
      <w:r w:rsidRPr="00495AE1">
        <w:rPr>
          <w:sz w:val="18"/>
          <w:szCs w:val="18"/>
          <w:lang w:val="en-US"/>
        </w:rPr>
        <w:t>Plate A2</w:t>
      </w:r>
      <w:r>
        <w:rPr>
          <w:sz w:val="18"/>
          <w:szCs w:val="18"/>
          <w:lang w:val="en-US"/>
        </w:rPr>
        <w:t xml:space="preserve">: </w:t>
      </w:r>
      <w:r w:rsidRPr="00495AE1">
        <w:rPr>
          <w:sz w:val="18"/>
          <w:szCs w:val="18"/>
          <w:lang w:val="en-US"/>
        </w:rPr>
        <w:t xml:space="preserve">Customary tenure (left) vs Individual (right), </w:t>
      </w:r>
    </w:p>
    <w:p w14:paraId="2D287B54" w14:textId="77777777" w:rsidR="009F661C" w:rsidRPr="00495AE1" w:rsidRDefault="009F661C" w:rsidP="00495AE1">
      <w:pPr>
        <w:jc w:val="both"/>
        <w:rPr>
          <w:sz w:val="18"/>
          <w:szCs w:val="18"/>
          <w:lang w:val="en-US"/>
        </w:rPr>
      </w:pPr>
      <w:r w:rsidRPr="00495AE1">
        <w:rPr>
          <w:sz w:val="18"/>
          <w:szCs w:val="18"/>
          <w:lang w:val="en-US"/>
        </w:rPr>
        <w:t>Chitonga, Mashonaland West, Zimbabwe, c.2003-5 (21</w:t>
      </w:r>
      <w:r w:rsidRPr="00495AE1">
        <w:rPr>
          <w:sz w:val="18"/>
          <w:szCs w:val="18"/>
          <w:vertAlign w:val="superscript"/>
          <w:lang w:val="en-US"/>
        </w:rPr>
        <w:t>o</w:t>
      </w:r>
      <w:r w:rsidRPr="00495AE1">
        <w:rPr>
          <w:sz w:val="18"/>
          <w:szCs w:val="18"/>
          <w:lang w:val="en-US"/>
        </w:rPr>
        <w:t>05S, 31</w:t>
      </w:r>
      <w:r w:rsidRPr="00495AE1">
        <w:rPr>
          <w:sz w:val="18"/>
          <w:szCs w:val="18"/>
          <w:vertAlign w:val="superscript"/>
          <w:lang w:val="en-US"/>
        </w:rPr>
        <w:t>o</w:t>
      </w:r>
      <w:r w:rsidRPr="00495AE1">
        <w:rPr>
          <w:sz w:val="18"/>
          <w:szCs w:val="18"/>
          <w:lang w:val="en-US"/>
        </w:rPr>
        <w:t xml:space="preserve">40E). </w:t>
      </w:r>
    </w:p>
    <w:p w14:paraId="051020AB" w14:textId="77777777" w:rsidR="009F661C" w:rsidRDefault="009F661C" w:rsidP="00495AE1">
      <w:pPr>
        <w:jc w:val="both"/>
        <w:rPr>
          <w:sz w:val="18"/>
          <w:szCs w:val="18"/>
          <w:lang w:val="en-US"/>
        </w:rPr>
      </w:pPr>
      <w:r w:rsidRPr="00495AE1">
        <w:rPr>
          <w:sz w:val="18"/>
          <w:szCs w:val="18"/>
          <w:lang w:val="en-US"/>
        </w:rPr>
        <w:t>Note the many dams on the right on the same watercourses evident on the left.  Source: Richardson 2006b.</w:t>
      </w:r>
    </w:p>
    <w:p w14:paraId="56C20577" w14:textId="77777777" w:rsidR="009F661C" w:rsidRPr="00495AE1" w:rsidRDefault="009F661C" w:rsidP="00495AE1">
      <w:pPr>
        <w:jc w:val="both"/>
        <w:rPr>
          <w:sz w:val="18"/>
          <w:szCs w:val="18"/>
          <w:lang w:val="en-US"/>
        </w:rPr>
      </w:pPr>
    </w:p>
    <w:p w14:paraId="6C589768" w14:textId="77777777" w:rsidR="009F661C" w:rsidRPr="00495AE1" w:rsidRDefault="00A44434" w:rsidP="00495AE1">
      <w:pPr>
        <w:jc w:val="both"/>
        <w:rPr>
          <w:sz w:val="18"/>
          <w:szCs w:val="18"/>
          <w:lang w:val="en-US"/>
        </w:rPr>
      </w:pPr>
      <w:r>
        <w:rPr>
          <w:noProof/>
          <w:sz w:val="18"/>
          <w:szCs w:val="18"/>
          <w:lang w:eastAsia="en-AU"/>
        </w:rPr>
        <w:drawing>
          <wp:inline distT="0" distB="0" distL="0" distR="0" wp14:anchorId="54CB6C5A" wp14:editId="1B088DAB">
            <wp:extent cx="3657600" cy="247650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srcRect/>
                    <a:stretch>
                      <a:fillRect/>
                    </a:stretch>
                  </pic:blipFill>
                  <pic:spPr bwMode="auto">
                    <a:xfrm>
                      <a:off x="0" y="0"/>
                      <a:ext cx="3657600" cy="2476500"/>
                    </a:xfrm>
                    <a:prstGeom prst="rect">
                      <a:avLst/>
                    </a:prstGeom>
                    <a:noFill/>
                    <a:ln w="9525">
                      <a:noFill/>
                      <a:miter lim="800000"/>
                      <a:headEnd/>
                      <a:tailEnd/>
                    </a:ln>
                  </pic:spPr>
                </pic:pic>
              </a:graphicData>
            </a:graphic>
          </wp:inline>
        </w:drawing>
      </w:r>
    </w:p>
    <w:p w14:paraId="1DB56BF7" w14:textId="77777777" w:rsidR="009F661C" w:rsidRPr="00495AE1" w:rsidRDefault="009F661C" w:rsidP="00495AE1">
      <w:pPr>
        <w:jc w:val="both"/>
        <w:rPr>
          <w:sz w:val="18"/>
          <w:szCs w:val="18"/>
          <w:lang w:val="en-US"/>
        </w:rPr>
      </w:pPr>
    </w:p>
    <w:p w14:paraId="53FBADE2" w14:textId="77777777" w:rsidR="009F661C" w:rsidRPr="00495AE1" w:rsidRDefault="009F661C" w:rsidP="00495AE1">
      <w:pPr>
        <w:jc w:val="both"/>
        <w:rPr>
          <w:sz w:val="18"/>
          <w:szCs w:val="18"/>
          <w:lang w:val="en-US"/>
        </w:rPr>
      </w:pPr>
      <w:r w:rsidRPr="00495AE1">
        <w:rPr>
          <w:sz w:val="18"/>
          <w:szCs w:val="18"/>
          <w:lang w:val="en-US"/>
        </w:rPr>
        <w:t>Plate A3: Not so green - Chitonga  2006. Source: Richardson 2006b.</w:t>
      </w:r>
    </w:p>
    <w:p w14:paraId="794A980E" w14:textId="77777777" w:rsidR="009F661C" w:rsidRPr="00495AE1" w:rsidRDefault="009F661C" w:rsidP="00495AE1">
      <w:pPr>
        <w:jc w:val="both"/>
        <w:rPr>
          <w:sz w:val="18"/>
          <w:szCs w:val="18"/>
          <w:lang w:val="en-US"/>
        </w:rPr>
      </w:pPr>
      <w:r w:rsidRPr="00495AE1">
        <w:rPr>
          <w:sz w:val="18"/>
          <w:szCs w:val="18"/>
          <w:lang w:val="en-US"/>
        </w:rPr>
        <w:br w:type="page"/>
      </w:r>
      <w:r w:rsidR="00A44434">
        <w:rPr>
          <w:noProof/>
          <w:sz w:val="18"/>
          <w:szCs w:val="18"/>
          <w:lang w:eastAsia="en-AU"/>
        </w:rPr>
        <w:lastRenderedPageBreak/>
        <w:drawing>
          <wp:inline distT="0" distB="0" distL="0" distR="0" wp14:anchorId="322F8BD9" wp14:editId="6514DC8C">
            <wp:extent cx="3781425" cy="3114675"/>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srcRect/>
                    <a:stretch>
                      <a:fillRect/>
                    </a:stretch>
                  </pic:blipFill>
                  <pic:spPr bwMode="auto">
                    <a:xfrm>
                      <a:off x="0" y="0"/>
                      <a:ext cx="3781425" cy="3114675"/>
                    </a:xfrm>
                    <a:prstGeom prst="rect">
                      <a:avLst/>
                    </a:prstGeom>
                    <a:noFill/>
                    <a:ln w="9525">
                      <a:noFill/>
                      <a:miter lim="800000"/>
                      <a:headEnd/>
                      <a:tailEnd/>
                    </a:ln>
                  </pic:spPr>
                </pic:pic>
              </a:graphicData>
            </a:graphic>
          </wp:inline>
        </w:drawing>
      </w:r>
    </w:p>
    <w:p w14:paraId="3DB852F0" w14:textId="77777777" w:rsidR="009F661C" w:rsidRPr="00495AE1" w:rsidRDefault="009F661C" w:rsidP="00495AE1">
      <w:pPr>
        <w:jc w:val="both"/>
        <w:rPr>
          <w:sz w:val="18"/>
          <w:szCs w:val="18"/>
          <w:lang w:val="en-US"/>
        </w:rPr>
      </w:pPr>
    </w:p>
    <w:p w14:paraId="635292C8" w14:textId="77777777" w:rsidR="009F661C" w:rsidRPr="00495AE1" w:rsidRDefault="009F661C" w:rsidP="00495AE1">
      <w:pPr>
        <w:jc w:val="both"/>
        <w:rPr>
          <w:sz w:val="18"/>
          <w:szCs w:val="18"/>
          <w:lang w:val="en-US"/>
        </w:rPr>
      </w:pPr>
      <w:r w:rsidRPr="00495AE1">
        <w:rPr>
          <w:sz w:val="18"/>
          <w:szCs w:val="18"/>
          <w:lang w:val="en-US"/>
        </w:rPr>
        <w:t>Plate A4. A new Land Reform paradigm (Chaumba, Scoones, and Wolmer 2003b).  Chitonga 2010.</w:t>
      </w:r>
    </w:p>
    <w:p w14:paraId="71D5FB70" w14:textId="77777777" w:rsidR="009F661C" w:rsidRPr="00495AE1" w:rsidRDefault="009F661C" w:rsidP="00495AE1">
      <w:pPr>
        <w:jc w:val="both"/>
        <w:rPr>
          <w:sz w:val="18"/>
          <w:szCs w:val="18"/>
          <w:lang w:val="en-US"/>
        </w:rPr>
      </w:pPr>
      <w:r w:rsidRPr="00495AE1">
        <w:rPr>
          <w:sz w:val="18"/>
          <w:szCs w:val="18"/>
          <w:lang w:val="en-US"/>
        </w:rPr>
        <w:t>Source: Google Earth, accessed on 16 September 2010.</w:t>
      </w:r>
    </w:p>
    <w:p w14:paraId="391BF066" w14:textId="77777777" w:rsidR="009F661C" w:rsidRPr="00495AE1" w:rsidRDefault="009F661C" w:rsidP="00495AE1">
      <w:pPr>
        <w:jc w:val="both"/>
        <w:rPr>
          <w:sz w:val="18"/>
          <w:szCs w:val="18"/>
          <w:lang w:val="en-US"/>
        </w:rPr>
      </w:pPr>
    </w:p>
    <w:p w14:paraId="7FE24481" w14:textId="77777777" w:rsidR="009F661C" w:rsidRPr="00495AE1" w:rsidRDefault="009F661C" w:rsidP="00495AE1">
      <w:pPr>
        <w:jc w:val="both"/>
        <w:rPr>
          <w:sz w:val="18"/>
          <w:szCs w:val="18"/>
          <w:lang w:val="en-US"/>
        </w:rPr>
      </w:pPr>
    </w:p>
    <w:p w14:paraId="266B05B2" w14:textId="77777777" w:rsidR="009F661C" w:rsidRDefault="009F661C" w:rsidP="00E67284">
      <w:pPr>
        <w:rPr>
          <w:sz w:val="20"/>
          <w:szCs w:val="20"/>
          <w:lang w:val="en-US"/>
        </w:rPr>
      </w:pPr>
    </w:p>
    <w:p w14:paraId="72C648D0" w14:textId="77777777" w:rsidR="009F661C" w:rsidRDefault="009F661C" w:rsidP="00495AE1">
      <w:pPr>
        <w:tabs>
          <w:tab w:val="left" w:pos="5954"/>
        </w:tabs>
        <w:ind w:left="-284"/>
        <w:jc w:val="both"/>
        <w:rPr>
          <w:sz w:val="20"/>
          <w:szCs w:val="20"/>
          <w:lang w:val="en-US"/>
        </w:rPr>
      </w:pPr>
      <w:r>
        <w:rPr>
          <w:sz w:val="20"/>
          <w:szCs w:val="20"/>
          <w:lang w:val="en-US"/>
        </w:rPr>
        <w:br w:type="page"/>
      </w:r>
      <w:r w:rsidR="00A44434">
        <w:rPr>
          <w:noProof/>
          <w:lang w:eastAsia="en-AU"/>
        </w:rPr>
        <w:lastRenderedPageBreak/>
        <w:drawing>
          <wp:inline distT="0" distB="0" distL="0" distR="0" wp14:anchorId="6C5DC318" wp14:editId="6412608F">
            <wp:extent cx="4067175" cy="2581275"/>
            <wp:effectExtent l="0" t="0" r="9525" b="0"/>
            <wp:docPr id="1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srcRect/>
                    <a:stretch>
                      <a:fillRect/>
                    </a:stretch>
                  </pic:blipFill>
                  <pic:spPr bwMode="auto">
                    <a:xfrm>
                      <a:off x="0" y="0"/>
                      <a:ext cx="4067175" cy="2581275"/>
                    </a:xfrm>
                    <a:prstGeom prst="rect">
                      <a:avLst/>
                    </a:prstGeom>
                    <a:noFill/>
                    <a:ln w="9525">
                      <a:noFill/>
                      <a:miter lim="800000"/>
                      <a:headEnd/>
                      <a:tailEnd/>
                    </a:ln>
                  </pic:spPr>
                </pic:pic>
              </a:graphicData>
            </a:graphic>
          </wp:inline>
        </w:drawing>
      </w:r>
    </w:p>
    <w:p w14:paraId="3BE45AE2" w14:textId="77777777" w:rsidR="009F661C" w:rsidRDefault="009F661C" w:rsidP="00C24C73">
      <w:pPr>
        <w:tabs>
          <w:tab w:val="left" w:pos="5954"/>
        </w:tabs>
        <w:ind w:right="-86" w:firstLine="284"/>
        <w:jc w:val="both"/>
        <w:rPr>
          <w:sz w:val="20"/>
          <w:szCs w:val="20"/>
          <w:lang w:val="en-US"/>
        </w:rPr>
      </w:pPr>
    </w:p>
    <w:p w14:paraId="427F6BBD" w14:textId="77777777" w:rsidR="009F661C" w:rsidRDefault="009F661C" w:rsidP="00C24C73">
      <w:pPr>
        <w:tabs>
          <w:tab w:val="left" w:pos="5954"/>
        </w:tabs>
        <w:ind w:right="-86" w:firstLine="284"/>
        <w:jc w:val="both"/>
        <w:rPr>
          <w:sz w:val="20"/>
          <w:szCs w:val="20"/>
          <w:lang w:val="en-US"/>
        </w:rPr>
      </w:pPr>
    </w:p>
    <w:p w14:paraId="2D55111F" w14:textId="77777777" w:rsidR="009F661C" w:rsidRPr="009A7122" w:rsidRDefault="009F661C" w:rsidP="00C24C73">
      <w:pPr>
        <w:tabs>
          <w:tab w:val="left" w:pos="5954"/>
        </w:tabs>
        <w:ind w:right="-86" w:firstLine="284"/>
        <w:jc w:val="both"/>
        <w:rPr>
          <w:sz w:val="20"/>
          <w:szCs w:val="20"/>
          <w:lang w:val="en-US"/>
        </w:rPr>
      </w:pPr>
      <w:r w:rsidRPr="009A7122">
        <w:rPr>
          <w:sz w:val="20"/>
          <w:szCs w:val="20"/>
          <w:lang w:val="en-US"/>
        </w:rPr>
        <w:t xml:space="preserve">A World Bank survey in 1997 of some of the settlement schemes that were established on formerly white owned farms confirms the indication in my Fig.1 as well as earlier findings, that on a per capita basis “land reform households are almost as poor as communal households” (Deininger </w:t>
      </w:r>
      <w:r w:rsidRPr="009A7122">
        <w:rPr>
          <w:i/>
          <w:iCs/>
          <w:sz w:val="20"/>
          <w:szCs w:val="20"/>
          <w:lang w:val="en-US"/>
        </w:rPr>
        <w:t>et al</w:t>
      </w:r>
      <w:r w:rsidRPr="009A7122">
        <w:rPr>
          <w:sz w:val="20"/>
          <w:szCs w:val="20"/>
          <w:lang w:val="en-US"/>
        </w:rPr>
        <w:t>., 2004:1698).</w:t>
      </w:r>
      <w:r w:rsidRPr="009A7122">
        <w:rPr>
          <w:rStyle w:val="FootnoteReference"/>
          <w:sz w:val="20"/>
          <w:szCs w:val="20"/>
          <w:lang w:val="en-US"/>
        </w:rPr>
        <w:footnoteReference w:id="39"/>
      </w:r>
      <w:r w:rsidRPr="009A7122">
        <w:rPr>
          <w:sz w:val="20"/>
          <w:szCs w:val="20"/>
          <w:lang w:val="en-US"/>
        </w:rPr>
        <w:t xml:space="preserve"> These authors failed to notice that this finding contradicted their own claims (Deininger </w:t>
      </w:r>
      <w:r w:rsidRPr="009A7122">
        <w:rPr>
          <w:i/>
          <w:sz w:val="20"/>
          <w:szCs w:val="20"/>
          <w:lang w:val="en-US"/>
        </w:rPr>
        <w:t xml:space="preserve">et al. </w:t>
      </w:r>
      <w:r w:rsidRPr="009A7122">
        <w:rPr>
          <w:sz w:val="20"/>
          <w:szCs w:val="20"/>
          <w:lang w:val="en-US"/>
        </w:rPr>
        <w:t xml:space="preserve">2004) above) about the relative quality of the land in the “white” and the communal areas, for if the former was so high and the latter so poor, why was there so little difference in outcome - despite all the resources poured into the resettled farmers, but not those in the communal areas? </w:t>
      </w:r>
    </w:p>
    <w:p w14:paraId="337E9579" w14:textId="77777777" w:rsidR="009F661C" w:rsidRPr="009A7122" w:rsidRDefault="009F661C" w:rsidP="00C24C73">
      <w:pPr>
        <w:tabs>
          <w:tab w:val="left" w:pos="9214"/>
        </w:tabs>
        <w:ind w:right="-86" w:firstLine="284"/>
        <w:jc w:val="both"/>
        <w:rPr>
          <w:sz w:val="20"/>
          <w:szCs w:val="20"/>
          <w:lang w:val="en-US"/>
        </w:rPr>
      </w:pPr>
      <w:r w:rsidRPr="009A7122">
        <w:rPr>
          <w:sz w:val="20"/>
          <w:szCs w:val="20"/>
          <w:lang w:val="en-US"/>
        </w:rPr>
        <w:t xml:space="preserve">The resulting declining trend in crop production in the land reform areas was accelerated by the expropriation that began in 2000 and was completed by 2008, of virtually all the remaining c.4,000 white farms. Those who were allocated the expropriated farms received no titles, and that effectively removed the total farm sector from the purview of the banking sector. </w:t>
      </w:r>
    </w:p>
    <w:p w14:paraId="1A391A2D" w14:textId="77777777" w:rsidR="009F661C" w:rsidRDefault="009F661C" w:rsidP="00C24C73">
      <w:pPr>
        <w:tabs>
          <w:tab w:val="left" w:pos="9214"/>
        </w:tabs>
        <w:ind w:right="-86" w:firstLine="284"/>
        <w:jc w:val="both"/>
        <w:rPr>
          <w:sz w:val="20"/>
          <w:szCs w:val="20"/>
          <w:lang w:val="en-US"/>
        </w:rPr>
      </w:pPr>
      <w:r w:rsidRPr="009A7122">
        <w:rPr>
          <w:sz w:val="20"/>
          <w:szCs w:val="20"/>
          <w:lang w:val="en-US"/>
        </w:rPr>
        <w:lastRenderedPageBreak/>
        <w:t xml:space="preserve">Such considerations do not however weigh on academic defenders of Zimbabwe’s post-2000 “land reform” programme, notably Chaumba et al. (2003a): </w:t>
      </w:r>
    </w:p>
    <w:p w14:paraId="1BADF44F" w14:textId="77777777" w:rsidR="009F661C" w:rsidRPr="009A7122" w:rsidRDefault="009F661C" w:rsidP="00495AE1">
      <w:pPr>
        <w:pStyle w:val="q9"/>
      </w:pPr>
      <w:r w:rsidRPr="009A7122">
        <w:t>This paper examines the land occupations and fast-track resettlement process in Chiredzi District in Zimbabwe’s southeast lowveld and argues that their broad-brush representation as chaotic, violent, un-modern and unplanned obfuscates two overlapping phases underpinned by [the] same logic. Rather than constituting a descent into anarchy, the state bureaucracy has been able to enact a rapid return to ‘technocratic type’ – if, indeed, this ever went away. There has been a continuity of the project of modernity. It argues that the ostensible disorder and chaos of the farm invasions is really a different kind of order.</w:t>
      </w:r>
    </w:p>
    <w:p w14:paraId="7B824ADF" w14:textId="77777777" w:rsidR="009F661C" w:rsidRPr="009A7122" w:rsidRDefault="009F661C" w:rsidP="00C24C73">
      <w:pPr>
        <w:tabs>
          <w:tab w:val="left" w:pos="9214"/>
        </w:tabs>
        <w:autoSpaceDE w:val="0"/>
        <w:autoSpaceDN w:val="0"/>
        <w:adjustRightInd w:val="0"/>
        <w:ind w:right="-86" w:firstLine="284"/>
        <w:jc w:val="both"/>
        <w:rPr>
          <w:sz w:val="20"/>
          <w:szCs w:val="20"/>
          <w:lang w:val="en-US"/>
        </w:rPr>
      </w:pPr>
      <w:r w:rsidRPr="009A7122">
        <w:rPr>
          <w:sz w:val="20"/>
          <w:szCs w:val="20"/>
          <w:lang w:val="en-US"/>
        </w:rPr>
        <w:t xml:space="preserve">The paper proceeds to claim that the resettlement of what had been “a heavily forested cattle and game ranch” (Fair Range Ranch) was carried out in a well-planned manner. Chaumba </w:t>
      </w:r>
      <w:r w:rsidRPr="009A7122">
        <w:rPr>
          <w:i/>
          <w:iCs/>
          <w:sz w:val="20"/>
          <w:szCs w:val="20"/>
          <w:lang w:val="en-US"/>
        </w:rPr>
        <w:t>et al</w:t>
      </w:r>
      <w:r w:rsidRPr="009A7122">
        <w:rPr>
          <w:sz w:val="20"/>
          <w:szCs w:val="20"/>
          <w:lang w:val="en-US"/>
        </w:rPr>
        <w:t xml:space="preserve"> see the admitted “collapse in the rule of law” in 2001 as merely “normalizing of the abnormal” (2003a:2). They add that</w:t>
      </w:r>
    </w:p>
    <w:p w14:paraId="507F347D" w14:textId="77777777" w:rsidR="009F661C" w:rsidRPr="009A7122" w:rsidRDefault="009F661C" w:rsidP="00495AE1">
      <w:pPr>
        <w:pStyle w:val="q9"/>
      </w:pPr>
      <w:r w:rsidRPr="009A7122">
        <w:t xml:space="preserve">All the illicit activities on these farms that rapidly became normalized on Fair Range included closing farm roads; cutting down trees; poaching; cattle theft and mutilation; starting fires; attacking game guards; demanding meat and mealie meal from white farmers; looting property and sugar cane; ordering farmers, farm workers and neighbouring villagers to attend political rallies; defying police orders, and … appropriating a police vehicle (2003a: 10). </w:t>
      </w:r>
    </w:p>
    <w:p w14:paraId="3B0D7368" w14:textId="77777777" w:rsidR="009F661C" w:rsidRPr="009A7122" w:rsidRDefault="009F661C" w:rsidP="00C24C73">
      <w:pPr>
        <w:tabs>
          <w:tab w:val="left" w:pos="5954"/>
        </w:tabs>
        <w:autoSpaceDE w:val="0"/>
        <w:autoSpaceDN w:val="0"/>
        <w:adjustRightInd w:val="0"/>
        <w:ind w:right="-86" w:firstLine="284"/>
        <w:jc w:val="both"/>
        <w:rPr>
          <w:sz w:val="20"/>
          <w:szCs w:val="20"/>
          <w:lang w:val="en-US"/>
        </w:rPr>
      </w:pPr>
      <w:r w:rsidRPr="009A7122">
        <w:rPr>
          <w:sz w:val="20"/>
          <w:szCs w:val="20"/>
        </w:rPr>
        <w:t xml:space="preserve">After invoking Foucault, these authors conclude that efforts by the government’s agricultural services “to reintroduce some planning into this process mean that we are not seeing a descent into the ‘Heart of Darkness’ and an abandonment of the development project” (2003a: 17-18). However they offer no data either in this or their second paper (Chaumba </w:t>
      </w:r>
      <w:r w:rsidRPr="009A7122">
        <w:rPr>
          <w:i/>
          <w:iCs/>
          <w:sz w:val="20"/>
          <w:szCs w:val="20"/>
        </w:rPr>
        <w:t>et al.</w:t>
      </w:r>
      <w:r w:rsidRPr="009A7122">
        <w:rPr>
          <w:sz w:val="20"/>
          <w:szCs w:val="20"/>
        </w:rPr>
        <w:t xml:space="preserve"> 2003b) to indicate that the occupation of Fair Range Ranch in 2000 had led to any production at all by 2003, let alone the “sustainable livelihoods” of their series title.</w:t>
      </w:r>
      <w:r>
        <w:rPr>
          <w:sz w:val="20"/>
          <w:szCs w:val="20"/>
        </w:rPr>
        <w:t xml:space="preserve"> </w:t>
      </w:r>
      <w:r w:rsidRPr="009A7122">
        <w:rPr>
          <w:sz w:val="20"/>
          <w:szCs w:val="20"/>
          <w:lang w:val="en-US"/>
        </w:rPr>
        <w:t>Fair Range ranch was not alone in being taken over in 2000</w:t>
      </w:r>
      <w:r>
        <w:rPr>
          <w:sz w:val="20"/>
          <w:szCs w:val="20"/>
          <w:lang w:val="en-US"/>
        </w:rPr>
        <w:t>: “</w:t>
      </w:r>
      <w:r w:rsidRPr="009A7122">
        <w:rPr>
          <w:sz w:val="20"/>
          <w:szCs w:val="20"/>
          <w:lang w:val="en-US"/>
        </w:rPr>
        <w:t xml:space="preserve">In the vicinity of Sangwe communal area in Chiredzi District almost without exception all the large-scale commercial farms were occupied. These were principally cattle and game ranches and included properties in </w:t>
      </w:r>
      <w:r w:rsidRPr="00495AE1">
        <w:rPr>
          <w:spacing w:val="-2"/>
          <w:sz w:val="20"/>
          <w:szCs w:val="20"/>
          <w:lang w:val="en-US"/>
        </w:rPr>
        <w:t>the well-known Save Valley Conservancy and the Malilangwe Conservation</w:t>
      </w:r>
      <w:r w:rsidRPr="009A7122">
        <w:rPr>
          <w:sz w:val="20"/>
          <w:szCs w:val="20"/>
          <w:lang w:val="en-US"/>
        </w:rPr>
        <w:t xml:space="preserve"> Trust…The state-owned Nuanetsi Ranch and a portion of Gonarezhou National Park were also occupied, as was a smallholder irrigation scheme in Sangwe communal area itself. The Anglo-American and Tongaat-Hullet </w:t>
      </w:r>
      <w:r w:rsidRPr="009A7122">
        <w:rPr>
          <w:sz w:val="20"/>
          <w:szCs w:val="20"/>
          <w:lang w:val="en-US"/>
        </w:rPr>
        <w:lastRenderedPageBreak/>
        <w:t>owned irrigated sugar estates at Hippo Valley and Triangle near Chiredzi were largely avoided</w:t>
      </w:r>
      <w:r>
        <w:rPr>
          <w:sz w:val="20"/>
          <w:szCs w:val="20"/>
          <w:lang w:val="en-US"/>
        </w:rPr>
        <w:t>”</w:t>
      </w:r>
      <w:r w:rsidRPr="009A7122">
        <w:rPr>
          <w:sz w:val="20"/>
          <w:szCs w:val="20"/>
          <w:lang w:val="en-US"/>
        </w:rPr>
        <w:t>. (</w:t>
      </w:r>
      <w:r>
        <w:rPr>
          <w:sz w:val="20"/>
          <w:szCs w:val="20"/>
          <w:lang w:val="en-US"/>
        </w:rPr>
        <w:t xml:space="preserve">Chaumba </w:t>
      </w:r>
      <w:r w:rsidRPr="00C909CB">
        <w:rPr>
          <w:i/>
          <w:sz w:val="20"/>
          <w:szCs w:val="20"/>
          <w:lang w:val="en-US"/>
        </w:rPr>
        <w:t>et al.</w:t>
      </w:r>
      <w:r>
        <w:rPr>
          <w:sz w:val="20"/>
          <w:szCs w:val="20"/>
          <w:lang w:val="en-US"/>
        </w:rPr>
        <w:t xml:space="preserve">, </w:t>
      </w:r>
      <w:r w:rsidRPr="009A7122">
        <w:rPr>
          <w:sz w:val="20"/>
          <w:szCs w:val="20"/>
          <w:lang w:val="en-US"/>
        </w:rPr>
        <w:t>2003b: 5).</w:t>
      </w:r>
    </w:p>
    <w:p w14:paraId="0E112803" w14:textId="77777777" w:rsidR="009F661C" w:rsidRPr="009A7122" w:rsidRDefault="009F661C" w:rsidP="00C24C73">
      <w:pPr>
        <w:tabs>
          <w:tab w:val="left" w:pos="5954"/>
        </w:tabs>
        <w:ind w:right="-86" w:firstLine="284"/>
        <w:jc w:val="both"/>
        <w:rPr>
          <w:sz w:val="20"/>
          <w:szCs w:val="20"/>
          <w:lang w:val="en-US"/>
        </w:rPr>
      </w:pPr>
      <w:r w:rsidRPr="009A7122">
        <w:rPr>
          <w:sz w:val="20"/>
          <w:szCs w:val="20"/>
          <w:lang w:val="en-US"/>
        </w:rPr>
        <w:t>For a general view of the Chiredzi area including the sugar states and the nearby communal areas, see Google Earth 2008.</w:t>
      </w:r>
      <w:r w:rsidRPr="009A7122">
        <w:rPr>
          <w:rStyle w:val="FootnoteReference"/>
          <w:sz w:val="20"/>
          <w:szCs w:val="20"/>
          <w:lang w:val="en-US"/>
        </w:rPr>
        <w:footnoteReference w:id="40"/>
      </w:r>
      <w:r w:rsidRPr="009A7122">
        <w:rPr>
          <w:sz w:val="20"/>
          <w:szCs w:val="20"/>
          <w:lang w:val="en-US"/>
        </w:rPr>
        <w:t xml:space="preserve"> Ironically the verdant green Chiredzi sugar-estate (and the nearby Triangle estates) are both in “Natural region” Zone V, allegedly with poor soils and inadequate rainfall. In fact the Kyle Dam that was built near the then Fort Victoria to the north in the 1960s delivers water for irrigation of the sugarcane fields, an illustration of how the unusable Zone V to which allegedly African farmers were confined after 1900 (according to Palmer, 1977, and Kinsey 1999 </w:t>
      </w:r>
      <w:r w:rsidRPr="009A7122">
        <w:rPr>
          <w:i/>
          <w:iCs/>
          <w:sz w:val="20"/>
          <w:szCs w:val="20"/>
          <w:lang w:val="en-US"/>
        </w:rPr>
        <w:t xml:space="preserve">et </w:t>
      </w:r>
      <w:r w:rsidRPr="00495AE1">
        <w:rPr>
          <w:i/>
          <w:iCs/>
          <w:spacing w:val="-2"/>
          <w:sz w:val="20"/>
          <w:szCs w:val="20"/>
          <w:lang w:val="en-US"/>
        </w:rPr>
        <w:t>al.)</w:t>
      </w:r>
      <w:r w:rsidRPr="00495AE1">
        <w:rPr>
          <w:spacing w:val="-2"/>
          <w:sz w:val="20"/>
          <w:szCs w:val="20"/>
          <w:lang w:val="en-US"/>
        </w:rPr>
        <w:t xml:space="preserve"> can be made productive with the use of some investment in infrastructure</w:t>
      </w:r>
      <w:r w:rsidRPr="009A7122">
        <w:rPr>
          <w:sz w:val="20"/>
          <w:szCs w:val="20"/>
          <w:lang w:val="en-US"/>
        </w:rPr>
        <w:t xml:space="preserve">. But for how much longer, when the preference of Chaumba </w:t>
      </w:r>
      <w:r w:rsidRPr="009A7122">
        <w:rPr>
          <w:i/>
          <w:iCs/>
          <w:sz w:val="20"/>
          <w:szCs w:val="20"/>
          <w:lang w:val="en-US"/>
        </w:rPr>
        <w:t>et al.</w:t>
      </w:r>
      <w:r w:rsidRPr="009A7122">
        <w:rPr>
          <w:sz w:val="20"/>
          <w:szCs w:val="20"/>
          <w:lang w:val="en-US"/>
        </w:rPr>
        <w:t xml:space="preserve"> (2003</w:t>
      </w:r>
      <w:r>
        <w:rPr>
          <w:sz w:val="20"/>
          <w:szCs w:val="20"/>
          <w:lang w:val="en-US"/>
        </w:rPr>
        <w:t>a and 2003b</w:t>
      </w:r>
      <w:r w:rsidRPr="009A7122">
        <w:rPr>
          <w:sz w:val="20"/>
          <w:szCs w:val="20"/>
          <w:lang w:val="en-US"/>
        </w:rPr>
        <w:t>) for reversion to small-scale dry-land agriculture is adopted?</w:t>
      </w:r>
    </w:p>
    <w:p w14:paraId="4338BCA7" w14:textId="77777777" w:rsidR="009F661C" w:rsidRPr="009A7122" w:rsidRDefault="009F661C" w:rsidP="00C24C73">
      <w:pPr>
        <w:tabs>
          <w:tab w:val="left" w:pos="5954"/>
        </w:tabs>
        <w:ind w:right="-86" w:firstLine="284"/>
        <w:jc w:val="both"/>
        <w:rPr>
          <w:sz w:val="20"/>
          <w:szCs w:val="20"/>
          <w:lang w:val="en-US"/>
        </w:rPr>
      </w:pPr>
      <w:r w:rsidRPr="009A7122">
        <w:rPr>
          <w:sz w:val="20"/>
          <w:szCs w:val="20"/>
          <w:lang w:val="en-US"/>
        </w:rPr>
        <w:t>Craig Richardson has extensively documented the consequences of Zimbabwe’s expropriation and the failure to issue negotiable title to the new settlers (2007a and b). They include by 2006 the loss of up to 70 per cent of the normal production level of crops like tobacco, wheat, soya, groundnuts, coffee, sugar, and sunflowers (2007a: 471).  These figures give the lie to Moyo’s rejection (2000:14) of predictions by the Zimbabwe Tobacco Association in 1998 that tobacco sales would decline by at least 50 per cent because of “land transfers”. In fact, tobacco export sales in 2007 fell to 70,000 tonnes, from 230,000 tonnes in 2000, i.e. by over 60 per cent, and areas under cultivation of all major commercial crops fell by at least half:</w:t>
      </w:r>
    </w:p>
    <w:p w14:paraId="72AA2A08" w14:textId="77777777" w:rsidR="009F661C" w:rsidRDefault="009F661C" w:rsidP="00C24C73">
      <w:pPr>
        <w:tabs>
          <w:tab w:val="left" w:pos="5954"/>
        </w:tabs>
        <w:ind w:right="-86" w:firstLine="284"/>
        <w:jc w:val="both"/>
        <w:rPr>
          <w:sz w:val="20"/>
          <w:szCs w:val="20"/>
        </w:rPr>
      </w:pPr>
      <w:r w:rsidRPr="009A7122">
        <w:rPr>
          <w:sz w:val="20"/>
          <w:szCs w:val="20"/>
        </w:rPr>
        <w:t xml:space="preserve">The </w:t>
      </w:r>
      <w:r w:rsidRPr="009A7122">
        <w:rPr>
          <w:i/>
          <w:sz w:val="20"/>
          <w:szCs w:val="20"/>
        </w:rPr>
        <w:t>Daily Mirror</w:t>
      </w:r>
      <w:r w:rsidRPr="009A7122">
        <w:rPr>
          <w:sz w:val="20"/>
          <w:szCs w:val="20"/>
        </w:rPr>
        <w:t xml:space="preserve"> of 8th February 2006 quoted research conducted by Chemplex Corporation, the fertiliser manufacturer, on agricultural productivity in Zimbabwe since 1999. Almost all statistics point toward sharp decline in hectarage and production. For example in respect of tobacco, the prime cash crop, hectarage declined from 86 000 in the 1999-2000 season to 46 000 in 2002-03 season and stands at 35000 this current season. This is less than half of the hectarage for the major foreign currency earner before the invasions leading to the land redistribution exercise (Magaisa 2006).</w:t>
      </w:r>
    </w:p>
    <w:p w14:paraId="051B6D2C" w14:textId="77777777" w:rsidR="009F661C" w:rsidRPr="009A7122" w:rsidRDefault="009F661C" w:rsidP="00C24C73">
      <w:pPr>
        <w:tabs>
          <w:tab w:val="left" w:pos="5954"/>
        </w:tabs>
        <w:ind w:right="-86" w:firstLine="284"/>
        <w:jc w:val="both"/>
        <w:rPr>
          <w:sz w:val="20"/>
          <w:szCs w:val="20"/>
          <w:lang w:val="en-US"/>
        </w:rPr>
      </w:pPr>
      <w:r w:rsidRPr="009A7122">
        <w:rPr>
          <w:sz w:val="20"/>
          <w:szCs w:val="20"/>
          <w:lang w:val="en-US"/>
        </w:rPr>
        <w:t>The outcome is the desperate food shortages from which all but Zimbabwe’s governing elites have suffered since 2000, with most in both urban and rural areas now dependent on food aid from international donors.</w:t>
      </w:r>
    </w:p>
    <w:p w14:paraId="0837D2A2" w14:textId="77777777" w:rsidR="009F661C" w:rsidRPr="009A7122" w:rsidRDefault="009F661C" w:rsidP="00C24C73">
      <w:pPr>
        <w:tabs>
          <w:tab w:val="left" w:pos="5954"/>
        </w:tabs>
        <w:ind w:right="-86" w:firstLine="284"/>
        <w:jc w:val="both"/>
        <w:rPr>
          <w:sz w:val="20"/>
          <w:szCs w:val="20"/>
          <w:lang w:val="en-US"/>
        </w:rPr>
      </w:pPr>
    </w:p>
    <w:p w14:paraId="60983351" w14:textId="77777777" w:rsidR="009F661C" w:rsidRPr="009A7122" w:rsidRDefault="009F661C" w:rsidP="00495AE1">
      <w:pPr>
        <w:pStyle w:val="h2"/>
        <w:ind w:firstLine="0"/>
      </w:pPr>
      <w:r w:rsidRPr="009A7122">
        <w:lastRenderedPageBreak/>
        <w:t xml:space="preserve">Are there any lessons for South Africa with </w:t>
      </w:r>
      <w:r>
        <w:t>its</w:t>
      </w:r>
      <w:r w:rsidRPr="009A7122">
        <w:t xml:space="preserve"> similar land ownership history and structure?</w:t>
      </w:r>
    </w:p>
    <w:p w14:paraId="49F5998B" w14:textId="77777777" w:rsidR="009F661C" w:rsidRPr="009A7122" w:rsidRDefault="009F661C" w:rsidP="00C24C73">
      <w:pPr>
        <w:tabs>
          <w:tab w:val="left" w:pos="5954"/>
        </w:tabs>
        <w:autoSpaceDE w:val="0"/>
        <w:autoSpaceDN w:val="0"/>
        <w:adjustRightInd w:val="0"/>
        <w:ind w:right="-86" w:firstLine="284"/>
        <w:jc w:val="both"/>
        <w:rPr>
          <w:sz w:val="20"/>
          <w:szCs w:val="20"/>
        </w:rPr>
      </w:pPr>
      <w:r w:rsidRPr="009A7122">
        <w:rPr>
          <w:sz w:val="20"/>
          <w:szCs w:val="20"/>
          <w:lang w:val="en-US"/>
        </w:rPr>
        <w:t xml:space="preserve">We should recall the basis of “customary” land tenure that obtained in all of both South Africa and Zimbabwe before white settlement. The underlying principle according to Gluckman is that rights to land “are an incident of political and social status. By virtue of membership in the nation or tribe, every citizen was entitled to claim some land, from the king or chief, or from such political unit as exists in the absence of chiefly authority” (1965: 78).  In South Africa that regime still broadly applies in the former Bantustans and is currently being consolidated in the Communal Lands Act of 2004. Revealing statements by </w:t>
      </w:r>
      <w:r>
        <w:rPr>
          <w:sz w:val="20"/>
          <w:szCs w:val="20"/>
          <w:lang w:val="en-US"/>
        </w:rPr>
        <w:t xml:space="preserve">then </w:t>
      </w:r>
      <w:r w:rsidRPr="009A7122">
        <w:rPr>
          <w:sz w:val="20"/>
          <w:szCs w:val="20"/>
          <w:lang w:val="en-US"/>
        </w:rPr>
        <w:t xml:space="preserve">President Mbeki and his deputy suggest they will </w:t>
      </w:r>
      <w:r w:rsidRPr="009A7122">
        <w:rPr>
          <w:sz w:val="20"/>
          <w:szCs w:val="20"/>
        </w:rPr>
        <w:t>ignore what Richardson (2006a) calls the “sobering lesson” of the Zimbabwe case. He cites President Mbeki’s 2006 State of the Nation speech as expressing interest in revisiting the “willing-buyer, willing-seller” principle for land redistribution, and the government is now beginning to expropriate farmland at state-determined prices. Deputy President Phumzile Mlambo-Ngcuka agreed that the pace of land reform should be accelerated:  “That’s why we may need the skills of Zimbabwe to help us” (quoted in Richardson 2006a).</w:t>
      </w:r>
    </w:p>
    <w:p w14:paraId="6E1051A5" w14:textId="77777777" w:rsidR="009F661C" w:rsidRPr="009A7122" w:rsidRDefault="009F661C" w:rsidP="00C24C73">
      <w:pPr>
        <w:tabs>
          <w:tab w:val="left" w:pos="5954"/>
        </w:tabs>
        <w:autoSpaceDE w:val="0"/>
        <w:autoSpaceDN w:val="0"/>
        <w:adjustRightInd w:val="0"/>
        <w:ind w:right="-86" w:firstLine="284"/>
        <w:jc w:val="both"/>
        <w:rPr>
          <w:sz w:val="20"/>
          <w:szCs w:val="20"/>
          <w:lang w:val="en-US"/>
        </w:rPr>
      </w:pPr>
      <w:r w:rsidRPr="009A7122">
        <w:rPr>
          <w:sz w:val="20"/>
          <w:szCs w:val="20"/>
          <w:lang w:val="en-US"/>
        </w:rPr>
        <w:t xml:space="preserve">The Communal Land Rights Act (CLRA) in 2004 had already paved the way for terminating the individualized land rights that had been emerging in the former Bantustans. Ironically this new legislation seems to mirror the Mabo Native Title arrangements in Australia’s Northern Territory. Just as in the NT, the CLRA transfers formal title of communal land from the state to a community, which must register its rules before it can be recognized as a “juristic personality” legally capable of owning land. Individual members are issued with a Deed of Communal Land Right, which can be upgraded to freehold title if the community agrees. </w:t>
      </w:r>
    </w:p>
    <w:p w14:paraId="03191338" w14:textId="77777777" w:rsidR="009F661C" w:rsidRPr="009A7122" w:rsidRDefault="009F661C" w:rsidP="00426DA3">
      <w:pPr>
        <w:tabs>
          <w:tab w:val="left" w:pos="6946"/>
        </w:tabs>
        <w:autoSpaceDE w:val="0"/>
        <w:autoSpaceDN w:val="0"/>
        <w:adjustRightInd w:val="0"/>
        <w:ind w:right="-86" w:firstLine="284"/>
        <w:jc w:val="both"/>
        <w:rPr>
          <w:sz w:val="20"/>
          <w:szCs w:val="20"/>
          <w:lang w:val="en-US"/>
        </w:rPr>
      </w:pPr>
      <w:r w:rsidRPr="009A7122">
        <w:rPr>
          <w:sz w:val="20"/>
          <w:szCs w:val="20"/>
          <w:lang w:val="en-US"/>
        </w:rPr>
        <w:t>The Minister must make a determination on whether or not ‘old order rights’ (i.e. communal or individual land rights derived from past laws and practices, including ‘customary law and usage’) should be converted into ‘new order rights’, and must determine the nature and extent of such rights. New order rights can be registered in the name of a ‘community’ or a person, but where title is transferred to a ‘community’ the individual new order rights are not equivalent to (individual) title.</w:t>
      </w:r>
      <w:r w:rsidRPr="009A7122">
        <w:rPr>
          <w:rStyle w:val="FootnoteReference"/>
          <w:sz w:val="20"/>
          <w:szCs w:val="20"/>
          <w:lang w:val="en-US"/>
        </w:rPr>
        <w:footnoteReference w:id="41"/>
      </w:r>
    </w:p>
    <w:p w14:paraId="7402EA96" w14:textId="77777777" w:rsidR="009F661C" w:rsidRPr="009A7122" w:rsidRDefault="009F661C" w:rsidP="00426DA3">
      <w:pPr>
        <w:tabs>
          <w:tab w:val="left" w:pos="6946"/>
        </w:tabs>
        <w:autoSpaceDE w:val="0"/>
        <w:autoSpaceDN w:val="0"/>
        <w:adjustRightInd w:val="0"/>
        <w:ind w:right="-86" w:firstLine="284"/>
        <w:jc w:val="both"/>
        <w:rPr>
          <w:sz w:val="20"/>
          <w:szCs w:val="20"/>
          <w:lang w:val="en-US"/>
        </w:rPr>
      </w:pPr>
      <w:r w:rsidRPr="009A7122">
        <w:rPr>
          <w:sz w:val="20"/>
          <w:szCs w:val="20"/>
          <w:lang w:val="en-US"/>
        </w:rPr>
        <w:t xml:space="preserve">The Gluckman school of social anthropologists endorses South Africa’s new Communal Lands Act, just as the Mabo Act was largely inspired by that school. But none of the standard texts on the economic history of South </w:t>
      </w:r>
      <w:r w:rsidRPr="009A7122">
        <w:rPr>
          <w:sz w:val="20"/>
          <w:szCs w:val="20"/>
          <w:lang w:val="en-US"/>
        </w:rPr>
        <w:lastRenderedPageBreak/>
        <w:t xml:space="preserve">Africa, Zimbabwe, and Australia makes much of the abysmally low levels of production and productivity in the large areas, even in South Africa, where this customary regime holds sway (Feinstein, 2005). Regrettably, communalists have carried the day, and have captured donors like Britain’s Department for International Development and Australia’s AusAid that are all too often opposed to individual land title in countries of the South Pacific like Papua New Guinea (e.g. reply by an AusAid adviser Fingleton 2007 to Curtin &amp; Lea 2006). </w:t>
      </w:r>
    </w:p>
    <w:p w14:paraId="2EEE72E2" w14:textId="77777777" w:rsidR="009F661C" w:rsidRPr="009A7122" w:rsidRDefault="009F661C" w:rsidP="00426DA3">
      <w:pPr>
        <w:tabs>
          <w:tab w:val="left" w:pos="6946"/>
        </w:tabs>
        <w:autoSpaceDE w:val="0"/>
        <w:autoSpaceDN w:val="0"/>
        <w:adjustRightInd w:val="0"/>
        <w:ind w:right="-86" w:firstLine="284"/>
        <w:jc w:val="both"/>
        <w:rPr>
          <w:sz w:val="20"/>
          <w:szCs w:val="20"/>
          <w:lang w:val="en-US"/>
        </w:rPr>
      </w:pPr>
      <w:r w:rsidRPr="009A7122">
        <w:rPr>
          <w:sz w:val="20"/>
          <w:szCs w:val="20"/>
          <w:lang w:val="en-US"/>
        </w:rPr>
        <w:t xml:space="preserve">A corrective is the paper by John Sender and Deborah Johnston (2004), with its instructive title “Searching for a Weapon of Mass Production in rural Africa: unconvincing arguments for Land Reform”.  They dismiss the thesis of the IDS-Sussex school led by Keith Griffin (2002), and endorsed by Zimbabwe’s Sam Moyo (2000) that </w:t>
      </w:r>
      <w:r>
        <w:rPr>
          <w:sz w:val="20"/>
          <w:szCs w:val="20"/>
          <w:lang w:val="en-US"/>
        </w:rPr>
        <w:t>if</w:t>
      </w:r>
      <w:r w:rsidRPr="009A7122">
        <w:rPr>
          <w:sz w:val="20"/>
          <w:szCs w:val="20"/>
          <w:lang w:val="en-US"/>
        </w:rPr>
        <w:t xml:space="preserve"> </w:t>
      </w:r>
      <w:r>
        <w:rPr>
          <w:sz w:val="20"/>
          <w:szCs w:val="20"/>
          <w:lang w:val="en-US"/>
        </w:rPr>
        <w:t>“</w:t>
      </w:r>
      <w:r w:rsidRPr="009A7122">
        <w:rPr>
          <w:sz w:val="20"/>
          <w:szCs w:val="20"/>
          <w:lang w:val="en-US"/>
        </w:rPr>
        <w:t>labour is abundant (and hence has a low opportunity cost) and land and capital are scarce (and hence have relatively high opportunity costs), small farmers have a higher total productivity than large and hence utilize resources more effectively</w:t>
      </w:r>
      <w:r>
        <w:rPr>
          <w:sz w:val="20"/>
          <w:szCs w:val="20"/>
          <w:lang w:val="en-US"/>
        </w:rPr>
        <w:t>”</w:t>
      </w:r>
      <w:r w:rsidRPr="009A7122">
        <w:rPr>
          <w:sz w:val="20"/>
          <w:szCs w:val="20"/>
          <w:lang w:val="en-US"/>
        </w:rPr>
        <w:t>.</w:t>
      </w:r>
    </w:p>
    <w:p w14:paraId="0CBA125C" w14:textId="77777777" w:rsidR="009F661C" w:rsidRPr="009A7122" w:rsidRDefault="009F661C" w:rsidP="00426DA3">
      <w:pPr>
        <w:tabs>
          <w:tab w:val="left" w:pos="6946"/>
        </w:tabs>
        <w:autoSpaceDE w:val="0"/>
        <w:autoSpaceDN w:val="0"/>
        <w:adjustRightInd w:val="0"/>
        <w:ind w:right="-86" w:firstLine="284"/>
        <w:jc w:val="both"/>
        <w:rPr>
          <w:sz w:val="20"/>
          <w:szCs w:val="20"/>
          <w:lang w:val="en-US"/>
        </w:rPr>
      </w:pPr>
      <w:r w:rsidRPr="009A7122">
        <w:rPr>
          <w:sz w:val="20"/>
          <w:szCs w:val="20"/>
          <w:lang w:val="en-US"/>
        </w:rPr>
        <w:t xml:space="preserve">Sender and Johnston comment: “the empirical support for this size-efficiency relationship in Africa is astonishingly weak” (2004:142) and cite data from Zimbabwe, before the land invasions Griffin tacitly supports, that totally refutes his theory, since “large scale commercial farms achieve the highest yields everywhere in Zimbabwe” (Deininger and Binswanger, 1992, </w:t>
      </w:r>
      <w:r w:rsidRPr="009A7122">
        <w:rPr>
          <w:i/>
          <w:iCs/>
          <w:sz w:val="20"/>
          <w:szCs w:val="20"/>
          <w:lang w:val="en-US"/>
        </w:rPr>
        <w:t xml:space="preserve">pace </w:t>
      </w:r>
      <w:r w:rsidRPr="009A7122">
        <w:rPr>
          <w:sz w:val="20"/>
          <w:szCs w:val="20"/>
          <w:lang w:val="en-US"/>
        </w:rPr>
        <w:t xml:space="preserve">Deininger </w:t>
      </w:r>
      <w:r w:rsidRPr="009A7122">
        <w:rPr>
          <w:i/>
          <w:iCs/>
          <w:sz w:val="20"/>
          <w:szCs w:val="20"/>
          <w:lang w:val="en-US"/>
        </w:rPr>
        <w:t>et al</w:t>
      </w:r>
      <w:r w:rsidRPr="009A7122">
        <w:rPr>
          <w:sz w:val="20"/>
          <w:szCs w:val="20"/>
          <w:lang w:val="en-US"/>
        </w:rPr>
        <w:t xml:space="preserve"> 2004). Sender and Johnston also provide similar data from South Africa. Their analysis of land redistribution programmes in South Africa shows “not only that the poorest did not acquire land, but also that they suffered declines in rural wage earning opportunities that are crucial for their survival”. </w:t>
      </w:r>
    </w:p>
    <w:p w14:paraId="595F071F" w14:textId="77777777" w:rsidR="009F661C" w:rsidRPr="009A7122" w:rsidRDefault="009F661C" w:rsidP="00426DA3">
      <w:pPr>
        <w:tabs>
          <w:tab w:val="left" w:pos="6946"/>
        </w:tabs>
        <w:autoSpaceDE w:val="0"/>
        <w:autoSpaceDN w:val="0"/>
        <w:adjustRightInd w:val="0"/>
        <w:ind w:right="-86" w:firstLine="284"/>
        <w:jc w:val="both"/>
        <w:rPr>
          <w:sz w:val="20"/>
          <w:szCs w:val="20"/>
          <w:lang w:val="en-US"/>
        </w:rPr>
      </w:pPr>
      <w:r w:rsidRPr="009A7122">
        <w:rPr>
          <w:sz w:val="20"/>
          <w:szCs w:val="20"/>
          <w:lang w:val="en-US"/>
        </w:rPr>
        <w:t xml:space="preserve">The comparative productivity of untitled and titled small-scale farms in Zambia (see Table 10.3 in Chapter 10 above) provides confirmation of the large difference title makes to farm productivity and household income. Of course, in the world of Griffin (2002) and Chaumba </w:t>
      </w:r>
      <w:r w:rsidRPr="009A7122">
        <w:rPr>
          <w:i/>
          <w:iCs/>
          <w:sz w:val="20"/>
          <w:szCs w:val="20"/>
          <w:lang w:val="en-US"/>
        </w:rPr>
        <w:t>et al.</w:t>
      </w:r>
      <w:r w:rsidRPr="009A7122">
        <w:rPr>
          <w:sz w:val="20"/>
          <w:szCs w:val="20"/>
          <w:lang w:val="en-US"/>
        </w:rPr>
        <w:t xml:space="preserve"> (2003), it would be better if all Zambian households “enjoyed” the same level of income of the households barely subsisting on their undocumented farms (U$159 p.a.), rather than that all should aspire to the 4 times larger incomes (US$671) available to those with full title.</w:t>
      </w:r>
    </w:p>
    <w:p w14:paraId="2DA116D7" w14:textId="77777777" w:rsidR="009F661C" w:rsidRPr="009A7122" w:rsidRDefault="009F661C" w:rsidP="00C24C73">
      <w:pPr>
        <w:autoSpaceDE w:val="0"/>
        <w:autoSpaceDN w:val="0"/>
        <w:adjustRightInd w:val="0"/>
        <w:ind w:right="-86" w:firstLine="284"/>
        <w:jc w:val="both"/>
        <w:rPr>
          <w:sz w:val="20"/>
          <w:szCs w:val="20"/>
          <w:lang w:val="en-US"/>
        </w:rPr>
      </w:pPr>
      <w:r w:rsidRPr="009A7122">
        <w:rPr>
          <w:sz w:val="20"/>
          <w:szCs w:val="20"/>
          <w:lang w:val="en-US"/>
        </w:rPr>
        <w:t>The data in Table 10.3 (Chapter 10 above_ are from a study area near the sugar estates of Mazabuka. The general view of the area (Curtin 2008: Fig.5) shows both the sugar estate and the adjoining small-scale farms that contrast vividly with the barren environs of the Chiredzi sugar estate (</w:t>
      </w:r>
      <w:r w:rsidRPr="009A7122">
        <w:rPr>
          <w:i/>
          <w:sz w:val="20"/>
          <w:szCs w:val="20"/>
          <w:lang w:val="en-US"/>
        </w:rPr>
        <w:t>ibid.</w:t>
      </w:r>
      <w:r w:rsidRPr="009A7122">
        <w:rPr>
          <w:sz w:val="20"/>
          <w:szCs w:val="20"/>
          <w:lang w:val="en-US"/>
        </w:rPr>
        <w:t>).</w:t>
      </w:r>
    </w:p>
    <w:p w14:paraId="17F60322" w14:textId="77777777" w:rsidR="009F661C" w:rsidRPr="009A7122" w:rsidRDefault="009F661C" w:rsidP="00495AE1">
      <w:pPr>
        <w:pStyle w:val="h2"/>
      </w:pPr>
      <w:r w:rsidRPr="009A7122">
        <w:lastRenderedPageBreak/>
        <w:t>Conclusion</w:t>
      </w:r>
    </w:p>
    <w:p w14:paraId="53E2FEB3" w14:textId="77777777" w:rsidR="009F661C" w:rsidRPr="009A7122" w:rsidRDefault="009F661C" w:rsidP="00C24C73">
      <w:pPr>
        <w:tabs>
          <w:tab w:val="left" w:pos="5954"/>
        </w:tabs>
        <w:ind w:right="-86" w:firstLine="284"/>
        <w:jc w:val="both"/>
        <w:rPr>
          <w:sz w:val="20"/>
          <w:szCs w:val="20"/>
          <w:lang w:val="en-US"/>
        </w:rPr>
      </w:pPr>
      <w:r>
        <w:rPr>
          <w:sz w:val="20"/>
          <w:szCs w:val="20"/>
          <w:lang w:val="en-US"/>
        </w:rPr>
        <w:t>We</w:t>
      </w:r>
      <w:r w:rsidRPr="009A7122">
        <w:rPr>
          <w:sz w:val="20"/>
          <w:szCs w:val="20"/>
          <w:lang w:val="en-US"/>
        </w:rPr>
        <w:t xml:space="preserve"> have shown that the general belief that the whites who settled in Zimbabwe after 1890 appropriated all the best potential agricultural land and left only the worst to the indigenes is without foundation. In fact, over 70 percent of white owned land was in the same allegedly less productive – in terms of soils and rainfall – areas as 82 percent of the land occupied by the blacks. The much greater output of white-owned than of black-owned farms in the mostly identical low potential areas clearly owed everything to the combination of greater human capital of the former with their greater access to financial capital due to “the hidden architecture” of secure title.</w:t>
      </w:r>
      <w:r w:rsidRPr="009A7122">
        <w:rPr>
          <w:rStyle w:val="FootnoteReference"/>
          <w:sz w:val="20"/>
          <w:szCs w:val="20"/>
          <w:lang w:val="en-US"/>
        </w:rPr>
        <w:footnoteReference w:id="42"/>
      </w:r>
    </w:p>
    <w:p w14:paraId="46520094" w14:textId="77777777" w:rsidR="009F661C" w:rsidRPr="009A7122" w:rsidRDefault="009F661C" w:rsidP="00C24C73">
      <w:pPr>
        <w:tabs>
          <w:tab w:val="left" w:pos="5954"/>
        </w:tabs>
        <w:ind w:right="-86" w:firstLine="284"/>
        <w:jc w:val="both"/>
        <w:rPr>
          <w:sz w:val="20"/>
          <w:szCs w:val="20"/>
          <w:lang w:val="en-US"/>
        </w:rPr>
      </w:pPr>
      <w:r w:rsidRPr="009A7122">
        <w:rPr>
          <w:sz w:val="20"/>
          <w:szCs w:val="20"/>
          <w:lang w:val="en-US"/>
        </w:rPr>
        <w:t>This paper has not sought to defend the process whereby a small alien minority acquired almost exclusive access to nearly half of Zimbabwe’s total land area in the 1890s. But then the Norman Conquest of England in 1066 was also a land grab. The Zimbabwe Constitution of 1980 seemed to hold out a future for both its black and white citizens, and provided for a process of land acquisition by blacks from white on a willing seller, willing buyer basis. Over 70,000 black farmers were settled on former white farms in the 1980s, but received no title (Freeman, 2007). The “fast-tracking” of that process by outright expropriation as permitted in legislation in 1992 led not only to expulsion of virtually all whites from farm land but to complete replacement of freehold and leasehold title by the undocumented customary model.</w:t>
      </w:r>
    </w:p>
    <w:p w14:paraId="52ED08A7" w14:textId="77777777" w:rsidR="009F661C" w:rsidRPr="009A7122" w:rsidRDefault="009F661C" w:rsidP="00C24C73">
      <w:pPr>
        <w:tabs>
          <w:tab w:val="left" w:pos="5954"/>
        </w:tabs>
        <w:ind w:right="-86" w:firstLine="284"/>
        <w:jc w:val="both"/>
        <w:rPr>
          <w:sz w:val="20"/>
          <w:szCs w:val="20"/>
          <w:lang w:val="en-US"/>
        </w:rPr>
      </w:pPr>
      <w:r w:rsidRPr="009A7122">
        <w:rPr>
          <w:sz w:val="20"/>
          <w:szCs w:val="20"/>
          <w:lang w:val="en-US"/>
        </w:rPr>
        <w:t xml:space="preserve">Apologists for this process like Moyo (2000) and Chaumba et al. (2003) appear ignorant of the trend in most countries including </w:t>
      </w:r>
      <w:r>
        <w:rPr>
          <w:sz w:val="20"/>
          <w:szCs w:val="20"/>
          <w:lang w:val="en-US"/>
        </w:rPr>
        <w:t xml:space="preserve">Russia and </w:t>
      </w:r>
      <w:r w:rsidRPr="009A7122">
        <w:rPr>
          <w:sz w:val="20"/>
          <w:szCs w:val="20"/>
          <w:lang w:val="en-US"/>
        </w:rPr>
        <w:t>China for both land titling and resulting gradual increases in average farm size, because of the advantages of economies of scale. Zimbabwe has reinstated the subsistence production that prevailed across the whole country in 1890. This is demonstrably unsustainable for a country half of whose population had become urbanized by the 1990s.</w:t>
      </w:r>
    </w:p>
    <w:p w14:paraId="6A71D52B" w14:textId="77777777" w:rsidR="009F661C" w:rsidRPr="009A7122" w:rsidRDefault="009F661C" w:rsidP="00C24C73">
      <w:pPr>
        <w:tabs>
          <w:tab w:val="left" w:pos="5954"/>
        </w:tabs>
        <w:ind w:right="-86" w:firstLine="284"/>
        <w:jc w:val="both"/>
        <w:rPr>
          <w:sz w:val="20"/>
          <w:szCs w:val="20"/>
          <w:lang w:val="en-US"/>
        </w:rPr>
      </w:pPr>
      <w:r w:rsidRPr="009A7122">
        <w:rPr>
          <w:sz w:val="20"/>
          <w:szCs w:val="20"/>
          <w:lang w:val="en-US"/>
        </w:rPr>
        <w:t>Finally, this paper’s findings show once again the stark choice between equality of outcome, at the low level that obtains wherever there is only communal or customary land title - as now in Zimbabwe, Papua New Guinea, and Australia’s Northern Territory - and the higher and faster growing incomes for all that secure title permits, even if at the cost of some degree of relative inequality.</w:t>
      </w:r>
    </w:p>
    <w:p w14:paraId="2C0BBF0B" w14:textId="77777777" w:rsidR="009F661C" w:rsidRPr="009A7122" w:rsidRDefault="009F661C" w:rsidP="00495AE1">
      <w:pPr>
        <w:pStyle w:val="h2"/>
        <w:ind w:firstLine="0"/>
      </w:pPr>
      <w:r>
        <w:lastRenderedPageBreak/>
        <w:t>References</w:t>
      </w:r>
    </w:p>
    <w:p w14:paraId="59ACDC77"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Arrighi, G. 1974. Labour supplies in historical perspective: a study of the proletarianization of the African Peasantry in Rhodesia, </w:t>
      </w:r>
      <w:r w:rsidRPr="00495AE1">
        <w:rPr>
          <w:i/>
          <w:iCs/>
          <w:sz w:val="20"/>
          <w:szCs w:val="20"/>
          <w:lang w:val="en-US"/>
        </w:rPr>
        <w:t>Journal of Development Studies</w:t>
      </w:r>
      <w:r w:rsidRPr="00495AE1">
        <w:rPr>
          <w:sz w:val="20"/>
          <w:szCs w:val="20"/>
          <w:lang w:val="en-US"/>
        </w:rPr>
        <w:t>, 6(3), 197-234, reprinted in Arrighi and Saul 1974.</w:t>
      </w:r>
    </w:p>
    <w:p w14:paraId="5792A868"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Blake, R. 1977. </w:t>
      </w:r>
      <w:r w:rsidRPr="00495AE1">
        <w:rPr>
          <w:i/>
          <w:sz w:val="20"/>
          <w:szCs w:val="20"/>
          <w:lang w:val="en-US"/>
        </w:rPr>
        <w:t>A History of Rhodesia.</w:t>
      </w:r>
      <w:r w:rsidRPr="00495AE1">
        <w:rPr>
          <w:sz w:val="20"/>
          <w:szCs w:val="20"/>
          <w:lang w:val="en-US"/>
        </w:rPr>
        <w:t xml:space="preserve"> Eyre Methuen, London.</w:t>
      </w:r>
    </w:p>
    <w:p w14:paraId="30537C31" w14:textId="77777777" w:rsidR="009F661C" w:rsidRPr="00495AE1" w:rsidRDefault="009F661C" w:rsidP="00495AE1">
      <w:pPr>
        <w:tabs>
          <w:tab w:val="left" w:pos="5954"/>
        </w:tabs>
        <w:ind w:left="284" w:hanging="284"/>
        <w:jc w:val="both"/>
        <w:rPr>
          <w:sz w:val="20"/>
          <w:szCs w:val="20"/>
        </w:rPr>
      </w:pPr>
      <w:r w:rsidRPr="00495AE1">
        <w:rPr>
          <w:sz w:val="20"/>
          <w:szCs w:val="20"/>
        </w:rPr>
        <w:t xml:space="preserve">Chaumba J, I. Scoones, and W. Wolmer 2003a. From Jambanja to Planning: the Reassertion of Technocracy in Land Reform in South-eastern Zimbabwe, </w:t>
      </w:r>
      <w:r w:rsidRPr="00495AE1">
        <w:rPr>
          <w:i/>
          <w:iCs/>
          <w:sz w:val="20"/>
          <w:szCs w:val="20"/>
          <w:lang w:val="en-US"/>
        </w:rPr>
        <w:t>Sustainable Livelihoods in Southern Africa Research Paper 2</w:t>
      </w:r>
      <w:r w:rsidRPr="00495AE1">
        <w:rPr>
          <w:sz w:val="20"/>
          <w:szCs w:val="20"/>
          <w:lang w:val="en-US"/>
        </w:rPr>
        <w:t>, Institute for Development Studies, Brighton.</w:t>
      </w:r>
      <w:r w:rsidRPr="00495AE1">
        <w:rPr>
          <w:sz w:val="20"/>
          <w:szCs w:val="20"/>
        </w:rPr>
        <w:t xml:space="preserve"> </w:t>
      </w:r>
    </w:p>
    <w:p w14:paraId="0DD0388C" w14:textId="77777777" w:rsidR="009F661C" w:rsidRPr="00495AE1" w:rsidRDefault="009F661C" w:rsidP="00495AE1">
      <w:pPr>
        <w:tabs>
          <w:tab w:val="left" w:pos="5954"/>
        </w:tabs>
        <w:autoSpaceDE w:val="0"/>
        <w:autoSpaceDN w:val="0"/>
        <w:adjustRightInd w:val="0"/>
        <w:ind w:left="284" w:hanging="284"/>
        <w:jc w:val="both"/>
        <w:rPr>
          <w:sz w:val="20"/>
          <w:szCs w:val="20"/>
          <w:lang w:val="en-US"/>
        </w:rPr>
      </w:pPr>
      <w:r w:rsidRPr="00495AE1">
        <w:rPr>
          <w:sz w:val="20"/>
          <w:szCs w:val="20"/>
          <w:lang w:val="en-US"/>
        </w:rPr>
        <w:t xml:space="preserve">Chaumba, J., I. Scoones,  and W. Wolmer, 2003b. New politics, new livelihoods: changes in the Zimbabwean lowveld since the farm occupations of 2000. </w:t>
      </w:r>
      <w:r w:rsidRPr="00495AE1">
        <w:rPr>
          <w:i/>
          <w:iCs/>
          <w:sz w:val="20"/>
          <w:szCs w:val="20"/>
          <w:lang w:val="en-US"/>
        </w:rPr>
        <w:t>Sustainable Livelihoods in Southern Africa Research Paper 3</w:t>
      </w:r>
      <w:r w:rsidRPr="00495AE1">
        <w:rPr>
          <w:sz w:val="20"/>
          <w:szCs w:val="20"/>
          <w:lang w:val="en-US"/>
        </w:rPr>
        <w:t>, Institute of Development Studies, Brighton.</w:t>
      </w:r>
    </w:p>
    <w:p w14:paraId="0816170C"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Cousins, B. 2007. More than socially embedded: the distinctive character of ‘communal tenure’ regimes in South Africa and its implications for land policy. </w:t>
      </w:r>
      <w:r w:rsidRPr="00495AE1">
        <w:rPr>
          <w:i/>
          <w:iCs/>
          <w:sz w:val="20"/>
          <w:szCs w:val="20"/>
          <w:lang w:val="en-US"/>
        </w:rPr>
        <w:t>Journal of Agrarian Change</w:t>
      </w:r>
      <w:r w:rsidRPr="00495AE1">
        <w:rPr>
          <w:sz w:val="20"/>
          <w:szCs w:val="20"/>
          <w:lang w:val="en-US"/>
        </w:rPr>
        <w:t>, 7 (3), 281-315.</w:t>
      </w:r>
    </w:p>
    <w:p w14:paraId="527EE613"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Curtin, T. 1973.  Economy of Rhodesia. </w:t>
      </w:r>
      <w:r w:rsidRPr="00495AE1">
        <w:rPr>
          <w:i/>
          <w:iCs/>
          <w:sz w:val="20"/>
          <w:szCs w:val="20"/>
          <w:lang w:val="en-US"/>
        </w:rPr>
        <w:t>Africa South of the Sahara 1973</w:t>
      </w:r>
      <w:r w:rsidRPr="00495AE1">
        <w:rPr>
          <w:sz w:val="20"/>
          <w:szCs w:val="20"/>
          <w:lang w:val="en-US"/>
        </w:rPr>
        <w:t>. Europa Publications, London.</w:t>
      </w:r>
    </w:p>
    <w:p w14:paraId="694D4203"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Curtin, T. and D. Lea 2006. Land titling and socioeconomic development in the South Pacific. </w:t>
      </w:r>
      <w:r w:rsidRPr="00495AE1">
        <w:rPr>
          <w:i/>
          <w:iCs/>
          <w:sz w:val="20"/>
          <w:szCs w:val="20"/>
          <w:lang w:val="en-US"/>
        </w:rPr>
        <w:t>Pacific Economic Bulletin</w:t>
      </w:r>
      <w:r w:rsidRPr="00495AE1">
        <w:rPr>
          <w:sz w:val="20"/>
          <w:szCs w:val="20"/>
          <w:lang w:val="en-US"/>
        </w:rPr>
        <w:t>, 21(1), 153-180.</w:t>
      </w:r>
    </w:p>
    <w:p w14:paraId="53EA687F"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Curtin, T. 2008. The economic history of land tenure in Zimbabwe. </w:t>
      </w:r>
      <w:hyperlink r:id="rId60" w:history="1">
        <w:r w:rsidRPr="00495AE1">
          <w:rPr>
            <w:rStyle w:val="Hyperlink"/>
            <w:color w:val="auto"/>
            <w:sz w:val="20"/>
            <w:szCs w:val="20"/>
            <w:u w:val="none"/>
            <w:lang w:val="en-US"/>
          </w:rPr>
          <w:t>www.timcurtin.com</w:t>
        </w:r>
      </w:hyperlink>
      <w:r w:rsidRPr="00495AE1">
        <w:rPr>
          <w:sz w:val="20"/>
          <w:szCs w:val="20"/>
          <w:lang w:val="en-US"/>
        </w:rPr>
        <w:t>.</w:t>
      </w:r>
    </w:p>
    <w:p w14:paraId="62B7B031" w14:textId="77777777" w:rsidR="009F661C" w:rsidRPr="00495AE1" w:rsidRDefault="009F661C" w:rsidP="00495AE1">
      <w:pPr>
        <w:tabs>
          <w:tab w:val="left" w:pos="5954"/>
        </w:tabs>
        <w:autoSpaceDE w:val="0"/>
        <w:autoSpaceDN w:val="0"/>
        <w:adjustRightInd w:val="0"/>
        <w:ind w:left="284" w:hanging="284"/>
        <w:jc w:val="both"/>
        <w:rPr>
          <w:sz w:val="20"/>
          <w:szCs w:val="20"/>
          <w:lang w:val="en-US"/>
        </w:rPr>
      </w:pPr>
      <w:r w:rsidRPr="00495AE1">
        <w:rPr>
          <w:sz w:val="20"/>
          <w:szCs w:val="20"/>
          <w:lang w:val="en-US"/>
        </w:rPr>
        <w:t>Deininger, K. and H.P. Binswanger, 1992. Are Large Farms More Efficient Than Small Ones? Mimeo, University of Minnesota and World Bank.</w:t>
      </w:r>
    </w:p>
    <w:p w14:paraId="3BEF42C2"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Deininger, K., H. Hoogeveen, B.H. Kinsey 2004. Economic benefits and costs of land redistribution in Zimbabwe in the early 1980s. </w:t>
      </w:r>
      <w:r w:rsidRPr="00495AE1">
        <w:rPr>
          <w:i/>
          <w:iCs/>
          <w:sz w:val="20"/>
          <w:szCs w:val="20"/>
          <w:lang w:val="en-US"/>
        </w:rPr>
        <w:t xml:space="preserve">World Development  </w:t>
      </w:r>
      <w:r w:rsidRPr="00495AE1">
        <w:rPr>
          <w:sz w:val="20"/>
          <w:szCs w:val="20"/>
          <w:lang w:val="en-US"/>
        </w:rPr>
        <w:t>32 (10), 1697-1709.</w:t>
      </w:r>
    </w:p>
    <w:p w14:paraId="64E0E916"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Feinstein, C.H.  2005.</w:t>
      </w:r>
      <w:r w:rsidRPr="00495AE1">
        <w:rPr>
          <w:i/>
          <w:sz w:val="20"/>
          <w:szCs w:val="20"/>
          <w:lang w:val="en-US"/>
        </w:rPr>
        <w:t xml:space="preserve"> An Economic History of South Africa.</w:t>
      </w:r>
      <w:r w:rsidRPr="00495AE1">
        <w:rPr>
          <w:sz w:val="20"/>
          <w:szCs w:val="20"/>
          <w:lang w:val="en-US"/>
        </w:rPr>
        <w:t xml:space="preserve"> CUP, Cambridge.</w:t>
      </w:r>
    </w:p>
    <w:p w14:paraId="235ADE51"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Fingleton, J. 2007.  Rethinking the need for land reform in Papua New Guinea. </w:t>
      </w:r>
      <w:r w:rsidRPr="00495AE1">
        <w:rPr>
          <w:i/>
          <w:iCs/>
          <w:sz w:val="20"/>
          <w:szCs w:val="20"/>
          <w:lang w:val="en-US"/>
        </w:rPr>
        <w:t>Pacific Economic Bulletin</w:t>
      </w:r>
      <w:r w:rsidRPr="00495AE1">
        <w:rPr>
          <w:sz w:val="20"/>
          <w:szCs w:val="20"/>
          <w:lang w:val="en-US"/>
        </w:rPr>
        <w:t>, 22(1), 115-221.</w:t>
      </w:r>
    </w:p>
    <w:p w14:paraId="700F7D6C"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Freeman, P. 2007. The British role in land reform. </w:t>
      </w:r>
      <w:r w:rsidRPr="00495AE1">
        <w:rPr>
          <w:i/>
          <w:iCs/>
          <w:sz w:val="20"/>
          <w:szCs w:val="20"/>
          <w:lang w:val="en-US"/>
        </w:rPr>
        <w:t>The Zimbabwean</w:t>
      </w:r>
      <w:r w:rsidRPr="00495AE1">
        <w:rPr>
          <w:sz w:val="20"/>
          <w:szCs w:val="20"/>
          <w:lang w:val="en-US"/>
        </w:rPr>
        <w:t>. 25-31 October 2007.</w:t>
      </w:r>
    </w:p>
    <w:p w14:paraId="1D4B9AB0"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Gann, L.H. and P. Duignan (eds.) 1969. </w:t>
      </w:r>
      <w:r w:rsidRPr="00495AE1">
        <w:rPr>
          <w:i/>
          <w:sz w:val="20"/>
          <w:szCs w:val="20"/>
          <w:lang w:val="en-US"/>
        </w:rPr>
        <w:t>Colonialism in Africa</w:t>
      </w:r>
      <w:r w:rsidRPr="00495AE1">
        <w:rPr>
          <w:sz w:val="20"/>
          <w:szCs w:val="20"/>
          <w:lang w:val="en-US"/>
        </w:rPr>
        <w:t>, vol.1. CUP, Cambridge.</w:t>
      </w:r>
    </w:p>
    <w:p w14:paraId="787A0E8D" w14:textId="77777777" w:rsidR="009F661C" w:rsidRPr="00495AE1" w:rsidRDefault="009F661C" w:rsidP="00495AE1">
      <w:pPr>
        <w:tabs>
          <w:tab w:val="left" w:pos="5954"/>
        </w:tabs>
        <w:ind w:left="284" w:hanging="284"/>
        <w:jc w:val="both"/>
        <w:rPr>
          <w:iCs/>
          <w:sz w:val="20"/>
          <w:szCs w:val="20"/>
        </w:rPr>
      </w:pPr>
      <w:r w:rsidRPr="00495AE1">
        <w:rPr>
          <w:sz w:val="20"/>
          <w:szCs w:val="20"/>
          <w:lang w:val="en-US"/>
        </w:rPr>
        <w:t xml:space="preserve">Garnaut, R. 2007. </w:t>
      </w:r>
      <w:r w:rsidRPr="00495AE1">
        <w:rPr>
          <w:i/>
          <w:iCs/>
          <w:sz w:val="20"/>
          <w:szCs w:val="20"/>
        </w:rPr>
        <w:t>Will climate change bring an end to the Platinum Age?</w:t>
      </w:r>
      <w:r w:rsidRPr="00495AE1">
        <w:rPr>
          <w:iCs/>
          <w:sz w:val="20"/>
          <w:szCs w:val="20"/>
        </w:rPr>
        <w:t xml:space="preserve"> Inaugural S.T. Lee Lecture, www.garnautreview.com.au. </w:t>
      </w:r>
    </w:p>
    <w:p w14:paraId="7D8D3566" w14:textId="77777777" w:rsidR="009F661C" w:rsidRPr="00495AE1" w:rsidRDefault="009F661C" w:rsidP="00495AE1">
      <w:pPr>
        <w:tabs>
          <w:tab w:val="left" w:pos="5954"/>
        </w:tabs>
        <w:autoSpaceDE w:val="0"/>
        <w:autoSpaceDN w:val="0"/>
        <w:adjustRightInd w:val="0"/>
        <w:ind w:left="284" w:hanging="284"/>
        <w:jc w:val="both"/>
        <w:rPr>
          <w:sz w:val="20"/>
          <w:szCs w:val="20"/>
          <w:lang w:val="en-US"/>
        </w:rPr>
      </w:pPr>
      <w:r w:rsidRPr="00495AE1">
        <w:rPr>
          <w:sz w:val="20"/>
          <w:szCs w:val="20"/>
          <w:lang w:val="en-US"/>
        </w:rPr>
        <w:t xml:space="preserve">Gluckman, Max, 1965. </w:t>
      </w:r>
      <w:r w:rsidRPr="00495AE1">
        <w:rPr>
          <w:i/>
          <w:iCs/>
          <w:sz w:val="20"/>
          <w:szCs w:val="20"/>
          <w:lang w:val="en-US"/>
        </w:rPr>
        <w:t>The Ideas in Barotse Jurisprudence</w:t>
      </w:r>
      <w:r w:rsidRPr="00495AE1">
        <w:rPr>
          <w:sz w:val="20"/>
          <w:szCs w:val="20"/>
          <w:lang w:val="en-US"/>
        </w:rPr>
        <w:t>. Manchester: Manchester University Press.</w:t>
      </w:r>
    </w:p>
    <w:p w14:paraId="2D4685C3" w14:textId="77777777" w:rsidR="009F661C" w:rsidRPr="00495AE1" w:rsidRDefault="009F661C" w:rsidP="00495AE1">
      <w:pPr>
        <w:tabs>
          <w:tab w:val="left" w:pos="5954"/>
        </w:tabs>
        <w:autoSpaceDE w:val="0"/>
        <w:autoSpaceDN w:val="0"/>
        <w:adjustRightInd w:val="0"/>
        <w:ind w:left="284" w:hanging="284"/>
        <w:jc w:val="both"/>
        <w:rPr>
          <w:sz w:val="20"/>
          <w:szCs w:val="20"/>
          <w:lang w:val="en-US"/>
        </w:rPr>
      </w:pPr>
      <w:r w:rsidRPr="00495AE1">
        <w:rPr>
          <w:sz w:val="20"/>
          <w:szCs w:val="20"/>
          <w:lang w:val="en-US"/>
        </w:rPr>
        <w:lastRenderedPageBreak/>
        <w:t xml:space="preserve">Griffin, K., A.R. Khan and A. Ickowitz, 2002. ‘Poverty and the Distribution of Land’. </w:t>
      </w:r>
      <w:r w:rsidRPr="00495AE1">
        <w:rPr>
          <w:i/>
          <w:iCs/>
          <w:sz w:val="20"/>
          <w:szCs w:val="20"/>
          <w:lang w:val="en-US"/>
        </w:rPr>
        <w:t>Journal of Agrarian Change</w:t>
      </w:r>
      <w:r w:rsidRPr="00495AE1">
        <w:rPr>
          <w:sz w:val="20"/>
          <w:szCs w:val="20"/>
          <w:lang w:val="en-US"/>
        </w:rPr>
        <w:t>, 2 (3): 279–330.</w:t>
      </w:r>
    </w:p>
    <w:p w14:paraId="05865F7D" w14:textId="77777777" w:rsidR="009F661C" w:rsidRPr="00495AE1" w:rsidRDefault="009F661C" w:rsidP="00495AE1">
      <w:pPr>
        <w:tabs>
          <w:tab w:val="left" w:pos="5954"/>
        </w:tabs>
        <w:autoSpaceDE w:val="0"/>
        <w:autoSpaceDN w:val="0"/>
        <w:adjustRightInd w:val="0"/>
        <w:ind w:left="284" w:hanging="284"/>
        <w:jc w:val="both"/>
        <w:rPr>
          <w:sz w:val="20"/>
          <w:szCs w:val="20"/>
          <w:lang w:val="en-US"/>
        </w:rPr>
      </w:pPr>
      <w:r w:rsidRPr="00495AE1">
        <w:rPr>
          <w:sz w:val="20"/>
          <w:szCs w:val="20"/>
          <w:lang w:val="en-US"/>
        </w:rPr>
        <w:t xml:space="preserve">Hoogeveen, H., &amp; Kinsey, B. H. (2001). Land reform, growth and equity: emerging evidence from Zimbabwe’s resettlement programme: a sequel. </w:t>
      </w:r>
      <w:r w:rsidRPr="00495AE1">
        <w:rPr>
          <w:i/>
          <w:iCs/>
          <w:sz w:val="20"/>
          <w:szCs w:val="20"/>
          <w:lang w:val="en-US"/>
        </w:rPr>
        <w:t xml:space="preserve">Journal of Southern African Studies, </w:t>
      </w:r>
      <w:r w:rsidRPr="00495AE1">
        <w:rPr>
          <w:sz w:val="20"/>
          <w:szCs w:val="20"/>
          <w:lang w:val="en-US"/>
        </w:rPr>
        <w:t>27(1), 127–136.</w:t>
      </w:r>
    </w:p>
    <w:p w14:paraId="0F09E321" w14:textId="77777777" w:rsidR="009F661C" w:rsidRPr="00495AE1" w:rsidRDefault="009F661C" w:rsidP="00495AE1">
      <w:pPr>
        <w:tabs>
          <w:tab w:val="left" w:pos="5954"/>
        </w:tabs>
        <w:autoSpaceDE w:val="0"/>
        <w:autoSpaceDN w:val="0"/>
        <w:adjustRightInd w:val="0"/>
        <w:ind w:left="284" w:hanging="284"/>
        <w:jc w:val="both"/>
        <w:rPr>
          <w:sz w:val="20"/>
          <w:szCs w:val="20"/>
          <w:lang w:val="en-US"/>
        </w:rPr>
      </w:pPr>
      <w:r w:rsidRPr="00495AE1">
        <w:rPr>
          <w:sz w:val="20"/>
          <w:szCs w:val="20"/>
          <w:lang w:val="en-US"/>
        </w:rPr>
        <w:t xml:space="preserve">Kinsey, B.H. 1999.  Land reform, growth and equity: emerging evidence from Zimbabwe’s resettlement programme. </w:t>
      </w:r>
      <w:r w:rsidRPr="00495AE1">
        <w:rPr>
          <w:i/>
          <w:iCs/>
          <w:sz w:val="20"/>
          <w:szCs w:val="20"/>
          <w:lang w:val="en-US"/>
        </w:rPr>
        <w:t>Journal of Southern African Studies</w:t>
      </w:r>
      <w:r w:rsidRPr="00495AE1">
        <w:rPr>
          <w:sz w:val="20"/>
          <w:szCs w:val="20"/>
          <w:lang w:val="en-US"/>
        </w:rPr>
        <w:t>, 25(2), 173–196.</w:t>
      </w:r>
    </w:p>
    <w:p w14:paraId="095B1C9E" w14:textId="77777777" w:rsidR="009F661C" w:rsidRPr="00495AE1" w:rsidRDefault="009F661C" w:rsidP="00495AE1">
      <w:pPr>
        <w:tabs>
          <w:tab w:val="left" w:pos="5954"/>
        </w:tabs>
        <w:autoSpaceDE w:val="0"/>
        <w:autoSpaceDN w:val="0"/>
        <w:adjustRightInd w:val="0"/>
        <w:ind w:left="284" w:hanging="284"/>
        <w:jc w:val="both"/>
        <w:rPr>
          <w:sz w:val="20"/>
          <w:szCs w:val="20"/>
          <w:lang w:val="en-US"/>
        </w:rPr>
      </w:pPr>
      <w:r w:rsidRPr="00495AE1">
        <w:rPr>
          <w:sz w:val="20"/>
          <w:szCs w:val="20"/>
          <w:lang w:val="en-US"/>
        </w:rPr>
        <w:t xml:space="preserve">Magaisa, A. 2006. Reviving commercial agriculture in Zimbabwe. </w:t>
      </w:r>
      <w:r w:rsidRPr="00495AE1">
        <w:rPr>
          <w:i/>
          <w:iCs/>
          <w:sz w:val="20"/>
          <w:szCs w:val="20"/>
          <w:lang w:val="en-US"/>
        </w:rPr>
        <w:t>New Zimbabwe</w:t>
      </w:r>
      <w:r w:rsidRPr="00495AE1">
        <w:rPr>
          <w:sz w:val="20"/>
          <w:szCs w:val="20"/>
          <w:lang w:val="en-US"/>
        </w:rPr>
        <w:t xml:space="preserve">, accessed from </w:t>
      </w:r>
      <w:hyperlink r:id="rId61" w:history="1">
        <w:r w:rsidRPr="00495AE1">
          <w:rPr>
            <w:rStyle w:val="Hyperlink"/>
            <w:color w:val="auto"/>
            <w:sz w:val="20"/>
            <w:szCs w:val="20"/>
            <w:u w:val="none"/>
            <w:lang w:val="en-US"/>
          </w:rPr>
          <w:t>www.zimbabwesituation.com</w:t>
        </w:r>
      </w:hyperlink>
      <w:r w:rsidRPr="00495AE1">
        <w:rPr>
          <w:sz w:val="20"/>
          <w:szCs w:val="20"/>
          <w:lang w:val="en-US"/>
        </w:rPr>
        <w:t>, December 2006.</w:t>
      </w:r>
    </w:p>
    <w:p w14:paraId="076592A6" w14:textId="77777777" w:rsidR="009F661C" w:rsidRPr="00495AE1" w:rsidRDefault="009F661C" w:rsidP="00495AE1">
      <w:pPr>
        <w:tabs>
          <w:tab w:val="left" w:pos="5954"/>
        </w:tabs>
        <w:autoSpaceDE w:val="0"/>
        <w:autoSpaceDN w:val="0"/>
        <w:adjustRightInd w:val="0"/>
        <w:ind w:left="284" w:hanging="284"/>
        <w:jc w:val="both"/>
        <w:rPr>
          <w:sz w:val="20"/>
          <w:szCs w:val="20"/>
          <w:lang w:val="en-US"/>
        </w:rPr>
      </w:pPr>
      <w:r w:rsidRPr="00495AE1">
        <w:rPr>
          <w:sz w:val="20"/>
          <w:szCs w:val="20"/>
          <w:lang w:val="en-US"/>
        </w:rPr>
        <w:t xml:space="preserve">Moore, D.S. 2005. </w:t>
      </w:r>
      <w:r w:rsidRPr="00495AE1">
        <w:rPr>
          <w:i/>
          <w:sz w:val="20"/>
          <w:szCs w:val="20"/>
          <w:lang w:val="en-US"/>
        </w:rPr>
        <w:t>Suffering for territory. Race, place, and power in Zimbabwe.</w:t>
      </w:r>
      <w:r w:rsidRPr="00495AE1">
        <w:rPr>
          <w:sz w:val="20"/>
          <w:szCs w:val="20"/>
          <w:lang w:val="en-US"/>
        </w:rPr>
        <w:t xml:space="preserve"> Duke University Press, Durham and London.</w:t>
      </w:r>
    </w:p>
    <w:p w14:paraId="5EB79516" w14:textId="77777777" w:rsidR="009F661C" w:rsidRPr="00495AE1" w:rsidRDefault="009F661C" w:rsidP="00495AE1">
      <w:pPr>
        <w:tabs>
          <w:tab w:val="left" w:pos="5954"/>
        </w:tabs>
        <w:autoSpaceDE w:val="0"/>
        <w:autoSpaceDN w:val="0"/>
        <w:adjustRightInd w:val="0"/>
        <w:ind w:left="284" w:hanging="284"/>
        <w:jc w:val="both"/>
        <w:rPr>
          <w:sz w:val="20"/>
          <w:szCs w:val="20"/>
          <w:lang w:val="en-US"/>
        </w:rPr>
      </w:pPr>
      <w:r w:rsidRPr="00495AE1">
        <w:rPr>
          <w:sz w:val="20"/>
          <w:szCs w:val="20"/>
          <w:lang w:val="en-US"/>
        </w:rPr>
        <w:t xml:space="preserve">Moyo, S. 2000 ‘The political economy of land acquisition and redistribution in Zimbabwe, 1990-1999’. </w:t>
      </w:r>
      <w:r w:rsidRPr="00495AE1">
        <w:rPr>
          <w:i/>
          <w:iCs/>
          <w:sz w:val="20"/>
          <w:szCs w:val="20"/>
          <w:lang w:val="en-US"/>
        </w:rPr>
        <w:t xml:space="preserve">Journal of Southern African Studies, </w:t>
      </w:r>
      <w:r w:rsidRPr="00495AE1">
        <w:rPr>
          <w:sz w:val="20"/>
          <w:szCs w:val="20"/>
          <w:lang w:val="en-US"/>
        </w:rPr>
        <w:t>26 (1): 5-28.</w:t>
      </w:r>
    </w:p>
    <w:p w14:paraId="43DF6254"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Palley, C. 1966. </w:t>
      </w:r>
      <w:r w:rsidRPr="00495AE1">
        <w:rPr>
          <w:i/>
          <w:iCs/>
          <w:sz w:val="20"/>
          <w:szCs w:val="20"/>
          <w:lang w:val="en-US"/>
        </w:rPr>
        <w:t>The Constitutional History and Law of Southern Rhodesia.</w:t>
      </w:r>
      <w:r w:rsidRPr="00495AE1">
        <w:rPr>
          <w:sz w:val="20"/>
          <w:szCs w:val="20"/>
          <w:lang w:val="en-US"/>
        </w:rPr>
        <w:t xml:space="preserve"> Clarendon Press, Oxford.</w:t>
      </w:r>
    </w:p>
    <w:p w14:paraId="6BCC1B96"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 xml:space="preserve">Palmer, R. 1977. </w:t>
      </w:r>
      <w:r w:rsidRPr="00495AE1">
        <w:rPr>
          <w:i/>
          <w:iCs/>
          <w:sz w:val="20"/>
          <w:szCs w:val="20"/>
          <w:lang w:val="en-US"/>
        </w:rPr>
        <w:t>Land and Racial Domination in Rhodesia</w:t>
      </w:r>
      <w:r w:rsidRPr="00495AE1">
        <w:rPr>
          <w:sz w:val="20"/>
          <w:szCs w:val="20"/>
          <w:lang w:val="en-US"/>
        </w:rPr>
        <w:t>. Heinemann, London.</w:t>
      </w:r>
    </w:p>
    <w:p w14:paraId="104B38FD" w14:textId="77777777" w:rsidR="009F661C" w:rsidRPr="00495AE1" w:rsidRDefault="009F661C" w:rsidP="00495AE1">
      <w:pPr>
        <w:tabs>
          <w:tab w:val="left" w:pos="5954"/>
        </w:tabs>
        <w:ind w:left="284" w:hanging="284"/>
        <w:jc w:val="both"/>
        <w:rPr>
          <w:sz w:val="20"/>
          <w:szCs w:val="20"/>
        </w:rPr>
      </w:pPr>
      <w:r w:rsidRPr="00495AE1">
        <w:rPr>
          <w:sz w:val="20"/>
          <w:szCs w:val="20"/>
        </w:rPr>
        <w:t xml:space="preserve">Poulton, C., R. Davies, I.Matshe, and I. Urey 2002. </w:t>
      </w:r>
      <w:r w:rsidRPr="00495AE1">
        <w:rPr>
          <w:i/>
          <w:iCs/>
          <w:sz w:val="20"/>
          <w:szCs w:val="20"/>
        </w:rPr>
        <w:t>A review of Zimbabwe’s agricultural economic policies: 1980 –2000.</w:t>
      </w:r>
      <w:r w:rsidRPr="00495AE1">
        <w:rPr>
          <w:sz w:val="20"/>
          <w:szCs w:val="20"/>
        </w:rPr>
        <w:t xml:space="preserve"> Imperial College, Wye.</w:t>
      </w:r>
    </w:p>
    <w:p w14:paraId="30D6002D" w14:textId="77777777" w:rsidR="009F661C" w:rsidRPr="00495AE1" w:rsidRDefault="009F661C" w:rsidP="00495AE1">
      <w:pPr>
        <w:tabs>
          <w:tab w:val="left" w:pos="5954"/>
        </w:tabs>
        <w:ind w:left="284" w:hanging="284"/>
        <w:jc w:val="both"/>
        <w:rPr>
          <w:sz w:val="20"/>
          <w:szCs w:val="20"/>
        </w:rPr>
      </w:pPr>
      <w:r w:rsidRPr="00495AE1">
        <w:rPr>
          <w:sz w:val="20"/>
          <w:szCs w:val="20"/>
        </w:rPr>
        <w:t>Ranger, T. O. 1969. African reaction and resistance to the imposition of colonial rule in East and Central Africa, in Gann and Duignan (eds.), 1969.</w:t>
      </w:r>
    </w:p>
    <w:p w14:paraId="1CD19604" w14:textId="77777777" w:rsidR="009F661C" w:rsidRPr="00495AE1" w:rsidRDefault="009F661C" w:rsidP="00495AE1">
      <w:pPr>
        <w:tabs>
          <w:tab w:val="left" w:pos="5954"/>
        </w:tabs>
        <w:ind w:left="284" w:hanging="284"/>
        <w:jc w:val="both"/>
        <w:rPr>
          <w:sz w:val="20"/>
          <w:szCs w:val="20"/>
        </w:rPr>
      </w:pPr>
      <w:r w:rsidRPr="00495AE1">
        <w:rPr>
          <w:sz w:val="20"/>
          <w:szCs w:val="20"/>
        </w:rPr>
        <w:t xml:space="preserve">Richardson, C. 2006a. Learning from failure: property rights, land reform, and the hidden architecture of capitalism. </w:t>
      </w:r>
      <w:r w:rsidRPr="00495AE1">
        <w:rPr>
          <w:i/>
          <w:iCs/>
          <w:sz w:val="20"/>
          <w:szCs w:val="20"/>
        </w:rPr>
        <w:t>Development Policy Outlook</w:t>
      </w:r>
      <w:r w:rsidRPr="00495AE1">
        <w:rPr>
          <w:sz w:val="20"/>
          <w:szCs w:val="20"/>
        </w:rPr>
        <w:t xml:space="preserve">, 2, </w:t>
      </w:r>
      <w:hyperlink r:id="rId62" w:history="1">
        <w:r w:rsidRPr="00495AE1">
          <w:rPr>
            <w:rStyle w:val="Hyperlink"/>
            <w:color w:val="auto"/>
            <w:sz w:val="20"/>
            <w:szCs w:val="20"/>
            <w:u w:val="none"/>
          </w:rPr>
          <w:t>www.aei.org</w:t>
        </w:r>
      </w:hyperlink>
    </w:p>
    <w:p w14:paraId="2F74DEDC" w14:textId="77777777" w:rsidR="009F661C" w:rsidRPr="00495AE1" w:rsidRDefault="009F661C" w:rsidP="00495AE1">
      <w:pPr>
        <w:tabs>
          <w:tab w:val="left" w:pos="5954"/>
        </w:tabs>
        <w:ind w:left="284" w:hanging="284"/>
        <w:jc w:val="both"/>
        <w:rPr>
          <w:sz w:val="20"/>
          <w:szCs w:val="20"/>
        </w:rPr>
      </w:pPr>
      <w:r>
        <w:rPr>
          <w:sz w:val="20"/>
          <w:szCs w:val="20"/>
        </w:rPr>
        <w:t>—</w:t>
      </w:r>
      <w:r w:rsidRPr="00495AE1">
        <w:rPr>
          <w:sz w:val="20"/>
          <w:szCs w:val="20"/>
        </w:rPr>
        <w:t xml:space="preserve">. 2006b. Scorched earth in Zimbabwe: before and after photos. Centre for Global Development. </w:t>
      </w:r>
      <w:hyperlink r:id="rId63" w:history="1">
        <w:r w:rsidRPr="00495AE1">
          <w:rPr>
            <w:rStyle w:val="Hyperlink"/>
            <w:color w:val="auto"/>
            <w:sz w:val="20"/>
            <w:szCs w:val="20"/>
            <w:u w:val="none"/>
          </w:rPr>
          <w:t>www.cgdev.org</w:t>
        </w:r>
      </w:hyperlink>
    </w:p>
    <w:p w14:paraId="31967BBC" w14:textId="77777777" w:rsidR="009F661C" w:rsidRPr="00495AE1" w:rsidRDefault="009F661C" w:rsidP="00495AE1">
      <w:pPr>
        <w:tabs>
          <w:tab w:val="left" w:pos="5954"/>
        </w:tabs>
        <w:ind w:left="284" w:hanging="284"/>
        <w:jc w:val="both"/>
        <w:rPr>
          <w:sz w:val="20"/>
          <w:szCs w:val="20"/>
        </w:rPr>
      </w:pPr>
      <w:r>
        <w:rPr>
          <w:sz w:val="20"/>
          <w:szCs w:val="20"/>
        </w:rPr>
        <w:t>—</w:t>
      </w:r>
      <w:r w:rsidRPr="00495AE1">
        <w:rPr>
          <w:sz w:val="20"/>
          <w:szCs w:val="20"/>
        </w:rPr>
        <w:t xml:space="preserve">. 2007a. How much did droughts matter? Linking rainfall and GDFP growth in Zimbabwe. </w:t>
      </w:r>
      <w:r w:rsidRPr="00495AE1">
        <w:rPr>
          <w:i/>
          <w:iCs/>
          <w:sz w:val="20"/>
          <w:szCs w:val="20"/>
        </w:rPr>
        <w:t>African Affairs</w:t>
      </w:r>
      <w:r w:rsidRPr="00495AE1">
        <w:rPr>
          <w:sz w:val="20"/>
          <w:szCs w:val="20"/>
        </w:rPr>
        <w:t>. 106(424), 463-478.</w:t>
      </w:r>
    </w:p>
    <w:p w14:paraId="75159EA8" w14:textId="77777777" w:rsidR="009F661C" w:rsidRPr="00495AE1" w:rsidRDefault="009F661C" w:rsidP="00495AE1">
      <w:pPr>
        <w:tabs>
          <w:tab w:val="left" w:pos="5954"/>
        </w:tabs>
        <w:ind w:left="284" w:hanging="284"/>
        <w:jc w:val="both"/>
        <w:rPr>
          <w:sz w:val="20"/>
          <w:szCs w:val="20"/>
        </w:rPr>
      </w:pPr>
      <w:r>
        <w:rPr>
          <w:sz w:val="20"/>
          <w:szCs w:val="20"/>
        </w:rPr>
        <w:t>—</w:t>
      </w:r>
      <w:r w:rsidRPr="00495AE1">
        <w:rPr>
          <w:sz w:val="20"/>
          <w:szCs w:val="20"/>
        </w:rPr>
        <w:t xml:space="preserve">. 2007b.How much did the expropriation of commercial farms matter to food insecurity in Zimbabwe? </w:t>
      </w:r>
      <w:r w:rsidRPr="00495AE1">
        <w:rPr>
          <w:i/>
          <w:iCs/>
          <w:sz w:val="20"/>
          <w:szCs w:val="20"/>
        </w:rPr>
        <w:t>African Affairs</w:t>
      </w:r>
      <w:r w:rsidRPr="00495AE1">
        <w:rPr>
          <w:sz w:val="20"/>
          <w:szCs w:val="20"/>
        </w:rPr>
        <w:t>, 106(425), 681-690.</w:t>
      </w:r>
    </w:p>
    <w:p w14:paraId="5974782F" w14:textId="77777777" w:rsidR="009F661C" w:rsidRPr="00495AE1" w:rsidRDefault="009F661C" w:rsidP="00495AE1">
      <w:pPr>
        <w:tabs>
          <w:tab w:val="left" w:pos="5954"/>
        </w:tabs>
        <w:ind w:left="284" w:hanging="284"/>
        <w:jc w:val="both"/>
        <w:rPr>
          <w:sz w:val="20"/>
          <w:szCs w:val="20"/>
          <w:lang w:val="en-US"/>
        </w:rPr>
      </w:pPr>
      <w:r w:rsidRPr="00495AE1">
        <w:rPr>
          <w:sz w:val="20"/>
          <w:szCs w:val="20"/>
          <w:lang w:val="en-US"/>
        </w:rPr>
        <w:t>Sender J. and D. Johnston 2004. Searching for a Weapon of Mass Production in rural Africa: unconvincing arguments for Land Reform.</w:t>
      </w:r>
      <w:r w:rsidRPr="00495AE1">
        <w:rPr>
          <w:i/>
          <w:iCs/>
          <w:sz w:val="20"/>
          <w:szCs w:val="20"/>
          <w:lang w:val="en-US"/>
        </w:rPr>
        <w:t xml:space="preserve"> Journal of Agrarian Change, </w:t>
      </w:r>
      <w:r w:rsidRPr="00495AE1">
        <w:rPr>
          <w:sz w:val="20"/>
          <w:szCs w:val="20"/>
          <w:lang w:val="en-US"/>
        </w:rPr>
        <w:t>4(1 and 2), 142-164.</w:t>
      </w:r>
    </w:p>
    <w:p w14:paraId="6433854E" w14:textId="77777777" w:rsidR="009F661C" w:rsidRPr="00495AE1" w:rsidRDefault="009F661C" w:rsidP="00495AE1">
      <w:pPr>
        <w:tabs>
          <w:tab w:val="left" w:pos="5954"/>
        </w:tabs>
        <w:autoSpaceDE w:val="0"/>
        <w:autoSpaceDN w:val="0"/>
        <w:adjustRightInd w:val="0"/>
        <w:ind w:left="284" w:hanging="284"/>
        <w:jc w:val="both"/>
        <w:rPr>
          <w:sz w:val="20"/>
          <w:szCs w:val="20"/>
          <w:lang w:val="en-US"/>
        </w:rPr>
      </w:pPr>
      <w:r w:rsidRPr="00495AE1">
        <w:rPr>
          <w:sz w:val="20"/>
          <w:szCs w:val="20"/>
          <w:lang w:val="en-US"/>
        </w:rPr>
        <w:t xml:space="preserve">Smith, R.E. 2004. Land Tenure, Fixed Investment, and Farm Productivity: Evidence from Zambia’s Southern Province. </w:t>
      </w:r>
      <w:r w:rsidRPr="00495AE1">
        <w:rPr>
          <w:i/>
          <w:iCs/>
          <w:sz w:val="20"/>
          <w:szCs w:val="20"/>
          <w:lang w:val="en-US"/>
        </w:rPr>
        <w:t>World Development,</w:t>
      </w:r>
      <w:r w:rsidRPr="00495AE1">
        <w:rPr>
          <w:sz w:val="20"/>
          <w:szCs w:val="20"/>
          <w:lang w:val="en-US"/>
        </w:rPr>
        <w:t xml:space="preserve"> 32(10), 1641-1661.</w:t>
      </w:r>
    </w:p>
    <w:p w14:paraId="278DE032" w14:textId="77777777" w:rsidR="009F661C" w:rsidRPr="00495AE1" w:rsidRDefault="009F661C" w:rsidP="00495AE1">
      <w:pPr>
        <w:tabs>
          <w:tab w:val="left" w:pos="5954"/>
        </w:tabs>
        <w:autoSpaceDE w:val="0"/>
        <w:autoSpaceDN w:val="0"/>
        <w:adjustRightInd w:val="0"/>
        <w:ind w:left="284" w:hanging="284"/>
        <w:jc w:val="both"/>
        <w:rPr>
          <w:sz w:val="20"/>
          <w:szCs w:val="20"/>
          <w:lang w:val="en-US"/>
        </w:rPr>
      </w:pPr>
      <w:r w:rsidRPr="00495AE1">
        <w:rPr>
          <w:sz w:val="20"/>
          <w:szCs w:val="20"/>
          <w:lang w:val="en-US"/>
        </w:rPr>
        <w:lastRenderedPageBreak/>
        <w:t xml:space="preserve">Tickner, V. 1979. </w:t>
      </w:r>
      <w:r w:rsidRPr="00495AE1">
        <w:rPr>
          <w:i/>
          <w:iCs/>
          <w:sz w:val="20"/>
          <w:szCs w:val="20"/>
          <w:lang w:val="en-US"/>
        </w:rPr>
        <w:t xml:space="preserve">From Rhodesia to Zimbabwe. The food problem. </w:t>
      </w:r>
      <w:r w:rsidRPr="00495AE1">
        <w:rPr>
          <w:sz w:val="20"/>
          <w:szCs w:val="20"/>
          <w:lang w:val="en-US"/>
        </w:rPr>
        <w:t>Mabo Press. Gweru.</w:t>
      </w:r>
    </w:p>
    <w:p w14:paraId="08DEB65C" w14:textId="77777777" w:rsidR="009F661C" w:rsidRPr="00495AE1" w:rsidRDefault="009F661C" w:rsidP="00495AE1">
      <w:pPr>
        <w:tabs>
          <w:tab w:val="left" w:pos="5954"/>
        </w:tabs>
        <w:ind w:left="284" w:hanging="284"/>
        <w:jc w:val="both"/>
        <w:rPr>
          <w:sz w:val="20"/>
          <w:szCs w:val="20"/>
        </w:rPr>
      </w:pPr>
      <w:r w:rsidRPr="00495AE1">
        <w:rPr>
          <w:sz w:val="20"/>
          <w:szCs w:val="20"/>
          <w:lang w:val="en-US"/>
        </w:rPr>
        <w:t xml:space="preserve">Todd, J. 2007 </w:t>
      </w:r>
      <w:r w:rsidRPr="00495AE1">
        <w:rPr>
          <w:i/>
          <w:iCs/>
          <w:sz w:val="20"/>
          <w:szCs w:val="20"/>
        </w:rPr>
        <w:t>Through the Darkness; A Life in Zimbabwe</w:t>
      </w:r>
      <w:r w:rsidRPr="00495AE1">
        <w:rPr>
          <w:sz w:val="20"/>
          <w:szCs w:val="20"/>
        </w:rPr>
        <w:t>. Zebra, Struik, Johannesburg.</w:t>
      </w:r>
    </w:p>
    <w:p w14:paraId="630692E1" w14:textId="77777777" w:rsidR="009F661C" w:rsidRDefault="009F661C" w:rsidP="00495AE1">
      <w:pPr>
        <w:tabs>
          <w:tab w:val="left" w:pos="5954"/>
        </w:tabs>
        <w:ind w:left="284" w:hanging="284"/>
        <w:jc w:val="both"/>
        <w:rPr>
          <w:sz w:val="20"/>
          <w:szCs w:val="20"/>
        </w:rPr>
      </w:pPr>
      <w:r w:rsidRPr="00495AE1">
        <w:rPr>
          <w:sz w:val="20"/>
          <w:szCs w:val="20"/>
        </w:rPr>
        <w:t xml:space="preserve">Yudelman, M. 1964. </w:t>
      </w:r>
      <w:r w:rsidRPr="00495AE1">
        <w:rPr>
          <w:i/>
          <w:iCs/>
          <w:sz w:val="20"/>
          <w:szCs w:val="20"/>
        </w:rPr>
        <w:t>Africans on the Land</w:t>
      </w:r>
      <w:r w:rsidRPr="00495AE1">
        <w:rPr>
          <w:sz w:val="20"/>
          <w:szCs w:val="20"/>
        </w:rPr>
        <w:t>. Harvard UP, Cambridge, Mass.</w:t>
      </w:r>
    </w:p>
    <w:p w14:paraId="0E3DA911" w14:textId="77777777" w:rsidR="009F661C" w:rsidRPr="00495AE1" w:rsidRDefault="009F661C" w:rsidP="00495AE1">
      <w:pPr>
        <w:tabs>
          <w:tab w:val="left" w:pos="5954"/>
        </w:tabs>
        <w:ind w:left="284" w:hanging="284"/>
        <w:jc w:val="both"/>
        <w:rPr>
          <w:sz w:val="20"/>
          <w:szCs w:val="20"/>
        </w:rPr>
      </w:pPr>
    </w:p>
    <w:p w14:paraId="6E8BB728" w14:textId="77777777" w:rsidR="009F661C" w:rsidRDefault="00A44434" w:rsidP="00495AE1">
      <w:pPr>
        <w:widowControl w:val="0"/>
        <w:tabs>
          <w:tab w:val="left" w:pos="5954"/>
        </w:tabs>
        <w:jc w:val="both"/>
      </w:pPr>
      <w:r>
        <w:rPr>
          <w:noProof/>
          <w:lang w:eastAsia="en-AU"/>
        </w:rPr>
        <w:drawing>
          <wp:inline distT="0" distB="0" distL="0" distR="0" wp14:anchorId="300F3D12" wp14:editId="53A69D53">
            <wp:extent cx="3838575" cy="1666875"/>
            <wp:effectExtent l="0" t="0" r="9525" b="0"/>
            <wp:docPr id="1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srcRect/>
                    <a:stretch>
                      <a:fillRect/>
                    </a:stretch>
                  </pic:blipFill>
                  <pic:spPr bwMode="auto">
                    <a:xfrm>
                      <a:off x="0" y="0"/>
                      <a:ext cx="3838575" cy="1666875"/>
                    </a:xfrm>
                    <a:prstGeom prst="rect">
                      <a:avLst/>
                    </a:prstGeom>
                    <a:noFill/>
                    <a:ln w="9525">
                      <a:noFill/>
                      <a:miter lim="800000"/>
                      <a:headEnd/>
                      <a:tailEnd/>
                    </a:ln>
                  </pic:spPr>
                </pic:pic>
              </a:graphicData>
            </a:graphic>
          </wp:inline>
        </w:drawing>
      </w:r>
    </w:p>
    <w:p w14:paraId="00FE6C67" w14:textId="77777777" w:rsidR="009F661C" w:rsidRDefault="009F661C" w:rsidP="00495AE1">
      <w:pPr>
        <w:widowControl w:val="0"/>
        <w:tabs>
          <w:tab w:val="left" w:pos="5954"/>
        </w:tabs>
        <w:jc w:val="both"/>
      </w:pPr>
    </w:p>
    <w:p w14:paraId="3B914A10" w14:textId="77777777" w:rsidR="009F661C" w:rsidRPr="009A7122" w:rsidRDefault="00A44434" w:rsidP="00495AE1">
      <w:pPr>
        <w:widowControl w:val="0"/>
        <w:tabs>
          <w:tab w:val="left" w:pos="5954"/>
        </w:tabs>
        <w:jc w:val="both"/>
        <w:rPr>
          <w:sz w:val="20"/>
          <w:szCs w:val="20"/>
        </w:rPr>
      </w:pPr>
      <w:r>
        <w:rPr>
          <w:noProof/>
          <w:lang w:eastAsia="en-AU"/>
        </w:rPr>
        <w:drawing>
          <wp:inline distT="0" distB="0" distL="0" distR="0" wp14:anchorId="39EE656D" wp14:editId="09B5CC22">
            <wp:extent cx="3714750" cy="2486025"/>
            <wp:effectExtent l="0" t="0" r="0" b="0"/>
            <wp:docPr id="1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a:srcRect l="9737"/>
                    <a:stretch>
                      <a:fillRect/>
                    </a:stretch>
                  </pic:blipFill>
                  <pic:spPr bwMode="auto">
                    <a:xfrm>
                      <a:off x="0" y="0"/>
                      <a:ext cx="3714750" cy="2486025"/>
                    </a:xfrm>
                    <a:prstGeom prst="rect">
                      <a:avLst/>
                    </a:prstGeom>
                    <a:noFill/>
                    <a:ln w="9525">
                      <a:noFill/>
                      <a:miter lim="800000"/>
                      <a:headEnd/>
                      <a:tailEnd/>
                    </a:ln>
                  </pic:spPr>
                </pic:pic>
              </a:graphicData>
            </a:graphic>
          </wp:inline>
        </w:drawing>
      </w:r>
    </w:p>
    <w:p w14:paraId="4FD32CD1" w14:textId="77777777" w:rsidR="009F661C" w:rsidRDefault="009F661C" w:rsidP="00495AE1">
      <w:pPr>
        <w:ind w:right="-86" w:firstLine="284"/>
        <w:jc w:val="both"/>
        <w:rPr>
          <w:sz w:val="20"/>
          <w:szCs w:val="20"/>
        </w:rPr>
      </w:pPr>
    </w:p>
    <w:p w14:paraId="736B2D88" w14:textId="77777777" w:rsidR="009F661C" w:rsidRDefault="00A44434" w:rsidP="00495AE1">
      <w:pPr>
        <w:ind w:right="-86" w:firstLine="284"/>
        <w:jc w:val="both"/>
      </w:pPr>
      <w:r>
        <w:rPr>
          <w:noProof/>
          <w:lang w:eastAsia="en-AU"/>
        </w:rPr>
        <w:lastRenderedPageBreak/>
        <w:drawing>
          <wp:inline distT="0" distB="0" distL="0" distR="0" wp14:anchorId="1E64FD69" wp14:editId="235A5C72">
            <wp:extent cx="3505200" cy="1438275"/>
            <wp:effectExtent l="0" t="0" r="0" b="0"/>
            <wp:docPr id="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a:srcRect/>
                    <a:stretch>
                      <a:fillRect/>
                    </a:stretch>
                  </pic:blipFill>
                  <pic:spPr bwMode="auto">
                    <a:xfrm>
                      <a:off x="0" y="0"/>
                      <a:ext cx="3505200" cy="1438275"/>
                    </a:xfrm>
                    <a:prstGeom prst="rect">
                      <a:avLst/>
                    </a:prstGeom>
                    <a:noFill/>
                    <a:ln w="9525">
                      <a:noFill/>
                      <a:miter lim="800000"/>
                      <a:headEnd/>
                      <a:tailEnd/>
                    </a:ln>
                  </pic:spPr>
                </pic:pic>
              </a:graphicData>
            </a:graphic>
          </wp:inline>
        </w:drawing>
      </w:r>
    </w:p>
    <w:p w14:paraId="71BEB1EA" w14:textId="77777777" w:rsidR="009F661C" w:rsidRDefault="009F661C" w:rsidP="00495AE1">
      <w:pPr>
        <w:ind w:right="-86" w:firstLine="284"/>
        <w:jc w:val="both"/>
      </w:pPr>
    </w:p>
    <w:p w14:paraId="3BBC536C" w14:textId="77777777" w:rsidR="009F661C" w:rsidRDefault="00A44434" w:rsidP="00495AE1">
      <w:pPr>
        <w:ind w:right="-86" w:hanging="240"/>
        <w:jc w:val="both"/>
      </w:pPr>
      <w:r>
        <w:rPr>
          <w:noProof/>
          <w:lang w:eastAsia="en-AU"/>
        </w:rPr>
        <w:drawing>
          <wp:inline distT="0" distB="0" distL="0" distR="0" wp14:anchorId="5C9936D6" wp14:editId="7CD99D22">
            <wp:extent cx="4162425" cy="3429000"/>
            <wp:effectExtent l="0" t="0" r="9525" b="0"/>
            <wp:docPr id="1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
                    <a:srcRect l="1378"/>
                    <a:stretch>
                      <a:fillRect/>
                    </a:stretch>
                  </pic:blipFill>
                  <pic:spPr bwMode="auto">
                    <a:xfrm>
                      <a:off x="0" y="0"/>
                      <a:ext cx="4162425" cy="3429000"/>
                    </a:xfrm>
                    <a:prstGeom prst="rect">
                      <a:avLst/>
                    </a:prstGeom>
                    <a:noFill/>
                    <a:ln w="9525">
                      <a:noFill/>
                      <a:miter lim="800000"/>
                      <a:headEnd/>
                      <a:tailEnd/>
                    </a:ln>
                  </pic:spPr>
                </pic:pic>
              </a:graphicData>
            </a:graphic>
          </wp:inline>
        </w:drawing>
      </w:r>
    </w:p>
    <w:sectPr w:rsidR="009F661C" w:rsidSect="00503FDD">
      <w:headerReference w:type="even" r:id="rId68"/>
      <w:footnotePr>
        <w:numRestart w:val="eachSect"/>
      </w:footnotePr>
      <w:type w:val="oddPage"/>
      <w:pgSz w:w="8392" w:h="11907" w:code="11"/>
      <w:pgMar w:top="1418" w:right="1191" w:bottom="851" w:left="1191" w:header="851" w:footer="0" w:gutter="0"/>
      <w:cols w:space="708"/>
      <w:titlePg/>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 w:author="AUS" w:date="2010-10-02T12:56:00Z" w:initials="A">
    <w:p w14:paraId="436E290C" w14:textId="77777777" w:rsidR="009F661C" w:rsidRDefault="009F661C">
      <w:pPr>
        <w:pStyle w:val="CommentText"/>
      </w:pPr>
      <w:r>
        <w:rPr>
          <w:rStyle w:val="CommentReference"/>
        </w:rPr>
        <w:annotationRef/>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36E290C"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2AF7AA" w14:textId="77777777" w:rsidR="0099660F" w:rsidRDefault="0099660F" w:rsidP="00052837">
      <w:r>
        <w:separator/>
      </w:r>
    </w:p>
  </w:endnote>
  <w:endnote w:type="continuationSeparator" w:id="0">
    <w:p w14:paraId="536970D7" w14:textId="77777777" w:rsidR="0099660F" w:rsidRDefault="0099660F" w:rsidP="000528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JPGMBB+TimesNewRoman,Bold">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00"/>
    <w:family w:val="auto"/>
    <w:pitch w:val="variable"/>
    <w:sig w:usb0="F7FFAFFF" w:usb1="E9DFFFFF" w:usb2="0000003F" w:usb3="00000000" w:csb0="003F01FF" w:csb1="00000000"/>
  </w:font>
  <w:font w:name="MS Mincho">
    <w:panose1 w:val="02020609040205080304"/>
    <w:charset w:val="80"/>
    <w:family w:val="auto"/>
    <w:pitch w:val="variable"/>
    <w:sig w:usb0="E00002FF" w:usb1="6AC7FDFB" w:usb2="08000012" w:usb3="00000000" w:csb0="0002009F" w:csb1="00000000"/>
  </w:font>
  <w:font w:name="AIKDHF+Arial">
    <w:altName w:val="Arial"/>
    <w:panose1 w:val="00000000000000000000"/>
    <w:charset w:val="00"/>
    <w:family w:val="swiss"/>
    <w:notTrueType/>
    <w:pitch w:val="default"/>
    <w:sig w:usb0="00000003" w:usb1="00000000" w:usb2="00000000" w:usb3="00000000" w:csb0="00000001" w:csb1="00000000"/>
  </w:font>
  <w:font w:name="TimesNewRoman,Bold">
    <w:altName w:val="Calibri"/>
    <w:panose1 w:val="00000000000000000000"/>
    <w:charset w:val="00"/>
    <w:family w:val="roman"/>
    <w:notTrueType/>
    <w:pitch w:val="default"/>
    <w:sig w:usb0="00000003" w:usb1="00000000" w:usb2="00000000" w:usb3="00000000" w:csb0="00000001" w:csb1="00000000"/>
  </w:font>
  <w:font w:name="Times New Roman Italic">
    <w:altName w:val="Times New Roman"/>
    <w:panose1 w:val="00000000000000000000"/>
    <w:charset w:val="00"/>
    <w:family w:val="auto"/>
    <w:notTrueType/>
    <w:pitch w:val="default"/>
    <w:sig w:usb0="00000003" w:usb1="00000000" w:usb2="00000000" w:usb3="00000000" w:csb0="00000001" w:csb1="00000000"/>
  </w:font>
  <w:font w:name="Palatino-Roman">
    <w:altName w:val="Palatino"/>
    <w:panose1 w:val="00000000000000000000"/>
    <w:charset w:val="00"/>
    <w:family w:val="roman"/>
    <w:notTrueType/>
    <w:pitch w:val="default"/>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 w:name="ApolloMTStd">
    <w:altName w:val="Calibri"/>
    <w:panose1 w:val="00000000000000000000"/>
    <w:charset w:val="00"/>
    <w:family w:val="roman"/>
    <w:notTrueType/>
    <w:pitch w:val="default"/>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051FFA" w14:textId="77777777" w:rsidR="009F661C" w:rsidRPr="00503FDD" w:rsidRDefault="009F661C" w:rsidP="00503FDD">
    <w:pPr>
      <w:pStyle w:val="Footer"/>
      <w:ind w:right="360" w:firstLine="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D3FBF8" w14:textId="77777777" w:rsidR="009F661C" w:rsidRPr="00503FDD" w:rsidRDefault="009F661C" w:rsidP="00503FDD">
    <w:pPr>
      <w:pStyle w:val="Footer"/>
      <w:ind w:right="360" w:firstLine="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ED9CD0" w14:textId="77777777" w:rsidR="009F661C" w:rsidRPr="00503FDD" w:rsidRDefault="009F661C" w:rsidP="00503FDD">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DB1E81" w14:textId="77777777" w:rsidR="0099660F" w:rsidRDefault="0099660F" w:rsidP="00052837">
      <w:r>
        <w:separator/>
      </w:r>
    </w:p>
  </w:footnote>
  <w:footnote w:type="continuationSeparator" w:id="0">
    <w:p w14:paraId="17CCA964" w14:textId="77777777" w:rsidR="0099660F" w:rsidRDefault="0099660F" w:rsidP="00052837">
      <w:r>
        <w:continuationSeparator/>
      </w:r>
    </w:p>
  </w:footnote>
  <w:footnote w:id="1">
    <w:p w14:paraId="78F2A9BF" w14:textId="77777777" w:rsidR="009F661C" w:rsidRDefault="009F661C" w:rsidP="003E764F">
      <w:pPr>
        <w:pStyle w:val="DLFN"/>
      </w:pPr>
      <w:r w:rsidRPr="004D6926">
        <w:rPr>
          <w:rStyle w:val="FootnoteReference"/>
        </w:rPr>
        <w:footnoteRef/>
      </w:r>
      <w:r w:rsidRPr="004D6926">
        <w:t xml:space="preserve"> </w:t>
      </w:r>
      <w:bookmarkStart w:id="1" w:name="NickBainton_JohnCoxandAnthonyRegan200871"/>
      <w:bookmarkEnd w:id="1"/>
      <w:r w:rsidRPr="004D6926">
        <w:rPr>
          <w:rStyle w:val="DefaultChar"/>
          <w:rFonts w:ascii="Times New Roman" w:hAnsi="Times New Roman" w:cs="Times New Roman"/>
          <w:sz w:val="18"/>
          <w:szCs w:val="18"/>
        </w:rPr>
        <w:t>Seminar presentation from Nick Bainton, John Cox and Anthony Regan, July 17, 2008, Parallel States, Parallel Economies: Legitimacy and Prosperity in Melanesia, presented at the Australian National University.</w:t>
      </w:r>
    </w:p>
  </w:footnote>
  <w:footnote w:id="2">
    <w:p w14:paraId="1066EE43" w14:textId="77777777" w:rsidR="009F661C" w:rsidRDefault="009F661C" w:rsidP="004D6926">
      <w:pPr>
        <w:pStyle w:val="FootnoteText"/>
        <w:jc w:val="both"/>
      </w:pPr>
      <w:r w:rsidRPr="004D6926">
        <w:rPr>
          <w:rStyle w:val="FootnoteReference"/>
          <w:sz w:val="18"/>
          <w:szCs w:val="18"/>
        </w:rPr>
        <w:footnoteRef/>
      </w:r>
      <w:r w:rsidRPr="004D6926">
        <w:rPr>
          <w:sz w:val="18"/>
          <w:szCs w:val="18"/>
        </w:rPr>
        <w:t xml:space="preserve"> His examples better illustrate our point than his conclusion.  Group rights are always more susceptible to individual opportunism whereas individual rights afford much greater protection. Secondly custom is insufficient protection for individual rights, in a situation in which capitalist relations of production apply, and rights are primarily applied to groups rather than individuals. The conclusion should not be that the government has to take on a greater supervisory role in the “identification and distribution of landowner and local level government benefits,” which in the case of the Papua New Guinea Government, would be simply a case of wishful thinking.  The conclusion should be that the state needs to abandon a policy which emphasizes incorporated groups rather than individuals, and which only benefits and recognizes groups, rather than individuals. </w:t>
      </w:r>
    </w:p>
  </w:footnote>
  <w:footnote w:id="3">
    <w:p w14:paraId="57CF4D24" w14:textId="77777777" w:rsidR="009F661C" w:rsidRDefault="009F661C" w:rsidP="004D6926">
      <w:pPr>
        <w:pStyle w:val="FootnoteText"/>
        <w:jc w:val="both"/>
      </w:pPr>
      <w:r w:rsidRPr="004D6926">
        <w:rPr>
          <w:rStyle w:val="FootnoteReference"/>
          <w:sz w:val="18"/>
          <w:szCs w:val="18"/>
        </w:rPr>
        <w:footnoteRef/>
      </w:r>
      <w:r w:rsidRPr="004D6926">
        <w:rPr>
          <w:sz w:val="18"/>
          <w:szCs w:val="18"/>
        </w:rPr>
        <w:t xml:space="preserve"> Power’s (2001)  suggests these remarks relate to an act of desperation by the original Foe incorporated land groups which led them to shut down the Mubi vale station in an attempt to stand up for their rights. This group had been frustrated by the lack of success of their court actions in the face of recent payouts by DPE and MRDC and the drawdown of the Foe Future Generations Fund.</w:t>
      </w:r>
    </w:p>
  </w:footnote>
  <w:footnote w:id="4">
    <w:p w14:paraId="46CF3EE3" w14:textId="77777777" w:rsidR="009F661C" w:rsidRDefault="009F661C" w:rsidP="000F1BBA">
      <w:pPr>
        <w:pStyle w:val="DLFN"/>
      </w:pPr>
      <w:r w:rsidRPr="00047669">
        <w:rPr>
          <w:rStyle w:val="FootnoteReference"/>
        </w:rPr>
        <w:footnoteRef/>
      </w:r>
      <w:r w:rsidRPr="00047669">
        <w:rPr>
          <w:vertAlign w:val="superscript"/>
        </w:rPr>
        <w:t xml:space="preserve"> </w:t>
      </w:r>
      <w:r w:rsidRPr="00381DFF">
        <w:t xml:space="preserve">See also </w:t>
      </w:r>
      <w:r>
        <w:t>Papua New Guinea</w:t>
      </w:r>
      <w:r w:rsidRPr="00381DFF">
        <w:t xml:space="preserve"> 2007a: 9 on the corruption of the title registry.</w:t>
      </w:r>
    </w:p>
  </w:footnote>
  <w:footnote w:id="5">
    <w:p w14:paraId="17AC5805" w14:textId="77777777" w:rsidR="009F661C" w:rsidRDefault="009F661C" w:rsidP="000F1BBA">
      <w:pPr>
        <w:pStyle w:val="FootnoteText"/>
        <w:jc w:val="both"/>
      </w:pPr>
      <w:r w:rsidRPr="004D6926">
        <w:rPr>
          <w:rStyle w:val="FootnoteReference"/>
          <w:sz w:val="18"/>
          <w:szCs w:val="18"/>
        </w:rPr>
        <w:footnoteRef/>
      </w:r>
      <w:r w:rsidRPr="004D6926">
        <w:rPr>
          <w:sz w:val="18"/>
          <w:szCs w:val="18"/>
        </w:rPr>
        <w:t xml:space="preserve"> See also Bethel 1998.</w:t>
      </w:r>
    </w:p>
  </w:footnote>
  <w:footnote w:id="6">
    <w:p w14:paraId="49B96B38" w14:textId="77777777" w:rsidR="009F661C" w:rsidRDefault="009F661C">
      <w:pPr>
        <w:pStyle w:val="FootnoteText"/>
      </w:pPr>
      <w:r w:rsidRPr="00047669">
        <w:rPr>
          <w:rStyle w:val="FootnoteReference"/>
          <w:sz w:val="18"/>
          <w:szCs w:val="18"/>
        </w:rPr>
        <w:footnoteRef/>
      </w:r>
      <w:r w:rsidRPr="00047669">
        <w:rPr>
          <w:sz w:val="18"/>
          <w:szCs w:val="18"/>
        </w:rPr>
        <w:t xml:space="preserve"> </w:t>
      </w:r>
      <w:r w:rsidRPr="00047669">
        <w:rPr>
          <w:sz w:val="18"/>
          <w:szCs w:val="18"/>
          <w:lang w:val="en-US"/>
        </w:rPr>
        <w:t>Sections of this Chapter originally appeared in Lea 2009.</w:t>
      </w:r>
    </w:p>
  </w:footnote>
  <w:footnote w:id="7">
    <w:p w14:paraId="69530E0C" w14:textId="77777777" w:rsidR="009F661C" w:rsidRDefault="009F661C" w:rsidP="00486816">
      <w:pPr>
        <w:pStyle w:val="DLFN"/>
      </w:pPr>
      <w:r w:rsidRPr="004D6926">
        <w:rPr>
          <w:rStyle w:val="FootnoteReference"/>
        </w:rPr>
        <w:footnoteRef/>
      </w:r>
      <w:r w:rsidRPr="004D6926">
        <w:t xml:space="preserve"> Dr. Esekia Warvi of the Papua New Guinea National Research Institute was the source of this information.</w:t>
      </w:r>
    </w:p>
  </w:footnote>
  <w:footnote w:id="8">
    <w:p w14:paraId="324EBFDF" w14:textId="77777777" w:rsidR="009F661C" w:rsidRDefault="009F661C" w:rsidP="00486816">
      <w:pPr>
        <w:pStyle w:val="DLFN"/>
      </w:pPr>
      <w:r w:rsidRPr="004D6926">
        <w:rPr>
          <w:rStyle w:val="FootnoteReference"/>
        </w:rPr>
        <w:footnoteRef/>
      </w:r>
      <w:r w:rsidRPr="004D6926">
        <w:t xml:space="preserve"> In Commonwealth countries such as New Zealand and Canada, these relatively unoccupied areas are referred to as Crown lands in other words as belonging to the state.</w:t>
      </w:r>
    </w:p>
  </w:footnote>
  <w:footnote w:id="9">
    <w:p w14:paraId="12239BDE" w14:textId="77777777" w:rsidR="009F661C" w:rsidRDefault="009F661C" w:rsidP="006014E0">
      <w:pPr>
        <w:pStyle w:val="DLFN"/>
      </w:pPr>
      <w:r w:rsidRPr="004D6926">
        <w:rPr>
          <w:rStyle w:val="FootnoteReference"/>
        </w:rPr>
        <w:footnoteRef/>
      </w:r>
      <w:r w:rsidRPr="004D6926">
        <w:t xml:space="preserve"> Individual and family entitlements are not entirely distinguishable. For example in Italy, according to the “Asse ereditaria” a person must leave at least 75% of his/her estate to their legitimate children in equal parts.</w:t>
      </w:r>
    </w:p>
  </w:footnote>
  <w:footnote w:id="10">
    <w:p w14:paraId="7B1F3C8E" w14:textId="77777777" w:rsidR="009F661C" w:rsidRDefault="009F661C" w:rsidP="00254223">
      <w:pPr>
        <w:pStyle w:val="DLFN"/>
      </w:pPr>
      <w:r>
        <w:rPr>
          <w:rStyle w:val="FootnoteReference"/>
        </w:rPr>
        <w:footnoteRef/>
      </w:r>
      <w:r>
        <w:t xml:space="preserve"> R.M. Bourke, (2005)  This figure could be considered an under-estimate of the value of domestic food production in Papua New Guinea, since it uses the wholesale price of rice; the cost of equivalent calorie intakes from food bought at MacDonalds restaurants in New York would be very much higher.</w:t>
      </w:r>
    </w:p>
  </w:footnote>
  <w:footnote w:id="11">
    <w:p w14:paraId="78631A87" w14:textId="77777777" w:rsidR="009F661C" w:rsidRDefault="009F661C" w:rsidP="00254223">
      <w:pPr>
        <w:pStyle w:val="DLFN"/>
      </w:pPr>
      <w:r>
        <w:rPr>
          <w:rStyle w:val="FootnoteReference"/>
        </w:rPr>
        <w:footnoteRef/>
      </w:r>
      <w:r>
        <w:t xml:space="preserve"> Gibson </w:t>
      </w:r>
      <w:r>
        <w:rPr>
          <w:i/>
          <w:iCs/>
        </w:rPr>
        <w:t>et al.</w:t>
      </w:r>
      <w:r>
        <w:t xml:space="preserve"> 1998, 45; Gibson, 2003, 161. Gibson and Rozelle (1998)</w:t>
      </w:r>
      <w:r>
        <w:rPr>
          <w:i/>
          <w:iCs/>
        </w:rPr>
        <w:t xml:space="preserve"> </w:t>
      </w:r>
      <w:r>
        <w:t xml:space="preserve">did not in practice measure calorie consumption, but derived it from income and price estimates, themselves subject to wide margins of error. Their survey developed three different poverty lines: the upper poverty line of K461 income per adult equivalent including various non-food items, with 37 per cent of the population not achieving this, the lower poverty line, at K399 with 30 per cent not achieving it, and the food poverty line, at K302 with 14 per cent not attaining it. The first two of these poverty lines included larger or smaller quantities of non-food items respectively. All three lines maintained 2200 calories as the poverty minimum. Chand (2004) reported only the first of these measures. </w:t>
      </w:r>
    </w:p>
  </w:footnote>
  <w:footnote w:id="12">
    <w:p w14:paraId="0CFDB27E" w14:textId="77777777" w:rsidR="009F661C" w:rsidRDefault="009F661C" w:rsidP="00254223">
      <w:pPr>
        <w:pStyle w:val="DLFN"/>
      </w:pPr>
      <w:r>
        <w:rPr>
          <w:rStyle w:val="FootnoteReference"/>
        </w:rPr>
        <w:footnoteRef/>
      </w:r>
      <w:r>
        <w:t xml:space="preserve"> See Svedberg (2003) for a detailed account of statistical flaws in the FAO's derivation of its minimum calorie consumption benchmark.</w:t>
      </w:r>
    </w:p>
  </w:footnote>
  <w:footnote w:id="13">
    <w:p w14:paraId="7BB55294" w14:textId="77777777" w:rsidR="009F661C" w:rsidRDefault="009F661C" w:rsidP="00071CFC">
      <w:pPr>
        <w:pStyle w:val="DLFN"/>
      </w:pPr>
      <w:r>
        <w:rPr>
          <w:rStyle w:val="FootnoteReference"/>
        </w:rPr>
        <w:footnoteRef/>
      </w:r>
      <w:r>
        <w:t xml:space="preserve"> </w:t>
      </w:r>
      <w:r w:rsidRPr="00EF0465">
        <w:rPr>
          <w:lang w:val="en-US"/>
        </w:rPr>
        <w:t xml:space="preserve">These figures - cited by Colin Hunt (2002) - are substantially larger than the estimate by Shearman and Cannon </w:t>
      </w:r>
      <w:r>
        <w:rPr>
          <w:lang w:val="en-US"/>
        </w:rPr>
        <w:t xml:space="preserve">(2002) </w:t>
      </w:r>
      <w:r w:rsidRPr="00EF0465">
        <w:rPr>
          <w:lang w:val="en-US"/>
        </w:rPr>
        <w:t>that only 11 million hectares were suitable for commercial exploitation, of which 7 million were earmarked f</w:t>
      </w:r>
      <w:r>
        <w:rPr>
          <w:lang w:val="en-US"/>
        </w:rPr>
        <w:t>or large-scale logging by 2000.</w:t>
      </w:r>
    </w:p>
  </w:footnote>
  <w:footnote w:id="14">
    <w:p w14:paraId="762DEA8E" w14:textId="77777777" w:rsidR="009F661C" w:rsidRDefault="009F661C" w:rsidP="00071CFC">
      <w:pPr>
        <w:pStyle w:val="DLFN"/>
      </w:pPr>
      <w:r>
        <w:rPr>
          <w:rStyle w:val="FootnoteReference"/>
        </w:rPr>
        <w:footnoteRef/>
      </w:r>
      <w:r>
        <w:t xml:space="preserve"> </w:t>
      </w:r>
      <w:r w:rsidRPr="00DF7657">
        <w:t>Project Appraisal Document on a proposed loan to Papua New Guinea .for a forestry and conservation project, 2001, Report No. 20641-PG, Washington DC: IBRD, 2.</w:t>
      </w:r>
    </w:p>
  </w:footnote>
  <w:footnote w:id="15">
    <w:p w14:paraId="5A8C2DEA" w14:textId="77777777" w:rsidR="009F661C" w:rsidRDefault="009F661C" w:rsidP="00071CFC">
      <w:pPr>
        <w:pStyle w:val="DLFN"/>
      </w:pPr>
      <w:r>
        <w:rPr>
          <w:rStyle w:val="FootnoteReference"/>
        </w:rPr>
        <w:footnoteRef/>
      </w:r>
      <w:r>
        <w:t xml:space="preserve"> </w:t>
      </w:r>
      <w:r w:rsidRPr="00FB38D8">
        <w:t xml:space="preserve">Parkop also describes the way in which the Forestry Act 1991 gave only a limited role to customary landowners, see his "Customary Rights and the Forestry Act 1991', in Aleck and Rannells, </w:t>
      </w:r>
      <w:r w:rsidRPr="00FB38D8">
        <w:rPr>
          <w:i/>
          <w:iCs/>
        </w:rPr>
        <w:t>op.cit</w:t>
      </w:r>
      <w:r w:rsidRPr="00FB38D8">
        <w:t>.</w:t>
      </w:r>
      <w:r>
        <w:t xml:space="preserve"> </w:t>
      </w:r>
    </w:p>
  </w:footnote>
  <w:footnote w:id="16">
    <w:p w14:paraId="4ECA4C3D" w14:textId="77777777" w:rsidR="009F661C" w:rsidRDefault="009F661C" w:rsidP="00071CFC">
      <w:pPr>
        <w:pStyle w:val="DLFN"/>
      </w:pPr>
      <w:r w:rsidRPr="00FB38D8">
        <w:rPr>
          <w:rStyle w:val="FootnoteReference"/>
        </w:rPr>
        <w:footnoteRef/>
      </w:r>
      <w:r w:rsidRPr="00FB38D8">
        <w:t xml:space="preserve"> Barnett, op.cit., Interim Report No.6, Log Marketing, 163, 242-243.</w:t>
      </w:r>
    </w:p>
  </w:footnote>
  <w:footnote w:id="17">
    <w:p w14:paraId="41DB9F05" w14:textId="77777777" w:rsidR="009F661C" w:rsidRDefault="009F661C" w:rsidP="00071CFC">
      <w:pPr>
        <w:pStyle w:val="DLFN"/>
      </w:pPr>
      <w:r>
        <w:rPr>
          <w:rStyle w:val="FootnoteReference"/>
        </w:rPr>
        <w:footnoteRef/>
      </w:r>
      <w:r>
        <w:t xml:space="preserve"> </w:t>
      </w:r>
      <w:r w:rsidRPr="00FB38D8">
        <w:t>Barnett Report, Interim Report No.4, Timber exploitation in New Ireland Province, vo.2, section 2, Appendices 4-5A, 4.</w:t>
      </w:r>
    </w:p>
  </w:footnote>
  <w:footnote w:id="18">
    <w:p w14:paraId="21705B02" w14:textId="77777777" w:rsidR="009F661C" w:rsidRDefault="009F661C" w:rsidP="00071CFC">
      <w:pPr>
        <w:pStyle w:val="DLFN"/>
      </w:pPr>
      <w:r>
        <w:rPr>
          <w:rStyle w:val="FootnoteReference"/>
        </w:rPr>
        <w:footnoteRef/>
      </w:r>
      <w:r>
        <w:t xml:space="preserve"> Timber auctions have been proposed by R. </w:t>
      </w:r>
      <w:r w:rsidRPr="00FB38D8">
        <w:t>Duncan (1994)</w:t>
      </w:r>
      <w:r>
        <w:t xml:space="preserve"> as an alternative to licensing systems.</w:t>
      </w:r>
    </w:p>
  </w:footnote>
  <w:footnote w:id="19">
    <w:p w14:paraId="6E602D8C" w14:textId="77777777" w:rsidR="009F661C" w:rsidRDefault="009F661C" w:rsidP="00071CFC">
      <w:pPr>
        <w:pStyle w:val="DLFN"/>
      </w:pPr>
      <w:r>
        <w:rPr>
          <w:rStyle w:val="FootnoteReference"/>
        </w:rPr>
        <w:footnoteRef/>
      </w:r>
      <w:r>
        <w:t xml:space="preserve"> Note that Duncan’s Tables A1 and A2 compare export prices from Papua New Guinea in US$ per cu. metre and import prices in Japan and Korea quoted in US$ per tonne.</w:t>
      </w:r>
    </w:p>
  </w:footnote>
  <w:footnote w:id="20">
    <w:p w14:paraId="7AC03B2F" w14:textId="77777777" w:rsidR="009F661C" w:rsidRDefault="009F661C" w:rsidP="00071CFC">
      <w:pPr>
        <w:pStyle w:val="DLFN"/>
      </w:pPr>
      <w:r>
        <w:rPr>
          <w:rStyle w:val="FootnoteReference"/>
        </w:rPr>
        <w:footnoteRef/>
      </w:r>
      <w:r>
        <w:t xml:space="preserve"> The Skate government drastically revised the log export tax in October 1998, but it was reinstated in broadly the original form by the Morauta government in August 1999.</w:t>
      </w:r>
    </w:p>
  </w:footnote>
  <w:footnote w:id="21">
    <w:p w14:paraId="3BAB667F" w14:textId="77777777" w:rsidR="009F661C" w:rsidRDefault="009F661C" w:rsidP="00071CFC">
      <w:pPr>
        <w:pStyle w:val="DLFN"/>
      </w:pPr>
      <w:r>
        <w:rPr>
          <w:rStyle w:val="FootnoteReference"/>
        </w:rPr>
        <w:footnoteRef/>
      </w:r>
      <w:r>
        <w:t xml:space="preserve"> Qualities and species are not invariant, and Papua New Guinea's log exports were known to be exceptionally heterogeneous, in itself a factor making for lower average prices.</w:t>
      </w:r>
    </w:p>
  </w:footnote>
  <w:footnote w:id="22">
    <w:p w14:paraId="3987E9AF" w14:textId="77777777" w:rsidR="009F661C" w:rsidRDefault="009F661C" w:rsidP="00071CFC">
      <w:pPr>
        <w:pStyle w:val="DLFN"/>
      </w:pPr>
      <w:r>
        <w:rPr>
          <w:rStyle w:val="FootnoteReference"/>
        </w:rPr>
        <w:footnoteRef/>
      </w:r>
      <w:r>
        <w:t xml:space="preserve"> The World Bank's project documents specialize in claiming unbelievably high rates of return - yields of 21 per cent are not available on Wall Street - and would never be acceptable as prospectuses to financial regulators in the private sector because of their "pigs have wings" character. Its financial analysis of its Papua New Guinea Forestry project belongs in the realm of the false accounting of Enron and other renowned corporate frauds.</w:t>
      </w:r>
    </w:p>
  </w:footnote>
  <w:footnote w:id="23">
    <w:p w14:paraId="2E1CA65B" w14:textId="77777777" w:rsidR="009F661C" w:rsidRDefault="009F661C" w:rsidP="00071CFC">
      <w:pPr>
        <w:pStyle w:val="DLFN"/>
      </w:pPr>
      <w:r>
        <w:rPr>
          <w:rStyle w:val="FootnoteReference"/>
        </w:rPr>
        <w:footnoteRef/>
      </w:r>
      <w:r>
        <w:t xml:space="preserve"> Sweden's total land area is 450,000 sq. km. and population 9 million (July 2004); Sweden produced 17 million cu. metres of softwood lumber and 35 million cu. metres of softwood logs in 2003. Sweden also produced nearly 1 million cu. meters of temperate hardwood.</w:t>
      </w:r>
    </w:p>
  </w:footnote>
  <w:footnote w:id="24">
    <w:p w14:paraId="1C26CB5A" w14:textId="77777777" w:rsidR="009F661C" w:rsidRDefault="009F661C" w:rsidP="00071CFC">
      <w:pPr>
        <w:pStyle w:val="DLFN"/>
      </w:pPr>
      <w:r>
        <w:rPr>
          <w:rStyle w:val="FootnoteReference"/>
        </w:rPr>
        <w:footnoteRef/>
      </w:r>
      <w:r>
        <w:t xml:space="preserve">  Garnaut (2008:238) claimed that Papua New Guinea, with a population of less than a third of Australia’s, could well be responsible, solely from its “deforestation”, for as much as 100 million tons of carbon dioxide p.a,, a quarter of Australia’s total emissions, including from all its hugely larger industry and energy production. Needless to say the source for this claim is un-peer reviewed, namely the “World Resources Institute”. The fact is that Papua New Guinea’s certified (by SGS) timber exports in 2008 (2.5 million cu. metres) equate to around 17 cu. metres per logged hectare; Lamade (2006) cited data showing annual fixation of 9.62 tonnes of CO</w:t>
      </w:r>
      <w:r w:rsidRPr="00295A43">
        <w:rPr>
          <w:vertAlign w:val="subscript"/>
        </w:rPr>
        <w:t>2</w:t>
      </w:r>
      <w:r>
        <w:t xml:space="preserve"> per hectare by tropical forest.  That implies the CO</w:t>
      </w:r>
      <w:r w:rsidRPr="00295A43">
        <w:rPr>
          <w:vertAlign w:val="subscript"/>
        </w:rPr>
        <w:t>2</w:t>
      </w:r>
      <w:r>
        <w:t xml:space="preserve"> fixation forgone by logging in Papua New Guinea (on the false assumption that reducing the canopy provided by large trees,has no impact on the growth of saplings previously under that canopy) is of the order of just 4.4 million tonnes, well short of the WRI’s “estimate’ of 100 Mt CO</w:t>
      </w:r>
      <w:r w:rsidRPr="00295A43">
        <w:rPr>
          <w:vertAlign w:val="subscript"/>
        </w:rPr>
        <w:t>2</w:t>
      </w:r>
      <w:r>
        <w:t>.</w:t>
      </w:r>
    </w:p>
  </w:footnote>
  <w:footnote w:id="25">
    <w:p w14:paraId="1753EA74" w14:textId="77777777" w:rsidR="009F661C" w:rsidRDefault="009F661C" w:rsidP="00071CFC">
      <w:pPr>
        <w:pStyle w:val="DLFN"/>
      </w:pPr>
      <w:r>
        <w:rPr>
          <w:rStyle w:val="FootnoteReference"/>
        </w:rPr>
        <w:footnoteRef/>
      </w:r>
      <w:r>
        <w:t xml:space="preserve"> The claims by Shearman et al. (2008) of both the extent of deforestation that has already taken place in Papua New Guinea, and that by 2021 83 percent of the area of commercially accessible forest as of 1972 will have been deforested or degraded, have been shown by Filer et al (2008) to be based on serious misrepresentation of aerial survey data and many other errors.</w:t>
      </w:r>
    </w:p>
  </w:footnote>
  <w:footnote w:id="26">
    <w:p w14:paraId="095624CF" w14:textId="77777777" w:rsidR="009F661C" w:rsidRDefault="009F661C" w:rsidP="00071CFC">
      <w:pPr>
        <w:pStyle w:val="DLFN"/>
      </w:pPr>
      <w:r>
        <w:rPr>
          <w:rStyle w:val="FootnoteReference"/>
        </w:rPr>
        <w:footnoteRef/>
      </w:r>
      <w:r>
        <w:t xml:space="preserve">  This calculation uses the reported shares of landowners (12 per cent) and the government (35 per cent) in export values in 2000.</w:t>
      </w:r>
    </w:p>
  </w:footnote>
  <w:footnote w:id="27">
    <w:p w14:paraId="48CEC34F" w14:textId="77777777" w:rsidR="009F661C" w:rsidRDefault="009F661C" w:rsidP="00071CFC">
      <w:pPr>
        <w:pStyle w:val="DLFN"/>
      </w:pPr>
      <w:r>
        <w:rPr>
          <w:rStyle w:val="FootnoteReference"/>
        </w:rPr>
        <w:footnoteRef/>
      </w:r>
      <w:r>
        <w:t xml:space="preserve"> This calculation uses the price obtained by Fletcher Challenge's log exports (mainly radiata pine) of US$60 per cu. metre in 2000, compared with the average price (fob) of US$73 for Papua New Guinea's exports of tropical hardwoods in 2000, see </w:t>
      </w:r>
      <w:r>
        <w:rPr>
          <w:i/>
          <w:iCs/>
        </w:rPr>
        <w:t>Working towards a stronger future</w:t>
      </w:r>
      <w:r>
        <w:t xml:space="preserve">, Fletcher Challenge Forests, Auckland, 2000, and </w:t>
      </w:r>
      <w:r>
        <w:rPr>
          <w:i/>
          <w:iCs/>
        </w:rPr>
        <w:t>Quarterly Economic Bulletin</w:t>
      </w:r>
      <w:r>
        <w:t>, December 2003, Bank of Papua New Guinea.</w:t>
      </w:r>
    </w:p>
  </w:footnote>
  <w:footnote w:id="28">
    <w:p w14:paraId="3F278AB0" w14:textId="77777777" w:rsidR="009F661C" w:rsidRDefault="009F661C" w:rsidP="0095769E">
      <w:pPr>
        <w:pStyle w:val="DLFN"/>
      </w:pPr>
      <w:r>
        <w:rPr>
          <w:rStyle w:val="FootnoteReference"/>
        </w:rPr>
        <w:footnoteRef/>
      </w:r>
      <w:r>
        <w:t xml:space="preserve">  Sections of this Chapter originally appeared in Curtin et al. 2003.</w:t>
      </w:r>
    </w:p>
  </w:footnote>
  <w:footnote w:id="29">
    <w:p w14:paraId="6B00455F" w14:textId="77777777" w:rsidR="009F661C" w:rsidRDefault="009F661C" w:rsidP="00C04504">
      <w:pPr>
        <w:pStyle w:val="DLFN"/>
      </w:pPr>
      <w:r>
        <w:rPr>
          <w:rStyle w:val="FootnoteReference"/>
        </w:rPr>
        <w:footnoteRef/>
      </w:r>
      <w:r>
        <w:t xml:space="preserve">  For a wid</w:t>
      </w:r>
      <w:r w:rsidRPr="003C6401">
        <w:rPr>
          <w:rStyle w:val="DLFNChar"/>
        </w:rPr>
        <w:t>e</w:t>
      </w:r>
      <w:r>
        <w:t>-ranging account of land titling and the world’s coffee production, mainly in Latin America, see Clarence-Smith and Topik (eds.) 2005.</w:t>
      </w:r>
    </w:p>
  </w:footnote>
  <w:footnote w:id="30">
    <w:p w14:paraId="047239A3" w14:textId="77777777" w:rsidR="009F661C" w:rsidRDefault="009F661C" w:rsidP="00C04504">
      <w:pPr>
        <w:pStyle w:val="DLFN"/>
      </w:pPr>
      <w:r>
        <w:rPr>
          <w:rStyle w:val="FootnoteReference"/>
        </w:rPr>
        <w:footnoteRef/>
      </w:r>
      <w:r>
        <w:t xml:space="preserve"> </w:t>
      </w:r>
      <w:r>
        <w:rPr>
          <w:lang w:val="en-US"/>
        </w:rPr>
        <w:t>Cooter somewhat overstates his case, for while what he says may well be valid in cases concerning property disputes, in Papua New Guinea as much as in Australia or England there is need also for statute law in such areas as matrimonial affairs and the rights of women.</w:t>
      </w:r>
    </w:p>
  </w:footnote>
  <w:footnote w:id="31">
    <w:p w14:paraId="2D19D9E3" w14:textId="77777777" w:rsidR="009F661C" w:rsidRDefault="009F661C" w:rsidP="009D3579">
      <w:pPr>
        <w:pStyle w:val="DLFN"/>
      </w:pPr>
      <w:r>
        <w:rPr>
          <w:rStyle w:val="FootnoteReference"/>
        </w:rPr>
        <w:footnoteRef/>
      </w:r>
      <w:r>
        <w:t xml:space="preserve"> It was generally necessary that at least three-quarters of the customary landowners should support the bill.</w:t>
      </w:r>
    </w:p>
  </w:footnote>
  <w:footnote w:id="32">
    <w:p w14:paraId="53C8B1BB" w14:textId="77777777" w:rsidR="009F661C" w:rsidRDefault="009F661C">
      <w:pPr>
        <w:pStyle w:val="FootnoteText"/>
      </w:pPr>
      <w:r w:rsidRPr="00DC1614">
        <w:rPr>
          <w:rStyle w:val="FootnoteReference"/>
          <w:sz w:val="18"/>
          <w:szCs w:val="18"/>
        </w:rPr>
        <w:footnoteRef/>
      </w:r>
      <w:r w:rsidRPr="00DC1614">
        <w:rPr>
          <w:sz w:val="18"/>
          <w:szCs w:val="18"/>
        </w:rPr>
        <w:t xml:space="preserve"> </w:t>
      </w:r>
      <w:r w:rsidRPr="00DC1614">
        <w:rPr>
          <w:color w:val="000000"/>
          <w:sz w:val="18"/>
          <w:szCs w:val="18"/>
        </w:rPr>
        <w:t xml:space="preserve">Chapter V of the </w:t>
      </w:r>
      <w:r w:rsidRPr="00DC1614">
        <w:rPr>
          <w:i/>
          <w:iCs/>
          <w:color w:val="000000"/>
          <w:sz w:val="18"/>
          <w:szCs w:val="18"/>
        </w:rPr>
        <w:t xml:space="preserve">Second Treatise of Government, </w:t>
      </w:r>
      <w:r w:rsidRPr="00DC1614">
        <w:rPr>
          <w:iCs/>
          <w:color w:val="000000"/>
          <w:sz w:val="18"/>
          <w:szCs w:val="18"/>
        </w:rPr>
        <w:t>1689.</w:t>
      </w:r>
    </w:p>
  </w:footnote>
  <w:footnote w:id="33">
    <w:p w14:paraId="55572BB9" w14:textId="77777777" w:rsidR="009F661C" w:rsidRDefault="009F661C" w:rsidP="00C24C73">
      <w:pPr>
        <w:pStyle w:val="FootnoteText"/>
        <w:ind w:right="56"/>
        <w:jc w:val="both"/>
      </w:pPr>
      <w:r w:rsidRPr="00495AE1">
        <w:rPr>
          <w:rStyle w:val="FootnoteReference"/>
          <w:sz w:val="18"/>
          <w:szCs w:val="18"/>
        </w:rPr>
        <w:footnoteRef/>
      </w:r>
      <w:r w:rsidRPr="00495AE1">
        <w:rPr>
          <w:sz w:val="18"/>
          <w:szCs w:val="18"/>
        </w:rPr>
        <w:t xml:space="preserve">  This paper was read at the Conference of the African Studies Association of Australasia and the Pacific, held at the John Curtin School of Medical Research, Australian National University, 31</w:t>
      </w:r>
      <w:r w:rsidRPr="00495AE1">
        <w:rPr>
          <w:sz w:val="18"/>
          <w:szCs w:val="18"/>
          <w:vertAlign w:val="superscript"/>
        </w:rPr>
        <w:t>st</w:t>
      </w:r>
      <w:r w:rsidRPr="00495AE1">
        <w:rPr>
          <w:sz w:val="18"/>
          <w:szCs w:val="18"/>
        </w:rPr>
        <w:t xml:space="preserve"> January 2008. The author acknowledges useful comments from Peter Freeman, Scott MacWilliam, Alastair McKenzie, Paul Taylor, and Vincent Tickner, but they are not responsible for any remaining errors.</w:t>
      </w:r>
    </w:p>
  </w:footnote>
  <w:footnote w:id="34">
    <w:p w14:paraId="0C353B6A" w14:textId="77777777" w:rsidR="009F661C" w:rsidRDefault="009F661C" w:rsidP="00C24C73">
      <w:pPr>
        <w:pStyle w:val="FootnoteText"/>
        <w:ind w:right="56"/>
        <w:jc w:val="both"/>
      </w:pPr>
      <w:r w:rsidRPr="00495AE1">
        <w:rPr>
          <w:rStyle w:val="FootnoteReference"/>
          <w:sz w:val="18"/>
          <w:szCs w:val="18"/>
        </w:rPr>
        <w:footnoteRef/>
      </w:r>
      <w:r w:rsidRPr="00495AE1">
        <w:rPr>
          <w:sz w:val="18"/>
          <w:szCs w:val="18"/>
        </w:rPr>
        <w:t xml:space="preserve">  In 1971 there were 779,000 African wage earners in the “non-African” areas, of whom 301,000 were engaged in the agriculture and forestry sector (the corresponding numbers of non-African employees were 108,100 and 4,490) – see Curtin (1973:661).</w:t>
      </w:r>
    </w:p>
  </w:footnote>
  <w:footnote w:id="35">
    <w:p w14:paraId="713517DD" w14:textId="77777777" w:rsidR="009F661C" w:rsidRDefault="009F661C" w:rsidP="00C24C73">
      <w:pPr>
        <w:ind w:right="-86"/>
        <w:jc w:val="both"/>
      </w:pPr>
      <w:r w:rsidRPr="00495AE1">
        <w:rPr>
          <w:rStyle w:val="FootnoteReference"/>
          <w:sz w:val="18"/>
          <w:szCs w:val="18"/>
        </w:rPr>
        <w:footnoteRef/>
      </w:r>
      <w:r w:rsidRPr="00495AE1">
        <w:rPr>
          <w:sz w:val="18"/>
          <w:szCs w:val="18"/>
        </w:rPr>
        <w:t xml:space="preserve">  Land-owning companies are and have been just as easily expropriated as individual farmers, but doing so does not enhance investor perceptions in other sectors of the economy. To President Mugabe’s government it was immaterial whether it was an individual or a company that had seized black land in the 1890s. For a Marxist analysis of Rhodesia’s economy, see Arrighi (1974). However contrary to predictions in that paper, it was not the African proletariat (employees of the white farmers and miners </w:t>
      </w:r>
      <w:r w:rsidRPr="00495AE1">
        <w:rPr>
          <w:i/>
          <w:iCs/>
          <w:sz w:val="18"/>
          <w:szCs w:val="18"/>
        </w:rPr>
        <w:t>et al</w:t>
      </w:r>
      <w:r w:rsidRPr="00495AE1">
        <w:rPr>
          <w:sz w:val="18"/>
          <w:szCs w:val="18"/>
        </w:rPr>
        <w:t>.) who rose up in the 1970s, but the un-proletarianized (unemployed) peasantry in the tribal trust lands. While all are now worse off, the employed proletariat has lost most, including their jobs, apart from those who have emigrated to South Africa, Botswana, and the UK.</w:t>
      </w:r>
    </w:p>
  </w:footnote>
  <w:footnote w:id="36">
    <w:p w14:paraId="1CE168A2" w14:textId="77777777" w:rsidR="009F661C" w:rsidRDefault="009F661C" w:rsidP="00C24C73">
      <w:pPr>
        <w:pStyle w:val="FootnoteText"/>
        <w:ind w:right="-86"/>
        <w:jc w:val="both"/>
        <w:rPr>
          <w:sz w:val="18"/>
          <w:szCs w:val="18"/>
        </w:rPr>
      </w:pPr>
      <w:r w:rsidRPr="00495AE1">
        <w:rPr>
          <w:rStyle w:val="FootnoteReference"/>
          <w:sz w:val="18"/>
          <w:szCs w:val="18"/>
        </w:rPr>
        <w:footnoteRef/>
      </w:r>
      <w:r w:rsidRPr="00495AE1">
        <w:rPr>
          <w:sz w:val="18"/>
          <w:szCs w:val="18"/>
        </w:rPr>
        <w:t xml:space="preserve">  See report by Godfrey Mutimba “Mutasa orders war veterans off farm” </w:t>
      </w:r>
    </w:p>
    <w:p w14:paraId="0E77BF55" w14:textId="77777777" w:rsidR="009F661C" w:rsidRDefault="0099660F" w:rsidP="00C24C73">
      <w:pPr>
        <w:pStyle w:val="FootnoteText"/>
        <w:ind w:right="-86"/>
        <w:jc w:val="both"/>
      </w:pPr>
      <w:hyperlink r:id="rId1" w:history="1">
        <w:r w:rsidR="009F661C" w:rsidRPr="00495AE1">
          <w:rPr>
            <w:rStyle w:val="Hyperlink"/>
            <w:color w:val="auto"/>
            <w:sz w:val="18"/>
            <w:szCs w:val="18"/>
            <w:u w:val="none"/>
          </w:rPr>
          <w:t>www.zimbabwesituation.com</w:t>
        </w:r>
      </w:hyperlink>
      <w:r w:rsidR="009F661C" w:rsidRPr="00495AE1">
        <w:rPr>
          <w:sz w:val="18"/>
          <w:szCs w:val="18"/>
        </w:rPr>
        <w:t>, 2 July 2006. The farm in question was Chikore, in Masvingo (formerly Fort Victoria); Mudenge as Minister for Higher Education even appropriated the veterans’ crops.</w:t>
      </w:r>
    </w:p>
  </w:footnote>
  <w:footnote w:id="37">
    <w:p w14:paraId="22F3E75D" w14:textId="77777777" w:rsidR="009F661C" w:rsidRDefault="009F661C" w:rsidP="00426DA3">
      <w:pPr>
        <w:pStyle w:val="FootnoteText"/>
        <w:ind w:right="56"/>
      </w:pPr>
      <w:r w:rsidRPr="00495AE1">
        <w:rPr>
          <w:rStyle w:val="FootnoteReference"/>
          <w:sz w:val="18"/>
          <w:szCs w:val="18"/>
        </w:rPr>
        <w:footnoteRef/>
      </w:r>
      <w:r w:rsidRPr="00495AE1">
        <w:rPr>
          <w:sz w:val="18"/>
          <w:szCs w:val="18"/>
        </w:rPr>
        <w:t xml:space="preserve">  Report by Violet Gonda,  14 February2007, </w:t>
      </w:r>
      <w:hyperlink r:id="rId2" w:history="1">
        <w:r w:rsidRPr="00495AE1">
          <w:rPr>
            <w:rStyle w:val="Hyperlink"/>
            <w:color w:val="auto"/>
            <w:sz w:val="18"/>
            <w:szCs w:val="18"/>
            <w:u w:val="none"/>
          </w:rPr>
          <w:t>www.zimbabwesituation.com</w:t>
        </w:r>
      </w:hyperlink>
      <w:r w:rsidRPr="00495AE1">
        <w:rPr>
          <w:sz w:val="18"/>
          <w:szCs w:val="18"/>
        </w:rPr>
        <w:t>.</w:t>
      </w:r>
    </w:p>
  </w:footnote>
  <w:footnote w:id="38">
    <w:p w14:paraId="01FF9934" w14:textId="77777777" w:rsidR="009F661C" w:rsidRDefault="009F661C" w:rsidP="00426DA3">
      <w:pPr>
        <w:pStyle w:val="FootnoteText"/>
        <w:tabs>
          <w:tab w:val="left" w:pos="6096"/>
        </w:tabs>
        <w:ind w:right="56"/>
        <w:jc w:val="both"/>
      </w:pPr>
      <w:r w:rsidRPr="00495AE1">
        <w:rPr>
          <w:rStyle w:val="FootnoteReference"/>
          <w:sz w:val="18"/>
          <w:szCs w:val="18"/>
        </w:rPr>
        <w:footnoteRef/>
      </w:r>
      <w:r w:rsidRPr="00495AE1">
        <w:rPr>
          <w:sz w:val="18"/>
          <w:szCs w:val="18"/>
        </w:rPr>
        <w:t xml:space="preserve">  Secure and renewable leasehold title is as good in all respects as freehold – most farms in England were held on leases until the second half of the last century. The evidence in Fig. 1 was available to Moyo (2000) and shows the poor production outcomes of his preferred model even before the expropriations of 2000-2007.</w:t>
      </w:r>
    </w:p>
  </w:footnote>
  <w:footnote w:id="39">
    <w:p w14:paraId="45A51F21" w14:textId="77777777" w:rsidR="009F661C" w:rsidRDefault="009F661C" w:rsidP="00426DA3">
      <w:pPr>
        <w:pStyle w:val="FootnoteText"/>
        <w:ind w:right="-86"/>
        <w:jc w:val="both"/>
      </w:pPr>
      <w:r w:rsidRPr="00495AE1">
        <w:rPr>
          <w:rStyle w:val="FootnoteReference"/>
          <w:sz w:val="18"/>
          <w:szCs w:val="18"/>
        </w:rPr>
        <w:footnoteRef/>
      </w:r>
      <w:r w:rsidRPr="00495AE1">
        <w:rPr>
          <w:sz w:val="18"/>
          <w:szCs w:val="18"/>
        </w:rPr>
        <w:t xml:space="preserve">  Deininger’s co-author Kinsey (1999) had originally claimed the resettled farmers’ had much larger incomes than their peers in the villages from which the former had been drawn, but in both Hoogeveen and Kinsey (2001) and Deininger </w:t>
      </w:r>
      <w:r w:rsidRPr="00495AE1">
        <w:rPr>
          <w:i/>
          <w:iCs/>
          <w:sz w:val="18"/>
          <w:szCs w:val="18"/>
        </w:rPr>
        <w:t>et al.</w:t>
      </w:r>
      <w:r w:rsidRPr="00495AE1">
        <w:rPr>
          <w:sz w:val="18"/>
          <w:szCs w:val="18"/>
        </w:rPr>
        <w:t xml:space="preserve"> (2004), Kinsey revises that finding because there was no significant </w:t>
      </w:r>
      <w:r w:rsidRPr="00495AE1">
        <w:rPr>
          <w:i/>
          <w:iCs/>
          <w:sz w:val="18"/>
          <w:szCs w:val="18"/>
        </w:rPr>
        <w:t>per capita</w:t>
      </w:r>
      <w:r w:rsidRPr="00495AE1">
        <w:rPr>
          <w:sz w:val="18"/>
          <w:szCs w:val="18"/>
        </w:rPr>
        <w:t xml:space="preserve"> income difference between the comparator households. This resulted from correcting the sampling bias in Kinsey (1999).</w:t>
      </w:r>
    </w:p>
  </w:footnote>
  <w:footnote w:id="40">
    <w:p w14:paraId="6AA81A84" w14:textId="77777777" w:rsidR="009F661C" w:rsidRDefault="009F661C" w:rsidP="001B4607">
      <w:pPr>
        <w:pStyle w:val="FootnoteText"/>
        <w:ind w:right="2352"/>
      </w:pPr>
      <w:r w:rsidRPr="00495AE1">
        <w:rPr>
          <w:rStyle w:val="FootnoteReference"/>
          <w:sz w:val="18"/>
          <w:szCs w:val="18"/>
        </w:rPr>
        <w:footnoteRef/>
      </w:r>
      <w:r w:rsidRPr="00495AE1">
        <w:rPr>
          <w:sz w:val="18"/>
          <w:szCs w:val="18"/>
        </w:rPr>
        <w:t xml:space="preserve">  Available at www.timcurtin.com.</w:t>
      </w:r>
    </w:p>
  </w:footnote>
  <w:footnote w:id="41">
    <w:p w14:paraId="4E0E2F84" w14:textId="77777777" w:rsidR="009F661C" w:rsidRDefault="009F661C" w:rsidP="001B4607">
      <w:pPr>
        <w:pStyle w:val="FootnoteText"/>
      </w:pPr>
      <w:r w:rsidRPr="00495AE1">
        <w:rPr>
          <w:rStyle w:val="FootnoteReference"/>
          <w:sz w:val="18"/>
          <w:szCs w:val="18"/>
        </w:rPr>
        <w:footnoteRef/>
      </w:r>
      <w:r w:rsidRPr="00495AE1">
        <w:rPr>
          <w:sz w:val="18"/>
          <w:szCs w:val="18"/>
        </w:rPr>
        <w:t xml:space="preserve">  I owe these details to Ben Cousins (2007).</w:t>
      </w:r>
    </w:p>
  </w:footnote>
  <w:footnote w:id="42">
    <w:p w14:paraId="1141B492" w14:textId="77777777" w:rsidR="009F661C" w:rsidRDefault="009F661C" w:rsidP="001B4607">
      <w:pPr>
        <w:pStyle w:val="FootnoteText"/>
      </w:pPr>
      <w:r w:rsidRPr="00495AE1">
        <w:rPr>
          <w:rStyle w:val="FootnoteReference"/>
          <w:sz w:val="18"/>
          <w:szCs w:val="18"/>
        </w:rPr>
        <w:footnoteRef/>
      </w:r>
      <w:r w:rsidRPr="00495AE1">
        <w:rPr>
          <w:sz w:val="18"/>
          <w:szCs w:val="18"/>
        </w:rPr>
        <w:t xml:space="preserve">  Richardson 2006a.</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17832C"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4</w:t>
    </w:r>
    <w:r w:rsidRPr="00503FDD">
      <w:rPr>
        <w:rStyle w:val="PageNumber"/>
        <w:sz w:val="18"/>
      </w:rPr>
      <w:fldChar w:fldCharType="end"/>
    </w:r>
  </w:p>
  <w:p w14:paraId="5B0FEC20" w14:textId="77777777" w:rsidR="009F661C" w:rsidRPr="00503FDD" w:rsidRDefault="009F661C" w:rsidP="00503FDD">
    <w:pPr>
      <w:pStyle w:val="Header"/>
      <w:ind w:right="360" w:firstLine="360"/>
      <w:jc w:val="center"/>
      <w:rPr>
        <w:rStyle w:val="PageNumber"/>
        <w:sz w:val="18"/>
      </w:rPr>
    </w:pPr>
    <w:r w:rsidRPr="00503FDD">
      <w:rPr>
        <w:rStyle w:val="PageNumber"/>
        <w:sz w:val="18"/>
      </w:rPr>
      <w:t>Introduction</w:t>
    </w:r>
  </w:p>
  <w:p w14:paraId="0CE269DD" w14:textId="77777777" w:rsidR="009F661C" w:rsidRPr="00503FDD" w:rsidRDefault="009F661C" w:rsidP="00503FDD">
    <w:pPr>
      <w:pStyle w:val="Header"/>
      <w:ind w:right="360" w:firstLine="360"/>
      <w:jc w:val="center"/>
      <w:rPr>
        <w:sz w:val="18"/>
      </w:rPr>
    </w:pP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B6733E"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57</w:t>
    </w:r>
    <w:r w:rsidRPr="00503FDD">
      <w:rPr>
        <w:rStyle w:val="PageNumber"/>
        <w:sz w:val="18"/>
      </w:rPr>
      <w:fldChar w:fldCharType="end"/>
    </w:r>
  </w:p>
  <w:p w14:paraId="036FEBAB" w14:textId="77777777" w:rsidR="009F661C" w:rsidRPr="00552207" w:rsidRDefault="009F661C" w:rsidP="00552207">
    <w:pPr>
      <w:tabs>
        <w:tab w:val="right" w:leader="dot" w:pos="6056"/>
      </w:tabs>
      <w:jc w:val="center"/>
      <w:rPr>
        <w:bCs/>
        <w:sz w:val="18"/>
        <w:szCs w:val="18"/>
      </w:rPr>
    </w:pPr>
    <w:r w:rsidRPr="00552207">
      <w:rPr>
        <w:sz w:val="18"/>
        <w:szCs w:val="18"/>
      </w:rPr>
      <w:t>Customary and Alienated Land</w:t>
    </w:r>
  </w:p>
  <w:p w14:paraId="77B09FF0" w14:textId="77777777" w:rsidR="009F661C" w:rsidRPr="00552207" w:rsidRDefault="009F661C" w:rsidP="00552207">
    <w:pPr>
      <w:pStyle w:val="Header"/>
      <w:ind w:right="360" w:firstLine="360"/>
      <w:jc w:val="center"/>
      <w:rPr>
        <w:sz w:val="18"/>
        <w:szCs w:val="18"/>
      </w:rPr>
    </w:pPr>
  </w:p>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15BD4E"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78</w:t>
    </w:r>
    <w:r w:rsidRPr="00503FDD">
      <w:rPr>
        <w:rStyle w:val="PageNumber"/>
        <w:sz w:val="18"/>
      </w:rPr>
      <w:fldChar w:fldCharType="end"/>
    </w:r>
  </w:p>
  <w:p w14:paraId="630C1DF8" w14:textId="77777777" w:rsidR="009F661C" w:rsidRPr="00503FDD" w:rsidRDefault="009F661C" w:rsidP="00503FDD">
    <w:pPr>
      <w:pStyle w:val="Header"/>
      <w:ind w:right="360" w:firstLine="360"/>
      <w:jc w:val="center"/>
      <w:rPr>
        <w:rStyle w:val="PageNumber"/>
        <w:sz w:val="18"/>
      </w:rPr>
    </w:pPr>
    <w:r w:rsidRPr="00503FDD">
      <w:rPr>
        <w:rStyle w:val="PageNumber"/>
        <w:sz w:val="18"/>
      </w:rPr>
      <w:t>Chapter Five</w:t>
    </w:r>
  </w:p>
  <w:p w14:paraId="62E69B9E" w14:textId="77777777" w:rsidR="009F661C" w:rsidRPr="00503FDD" w:rsidRDefault="009F661C" w:rsidP="00503FDD">
    <w:pPr>
      <w:pStyle w:val="Header"/>
      <w:ind w:right="360" w:firstLine="360"/>
      <w:jc w:val="center"/>
      <w:rPr>
        <w:sz w:val="18"/>
        <w:szCs w:val="18"/>
      </w:rPr>
    </w:pP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1FBA18"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77</w:t>
    </w:r>
    <w:r w:rsidRPr="00503FDD">
      <w:rPr>
        <w:rStyle w:val="PageNumber"/>
        <w:sz w:val="18"/>
      </w:rPr>
      <w:fldChar w:fldCharType="end"/>
    </w:r>
  </w:p>
  <w:p w14:paraId="46331C03" w14:textId="77777777" w:rsidR="009F661C" w:rsidRPr="00047669" w:rsidRDefault="009F661C" w:rsidP="00552207">
    <w:pPr>
      <w:pStyle w:val="Header"/>
      <w:ind w:right="360" w:firstLine="360"/>
      <w:jc w:val="center"/>
      <w:rPr>
        <w:sz w:val="18"/>
        <w:szCs w:val="18"/>
      </w:rPr>
    </w:pPr>
    <w:r w:rsidRPr="00047669">
      <w:rPr>
        <w:sz w:val="18"/>
        <w:szCs w:val="18"/>
      </w:rPr>
      <w:t>New Initiatives in the Development of Customary Land</w:t>
    </w:r>
  </w:p>
</w:hdr>
</file>

<file path=word/header1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092BEE" w14:textId="77777777" w:rsidR="009F661C" w:rsidRPr="00503FDD" w:rsidRDefault="009F661C" w:rsidP="00503FDD">
    <w:pPr>
      <w:pStyle w:val="Header"/>
    </w:pPr>
  </w:p>
</w:hdr>
</file>

<file path=word/header1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D7E2F0"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96</w:t>
    </w:r>
    <w:r w:rsidRPr="00503FDD">
      <w:rPr>
        <w:rStyle w:val="PageNumber"/>
        <w:sz w:val="18"/>
      </w:rPr>
      <w:fldChar w:fldCharType="end"/>
    </w:r>
  </w:p>
  <w:p w14:paraId="3F29FF1C" w14:textId="77777777" w:rsidR="009F661C" w:rsidRPr="00503FDD" w:rsidRDefault="009F661C" w:rsidP="00503FDD">
    <w:pPr>
      <w:pStyle w:val="Header"/>
      <w:ind w:right="360" w:firstLine="360"/>
      <w:jc w:val="center"/>
      <w:rPr>
        <w:rStyle w:val="PageNumber"/>
        <w:sz w:val="18"/>
      </w:rPr>
    </w:pPr>
    <w:r w:rsidRPr="00503FDD">
      <w:rPr>
        <w:rStyle w:val="PageNumber"/>
        <w:sz w:val="18"/>
      </w:rPr>
      <w:t>Chapter Six</w:t>
    </w:r>
  </w:p>
  <w:p w14:paraId="492C9A8E" w14:textId="77777777" w:rsidR="009F661C" w:rsidRPr="00503FDD" w:rsidRDefault="009F661C" w:rsidP="00503FDD">
    <w:pPr>
      <w:pStyle w:val="Header"/>
      <w:ind w:right="360" w:firstLine="360"/>
      <w:jc w:val="center"/>
      <w:rPr>
        <w:sz w:val="18"/>
        <w:szCs w:val="18"/>
      </w:rPr>
    </w:pPr>
  </w:p>
</w:hdr>
</file>

<file path=word/header1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454114"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95</w:t>
    </w:r>
    <w:r w:rsidRPr="00503FDD">
      <w:rPr>
        <w:rStyle w:val="PageNumber"/>
        <w:sz w:val="18"/>
      </w:rPr>
      <w:fldChar w:fldCharType="end"/>
    </w:r>
  </w:p>
  <w:p w14:paraId="0BDE774F" w14:textId="77777777" w:rsidR="009F661C" w:rsidRPr="006014E0" w:rsidRDefault="009F661C" w:rsidP="006014E0">
    <w:pPr>
      <w:tabs>
        <w:tab w:val="left" w:pos="720"/>
        <w:tab w:val="right" w:leader="dot" w:pos="6056"/>
      </w:tabs>
      <w:jc w:val="center"/>
      <w:rPr>
        <w:sz w:val="18"/>
        <w:szCs w:val="18"/>
      </w:rPr>
    </w:pPr>
    <w:r w:rsidRPr="006014E0">
      <w:rPr>
        <w:sz w:val="18"/>
        <w:szCs w:val="18"/>
      </w:rPr>
      <w:t>Freedom Based Defence of Private Ownership Rights</w:t>
    </w:r>
  </w:p>
  <w:p w14:paraId="7093B969" w14:textId="77777777" w:rsidR="009F661C" w:rsidRPr="006014E0" w:rsidRDefault="009F661C" w:rsidP="006014E0">
    <w:pPr>
      <w:pStyle w:val="Header"/>
      <w:ind w:right="360" w:firstLine="360"/>
      <w:jc w:val="center"/>
      <w:rPr>
        <w:sz w:val="18"/>
        <w:szCs w:val="18"/>
      </w:rPr>
    </w:pPr>
  </w:p>
</w:hdr>
</file>

<file path=word/header1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D0A573"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106</w:t>
    </w:r>
    <w:r w:rsidRPr="00503FDD">
      <w:rPr>
        <w:rStyle w:val="PageNumber"/>
        <w:sz w:val="18"/>
      </w:rPr>
      <w:fldChar w:fldCharType="end"/>
    </w:r>
  </w:p>
  <w:p w14:paraId="1567ED98" w14:textId="77777777" w:rsidR="009F661C" w:rsidRPr="00503FDD" w:rsidRDefault="009F661C" w:rsidP="00503FDD">
    <w:pPr>
      <w:pStyle w:val="Header"/>
      <w:ind w:right="360" w:firstLine="360"/>
      <w:jc w:val="center"/>
      <w:rPr>
        <w:rStyle w:val="PageNumber"/>
        <w:sz w:val="18"/>
      </w:rPr>
    </w:pPr>
    <w:r w:rsidRPr="00503FDD">
      <w:rPr>
        <w:rStyle w:val="PageNumber"/>
        <w:sz w:val="18"/>
      </w:rPr>
      <w:t>Chapter Seven</w:t>
    </w:r>
  </w:p>
  <w:p w14:paraId="4F129844" w14:textId="77777777" w:rsidR="009F661C" w:rsidRPr="00503FDD" w:rsidRDefault="009F661C" w:rsidP="00503FDD">
    <w:pPr>
      <w:pStyle w:val="Header"/>
      <w:ind w:right="360" w:firstLine="360"/>
      <w:jc w:val="center"/>
      <w:rPr>
        <w:sz w:val="18"/>
        <w:szCs w:val="18"/>
      </w:rPr>
    </w:pPr>
  </w:p>
</w:hdr>
</file>

<file path=word/header1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0A28F7"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107</w:t>
    </w:r>
    <w:r w:rsidRPr="00503FDD">
      <w:rPr>
        <w:rStyle w:val="PageNumber"/>
        <w:sz w:val="18"/>
      </w:rPr>
      <w:fldChar w:fldCharType="end"/>
    </w:r>
  </w:p>
  <w:p w14:paraId="41D24A72" w14:textId="77777777" w:rsidR="009F661C" w:rsidRPr="006014E0" w:rsidRDefault="009F661C" w:rsidP="006014E0">
    <w:pPr>
      <w:pStyle w:val="Title"/>
      <w:tabs>
        <w:tab w:val="right" w:leader="dot" w:pos="6056"/>
      </w:tabs>
      <w:rPr>
        <w:b w:val="0"/>
        <w:sz w:val="18"/>
        <w:szCs w:val="18"/>
      </w:rPr>
    </w:pPr>
    <w:r w:rsidRPr="006014E0">
      <w:rPr>
        <w:b w:val="0"/>
        <w:bCs w:val="0"/>
        <w:sz w:val="18"/>
        <w:szCs w:val="18"/>
      </w:rPr>
      <w:t>Land Tenure Options</w:t>
    </w:r>
  </w:p>
  <w:p w14:paraId="3B7ED287" w14:textId="77777777" w:rsidR="009F661C" w:rsidRPr="006014E0" w:rsidRDefault="009F661C" w:rsidP="006014E0">
    <w:pPr>
      <w:tabs>
        <w:tab w:val="left" w:pos="720"/>
        <w:tab w:val="right" w:leader="dot" w:pos="6056"/>
      </w:tabs>
      <w:jc w:val="center"/>
      <w:rPr>
        <w:sz w:val="18"/>
        <w:szCs w:val="18"/>
      </w:rPr>
    </w:pPr>
  </w:p>
</w:hdr>
</file>

<file path=word/header1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0FDE0C"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116</w:t>
    </w:r>
    <w:r w:rsidRPr="00503FDD">
      <w:rPr>
        <w:rStyle w:val="PageNumber"/>
        <w:sz w:val="18"/>
      </w:rPr>
      <w:fldChar w:fldCharType="end"/>
    </w:r>
  </w:p>
  <w:p w14:paraId="4FC66D51" w14:textId="77777777" w:rsidR="009F661C" w:rsidRPr="00503FDD" w:rsidRDefault="009F661C" w:rsidP="00503FDD">
    <w:pPr>
      <w:pStyle w:val="Header"/>
      <w:ind w:right="360" w:firstLine="360"/>
      <w:jc w:val="center"/>
      <w:rPr>
        <w:rStyle w:val="PageNumber"/>
        <w:sz w:val="18"/>
      </w:rPr>
    </w:pPr>
    <w:r w:rsidRPr="00503FDD">
      <w:rPr>
        <w:rStyle w:val="PageNumber"/>
        <w:sz w:val="18"/>
      </w:rPr>
      <w:t>Chapter Eight</w:t>
    </w:r>
  </w:p>
  <w:p w14:paraId="0A5C990A" w14:textId="77777777" w:rsidR="009F661C" w:rsidRPr="00503FDD" w:rsidRDefault="009F661C" w:rsidP="00503FDD">
    <w:pPr>
      <w:pStyle w:val="Header"/>
      <w:ind w:right="360" w:firstLine="360"/>
      <w:jc w:val="center"/>
      <w:rPr>
        <w:sz w:val="18"/>
        <w:szCs w:val="18"/>
      </w:rPr>
    </w:pPr>
  </w:p>
</w:hdr>
</file>

<file path=word/header1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600A38"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115</w:t>
    </w:r>
    <w:r w:rsidRPr="00503FDD">
      <w:rPr>
        <w:rStyle w:val="PageNumber"/>
        <w:sz w:val="18"/>
      </w:rPr>
      <w:fldChar w:fldCharType="end"/>
    </w:r>
  </w:p>
  <w:p w14:paraId="6374E26E" w14:textId="77777777" w:rsidR="009F661C" w:rsidRPr="00204E2C" w:rsidRDefault="009F661C" w:rsidP="00204E2C">
    <w:pPr>
      <w:pStyle w:val="Heading1"/>
      <w:keepNext w:val="0"/>
      <w:widowControl w:val="0"/>
      <w:tabs>
        <w:tab w:val="right" w:leader="dot" w:pos="6056"/>
      </w:tabs>
      <w:spacing w:line="240" w:lineRule="auto"/>
      <w:jc w:val="center"/>
      <w:rPr>
        <w:b w:val="0"/>
        <w:sz w:val="18"/>
        <w:szCs w:val="18"/>
      </w:rPr>
    </w:pPr>
    <w:r w:rsidRPr="00204E2C">
      <w:rPr>
        <w:b w:val="0"/>
        <w:bCs w:val="0"/>
        <w:sz w:val="18"/>
        <w:szCs w:val="18"/>
      </w:rPr>
      <w:t>Food Security of Customary Landowners</w:t>
    </w:r>
  </w:p>
  <w:p w14:paraId="161F78DF" w14:textId="77777777" w:rsidR="009F661C" w:rsidRPr="00204E2C" w:rsidRDefault="009F661C" w:rsidP="00204E2C">
    <w:pPr>
      <w:tabs>
        <w:tab w:val="left" w:pos="720"/>
        <w:tab w:val="right" w:leader="dot" w:pos="6056"/>
      </w:tabs>
      <w:jc w:val="center"/>
      <w:rPr>
        <w:sz w:val="18"/>
        <w:szCs w:val="18"/>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91BA5B"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3</w:t>
    </w:r>
    <w:r w:rsidRPr="00503FDD">
      <w:rPr>
        <w:rStyle w:val="PageNumber"/>
        <w:sz w:val="18"/>
      </w:rPr>
      <w:fldChar w:fldCharType="end"/>
    </w:r>
  </w:p>
  <w:p w14:paraId="0BA72E12" w14:textId="77777777" w:rsidR="009F661C" w:rsidRPr="00503FDD" w:rsidRDefault="009F661C" w:rsidP="00503FDD">
    <w:pPr>
      <w:pStyle w:val="Header"/>
      <w:ind w:right="360" w:firstLine="360"/>
      <w:jc w:val="center"/>
      <w:rPr>
        <w:sz w:val="18"/>
      </w:rPr>
    </w:pPr>
    <w:r w:rsidRPr="00503FDD">
      <w:rPr>
        <w:rStyle w:val="PageNumber"/>
        <w:sz w:val="18"/>
      </w:rPr>
      <w:t>Land Law and Economic Development in Papua New Guinea</w:t>
    </w:r>
  </w:p>
</w:hdr>
</file>

<file path=word/header2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48BA99"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144</w:t>
    </w:r>
    <w:r w:rsidRPr="00503FDD">
      <w:rPr>
        <w:rStyle w:val="PageNumber"/>
        <w:sz w:val="18"/>
      </w:rPr>
      <w:fldChar w:fldCharType="end"/>
    </w:r>
  </w:p>
  <w:p w14:paraId="252B7B24" w14:textId="77777777" w:rsidR="009F661C" w:rsidRPr="00503FDD" w:rsidRDefault="009F661C" w:rsidP="00503FDD">
    <w:pPr>
      <w:pStyle w:val="Header"/>
      <w:ind w:right="360" w:firstLine="360"/>
      <w:jc w:val="center"/>
      <w:rPr>
        <w:rStyle w:val="PageNumber"/>
        <w:sz w:val="18"/>
      </w:rPr>
    </w:pPr>
    <w:r w:rsidRPr="00503FDD">
      <w:rPr>
        <w:rStyle w:val="PageNumber"/>
        <w:sz w:val="18"/>
      </w:rPr>
      <w:t>Chapter Nine</w:t>
    </w:r>
  </w:p>
  <w:p w14:paraId="101FDBCA" w14:textId="77777777" w:rsidR="009F661C" w:rsidRPr="00503FDD" w:rsidRDefault="009F661C" w:rsidP="00503FDD">
    <w:pPr>
      <w:pStyle w:val="Header"/>
      <w:ind w:right="360" w:firstLine="360"/>
      <w:jc w:val="center"/>
      <w:rPr>
        <w:sz w:val="18"/>
        <w:szCs w:val="20"/>
      </w:rPr>
    </w:pPr>
  </w:p>
</w:hdr>
</file>

<file path=word/header2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51BFD8"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143</w:t>
    </w:r>
    <w:r w:rsidRPr="00503FDD">
      <w:rPr>
        <w:rStyle w:val="PageNumber"/>
        <w:sz w:val="18"/>
      </w:rPr>
      <w:fldChar w:fldCharType="end"/>
    </w:r>
  </w:p>
  <w:p w14:paraId="1739A820" w14:textId="77777777" w:rsidR="009F661C" w:rsidRPr="002607C3" w:rsidRDefault="009F661C" w:rsidP="002607C3">
    <w:pPr>
      <w:pStyle w:val="Heading1"/>
      <w:keepNext w:val="0"/>
      <w:widowControl w:val="0"/>
      <w:tabs>
        <w:tab w:val="right" w:leader="dot" w:pos="6056"/>
      </w:tabs>
      <w:spacing w:line="240" w:lineRule="auto"/>
      <w:jc w:val="center"/>
      <w:rPr>
        <w:b w:val="0"/>
        <w:sz w:val="18"/>
        <w:szCs w:val="18"/>
      </w:rPr>
    </w:pPr>
    <w:r w:rsidRPr="002607C3">
      <w:rPr>
        <w:b w:val="0"/>
        <w:bCs w:val="0"/>
        <w:sz w:val="18"/>
        <w:szCs w:val="18"/>
      </w:rPr>
      <w:t>Land Titling and Forestry</w:t>
    </w:r>
  </w:p>
  <w:p w14:paraId="19F38169" w14:textId="77777777" w:rsidR="009F661C" w:rsidRPr="002607C3" w:rsidRDefault="009F661C" w:rsidP="002607C3">
    <w:pPr>
      <w:pStyle w:val="Header"/>
      <w:ind w:right="360" w:firstLine="360"/>
      <w:jc w:val="center"/>
      <w:rPr>
        <w:sz w:val="18"/>
        <w:szCs w:val="18"/>
      </w:rPr>
    </w:pPr>
  </w:p>
</w:hdr>
</file>

<file path=word/header2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46629A"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176</w:t>
    </w:r>
    <w:r w:rsidRPr="00503FDD">
      <w:rPr>
        <w:rStyle w:val="PageNumber"/>
        <w:sz w:val="18"/>
      </w:rPr>
      <w:fldChar w:fldCharType="end"/>
    </w:r>
  </w:p>
  <w:p w14:paraId="31415FB3" w14:textId="77777777" w:rsidR="009F661C" w:rsidRPr="00503FDD" w:rsidRDefault="009F661C" w:rsidP="00503FDD">
    <w:pPr>
      <w:pStyle w:val="Header"/>
      <w:ind w:right="360" w:firstLine="360"/>
      <w:jc w:val="center"/>
      <w:rPr>
        <w:rStyle w:val="PageNumber"/>
        <w:sz w:val="18"/>
      </w:rPr>
    </w:pPr>
    <w:r w:rsidRPr="00503FDD">
      <w:rPr>
        <w:rStyle w:val="PageNumber"/>
        <w:sz w:val="18"/>
      </w:rPr>
      <w:t>Chapter Ten</w:t>
    </w:r>
  </w:p>
  <w:p w14:paraId="340120E2" w14:textId="77777777" w:rsidR="009F661C" w:rsidRPr="00503FDD" w:rsidRDefault="009F661C" w:rsidP="00503FDD">
    <w:pPr>
      <w:pStyle w:val="Header"/>
      <w:ind w:right="360" w:firstLine="360"/>
      <w:jc w:val="center"/>
      <w:rPr>
        <w:sz w:val="18"/>
        <w:szCs w:val="18"/>
      </w:rPr>
    </w:pPr>
  </w:p>
</w:hdr>
</file>

<file path=word/header2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B94E0B"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177</w:t>
    </w:r>
    <w:r w:rsidRPr="00503FDD">
      <w:rPr>
        <w:rStyle w:val="PageNumber"/>
        <w:sz w:val="18"/>
      </w:rPr>
      <w:fldChar w:fldCharType="end"/>
    </w:r>
  </w:p>
  <w:p w14:paraId="0FF3F263" w14:textId="77777777" w:rsidR="009F661C" w:rsidRPr="00DC1614" w:rsidRDefault="009F661C" w:rsidP="00DC1614">
    <w:pPr>
      <w:pStyle w:val="Heading1"/>
      <w:keepNext w:val="0"/>
      <w:widowControl w:val="0"/>
      <w:tabs>
        <w:tab w:val="right" w:leader="dot" w:pos="6056"/>
      </w:tabs>
      <w:spacing w:line="240" w:lineRule="auto"/>
      <w:jc w:val="center"/>
      <w:rPr>
        <w:b w:val="0"/>
        <w:sz w:val="18"/>
        <w:szCs w:val="18"/>
      </w:rPr>
    </w:pPr>
    <w:r w:rsidRPr="00DC1614">
      <w:rPr>
        <w:b w:val="0"/>
        <w:bCs w:val="0"/>
        <w:sz w:val="18"/>
        <w:szCs w:val="18"/>
      </w:rPr>
      <w:t>Economics of Land Title</w:t>
    </w:r>
  </w:p>
  <w:p w14:paraId="1CA67325" w14:textId="77777777" w:rsidR="009F661C" w:rsidRPr="00DC1614" w:rsidRDefault="009F661C" w:rsidP="00DC1614">
    <w:pPr>
      <w:pStyle w:val="Heading1"/>
      <w:keepNext w:val="0"/>
      <w:widowControl w:val="0"/>
      <w:tabs>
        <w:tab w:val="right" w:leader="dot" w:pos="6056"/>
      </w:tabs>
      <w:spacing w:line="240" w:lineRule="auto"/>
      <w:jc w:val="center"/>
      <w:rPr>
        <w:sz w:val="18"/>
        <w:szCs w:val="18"/>
      </w:rPr>
    </w:pPr>
  </w:p>
</w:hdr>
</file>

<file path=word/header2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F4F608"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188</w:t>
    </w:r>
    <w:r w:rsidRPr="00503FDD">
      <w:rPr>
        <w:rStyle w:val="PageNumber"/>
        <w:sz w:val="18"/>
      </w:rPr>
      <w:fldChar w:fldCharType="end"/>
    </w:r>
  </w:p>
  <w:p w14:paraId="548F83FF" w14:textId="77777777" w:rsidR="009F661C" w:rsidRPr="00503FDD" w:rsidRDefault="009F661C" w:rsidP="00503FDD">
    <w:pPr>
      <w:pStyle w:val="Header"/>
      <w:ind w:right="360" w:firstLine="360"/>
      <w:jc w:val="center"/>
      <w:rPr>
        <w:rStyle w:val="PageNumber"/>
        <w:sz w:val="18"/>
      </w:rPr>
    </w:pPr>
    <w:r>
      <w:rPr>
        <w:rStyle w:val="PageNumber"/>
        <w:sz w:val="18"/>
      </w:rPr>
      <w:t>Bibliography</w:t>
    </w:r>
  </w:p>
  <w:p w14:paraId="20C7A77A" w14:textId="77777777" w:rsidR="009F661C" w:rsidRPr="00503FDD" w:rsidRDefault="009F661C" w:rsidP="00503FDD">
    <w:pPr>
      <w:pStyle w:val="Header"/>
      <w:ind w:right="360" w:firstLine="360"/>
      <w:jc w:val="center"/>
      <w:rPr>
        <w:sz w:val="18"/>
        <w:szCs w:val="18"/>
      </w:rPr>
    </w:pPr>
  </w:p>
</w:hdr>
</file>

<file path=word/header2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421DAA"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209</w:t>
    </w:r>
    <w:r w:rsidRPr="00503FDD">
      <w:rPr>
        <w:rStyle w:val="PageNumber"/>
        <w:sz w:val="18"/>
      </w:rPr>
      <w:fldChar w:fldCharType="end"/>
    </w:r>
  </w:p>
  <w:p w14:paraId="3678D0FC" w14:textId="77777777" w:rsidR="009F661C" w:rsidRPr="0035619C" w:rsidRDefault="009F661C" w:rsidP="00DC1614">
    <w:pPr>
      <w:pStyle w:val="Heading1"/>
      <w:keepNext w:val="0"/>
      <w:widowControl w:val="0"/>
      <w:tabs>
        <w:tab w:val="right" w:leader="dot" w:pos="6056"/>
      </w:tabs>
      <w:spacing w:line="240" w:lineRule="auto"/>
      <w:jc w:val="center"/>
      <w:rPr>
        <w:b w:val="0"/>
        <w:sz w:val="18"/>
        <w:szCs w:val="18"/>
      </w:rPr>
    </w:pPr>
    <w:r w:rsidRPr="0035619C">
      <w:rPr>
        <w:b w:val="0"/>
        <w:sz w:val="18"/>
        <w:szCs w:val="18"/>
        <w:lang w:val="en-GB"/>
      </w:rPr>
      <w:t>Land Law and Economic Development in Papua New Guinea</w:t>
    </w:r>
  </w:p>
</w:hdr>
</file>

<file path=word/header2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1B98F4"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208</w:t>
    </w:r>
    <w:r w:rsidRPr="00503FDD">
      <w:rPr>
        <w:rStyle w:val="PageNumber"/>
        <w:sz w:val="18"/>
      </w:rPr>
      <w:fldChar w:fldCharType="end"/>
    </w:r>
  </w:p>
  <w:p w14:paraId="51C78329" w14:textId="77777777" w:rsidR="009F661C" w:rsidRPr="00503FDD" w:rsidRDefault="009F661C" w:rsidP="00503FDD">
    <w:pPr>
      <w:pStyle w:val="Header"/>
      <w:ind w:right="360" w:firstLine="360"/>
      <w:jc w:val="center"/>
      <w:rPr>
        <w:rStyle w:val="PageNumber"/>
        <w:sz w:val="18"/>
      </w:rPr>
    </w:pPr>
    <w:r>
      <w:rPr>
        <w:rStyle w:val="PageNumber"/>
        <w:sz w:val="18"/>
      </w:rPr>
      <w:t>Appendix</w:t>
    </w:r>
  </w:p>
  <w:p w14:paraId="6DFF9069" w14:textId="77777777" w:rsidR="009F661C" w:rsidRPr="00503FDD" w:rsidRDefault="009F661C" w:rsidP="00503FDD">
    <w:pPr>
      <w:pStyle w:val="Header"/>
      <w:ind w:right="360" w:firstLine="360"/>
      <w:jc w:val="center"/>
      <w:rPr>
        <w:sz w:val="18"/>
        <w:szCs w:val="18"/>
      </w:rP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777CE9"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8</w:t>
    </w:r>
    <w:r w:rsidRPr="00503FDD">
      <w:rPr>
        <w:rStyle w:val="PageNumber"/>
        <w:sz w:val="18"/>
      </w:rPr>
      <w:fldChar w:fldCharType="end"/>
    </w:r>
  </w:p>
  <w:p w14:paraId="0CFFAA0D" w14:textId="77777777" w:rsidR="009F661C" w:rsidRPr="00503FDD" w:rsidRDefault="009F661C" w:rsidP="00503FDD">
    <w:pPr>
      <w:pStyle w:val="Header"/>
      <w:ind w:right="360" w:firstLine="360"/>
      <w:jc w:val="center"/>
      <w:rPr>
        <w:rStyle w:val="PageNumber"/>
        <w:sz w:val="18"/>
      </w:rPr>
    </w:pPr>
    <w:r w:rsidRPr="00503FDD">
      <w:rPr>
        <w:rStyle w:val="PageNumber"/>
        <w:sz w:val="18"/>
      </w:rPr>
      <w:t xml:space="preserve">Chapter One </w:t>
    </w:r>
  </w:p>
  <w:p w14:paraId="472B7011" w14:textId="77777777" w:rsidR="009F661C" w:rsidRPr="00503FDD" w:rsidRDefault="009F661C" w:rsidP="00503FDD">
    <w:pPr>
      <w:pStyle w:val="Header"/>
      <w:ind w:right="360" w:firstLine="360"/>
      <w:jc w:val="center"/>
      <w:rPr>
        <w:sz w:val="18"/>
      </w:rP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C57270"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9</w:t>
    </w:r>
    <w:r w:rsidRPr="00503FDD">
      <w:rPr>
        <w:rStyle w:val="PageNumber"/>
        <w:sz w:val="18"/>
      </w:rPr>
      <w:fldChar w:fldCharType="end"/>
    </w:r>
  </w:p>
  <w:p w14:paraId="43C401E3" w14:textId="77777777" w:rsidR="009F661C" w:rsidRPr="00503FDD" w:rsidRDefault="009F661C" w:rsidP="00503FDD">
    <w:pPr>
      <w:tabs>
        <w:tab w:val="right" w:leader="dot" w:pos="6056"/>
      </w:tabs>
      <w:jc w:val="center"/>
      <w:rPr>
        <w:bCs/>
        <w:sz w:val="18"/>
        <w:szCs w:val="18"/>
      </w:rPr>
    </w:pPr>
    <w:r w:rsidRPr="00503FDD">
      <w:rPr>
        <w:sz w:val="18"/>
        <w:szCs w:val="18"/>
      </w:rPr>
      <w:t>Melanesian Religion and Philosophy</w:t>
    </w:r>
  </w:p>
  <w:p w14:paraId="51893B14" w14:textId="77777777" w:rsidR="009F661C" w:rsidRPr="00503FDD" w:rsidRDefault="009F661C" w:rsidP="00503FDD">
    <w:pPr>
      <w:pStyle w:val="Header"/>
      <w:ind w:right="360" w:firstLine="360"/>
      <w:jc w:val="center"/>
      <w:rPr>
        <w:sz w:val="18"/>
        <w:szCs w:val="18"/>
      </w:rP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BB7572"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28</w:t>
    </w:r>
    <w:r w:rsidRPr="00503FDD">
      <w:rPr>
        <w:rStyle w:val="PageNumber"/>
        <w:sz w:val="18"/>
      </w:rPr>
      <w:fldChar w:fldCharType="end"/>
    </w:r>
  </w:p>
  <w:p w14:paraId="23956384" w14:textId="77777777" w:rsidR="009F661C" w:rsidRPr="00503FDD" w:rsidRDefault="009F661C" w:rsidP="00503FDD">
    <w:pPr>
      <w:pStyle w:val="Header"/>
      <w:ind w:right="360" w:firstLine="360"/>
      <w:jc w:val="center"/>
      <w:rPr>
        <w:rStyle w:val="PageNumber"/>
        <w:sz w:val="18"/>
      </w:rPr>
    </w:pPr>
    <w:r w:rsidRPr="00503FDD">
      <w:rPr>
        <w:rStyle w:val="PageNumber"/>
        <w:sz w:val="18"/>
      </w:rPr>
      <w:t>Chapter Two</w:t>
    </w:r>
  </w:p>
  <w:p w14:paraId="35179546" w14:textId="77777777" w:rsidR="009F661C" w:rsidRPr="00503FDD" w:rsidRDefault="009F661C" w:rsidP="00503FDD">
    <w:pPr>
      <w:pStyle w:val="Header"/>
      <w:ind w:right="360" w:firstLine="360"/>
      <w:jc w:val="center"/>
      <w:rPr>
        <w:sz w:val="18"/>
        <w:szCs w:val="18"/>
      </w:rP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B0F267"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29</w:t>
    </w:r>
    <w:r w:rsidRPr="00503FDD">
      <w:rPr>
        <w:rStyle w:val="PageNumber"/>
        <w:sz w:val="18"/>
      </w:rPr>
      <w:fldChar w:fldCharType="end"/>
    </w:r>
  </w:p>
  <w:p w14:paraId="27501609" w14:textId="77777777" w:rsidR="009F661C" w:rsidRPr="00EE562B" w:rsidRDefault="009F661C" w:rsidP="00EE562B">
    <w:pPr>
      <w:tabs>
        <w:tab w:val="right" w:leader="dot" w:pos="6056"/>
      </w:tabs>
      <w:jc w:val="center"/>
      <w:rPr>
        <w:sz w:val="18"/>
        <w:szCs w:val="18"/>
      </w:rPr>
    </w:pPr>
    <w:r w:rsidRPr="00EE562B">
      <w:rPr>
        <w:sz w:val="18"/>
        <w:szCs w:val="18"/>
      </w:rPr>
      <w:t>Historical Perspective on Papua New Guinea Land Tenure</w:t>
    </w:r>
  </w:p>
  <w:p w14:paraId="466A2F16" w14:textId="77777777" w:rsidR="009F661C" w:rsidRPr="00EE562B" w:rsidRDefault="009F661C" w:rsidP="00EE562B">
    <w:pPr>
      <w:pStyle w:val="Header"/>
      <w:ind w:right="360" w:firstLine="360"/>
      <w:jc w:val="center"/>
      <w:rPr>
        <w:sz w:val="18"/>
        <w:szCs w:val="18"/>
      </w:rP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57B355"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46</w:t>
    </w:r>
    <w:r w:rsidRPr="00503FDD">
      <w:rPr>
        <w:rStyle w:val="PageNumber"/>
        <w:sz w:val="18"/>
      </w:rPr>
      <w:fldChar w:fldCharType="end"/>
    </w:r>
  </w:p>
  <w:p w14:paraId="4087C13C" w14:textId="77777777" w:rsidR="009F661C" w:rsidRPr="00503FDD" w:rsidRDefault="009F661C" w:rsidP="00503FDD">
    <w:pPr>
      <w:pStyle w:val="Header"/>
      <w:ind w:right="360" w:firstLine="360"/>
      <w:jc w:val="center"/>
      <w:rPr>
        <w:rStyle w:val="PageNumber"/>
        <w:sz w:val="18"/>
      </w:rPr>
    </w:pPr>
    <w:r w:rsidRPr="00503FDD">
      <w:rPr>
        <w:rStyle w:val="PageNumber"/>
        <w:sz w:val="18"/>
      </w:rPr>
      <w:t>Chapter Three</w:t>
    </w:r>
  </w:p>
  <w:p w14:paraId="330CF04B" w14:textId="77777777" w:rsidR="009F661C" w:rsidRPr="00503FDD" w:rsidRDefault="009F661C" w:rsidP="00503FDD">
    <w:pPr>
      <w:pStyle w:val="Header"/>
      <w:ind w:right="360" w:firstLine="360"/>
      <w:jc w:val="center"/>
      <w:rPr>
        <w:sz w:val="18"/>
        <w:szCs w:val="18"/>
      </w:rP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45FA32"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45</w:t>
    </w:r>
    <w:r w:rsidRPr="00503FDD">
      <w:rPr>
        <w:rStyle w:val="PageNumber"/>
        <w:sz w:val="18"/>
      </w:rPr>
      <w:fldChar w:fldCharType="end"/>
    </w:r>
  </w:p>
  <w:p w14:paraId="7B9C2F05" w14:textId="77777777" w:rsidR="009F661C" w:rsidRPr="00F125E4" w:rsidRDefault="009F661C" w:rsidP="00F125E4">
    <w:pPr>
      <w:pStyle w:val="Title"/>
      <w:tabs>
        <w:tab w:val="right" w:leader="dot" w:pos="6056"/>
      </w:tabs>
      <w:rPr>
        <w:b w:val="0"/>
        <w:sz w:val="18"/>
        <w:szCs w:val="18"/>
      </w:rPr>
    </w:pPr>
    <w:r w:rsidRPr="00F125E4">
      <w:rPr>
        <w:b w:val="0"/>
        <w:bCs w:val="0"/>
        <w:sz w:val="18"/>
        <w:szCs w:val="18"/>
      </w:rPr>
      <w:t>Integration of Custom into Papua New Guinea Law</w:t>
    </w:r>
  </w:p>
  <w:p w14:paraId="31C4D15F" w14:textId="77777777" w:rsidR="009F661C" w:rsidRPr="00F125E4" w:rsidRDefault="009F661C" w:rsidP="00F125E4">
    <w:pPr>
      <w:pStyle w:val="Header"/>
      <w:ind w:right="360" w:firstLine="360"/>
      <w:jc w:val="center"/>
      <w:rPr>
        <w:sz w:val="18"/>
        <w:szCs w:val="18"/>
      </w:rP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9B313" w14:textId="77777777" w:rsidR="009F661C" w:rsidRPr="00503FDD" w:rsidRDefault="00EB27FF" w:rsidP="00503FDD">
    <w:pPr>
      <w:pStyle w:val="Header"/>
      <w:framePr w:wrap="around" w:vAnchor="text" w:hAnchor="margin" w:xAlign="outside" w:y="1"/>
      <w:jc w:val="center"/>
      <w:rPr>
        <w:rStyle w:val="PageNumber"/>
        <w:sz w:val="18"/>
      </w:rPr>
    </w:pPr>
    <w:r w:rsidRPr="00503FDD">
      <w:rPr>
        <w:rStyle w:val="PageNumber"/>
        <w:sz w:val="18"/>
      </w:rPr>
      <w:fldChar w:fldCharType="begin"/>
    </w:r>
    <w:r w:rsidR="009F661C" w:rsidRPr="00503FDD">
      <w:rPr>
        <w:rStyle w:val="PageNumber"/>
        <w:sz w:val="18"/>
      </w:rPr>
      <w:instrText xml:space="preserve">PAGE  </w:instrText>
    </w:r>
    <w:r w:rsidRPr="00503FDD">
      <w:rPr>
        <w:rStyle w:val="PageNumber"/>
        <w:sz w:val="18"/>
      </w:rPr>
      <w:fldChar w:fldCharType="separate"/>
    </w:r>
    <w:r w:rsidR="00A41F25">
      <w:rPr>
        <w:rStyle w:val="PageNumber"/>
        <w:noProof/>
        <w:sz w:val="18"/>
      </w:rPr>
      <w:t>56</w:t>
    </w:r>
    <w:r w:rsidRPr="00503FDD">
      <w:rPr>
        <w:rStyle w:val="PageNumber"/>
        <w:sz w:val="18"/>
      </w:rPr>
      <w:fldChar w:fldCharType="end"/>
    </w:r>
  </w:p>
  <w:p w14:paraId="62B7C820" w14:textId="77777777" w:rsidR="009F661C" w:rsidRPr="00503FDD" w:rsidRDefault="009F661C" w:rsidP="00503FDD">
    <w:pPr>
      <w:pStyle w:val="Header"/>
      <w:ind w:right="360" w:firstLine="360"/>
      <w:jc w:val="center"/>
      <w:rPr>
        <w:rStyle w:val="PageNumber"/>
        <w:sz w:val="18"/>
      </w:rPr>
    </w:pPr>
    <w:r w:rsidRPr="00503FDD">
      <w:rPr>
        <w:rStyle w:val="PageNumber"/>
        <w:sz w:val="18"/>
      </w:rPr>
      <w:t>Chapter Four</w:t>
    </w:r>
  </w:p>
  <w:p w14:paraId="3F8566DD" w14:textId="77777777" w:rsidR="009F661C" w:rsidRPr="00503FDD" w:rsidRDefault="009F661C" w:rsidP="00503FDD">
    <w:pPr>
      <w:pStyle w:val="Header"/>
      <w:ind w:right="360" w:firstLine="360"/>
      <w:jc w:val="center"/>
      <w:rPr>
        <w:sz w:val="18"/>
        <w:szCs w:val="18"/>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AADC37A0"/>
    <w:lvl w:ilvl="0">
      <w:start w:val="1"/>
      <w:numFmt w:val="bullet"/>
      <w:lvlText w:val=""/>
      <w:lvlJc w:val="left"/>
      <w:pPr>
        <w:tabs>
          <w:tab w:val="num" w:pos="360"/>
        </w:tabs>
        <w:ind w:left="360" w:hanging="360"/>
      </w:pPr>
      <w:rPr>
        <w:rFonts w:ascii="Symbol" w:hAnsi="Symbol" w:hint="default"/>
      </w:rPr>
    </w:lvl>
  </w:abstractNum>
  <w:abstractNum w:abstractNumId="1">
    <w:nsid w:val="0CBC4BAE"/>
    <w:multiLevelType w:val="multilevel"/>
    <w:tmpl w:val="D988B26A"/>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rPr>
    </w:lvl>
    <w:lvl w:ilvl="2">
      <w:start w:val="1"/>
      <w:numFmt w:val="lowerRoman"/>
      <w:lvlText w:val="%3."/>
      <w:lvlJc w:val="right"/>
      <w:pPr>
        <w:tabs>
          <w:tab w:val="num" w:pos="2160"/>
        </w:tabs>
        <w:ind w:left="2160" w:hanging="18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lowerLetter"/>
      <w:lvlText w:val="%5."/>
      <w:lvlJc w:val="left"/>
      <w:pPr>
        <w:tabs>
          <w:tab w:val="num" w:pos="3600"/>
        </w:tabs>
        <w:ind w:left="3600" w:hanging="360"/>
      </w:pPr>
      <w:rPr>
        <w:rFonts w:ascii="Times New Roman" w:hAnsi="Times New Roman" w:cs="Times New Roman"/>
      </w:rPr>
    </w:lvl>
    <w:lvl w:ilvl="5">
      <w:start w:val="1"/>
      <w:numFmt w:val="lowerRoman"/>
      <w:lvlText w:val="%6."/>
      <w:lvlJc w:val="right"/>
      <w:pPr>
        <w:tabs>
          <w:tab w:val="num" w:pos="4320"/>
        </w:tabs>
        <w:ind w:left="4320" w:hanging="18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lowerLetter"/>
      <w:lvlText w:val="%8."/>
      <w:lvlJc w:val="left"/>
      <w:pPr>
        <w:tabs>
          <w:tab w:val="num" w:pos="5760"/>
        </w:tabs>
        <w:ind w:left="5760" w:hanging="360"/>
      </w:pPr>
      <w:rPr>
        <w:rFonts w:ascii="Times New Roman" w:hAnsi="Times New Roman" w:cs="Times New Roman"/>
      </w:rPr>
    </w:lvl>
    <w:lvl w:ilvl="8">
      <w:start w:val="1"/>
      <w:numFmt w:val="lowerRoman"/>
      <w:lvlText w:val="%9."/>
      <w:lvlJc w:val="right"/>
      <w:pPr>
        <w:tabs>
          <w:tab w:val="num" w:pos="6480"/>
        </w:tabs>
        <w:ind w:left="6480" w:hanging="180"/>
      </w:pPr>
      <w:rPr>
        <w:rFonts w:ascii="Times New Roman" w:hAnsi="Times New Roman" w:cs="Times New Roman"/>
      </w:rPr>
    </w:lvl>
  </w:abstractNum>
  <w:abstractNum w:abstractNumId="2">
    <w:nsid w:val="18A765D9"/>
    <w:multiLevelType w:val="hybridMultilevel"/>
    <w:tmpl w:val="E8D849C4"/>
    <w:lvl w:ilvl="0" w:tplc="14090005">
      <w:start w:val="1"/>
      <w:numFmt w:val="bullet"/>
      <w:lvlText w:val=""/>
      <w:lvlJc w:val="left"/>
      <w:pPr>
        <w:tabs>
          <w:tab w:val="num" w:pos="720"/>
        </w:tabs>
        <w:ind w:left="720" w:hanging="360"/>
      </w:pPr>
      <w:rPr>
        <w:rFonts w:ascii="Wingdings" w:hAnsi="Wingdings" w:hint="default"/>
      </w:rPr>
    </w:lvl>
    <w:lvl w:ilvl="1" w:tplc="14090003">
      <w:start w:val="1"/>
      <w:numFmt w:val="bullet"/>
      <w:lvlText w:val="o"/>
      <w:lvlJc w:val="left"/>
      <w:pPr>
        <w:tabs>
          <w:tab w:val="num" w:pos="1440"/>
        </w:tabs>
        <w:ind w:left="1440" w:hanging="360"/>
      </w:pPr>
      <w:rPr>
        <w:rFonts w:ascii="Courier New" w:hAnsi="Courier New" w:hint="default"/>
      </w:rPr>
    </w:lvl>
    <w:lvl w:ilvl="2" w:tplc="14090005">
      <w:start w:val="1"/>
      <w:numFmt w:val="bullet"/>
      <w:lvlText w:val=""/>
      <w:lvlJc w:val="left"/>
      <w:pPr>
        <w:tabs>
          <w:tab w:val="num" w:pos="2160"/>
        </w:tabs>
        <w:ind w:left="2160" w:hanging="360"/>
      </w:pPr>
      <w:rPr>
        <w:rFonts w:ascii="Wingdings" w:hAnsi="Wingdings" w:hint="default"/>
      </w:rPr>
    </w:lvl>
    <w:lvl w:ilvl="3" w:tplc="14090001">
      <w:start w:val="1"/>
      <w:numFmt w:val="bullet"/>
      <w:lvlText w:val=""/>
      <w:lvlJc w:val="left"/>
      <w:pPr>
        <w:tabs>
          <w:tab w:val="num" w:pos="2880"/>
        </w:tabs>
        <w:ind w:left="2880" w:hanging="360"/>
      </w:pPr>
      <w:rPr>
        <w:rFonts w:ascii="Symbol" w:hAnsi="Symbol" w:hint="default"/>
      </w:rPr>
    </w:lvl>
    <w:lvl w:ilvl="4" w:tplc="14090003">
      <w:start w:val="1"/>
      <w:numFmt w:val="bullet"/>
      <w:lvlText w:val="o"/>
      <w:lvlJc w:val="left"/>
      <w:pPr>
        <w:tabs>
          <w:tab w:val="num" w:pos="3600"/>
        </w:tabs>
        <w:ind w:left="3600" w:hanging="360"/>
      </w:pPr>
      <w:rPr>
        <w:rFonts w:ascii="Courier New" w:hAnsi="Courier New" w:hint="default"/>
      </w:rPr>
    </w:lvl>
    <w:lvl w:ilvl="5" w:tplc="14090005">
      <w:start w:val="1"/>
      <w:numFmt w:val="bullet"/>
      <w:lvlText w:val=""/>
      <w:lvlJc w:val="left"/>
      <w:pPr>
        <w:tabs>
          <w:tab w:val="num" w:pos="4320"/>
        </w:tabs>
        <w:ind w:left="4320" w:hanging="360"/>
      </w:pPr>
      <w:rPr>
        <w:rFonts w:ascii="Wingdings" w:hAnsi="Wingdings" w:hint="default"/>
      </w:rPr>
    </w:lvl>
    <w:lvl w:ilvl="6" w:tplc="14090001">
      <w:start w:val="1"/>
      <w:numFmt w:val="bullet"/>
      <w:lvlText w:val=""/>
      <w:lvlJc w:val="left"/>
      <w:pPr>
        <w:tabs>
          <w:tab w:val="num" w:pos="5040"/>
        </w:tabs>
        <w:ind w:left="5040" w:hanging="360"/>
      </w:pPr>
      <w:rPr>
        <w:rFonts w:ascii="Symbol" w:hAnsi="Symbol" w:hint="default"/>
      </w:rPr>
    </w:lvl>
    <w:lvl w:ilvl="7" w:tplc="14090003">
      <w:start w:val="1"/>
      <w:numFmt w:val="bullet"/>
      <w:lvlText w:val="o"/>
      <w:lvlJc w:val="left"/>
      <w:pPr>
        <w:tabs>
          <w:tab w:val="num" w:pos="5760"/>
        </w:tabs>
        <w:ind w:left="5760" w:hanging="360"/>
      </w:pPr>
      <w:rPr>
        <w:rFonts w:ascii="Courier New" w:hAnsi="Courier New" w:hint="default"/>
      </w:rPr>
    </w:lvl>
    <w:lvl w:ilvl="8" w:tplc="14090005">
      <w:start w:val="1"/>
      <w:numFmt w:val="bullet"/>
      <w:lvlText w:val=""/>
      <w:lvlJc w:val="left"/>
      <w:pPr>
        <w:tabs>
          <w:tab w:val="num" w:pos="6480"/>
        </w:tabs>
        <w:ind w:left="6480" w:hanging="360"/>
      </w:pPr>
      <w:rPr>
        <w:rFonts w:ascii="Wingdings" w:hAnsi="Wingdings" w:hint="default"/>
      </w:rPr>
    </w:lvl>
  </w:abstractNum>
  <w:abstractNum w:abstractNumId="3">
    <w:nsid w:val="23360166"/>
    <w:multiLevelType w:val="hybridMultilevel"/>
    <w:tmpl w:val="2104E3B6"/>
    <w:lvl w:ilvl="0" w:tplc="5342A660">
      <w:start w:val="1"/>
      <w:numFmt w:val="lowerLetter"/>
      <w:lvlText w:val="%1.)"/>
      <w:lvlJc w:val="left"/>
      <w:pPr>
        <w:ind w:left="644" w:hanging="360"/>
      </w:pPr>
      <w:rPr>
        <w:rFonts w:cs="Times New Roman" w:hint="default"/>
      </w:rPr>
    </w:lvl>
    <w:lvl w:ilvl="1" w:tplc="04090019" w:tentative="1">
      <w:start w:val="1"/>
      <w:numFmt w:val="lowerLetter"/>
      <w:lvlText w:val="%2."/>
      <w:lvlJc w:val="left"/>
      <w:pPr>
        <w:ind w:left="1364" w:hanging="360"/>
      </w:pPr>
      <w:rPr>
        <w:rFonts w:cs="Times New Roman"/>
      </w:rPr>
    </w:lvl>
    <w:lvl w:ilvl="2" w:tplc="0409001B" w:tentative="1">
      <w:start w:val="1"/>
      <w:numFmt w:val="lowerRoman"/>
      <w:lvlText w:val="%3."/>
      <w:lvlJc w:val="right"/>
      <w:pPr>
        <w:ind w:left="2084" w:hanging="180"/>
      </w:pPr>
      <w:rPr>
        <w:rFonts w:cs="Times New Roman"/>
      </w:rPr>
    </w:lvl>
    <w:lvl w:ilvl="3" w:tplc="0409000F" w:tentative="1">
      <w:start w:val="1"/>
      <w:numFmt w:val="decimal"/>
      <w:lvlText w:val="%4."/>
      <w:lvlJc w:val="left"/>
      <w:pPr>
        <w:ind w:left="2804" w:hanging="360"/>
      </w:pPr>
      <w:rPr>
        <w:rFonts w:cs="Times New Roman"/>
      </w:rPr>
    </w:lvl>
    <w:lvl w:ilvl="4" w:tplc="04090019" w:tentative="1">
      <w:start w:val="1"/>
      <w:numFmt w:val="lowerLetter"/>
      <w:lvlText w:val="%5."/>
      <w:lvlJc w:val="left"/>
      <w:pPr>
        <w:ind w:left="3524" w:hanging="360"/>
      </w:pPr>
      <w:rPr>
        <w:rFonts w:cs="Times New Roman"/>
      </w:rPr>
    </w:lvl>
    <w:lvl w:ilvl="5" w:tplc="0409001B" w:tentative="1">
      <w:start w:val="1"/>
      <w:numFmt w:val="lowerRoman"/>
      <w:lvlText w:val="%6."/>
      <w:lvlJc w:val="right"/>
      <w:pPr>
        <w:ind w:left="4244" w:hanging="180"/>
      </w:pPr>
      <w:rPr>
        <w:rFonts w:cs="Times New Roman"/>
      </w:rPr>
    </w:lvl>
    <w:lvl w:ilvl="6" w:tplc="0409000F" w:tentative="1">
      <w:start w:val="1"/>
      <w:numFmt w:val="decimal"/>
      <w:lvlText w:val="%7."/>
      <w:lvlJc w:val="left"/>
      <w:pPr>
        <w:ind w:left="4964" w:hanging="360"/>
      </w:pPr>
      <w:rPr>
        <w:rFonts w:cs="Times New Roman"/>
      </w:rPr>
    </w:lvl>
    <w:lvl w:ilvl="7" w:tplc="04090019" w:tentative="1">
      <w:start w:val="1"/>
      <w:numFmt w:val="lowerLetter"/>
      <w:lvlText w:val="%8."/>
      <w:lvlJc w:val="left"/>
      <w:pPr>
        <w:ind w:left="5684" w:hanging="360"/>
      </w:pPr>
      <w:rPr>
        <w:rFonts w:cs="Times New Roman"/>
      </w:rPr>
    </w:lvl>
    <w:lvl w:ilvl="8" w:tplc="0409001B" w:tentative="1">
      <w:start w:val="1"/>
      <w:numFmt w:val="lowerRoman"/>
      <w:lvlText w:val="%9."/>
      <w:lvlJc w:val="right"/>
      <w:pPr>
        <w:ind w:left="6404" w:hanging="180"/>
      </w:pPr>
      <w:rPr>
        <w:rFonts w:cs="Times New Roman"/>
      </w:rPr>
    </w:lvl>
  </w:abstractNum>
  <w:abstractNum w:abstractNumId="4">
    <w:nsid w:val="23EE0E97"/>
    <w:multiLevelType w:val="hybridMultilevel"/>
    <w:tmpl w:val="D67E4474"/>
    <w:lvl w:ilvl="0" w:tplc="0409000F">
      <w:start w:val="1"/>
      <w:numFmt w:val="decimal"/>
      <w:lvlText w:val="%1."/>
      <w:lvlJc w:val="left"/>
      <w:pPr>
        <w:tabs>
          <w:tab w:val="num" w:pos="787"/>
        </w:tabs>
        <w:ind w:left="787" w:hanging="360"/>
      </w:pPr>
      <w:rPr>
        <w:rFonts w:ascii="Times New Roman" w:hAnsi="Times New Roman" w:cs="Times New Roman"/>
      </w:rPr>
    </w:lvl>
    <w:lvl w:ilvl="1" w:tplc="04090019">
      <w:start w:val="1"/>
      <w:numFmt w:val="lowerLetter"/>
      <w:lvlText w:val="%2."/>
      <w:lvlJc w:val="left"/>
      <w:pPr>
        <w:tabs>
          <w:tab w:val="num" w:pos="1507"/>
        </w:tabs>
        <w:ind w:left="1507" w:hanging="360"/>
      </w:pPr>
      <w:rPr>
        <w:rFonts w:ascii="Times New Roman" w:hAnsi="Times New Roman" w:cs="Times New Roman"/>
      </w:rPr>
    </w:lvl>
    <w:lvl w:ilvl="2" w:tplc="0409001B">
      <w:start w:val="1"/>
      <w:numFmt w:val="lowerRoman"/>
      <w:lvlText w:val="%3."/>
      <w:lvlJc w:val="right"/>
      <w:pPr>
        <w:tabs>
          <w:tab w:val="num" w:pos="2227"/>
        </w:tabs>
        <w:ind w:left="2227" w:hanging="180"/>
      </w:pPr>
      <w:rPr>
        <w:rFonts w:ascii="Times New Roman" w:hAnsi="Times New Roman" w:cs="Times New Roman"/>
      </w:rPr>
    </w:lvl>
    <w:lvl w:ilvl="3" w:tplc="0409000F">
      <w:start w:val="1"/>
      <w:numFmt w:val="decimal"/>
      <w:lvlText w:val="%4."/>
      <w:lvlJc w:val="left"/>
      <w:pPr>
        <w:tabs>
          <w:tab w:val="num" w:pos="2947"/>
        </w:tabs>
        <w:ind w:left="2947" w:hanging="360"/>
      </w:pPr>
      <w:rPr>
        <w:rFonts w:ascii="Times New Roman" w:hAnsi="Times New Roman" w:cs="Times New Roman"/>
      </w:rPr>
    </w:lvl>
    <w:lvl w:ilvl="4" w:tplc="04090019">
      <w:start w:val="1"/>
      <w:numFmt w:val="lowerLetter"/>
      <w:lvlText w:val="%5."/>
      <w:lvlJc w:val="left"/>
      <w:pPr>
        <w:tabs>
          <w:tab w:val="num" w:pos="3667"/>
        </w:tabs>
        <w:ind w:left="3667" w:hanging="360"/>
      </w:pPr>
      <w:rPr>
        <w:rFonts w:ascii="Times New Roman" w:hAnsi="Times New Roman" w:cs="Times New Roman"/>
      </w:rPr>
    </w:lvl>
    <w:lvl w:ilvl="5" w:tplc="0409001B">
      <w:start w:val="1"/>
      <w:numFmt w:val="lowerRoman"/>
      <w:lvlText w:val="%6."/>
      <w:lvlJc w:val="right"/>
      <w:pPr>
        <w:tabs>
          <w:tab w:val="num" w:pos="4387"/>
        </w:tabs>
        <w:ind w:left="4387" w:hanging="180"/>
      </w:pPr>
      <w:rPr>
        <w:rFonts w:ascii="Times New Roman" w:hAnsi="Times New Roman" w:cs="Times New Roman"/>
      </w:rPr>
    </w:lvl>
    <w:lvl w:ilvl="6" w:tplc="0409000F">
      <w:start w:val="1"/>
      <w:numFmt w:val="decimal"/>
      <w:lvlText w:val="%7."/>
      <w:lvlJc w:val="left"/>
      <w:pPr>
        <w:tabs>
          <w:tab w:val="num" w:pos="5107"/>
        </w:tabs>
        <w:ind w:left="5107" w:hanging="360"/>
      </w:pPr>
      <w:rPr>
        <w:rFonts w:ascii="Times New Roman" w:hAnsi="Times New Roman" w:cs="Times New Roman"/>
      </w:rPr>
    </w:lvl>
    <w:lvl w:ilvl="7" w:tplc="04090019">
      <w:start w:val="1"/>
      <w:numFmt w:val="lowerLetter"/>
      <w:lvlText w:val="%8."/>
      <w:lvlJc w:val="left"/>
      <w:pPr>
        <w:tabs>
          <w:tab w:val="num" w:pos="5827"/>
        </w:tabs>
        <w:ind w:left="5827" w:hanging="360"/>
      </w:pPr>
      <w:rPr>
        <w:rFonts w:ascii="Times New Roman" w:hAnsi="Times New Roman" w:cs="Times New Roman"/>
      </w:rPr>
    </w:lvl>
    <w:lvl w:ilvl="8" w:tplc="0409001B">
      <w:start w:val="1"/>
      <w:numFmt w:val="lowerRoman"/>
      <w:lvlText w:val="%9."/>
      <w:lvlJc w:val="right"/>
      <w:pPr>
        <w:tabs>
          <w:tab w:val="num" w:pos="6547"/>
        </w:tabs>
        <w:ind w:left="6547" w:hanging="180"/>
      </w:pPr>
      <w:rPr>
        <w:rFonts w:ascii="Times New Roman" w:hAnsi="Times New Roman" w:cs="Times New Roman"/>
      </w:rPr>
    </w:lvl>
  </w:abstractNum>
  <w:abstractNum w:abstractNumId="5">
    <w:nsid w:val="27DA227C"/>
    <w:multiLevelType w:val="hybridMultilevel"/>
    <w:tmpl w:val="30626D50"/>
    <w:lvl w:ilvl="0" w:tplc="3634DCC0">
      <w:start w:val="1"/>
      <w:numFmt w:val="decimal"/>
      <w:lvlText w:val="%1."/>
      <w:lvlJc w:val="left"/>
      <w:pPr>
        <w:tabs>
          <w:tab w:val="num" w:pos="890"/>
        </w:tabs>
        <w:ind w:left="890" w:hanging="360"/>
      </w:pPr>
      <w:rPr>
        <w:rFonts w:ascii="Times New Roman" w:hAnsi="Times New Roman" w:cs="Times New Roman" w:hint="default"/>
      </w:rPr>
    </w:lvl>
    <w:lvl w:ilvl="1" w:tplc="04090019">
      <w:start w:val="1"/>
      <w:numFmt w:val="lowerLetter"/>
      <w:lvlText w:val="%2."/>
      <w:lvlJc w:val="left"/>
      <w:pPr>
        <w:tabs>
          <w:tab w:val="num" w:pos="1610"/>
        </w:tabs>
        <w:ind w:left="1610" w:hanging="360"/>
      </w:pPr>
      <w:rPr>
        <w:rFonts w:ascii="Times New Roman" w:hAnsi="Times New Roman" w:cs="Times New Roman"/>
      </w:rPr>
    </w:lvl>
    <w:lvl w:ilvl="2" w:tplc="0409001B">
      <w:start w:val="1"/>
      <w:numFmt w:val="lowerRoman"/>
      <w:lvlText w:val="%3."/>
      <w:lvlJc w:val="right"/>
      <w:pPr>
        <w:tabs>
          <w:tab w:val="num" w:pos="2330"/>
        </w:tabs>
        <w:ind w:left="2330" w:hanging="180"/>
      </w:pPr>
      <w:rPr>
        <w:rFonts w:ascii="Times New Roman" w:hAnsi="Times New Roman" w:cs="Times New Roman"/>
      </w:rPr>
    </w:lvl>
    <w:lvl w:ilvl="3" w:tplc="0409000F">
      <w:start w:val="1"/>
      <w:numFmt w:val="decimal"/>
      <w:lvlText w:val="%4."/>
      <w:lvlJc w:val="left"/>
      <w:pPr>
        <w:tabs>
          <w:tab w:val="num" w:pos="3050"/>
        </w:tabs>
        <w:ind w:left="3050" w:hanging="360"/>
      </w:pPr>
      <w:rPr>
        <w:rFonts w:ascii="Times New Roman" w:hAnsi="Times New Roman" w:cs="Times New Roman"/>
      </w:rPr>
    </w:lvl>
    <w:lvl w:ilvl="4" w:tplc="04090019">
      <w:start w:val="1"/>
      <w:numFmt w:val="lowerLetter"/>
      <w:lvlText w:val="%5."/>
      <w:lvlJc w:val="left"/>
      <w:pPr>
        <w:tabs>
          <w:tab w:val="num" w:pos="3770"/>
        </w:tabs>
        <w:ind w:left="3770" w:hanging="360"/>
      </w:pPr>
      <w:rPr>
        <w:rFonts w:ascii="Times New Roman" w:hAnsi="Times New Roman" w:cs="Times New Roman"/>
      </w:rPr>
    </w:lvl>
    <w:lvl w:ilvl="5" w:tplc="0409001B">
      <w:start w:val="1"/>
      <w:numFmt w:val="lowerRoman"/>
      <w:lvlText w:val="%6."/>
      <w:lvlJc w:val="right"/>
      <w:pPr>
        <w:tabs>
          <w:tab w:val="num" w:pos="4490"/>
        </w:tabs>
        <w:ind w:left="4490" w:hanging="180"/>
      </w:pPr>
      <w:rPr>
        <w:rFonts w:ascii="Times New Roman" w:hAnsi="Times New Roman" w:cs="Times New Roman"/>
      </w:rPr>
    </w:lvl>
    <w:lvl w:ilvl="6" w:tplc="0409000F">
      <w:start w:val="1"/>
      <w:numFmt w:val="decimal"/>
      <w:lvlText w:val="%7."/>
      <w:lvlJc w:val="left"/>
      <w:pPr>
        <w:tabs>
          <w:tab w:val="num" w:pos="5210"/>
        </w:tabs>
        <w:ind w:left="5210" w:hanging="360"/>
      </w:pPr>
      <w:rPr>
        <w:rFonts w:ascii="Times New Roman" w:hAnsi="Times New Roman" w:cs="Times New Roman"/>
      </w:rPr>
    </w:lvl>
    <w:lvl w:ilvl="7" w:tplc="04090019">
      <w:start w:val="1"/>
      <w:numFmt w:val="lowerLetter"/>
      <w:lvlText w:val="%8."/>
      <w:lvlJc w:val="left"/>
      <w:pPr>
        <w:tabs>
          <w:tab w:val="num" w:pos="5930"/>
        </w:tabs>
        <w:ind w:left="5930" w:hanging="360"/>
      </w:pPr>
      <w:rPr>
        <w:rFonts w:ascii="Times New Roman" w:hAnsi="Times New Roman" w:cs="Times New Roman"/>
      </w:rPr>
    </w:lvl>
    <w:lvl w:ilvl="8" w:tplc="0409001B">
      <w:start w:val="1"/>
      <w:numFmt w:val="lowerRoman"/>
      <w:lvlText w:val="%9."/>
      <w:lvlJc w:val="right"/>
      <w:pPr>
        <w:tabs>
          <w:tab w:val="num" w:pos="6650"/>
        </w:tabs>
        <w:ind w:left="6650" w:hanging="180"/>
      </w:pPr>
      <w:rPr>
        <w:rFonts w:ascii="Times New Roman" w:hAnsi="Times New Roman" w:cs="Times New Roman"/>
      </w:rPr>
    </w:lvl>
  </w:abstractNum>
  <w:abstractNum w:abstractNumId="6">
    <w:nsid w:val="38281F19"/>
    <w:multiLevelType w:val="hybridMultilevel"/>
    <w:tmpl w:val="CADE34B4"/>
    <w:lvl w:ilvl="0" w:tplc="1DA0DCCA">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rPr>
        <w:rFonts w:cs="Times New Roman"/>
      </w:rPr>
    </w:lvl>
    <w:lvl w:ilvl="2" w:tplc="0409001B" w:tentative="1">
      <w:start w:val="1"/>
      <w:numFmt w:val="lowerRoman"/>
      <w:lvlText w:val="%3."/>
      <w:lvlJc w:val="right"/>
      <w:pPr>
        <w:ind w:left="2084" w:hanging="180"/>
      </w:pPr>
      <w:rPr>
        <w:rFonts w:cs="Times New Roman"/>
      </w:rPr>
    </w:lvl>
    <w:lvl w:ilvl="3" w:tplc="0409000F" w:tentative="1">
      <w:start w:val="1"/>
      <w:numFmt w:val="decimal"/>
      <w:lvlText w:val="%4."/>
      <w:lvlJc w:val="left"/>
      <w:pPr>
        <w:ind w:left="2804" w:hanging="360"/>
      </w:pPr>
      <w:rPr>
        <w:rFonts w:cs="Times New Roman"/>
      </w:rPr>
    </w:lvl>
    <w:lvl w:ilvl="4" w:tplc="04090019" w:tentative="1">
      <w:start w:val="1"/>
      <w:numFmt w:val="lowerLetter"/>
      <w:lvlText w:val="%5."/>
      <w:lvlJc w:val="left"/>
      <w:pPr>
        <w:ind w:left="3524" w:hanging="360"/>
      </w:pPr>
      <w:rPr>
        <w:rFonts w:cs="Times New Roman"/>
      </w:rPr>
    </w:lvl>
    <w:lvl w:ilvl="5" w:tplc="0409001B" w:tentative="1">
      <w:start w:val="1"/>
      <w:numFmt w:val="lowerRoman"/>
      <w:lvlText w:val="%6."/>
      <w:lvlJc w:val="right"/>
      <w:pPr>
        <w:ind w:left="4244" w:hanging="180"/>
      </w:pPr>
      <w:rPr>
        <w:rFonts w:cs="Times New Roman"/>
      </w:rPr>
    </w:lvl>
    <w:lvl w:ilvl="6" w:tplc="0409000F" w:tentative="1">
      <w:start w:val="1"/>
      <w:numFmt w:val="decimal"/>
      <w:lvlText w:val="%7."/>
      <w:lvlJc w:val="left"/>
      <w:pPr>
        <w:ind w:left="4964" w:hanging="360"/>
      </w:pPr>
      <w:rPr>
        <w:rFonts w:cs="Times New Roman"/>
      </w:rPr>
    </w:lvl>
    <w:lvl w:ilvl="7" w:tplc="04090019" w:tentative="1">
      <w:start w:val="1"/>
      <w:numFmt w:val="lowerLetter"/>
      <w:lvlText w:val="%8."/>
      <w:lvlJc w:val="left"/>
      <w:pPr>
        <w:ind w:left="5684" w:hanging="360"/>
      </w:pPr>
      <w:rPr>
        <w:rFonts w:cs="Times New Roman"/>
      </w:rPr>
    </w:lvl>
    <w:lvl w:ilvl="8" w:tplc="0409001B" w:tentative="1">
      <w:start w:val="1"/>
      <w:numFmt w:val="lowerRoman"/>
      <w:lvlText w:val="%9."/>
      <w:lvlJc w:val="right"/>
      <w:pPr>
        <w:ind w:left="6404" w:hanging="180"/>
      </w:pPr>
      <w:rPr>
        <w:rFonts w:cs="Times New Roman"/>
      </w:rPr>
    </w:lvl>
  </w:abstractNum>
  <w:abstractNum w:abstractNumId="7">
    <w:nsid w:val="45406E91"/>
    <w:multiLevelType w:val="hybridMultilevel"/>
    <w:tmpl w:val="51C443AE"/>
    <w:lvl w:ilvl="0" w:tplc="C5FCEB6C">
      <w:start w:val="1"/>
      <w:numFmt w:val="decimal"/>
      <w:lvlText w:val="%1."/>
      <w:lvlJc w:val="left"/>
      <w:pPr>
        <w:tabs>
          <w:tab w:val="num" w:pos="720"/>
        </w:tabs>
        <w:ind w:left="720" w:hanging="360"/>
      </w:pPr>
      <w:rPr>
        <w:rFonts w:ascii="Times New Roman" w:eastAsia="Times New Roman" w:hAnsi="Times New Roman" w:cs="Times New Roman"/>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8">
    <w:nsid w:val="52705AE2"/>
    <w:multiLevelType w:val="hybridMultilevel"/>
    <w:tmpl w:val="CA76CEA2"/>
    <w:lvl w:ilvl="0" w:tplc="7F24168C">
      <w:numFmt w:val="bullet"/>
      <w:lvlText w:val=""/>
      <w:lvlJc w:val="left"/>
      <w:pPr>
        <w:tabs>
          <w:tab w:val="num" w:pos="720"/>
        </w:tabs>
        <w:ind w:left="720" w:hanging="360"/>
      </w:pPr>
      <w:rPr>
        <w:rFonts w:ascii="Symbol" w:eastAsia="Times New Roman" w:hAnsi="Symbol" w:hint="default"/>
      </w:rPr>
    </w:lvl>
    <w:lvl w:ilvl="1" w:tplc="805CECBC">
      <w:start w:val="1"/>
      <w:numFmt w:val="decimal"/>
      <w:lvlText w:val="%2."/>
      <w:lvlJc w:val="left"/>
      <w:pPr>
        <w:tabs>
          <w:tab w:val="num" w:pos="1440"/>
        </w:tabs>
        <w:ind w:left="1440" w:hanging="360"/>
      </w:pPr>
      <w:rPr>
        <w:rFonts w:ascii="Times New Roman" w:hAnsi="Times New Roman" w:cs="Times New Roman"/>
      </w:rPr>
    </w:lvl>
    <w:lvl w:ilvl="2" w:tplc="924C1258">
      <w:start w:val="1"/>
      <w:numFmt w:val="decimal"/>
      <w:lvlText w:val="%3."/>
      <w:lvlJc w:val="left"/>
      <w:pPr>
        <w:tabs>
          <w:tab w:val="num" w:pos="2160"/>
        </w:tabs>
        <w:ind w:left="2160" w:hanging="360"/>
      </w:pPr>
      <w:rPr>
        <w:rFonts w:ascii="Times New Roman" w:hAnsi="Times New Roman" w:cs="Times New Roman"/>
      </w:rPr>
    </w:lvl>
    <w:lvl w:ilvl="3" w:tplc="02049440">
      <w:start w:val="1"/>
      <w:numFmt w:val="decimal"/>
      <w:lvlText w:val="%4."/>
      <w:lvlJc w:val="left"/>
      <w:pPr>
        <w:tabs>
          <w:tab w:val="num" w:pos="2880"/>
        </w:tabs>
        <w:ind w:left="2880" w:hanging="360"/>
      </w:pPr>
      <w:rPr>
        <w:rFonts w:ascii="Times New Roman" w:hAnsi="Times New Roman" w:cs="Times New Roman"/>
      </w:rPr>
    </w:lvl>
    <w:lvl w:ilvl="4" w:tplc="E87EC0EA">
      <w:start w:val="1"/>
      <w:numFmt w:val="decimal"/>
      <w:lvlText w:val="%5."/>
      <w:lvlJc w:val="left"/>
      <w:pPr>
        <w:tabs>
          <w:tab w:val="num" w:pos="3600"/>
        </w:tabs>
        <w:ind w:left="3600" w:hanging="360"/>
      </w:pPr>
      <w:rPr>
        <w:rFonts w:ascii="Times New Roman" w:hAnsi="Times New Roman" w:cs="Times New Roman"/>
      </w:rPr>
    </w:lvl>
    <w:lvl w:ilvl="5" w:tplc="4828915C">
      <w:start w:val="1"/>
      <w:numFmt w:val="decimal"/>
      <w:lvlText w:val="%6."/>
      <w:lvlJc w:val="left"/>
      <w:pPr>
        <w:tabs>
          <w:tab w:val="num" w:pos="4320"/>
        </w:tabs>
        <w:ind w:left="4320" w:hanging="360"/>
      </w:pPr>
      <w:rPr>
        <w:rFonts w:ascii="Times New Roman" w:hAnsi="Times New Roman" w:cs="Times New Roman"/>
      </w:rPr>
    </w:lvl>
    <w:lvl w:ilvl="6" w:tplc="E91A1770">
      <w:start w:val="1"/>
      <w:numFmt w:val="decimal"/>
      <w:lvlText w:val="%7."/>
      <w:lvlJc w:val="left"/>
      <w:pPr>
        <w:tabs>
          <w:tab w:val="num" w:pos="5040"/>
        </w:tabs>
        <w:ind w:left="5040" w:hanging="360"/>
      </w:pPr>
      <w:rPr>
        <w:rFonts w:ascii="Times New Roman" w:hAnsi="Times New Roman" w:cs="Times New Roman"/>
      </w:rPr>
    </w:lvl>
    <w:lvl w:ilvl="7" w:tplc="A99C2F5A">
      <w:start w:val="1"/>
      <w:numFmt w:val="decimal"/>
      <w:lvlText w:val="%8."/>
      <w:lvlJc w:val="left"/>
      <w:pPr>
        <w:tabs>
          <w:tab w:val="num" w:pos="5760"/>
        </w:tabs>
        <w:ind w:left="5760" w:hanging="360"/>
      </w:pPr>
      <w:rPr>
        <w:rFonts w:ascii="Times New Roman" w:hAnsi="Times New Roman" w:cs="Times New Roman"/>
      </w:rPr>
    </w:lvl>
    <w:lvl w:ilvl="8" w:tplc="E8F6A27A">
      <w:start w:val="1"/>
      <w:numFmt w:val="decimal"/>
      <w:lvlText w:val="%9."/>
      <w:lvlJc w:val="left"/>
      <w:pPr>
        <w:tabs>
          <w:tab w:val="num" w:pos="6480"/>
        </w:tabs>
        <w:ind w:left="6480" w:hanging="360"/>
      </w:pPr>
      <w:rPr>
        <w:rFonts w:ascii="Times New Roman" w:hAnsi="Times New Roman" w:cs="Times New Roman"/>
      </w:rPr>
    </w:lvl>
  </w:abstractNum>
  <w:abstractNum w:abstractNumId="9">
    <w:nsid w:val="52D21A83"/>
    <w:multiLevelType w:val="hybridMultilevel"/>
    <w:tmpl w:val="973E9308"/>
    <w:lvl w:ilvl="0" w:tplc="3634DCC0">
      <w:start w:val="1"/>
      <w:numFmt w:val="decimal"/>
      <w:lvlText w:val="%1."/>
      <w:lvlJc w:val="left"/>
      <w:pPr>
        <w:tabs>
          <w:tab w:val="num" w:pos="720"/>
        </w:tabs>
        <w:ind w:left="720" w:hanging="360"/>
      </w:pPr>
      <w:rPr>
        <w:rFonts w:ascii="Times New Roman" w:hAnsi="Times New Roman" w:cs="Times New Roman" w:hint="default"/>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10">
    <w:nsid w:val="58AE5AC0"/>
    <w:multiLevelType w:val="hybridMultilevel"/>
    <w:tmpl w:val="FF201178"/>
    <w:lvl w:ilvl="0" w:tplc="BF165128">
      <w:start w:val="1"/>
      <w:numFmt w:val="lowerLetter"/>
      <w:lvlText w:val="%1.)"/>
      <w:lvlJc w:val="left"/>
      <w:pPr>
        <w:ind w:left="644" w:hanging="360"/>
      </w:pPr>
      <w:rPr>
        <w:rFonts w:cs="Times New Roman" w:hint="default"/>
      </w:rPr>
    </w:lvl>
    <w:lvl w:ilvl="1" w:tplc="04090019" w:tentative="1">
      <w:start w:val="1"/>
      <w:numFmt w:val="lowerLetter"/>
      <w:lvlText w:val="%2."/>
      <w:lvlJc w:val="left"/>
      <w:pPr>
        <w:ind w:left="1364" w:hanging="360"/>
      </w:pPr>
      <w:rPr>
        <w:rFonts w:cs="Times New Roman"/>
      </w:rPr>
    </w:lvl>
    <w:lvl w:ilvl="2" w:tplc="0409001B" w:tentative="1">
      <w:start w:val="1"/>
      <w:numFmt w:val="lowerRoman"/>
      <w:lvlText w:val="%3."/>
      <w:lvlJc w:val="right"/>
      <w:pPr>
        <w:ind w:left="2084" w:hanging="180"/>
      </w:pPr>
      <w:rPr>
        <w:rFonts w:cs="Times New Roman"/>
      </w:rPr>
    </w:lvl>
    <w:lvl w:ilvl="3" w:tplc="0409000F" w:tentative="1">
      <w:start w:val="1"/>
      <w:numFmt w:val="decimal"/>
      <w:lvlText w:val="%4."/>
      <w:lvlJc w:val="left"/>
      <w:pPr>
        <w:ind w:left="2804" w:hanging="360"/>
      </w:pPr>
      <w:rPr>
        <w:rFonts w:cs="Times New Roman"/>
      </w:rPr>
    </w:lvl>
    <w:lvl w:ilvl="4" w:tplc="04090019" w:tentative="1">
      <w:start w:val="1"/>
      <w:numFmt w:val="lowerLetter"/>
      <w:lvlText w:val="%5."/>
      <w:lvlJc w:val="left"/>
      <w:pPr>
        <w:ind w:left="3524" w:hanging="360"/>
      </w:pPr>
      <w:rPr>
        <w:rFonts w:cs="Times New Roman"/>
      </w:rPr>
    </w:lvl>
    <w:lvl w:ilvl="5" w:tplc="0409001B" w:tentative="1">
      <w:start w:val="1"/>
      <w:numFmt w:val="lowerRoman"/>
      <w:lvlText w:val="%6."/>
      <w:lvlJc w:val="right"/>
      <w:pPr>
        <w:ind w:left="4244" w:hanging="180"/>
      </w:pPr>
      <w:rPr>
        <w:rFonts w:cs="Times New Roman"/>
      </w:rPr>
    </w:lvl>
    <w:lvl w:ilvl="6" w:tplc="0409000F" w:tentative="1">
      <w:start w:val="1"/>
      <w:numFmt w:val="decimal"/>
      <w:lvlText w:val="%7."/>
      <w:lvlJc w:val="left"/>
      <w:pPr>
        <w:ind w:left="4964" w:hanging="360"/>
      </w:pPr>
      <w:rPr>
        <w:rFonts w:cs="Times New Roman"/>
      </w:rPr>
    </w:lvl>
    <w:lvl w:ilvl="7" w:tplc="04090019" w:tentative="1">
      <w:start w:val="1"/>
      <w:numFmt w:val="lowerLetter"/>
      <w:lvlText w:val="%8."/>
      <w:lvlJc w:val="left"/>
      <w:pPr>
        <w:ind w:left="5684" w:hanging="360"/>
      </w:pPr>
      <w:rPr>
        <w:rFonts w:cs="Times New Roman"/>
      </w:rPr>
    </w:lvl>
    <w:lvl w:ilvl="8" w:tplc="0409001B" w:tentative="1">
      <w:start w:val="1"/>
      <w:numFmt w:val="lowerRoman"/>
      <w:lvlText w:val="%9."/>
      <w:lvlJc w:val="right"/>
      <w:pPr>
        <w:ind w:left="6404" w:hanging="180"/>
      </w:pPr>
      <w:rPr>
        <w:rFonts w:cs="Times New Roman"/>
      </w:rPr>
    </w:lvl>
  </w:abstractNum>
  <w:abstractNum w:abstractNumId="11">
    <w:nsid w:val="58E16D93"/>
    <w:multiLevelType w:val="hybridMultilevel"/>
    <w:tmpl w:val="FCD875D6"/>
    <w:lvl w:ilvl="0" w:tplc="0409000F">
      <w:start w:val="1"/>
      <w:numFmt w:val="decimal"/>
      <w:lvlText w:val="%1."/>
      <w:lvlJc w:val="left"/>
      <w:pPr>
        <w:tabs>
          <w:tab w:val="num" w:pos="720"/>
        </w:tabs>
        <w:ind w:left="720" w:hanging="360"/>
      </w:pPr>
      <w:rPr>
        <w:rFonts w:ascii="Times New Roman" w:hAnsi="Times New Roman" w:cs="Times New Roman"/>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12">
    <w:nsid w:val="5DC51B89"/>
    <w:multiLevelType w:val="hybridMultilevel"/>
    <w:tmpl w:val="FE9EA5C0"/>
    <w:lvl w:ilvl="0" w:tplc="3DA42F04">
      <w:start w:val="1"/>
      <w:numFmt w:val="lowerLetter"/>
      <w:lvlText w:val="%1.)"/>
      <w:lvlJc w:val="left"/>
      <w:pPr>
        <w:ind w:left="644" w:hanging="360"/>
      </w:pPr>
      <w:rPr>
        <w:rFonts w:cs="Times New Roman" w:hint="default"/>
      </w:rPr>
    </w:lvl>
    <w:lvl w:ilvl="1" w:tplc="04090019" w:tentative="1">
      <w:start w:val="1"/>
      <w:numFmt w:val="lowerLetter"/>
      <w:lvlText w:val="%2."/>
      <w:lvlJc w:val="left"/>
      <w:pPr>
        <w:ind w:left="1364" w:hanging="360"/>
      </w:pPr>
      <w:rPr>
        <w:rFonts w:cs="Times New Roman"/>
      </w:rPr>
    </w:lvl>
    <w:lvl w:ilvl="2" w:tplc="0409001B" w:tentative="1">
      <w:start w:val="1"/>
      <w:numFmt w:val="lowerRoman"/>
      <w:lvlText w:val="%3."/>
      <w:lvlJc w:val="right"/>
      <w:pPr>
        <w:ind w:left="2084" w:hanging="180"/>
      </w:pPr>
      <w:rPr>
        <w:rFonts w:cs="Times New Roman"/>
      </w:rPr>
    </w:lvl>
    <w:lvl w:ilvl="3" w:tplc="0409000F" w:tentative="1">
      <w:start w:val="1"/>
      <w:numFmt w:val="decimal"/>
      <w:lvlText w:val="%4."/>
      <w:lvlJc w:val="left"/>
      <w:pPr>
        <w:ind w:left="2804" w:hanging="360"/>
      </w:pPr>
      <w:rPr>
        <w:rFonts w:cs="Times New Roman"/>
      </w:rPr>
    </w:lvl>
    <w:lvl w:ilvl="4" w:tplc="04090019" w:tentative="1">
      <w:start w:val="1"/>
      <w:numFmt w:val="lowerLetter"/>
      <w:lvlText w:val="%5."/>
      <w:lvlJc w:val="left"/>
      <w:pPr>
        <w:ind w:left="3524" w:hanging="360"/>
      </w:pPr>
      <w:rPr>
        <w:rFonts w:cs="Times New Roman"/>
      </w:rPr>
    </w:lvl>
    <w:lvl w:ilvl="5" w:tplc="0409001B" w:tentative="1">
      <w:start w:val="1"/>
      <w:numFmt w:val="lowerRoman"/>
      <w:lvlText w:val="%6."/>
      <w:lvlJc w:val="right"/>
      <w:pPr>
        <w:ind w:left="4244" w:hanging="180"/>
      </w:pPr>
      <w:rPr>
        <w:rFonts w:cs="Times New Roman"/>
      </w:rPr>
    </w:lvl>
    <w:lvl w:ilvl="6" w:tplc="0409000F" w:tentative="1">
      <w:start w:val="1"/>
      <w:numFmt w:val="decimal"/>
      <w:lvlText w:val="%7."/>
      <w:lvlJc w:val="left"/>
      <w:pPr>
        <w:ind w:left="4964" w:hanging="360"/>
      </w:pPr>
      <w:rPr>
        <w:rFonts w:cs="Times New Roman"/>
      </w:rPr>
    </w:lvl>
    <w:lvl w:ilvl="7" w:tplc="04090019" w:tentative="1">
      <w:start w:val="1"/>
      <w:numFmt w:val="lowerLetter"/>
      <w:lvlText w:val="%8."/>
      <w:lvlJc w:val="left"/>
      <w:pPr>
        <w:ind w:left="5684" w:hanging="360"/>
      </w:pPr>
      <w:rPr>
        <w:rFonts w:cs="Times New Roman"/>
      </w:rPr>
    </w:lvl>
    <w:lvl w:ilvl="8" w:tplc="0409001B" w:tentative="1">
      <w:start w:val="1"/>
      <w:numFmt w:val="lowerRoman"/>
      <w:lvlText w:val="%9."/>
      <w:lvlJc w:val="right"/>
      <w:pPr>
        <w:ind w:left="6404" w:hanging="180"/>
      </w:pPr>
      <w:rPr>
        <w:rFonts w:cs="Times New Roman"/>
      </w:rPr>
    </w:lvl>
  </w:abstractNum>
  <w:abstractNum w:abstractNumId="13">
    <w:nsid w:val="627727CF"/>
    <w:multiLevelType w:val="hybridMultilevel"/>
    <w:tmpl w:val="3D72AF7C"/>
    <w:lvl w:ilvl="0" w:tplc="3572D3BA">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rPr>
        <w:rFonts w:cs="Times New Roman"/>
      </w:rPr>
    </w:lvl>
    <w:lvl w:ilvl="2" w:tplc="0409001B" w:tentative="1">
      <w:start w:val="1"/>
      <w:numFmt w:val="lowerRoman"/>
      <w:lvlText w:val="%3."/>
      <w:lvlJc w:val="right"/>
      <w:pPr>
        <w:ind w:left="2084" w:hanging="180"/>
      </w:pPr>
      <w:rPr>
        <w:rFonts w:cs="Times New Roman"/>
      </w:rPr>
    </w:lvl>
    <w:lvl w:ilvl="3" w:tplc="0409000F" w:tentative="1">
      <w:start w:val="1"/>
      <w:numFmt w:val="decimal"/>
      <w:lvlText w:val="%4."/>
      <w:lvlJc w:val="left"/>
      <w:pPr>
        <w:ind w:left="2804" w:hanging="360"/>
      </w:pPr>
      <w:rPr>
        <w:rFonts w:cs="Times New Roman"/>
      </w:rPr>
    </w:lvl>
    <w:lvl w:ilvl="4" w:tplc="04090019" w:tentative="1">
      <w:start w:val="1"/>
      <w:numFmt w:val="lowerLetter"/>
      <w:lvlText w:val="%5."/>
      <w:lvlJc w:val="left"/>
      <w:pPr>
        <w:ind w:left="3524" w:hanging="360"/>
      </w:pPr>
      <w:rPr>
        <w:rFonts w:cs="Times New Roman"/>
      </w:rPr>
    </w:lvl>
    <w:lvl w:ilvl="5" w:tplc="0409001B" w:tentative="1">
      <w:start w:val="1"/>
      <w:numFmt w:val="lowerRoman"/>
      <w:lvlText w:val="%6."/>
      <w:lvlJc w:val="right"/>
      <w:pPr>
        <w:ind w:left="4244" w:hanging="180"/>
      </w:pPr>
      <w:rPr>
        <w:rFonts w:cs="Times New Roman"/>
      </w:rPr>
    </w:lvl>
    <w:lvl w:ilvl="6" w:tplc="0409000F" w:tentative="1">
      <w:start w:val="1"/>
      <w:numFmt w:val="decimal"/>
      <w:lvlText w:val="%7."/>
      <w:lvlJc w:val="left"/>
      <w:pPr>
        <w:ind w:left="4964" w:hanging="360"/>
      </w:pPr>
      <w:rPr>
        <w:rFonts w:cs="Times New Roman"/>
      </w:rPr>
    </w:lvl>
    <w:lvl w:ilvl="7" w:tplc="04090019" w:tentative="1">
      <w:start w:val="1"/>
      <w:numFmt w:val="lowerLetter"/>
      <w:lvlText w:val="%8."/>
      <w:lvlJc w:val="left"/>
      <w:pPr>
        <w:ind w:left="5684" w:hanging="360"/>
      </w:pPr>
      <w:rPr>
        <w:rFonts w:cs="Times New Roman"/>
      </w:rPr>
    </w:lvl>
    <w:lvl w:ilvl="8" w:tplc="0409001B" w:tentative="1">
      <w:start w:val="1"/>
      <w:numFmt w:val="lowerRoman"/>
      <w:lvlText w:val="%9."/>
      <w:lvlJc w:val="right"/>
      <w:pPr>
        <w:ind w:left="6404" w:hanging="180"/>
      </w:pPr>
      <w:rPr>
        <w:rFonts w:cs="Times New Roman"/>
      </w:rPr>
    </w:lvl>
  </w:abstractNum>
  <w:abstractNum w:abstractNumId="14">
    <w:nsid w:val="69855BA5"/>
    <w:multiLevelType w:val="hybridMultilevel"/>
    <w:tmpl w:val="225A3F4A"/>
    <w:lvl w:ilvl="0" w:tplc="0409000F">
      <w:start w:val="1"/>
      <w:numFmt w:val="decimal"/>
      <w:lvlText w:val="%1."/>
      <w:lvlJc w:val="left"/>
      <w:pPr>
        <w:tabs>
          <w:tab w:val="num" w:pos="1637"/>
        </w:tabs>
        <w:ind w:left="1637" w:hanging="360"/>
      </w:pPr>
      <w:rPr>
        <w:rFonts w:cs="Times New Roman" w:hint="default"/>
      </w:rPr>
    </w:lvl>
    <w:lvl w:ilvl="1" w:tplc="58A4EEFA">
      <w:start w:val="1"/>
      <w:numFmt w:val="lowerLetter"/>
      <w:lvlText w:val="%2)"/>
      <w:lvlJc w:val="left"/>
      <w:pPr>
        <w:tabs>
          <w:tab w:val="num" w:pos="2372"/>
        </w:tabs>
        <w:ind w:left="2372" w:hanging="375"/>
      </w:pPr>
      <w:rPr>
        <w:rFonts w:cs="Times New Roman" w:hint="default"/>
      </w:rPr>
    </w:lvl>
    <w:lvl w:ilvl="2" w:tplc="0409001B" w:tentative="1">
      <w:start w:val="1"/>
      <w:numFmt w:val="lowerRoman"/>
      <w:lvlText w:val="%3."/>
      <w:lvlJc w:val="right"/>
      <w:pPr>
        <w:tabs>
          <w:tab w:val="num" w:pos="3077"/>
        </w:tabs>
        <w:ind w:left="3077" w:hanging="180"/>
      </w:pPr>
      <w:rPr>
        <w:rFonts w:cs="Times New Roman"/>
      </w:rPr>
    </w:lvl>
    <w:lvl w:ilvl="3" w:tplc="0409000F" w:tentative="1">
      <w:start w:val="1"/>
      <w:numFmt w:val="decimal"/>
      <w:lvlText w:val="%4."/>
      <w:lvlJc w:val="left"/>
      <w:pPr>
        <w:tabs>
          <w:tab w:val="num" w:pos="3797"/>
        </w:tabs>
        <w:ind w:left="3797" w:hanging="360"/>
      </w:pPr>
      <w:rPr>
        <w:rFonts w:cs="Times New Roman"/>
      </w:rPr>
    </w:lvl>
    <w:lvl w:ilvl="4" w:tplc="04090019" w:tentative="1">
      <w:start w:val="1"/>
      <w:numFmt w:val="lowerLetter"/>
      <w:lvlText w:val="%5."/>
      <w:lvlJc w:val="left"/>
      <w:pPr>
        <w:tabs>
          <w:tab w:val="num" w:pos="4517"/>
        </w:tabs>
        <w:ind w:left="4517" w:hanging="360"/>
      </w:pPr>
      <w:rPr>
        <w:rFonts w:cs="Times New Roman"/>
      </w:rPr>
    </w:lvl>
    <w:lvl w:ilvl="5" w:tplc="0409001B" w:tentative="1">
      <w:start w:val="1"/>
      <w:numFmt w:val="lowerRoman"/>
      <w:lvlText w:val="%6."/>
      <w:lvlJc w:val="right"/>
      <w:pPr>
        <w:tabs>
          <w:tab w:val="num" w:pos="5237"/>
        </w:tabs>
        <w:ind w:left="5237" w:hanging="180"/>
      </w:pPr>
      <w:rPr>
        <w:rFonts w:cs="Times New Roman"/>
      </w:rPr>
    </w:lvl>
    <w:lvl w:ilvl="6" w:tplc="0409000F" w:tentative="1">
      <w:start w:val="1"/>
      <w:numFmt w:val="decimal"/>
      <w:lvlText w:val="%7."/>
      <w:lvlJc w:val="left"/>
      <w:pPr>
        <w:tabs>
          <w:tab w:val="num" w:pos="5957"/>
        </w:tabs>
        <w:ind w:left="5957" w:hanging="360"/>
      </w:pPr>
      <w:rPr>
        <w:rFonts w:cs="Times New Roman"/>
      </w:rPr>
    </w:lvl>
    <w:lvl w:ilvl="7" w:tplc="04090019" w:tentative="1">
      <w:start w:val="1"/>
      <w:numFmt w:val="lowerLetter"/>
      <w:lvlText w:val="%8."/>
      <w:lvlJc w:val="left"/>
      <w:pPr>
        <w:tabs>
          <w:tab w:val="num" w:pos="6677"/>
        </w:tabs>
        <w:ind w:left="6677" w:hanging="360"/>
      </w:pPr>
      <w:rPr>
        <w:rFonts w:cs="Times New Roman"/>
      </w:rPr>
    </w:lvl>
    <w:lvl w:ilvl="8" w:tplc="0409001B" w:tentative="1">
      <w:start w:val="1"/>
      <w:numFmt w:val="lowerRoman"/>
      <w:lvlText w:val="%9."/>
      <w:lvlJc w:val="right"/>
      <w:pPr>
        <w:tabs>
          <w:tab w:val="num" w:pos="7397"/>
        </w:tabs>
        <w:ind w:left="7397" w:hanging="180"/>
      </w:pPr>
      <w:rPr>
        <w:rFonts w:cs="Times New Roman"/>
      </w:rPr>
    </w:lvl>
  </w:abstractNum>
  <w:abstractNum w:abstractNumId="15">
    <w:nsid w:val="6B113B0C"/>
    <w:multiLevelType w:val="hybridMultilevel"/>
    <w:tmpl w:val="0E80BBE2"/>
    <w:lvl w:ilvl="0" w:tplc="33B89DB0">
      <w:start w:val="1"/>
      <w:numFmt w:val="lowerLetter"/>
      <w:lvlText w:val="(%1)"/>
      <w:lvlJc w:val="left"/>
      <w:pPr>
        <w:ind w:left="927" w:hanging="360"/>
      </w:pPr>
      <w:rPr>
        <w:rFonts w:cs="Times New Roman" w:hint="default"/>
      </w:rPr>
    </w:lvl>
    <w:lvl w:ilvl="1" w:tplc="04090019" w:tentative="1">
      <w:start w:val="1"/>
      <w:numFmt w:val="lowerLetter"/>
      <w:lvlText w:val="%2."/>
      <w:lvlJc w:val="left"/>
      <w:pPr>
        <w:ind w:left="1647" w:hanging="360"/>
      </w:pPr>
      <w:rPr>
        <w:rFonts w:cs="Times New Roman"/>
      </w:rPr>
    </w:lvl>
    <w:lvl w:ilvl="2" w:tplc="0409001B" w:tentative="1">
      <w:start w:val="1"/>
      <w:numFmt w:val="lowerRoman"/>
      <w:lvlText w:val="%3."/>
      <w:lvlJc w:val="right"/>
      <w:pPr>
        <w:ind w:left="2367" w:hanging="180"/>
      </w:pPr>
      <w:rPr>
        <w:rFonts w:cs="Times New Roman"/>
      </w:rPr>
    </w:lvl>
    <w:lvl w:ilvl="3" w:tplc="0409000F" w:tentative="1">
      <w:start w:val="1"/>
      <w:numFmt w:val="decimal"/>
      <w:lvlText w:val="%4."/>
      <w:lvlJc w:val="left"/>
      <w:pPr>
        <w:ind w:left="3087" w:hanging="360"/>
      </w:pPr>
      <w:rPr>
        <w:rFonts w:cs="Times New Roman"/>
      </w:rPr>
    </w:lvl>
    <w:lvl w:ilvl="4" w:tplc="04090019" w:tentative="1">
      <w:start w:val="1"/>
      <w:numFmt w:val="lowerLetter"/>
      <w:lvlText w:val="%5."/>
      <w:lvlJc w:val="left"/>
      <w:pPr>
        <w:ind w:left="3807" w:hanging="360"/>
      </w:pPr>
      <w:rPr>
        <w:rFonts w:cs="Times New Roman"/>
      </w:rPr>
    </w:lvl>
    <w:lvl w:ilvl="5" w:tplc="0409001B" w:tentative="1">
      <w:start w:val="1"/>
      <w:numFmt w:val="lowerRoman"/>
      <w:lvlText w:val="%6."/>
      <w:lvlJc w:val="right"/>
      <w:pPr>
        <w:ind w:left="4527" w:hanging="180"/>
      </w:pPr>
      <w:rPr>
        <w:rFonts w:cs="Times New Roman"/>
      </w:rPr>
    </w:lvl>
    <w:lvl w:ilvl="6" w:tplc="0409000F" w:tentative="1">
      <w:start w:val="1"/>
      <w:numFmt w:val="decimal"/>
      <w:lvlText w:val="%7."/>
      <w:lvlJc w:val="left"/>
      <w:pPr>
        <w:ind w:left="5247" w:hanging="360"/>
      </w:pPr>
      <w:rPr>
        <w:rFonts w:cs="Times New Roman"/>
      </w:rPr>
    </w:lvl>
    <w:lvl w:ilvl="7" w:tplc="04090019" w:tentative="1">
      <w:start w:val="1"/>
      <w:numFmt w:val="lowerLetter"/>
      <w:lvlText w:val="%8."/>
      <w:lvlJc w:val="left"/>
      <w:pPr>
        <w:ind w:left="5967" w:hanging="360"/>
      </w:pPr>
      <w:rPr>
        <w:rFonts w:cs="Times New Roman"/>
      </w:rPr>
    </w:lvl>
    <w:lvl w:ilvl="8" w:tplc="0409001B" w:tentative="1">
      <w:start w:val="1"/>
      <w:numFmt w:val="lowerRoman"/>
      <w:lvlText w:val="%9."/>
      <w:lvlJc w:val="right"/>
      <w:pPr>
        <w:ind w:left="6687" w:hanging="180"/>
      </w:pPr>
      <w:rPr>
        <w:rFonts w:cs="Times New Roman"/>
      </w:rPr>
    </w:lvl>
  </w:abstractNum>
  <w:abstractNum w:abstractNumId="16">
    <w:nsid w:val="6C9E3703"/>
    <w:multiLevelType w:val="hybridMultilevel"/>
    <w:tmpl w:val="55CA8564"/>
    <w:lvl w:ilvl="0" w:tplc="7D56BE84">
      <w:start w:val="1"/>
      <w:numFmt w:val="lowerLetter"/>
      <w:lvlText w:val="%1.)"/>
      <w:lvlJc w:val="left"/>
      <w:pPr>
        <w:ind w:left="644" w:hanging="360"/>
      </w:pPr>
      <w:rPr>
        <w:rFonts w:cs="Times New Roman" w:hint="default"/>
      </w:rPr>
    </w:lvl>
    <w:lvl w:ilvl="1" w:tplc="04090019" w:tentative="1">
      <w:start w:val="1"/>
      <w:numFmt w:val="lowerLetter"/>
      <w:lvlText w:val="%2."/>
      <w:lvlJc w:val="left"/>
      <w:pPr>
        <w:ind w:left="1364" w:hanging="360"/>
      </w:pPr>
      <w:rPr>
        <w:rFonts w:cs="Times New Roman"/>
      </w:rPr>
    </w:lvl>
    <w:lvl w:ilvl="2" w:tplc="0409001B" w:tentative="1">
      <w:start w:val="1"/>
      <w:numFmt w:val="lowerRoman"/>
      <w:lvlText w:val="%3."/>
      <w:lvlJc w:val="right"/>
      <w:pPr>
        <w:ind w:left="2084" w:hanging="180"/>
      </w:pPr>
      <w:rPr>
        <w:rFonts w:cs="Times New Roman"/>
      </w:rPr>
    </w:lvl>
    <w:lvl w:ilvl="3" w:tplc="0409000F" w:tentative="1">
      <w:start w:val="1"/>
      <w:numFmt w:val="decimal"/>
      <w:lvlText w:val="%4."/>
      <w:lvlJc w:val="left"/>
      <w:pPr>
        <w:ind w:left="2804" w:hanging="360"/>
      </w:pPr>
      <w:rPr>
        <w:rFonts w:cs="Times New Roman"/>
      </w:rPr>
    </w:lvl>
    <w:lvl w:ilvl="4" w:tplc="04090019" w:tentative="1">
      <w:start w:val="1"/>
      <w:numFmt w:val="lowerLetter"/>
      <w:lvlText w:val="%5."/>
      <w:lvlJc w:val="left"/>
      <w:pPr>
        <w:ind w:left="3524" w:hanging="360"/>
      </w:pPr>
      <w:rPr>
        <w:rFonts w:cs="Times New Roman"/>
      </w:rPr>
    </w:lvl>
    <w:lvl w:ilvl="5" w:tplc="0409001B" w:tentative="1">
      <w:start w:val="1"/>
      <w:numFmt w:val="lowerRoman"/>
      <w:lvlText w:val="%6."/>
      <w:lvlJc w:val="right"/>
      <w:pPr>
        <w:ind w:left="4244" w:hanging="180"/>
      </w:pPr>
      <w:rPr>
        <w:rFonts w:cs="Times New Roman"/>
      </w:rPr>
    </w:lvl>
    <w:lvl w:ilvl="6" w:tplc="0409000F" w:tentative="1">
      <w:start w:val="1"/>
      <w:numFmt w:val="decimal"/>
      <w:lvlText w:val="%7."/>
      <w:lvlJc w:val="left"/>
      <w:pPr>
        <w:ind w:left="4964" w:hanging="360"/>
      </w:pPr>
      <w:rPr>
        <w:rFonts w:cs="Times New Roman"/>
      </w:rPr>
    </w:lvl>
    <w:lvl w:ilvl="7" w:tplc="04090019" w:tentative="1">
      <w:start w:val="1"/>
      <w:numFmt w:val="lowerLetter"/>
      <w:lvlText w:val="%8."/>
      <w:lvlJc w:val="left"/>
      <w:pPr>
        <w:ind w:left="5684" w:hanging="360"/>
      </w:pPr>
      <w:rPr>
        <w:rFonts w:cs="Times New Roman"/>
      </w:rPr>
    </w:lvl>
    <w:lvl w:ilvl="8" w:tplc="0409001B" w:tentative="1">
      <w:start w:val="1"/>
      <w:numFmt w:val="lowerRoman"/>
      <w:lvlText w:val="%9."/>
      <w:lvlJc w:val="right"/>
      <w:pPr>
        <w:ind w:left="6404" w:hanging="180"/>
      </w:pPr>
      <w:rPr>
        <w:rFonts w:cs="Times New Roman"/>
      </w:rPr>
    </w:lvl>
  </w:abstractNum>
  <w:abstractNum w:abstractNumId="17">
    <w:nsid w:val="6CAA7B0C"/>
    <w:multiLevelType w:val="hybridMultilevel"/>
    <w:tmpl w:val="4658156C"/>
    <w:lvl w:ilvl="0" w:tplc="0409000F">
      <w:start w:val="1"/>
      <w:numFmt w:val="decimal"/>
      <w:lvlText w:val="%1."/>
      <w:lvlJc w:val="left"/>
      <w:pPr>
        <w:tabs>
          <w:tab w:val="num" w:pos="720"/>
        </w:tabs>
        <w:ind w:left="720" w:hanging="360"/>
      </w:pPr>
      <w:rPr>
        <w:rFonts w:ascii="Times New Roman" w:hAnsi="Times New Roman" w:cs="Times New Roman"/>
      </w:rPr>
    </w:lvl>
    <w:lvl w:ilvl="1" w:tplc="552026F8">
      <w:start w:val="1"/>
      <w:numFmt w:val="lowerLetter"/>
      <w:lvlText w:val="%2)"/>
      <w:lvlJc w:val="left"/>
      <w:pPr>
        <w:tabs>
          <w:tab w:val="num" w:pos="1440"/>
        </w:tabs>
        <w:ind w:left="1440" w:hanging="360"/>
      </w:pPr>
      <w:rPr>
        <w:rFonts w:ascii="Times New Roman" w:hAnsi="Times New Roman" w:cs="Times New Roman"/>
      </w:rPr>
    </w:lvl>
    <w:lvl w:ilvl="2" w:tplc="04090017">
      <w:start w:val="1"/>
      <w:numFmt w:val="lowerLetter"/>
      <w:lvlText w:val="%3)"/>
      <w:lvlJc w:val="left"/>
      <w:pPr>
        <w:tabs>
          <w:tab w:val="num" w:pos="2340"/>
        </w:tabs>
        <w:ind w:left="2340" w:hanging="36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decimal"/>
      <w:lvlText w:val="%5."/>
      <w:lvlJc w:val="left"/>
      <w:pPr>
        <w:tabs>
          <w:tab w:val="num" w:pos="3600"/>
        </w:tabs>
        <w:ind w:left="3600" w:hanging="360"/>
      </w:pPr>
      <w:rPr>
        <w:rFonts w:ascii="Times New Roman" w:hAnsi="Times New Roman" w:cs="Times New Roman"/>
      </w:rPr>
    </w:lvl>
    <w:lvl w:ilvl="5" w:tplc="0409001B">
      <w:start w:val="1"/>
      <w:numFmt w:val="decimal"/>
      <w:lvlText w:val="%6."/>
      <w:lvlJc w:val="left"/>
      <w:pPr>
        <w:tabs>
          <w:tab w:val="num" w:pos="4320"/>
        </w:tabs>
        <w:ind w:left="4320" w:hanging="36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decimal"/>
      <w:lvlText w:val="%8."/>
      <w:lvlJc w:val="left"/>
      <w:pPr>
        <w:tabs>
          <w:tab w:val="num" w:pos="5760"/>
        </w:tabs>
        <w:ind w:left="5760" w:hanging="360"/>
      </w:pPr>
      <w:rPr>
        <w:rFonts w:ascii="Times New Roman" w:hAnsi="Times New Roman" w:cs="Times New Roman"/>
      </w:rPr>
    </w:lvl>
    <w:lvl w:ilvl="8" w:tplc="0409001B">
      <w:start w:val="1"/>
      <w:numFmt w:val="decimal"/>
      <w:lvlText w:val="%9."/>
      <w:lvlJc w:val="left"/>
      <w:pPr>
        <w:tabs>
          <w:tab w:val="num" w:pos="6480"/>
        </w:tabs>
        <w:ind w:left="6480" w:hanging="360"/>
      </w:pPr>
      <w:rPr>
        <w:rFonts w:ascii="Times New Roman" w:hAnsi="Times New Roman" w:cs="Times New Roman"/>
      </w:rPr>
    </w:lvl>
  </w:abstractNum>
  <w:abstractNum w:abstractNumId="18">
    <w:nsid w:val="71EF1C83"/>
    <w:multiLevelType w:val="hybridMultilevel"/>
    <w:tmpl w:val="11847AB2"/>
    <w:lvl w:ilvl="0" w:tplc="0409000F">
      <w:start w:val="1"/>
      <w:numFmt w:val="decimal"/>
      <w:lvlText w:val="%1."/>
      <w:lvlJc w:val="left"/>
      <w:pPr>
        <w:tabs>
          <w:tab w:val="num" w:pos="720"/>
        </w:tabs>
        <w:ind w:left="720" w:hanging="360"/>
      </w:pPr>
      <w:rPr>
        <w:rFonts w:ascii="Times New Roman" w:hAnsi="Times New Roman" w:cs="Times New Roman"/>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num w:numId="1">
    <w:abstractNumId w:val="0"/>
  </w:num>
  <w:num w:numId="2">
    <w:abstractNumId w:val="0"/>
  </w:num>
  <w:num w:numId="3">
    <w:abstractNumId w:val="1"/>
  </w:num>
  <w:num w:numId="4">
    <w:abstractNumId w:val="18"/>
  </w:num>
  <w:num w:numId="5">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5"/>
  </w:num>
  <w:num w:numId="8">
    <w:abstractNumId w:val="4"/>
  </w:num>
  <w:num w:numId="9">
    <w:abstractNumId w:val="7"/>
  </w:num>
  <w:num w:numId="10">
    <w:abstractNumId w:val="11"/>
  </w:num>
  <w:num w:numId="11">
    <w:abstractNumId w:val="2"/>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15"/>
  </w:num>
  <w:num w:numId="15">
    <w:abstractNumId w:val="12"/>
  </w:num>
  <w:num w:numId="16">
    <w:abstractNumId w:val="3"/>
  </w:num>
  <w:num w:numId="17">
    <w:abstractNumId w:val="16"/>
  </w:num>
  <w:num w:numId="18">
    <w:abstractNumId w:val="6"/>
  </w:num>
  <w:num w:numId="19">
    <w:abstractNumId w:val="14"/>
  </w:num>
  <w:num w:numId="20">
    <w:abstractNumId w:val="13"/>
  </w:num>
  <w:num w:numId="21">
    <w:abstractNumId w:val="10"/>
  </w:num>
  <w:num w:numId="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evenAndOddHeaders/>
  <w:drawingGridHorizontalSpacing w:val="120"/>
  <w:displayHorizontalDrawingGridEvery w:val="2"/>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2837"/>
    <w:rsid w:val="00002FCE"/>
    <w:rsid w:val="00010D50"/>
    <w:rsid w:val="00020DE7"/>
    <w:rsid w:val="000352D2"/>
    <w:rsid w:val="000375A7"/>
    <w:rsid w:val="000411FB"/>
    <w:rsid w:val="0004727A"/>
    <w:rsid w:val="00047669"/>
    <w:rsid w:val="00052837"/>
    <w:rsid w:val="00056236"/>
    <w:rsid w:val="000623E7"/>
    <w:rsid w:val="00062D36"/>
    <w:rsid w:val="00063195"/>
    <w:rsid w:val="00071CFC"/>
    <w:rsid w:val="00073D31"/>
    <w:rsid w:val="000774F8"/>
    <w:rsid w:val="00085AA8"/>
    <w:rsid w:val="000917D4"/>
    <w:rsid w:val="00093B6C"/>
    <w:rsid w:val="000C6C3E"/>
    <w:rsid w:val="000D5C02"/>
    <w:rsid w:val="000E0851"/>
    <w:rsid w:val="000F1BBA"/>
    <w:rsid w:val="000F232C"/>
    <w:rsid w:val="00102470"/>
    <w:rsid w:val="0012143D"/>
    <w:rsid w:val="0012541E"/>
    <w:rsid w:val="00125A8D"/>
    <w:rsid w:val="00142764"/>
    <w:rsid w:val="001557F8"/>
    <w:rsid w:val="00164CF3"/>
    <w:rsid w:val="001707F9"/>
    <w:rsid w:val="0017483C"/>
    <w:rsid w:val="00175696"/>
    <w:rsid w:val="00176D34"/>
    <w:rsid w:val="00187F67"/>
    <w:rsid w:val="001B2C22"/>
    <w:rsid w:val="001B35D3"/>
    <w:rsid w:val="001B4607"/>
    <w:rsid w:val="001B79AC"/>
    <w:rsid w:val="001C2AE6"/>
    <w:rsid w:val="001D35CF"/>
    <w:rsid w:val="001D5C85"/>
    <w:rsid w:val="001D67B4"/>
    <w:rsid w:val="001D6B0D"/>
    <w:rsid w:val="001D79C8"/>
    <w:rsid w:val="001E5A49"/>
    <w:rsid w:val="001E7692"/>
    <w:rsid w:val="001E78D9"/>
    <w:rsid w:val="00204E2C"/>
    <w:rsid w:val="002054DB"/>
    <w:rsid w:val="002160FB"/>
    <w:rsid w:val="00222F74"/>
    <w:rsid w:val="00224D66"/>
    <w:rsid w:val="00231CA9"/>
    <w:rsid w:val="002336B6"/>
    <w:rsid w:val="00245129"/>
    <w:rsid w:val="00254223"/>
    <w:rsid w:val="002607C3"/>
    <w:rsid w:val="00274F21"/>
    <w:rsid w:val="0028378B"/>
    <w:rsid w:val="00285AAE"/>
    <w:rsid w:val="00295A43"/>
    <w:rsid w:val="0029786B"/>
    <w:rsid w:val="002A0262"/>
    <w:rsid w:val="002A4392"/>
    <w:rsid w:val="002B0B2B"/>
    <w:rsid w:val="002B72E1"/>
    <w:rsid w:val="002B7C4A"/>
    <w:rsid w:val="002D0A0B"/>
    <w:rsid w:val="002E0A05"/>
    <w:rsid w:val="002E13D2"/>
    <w:rsid w:val="002F69C2"/>
    <w:rsid w:val="0030048D"/>
    <w:rsid w:val="00316916"/>
    <w:rsid w:val="0033733D"/>
    <w:rsid w:val="00351E52"/>
    <w:rsid w:val="00352140"/>
    <w:rsid w:val="0035258A"/>
    <w:rsid w:val="00355644"/>
    <w:rsid w:val="0035619C"/>
    <w:rsid w:val="00362B4C"/>
    <w:rsid w:val="00367636"/>
    <w:rsid w:val="0037181D"/>
    <w:rsid w:val="00372463"/>
    <w:rsid w:val="003735B1"/>
    <w:rsid w:val="00376477"/>
    <w:rsid w:val="00380689"/>
    <w:rsid w:val="00380955"/>
    <w:rsid w:val="00381DFF"/>
    <w:rsid w:val="003A0006"/>
    <w:rsid w:val="003A2FC2"/>
    <w:rsid w:val="003A77A5"/>
    <w:rsid w:val="003B0308"/>
    <w:rsid w:val="003B7CCB"/>
    <w:rsid w:val="003C1EA6"/>
    <w:rsid w:val="003C4E0B"/>
    <w:rsid w:val="003C6401"/>
    <w:rsid w:val="003D2DB6"/>
    <w:rsid w:val="003D3F30"/>
    <w:rsid w:val="003E764F"/>
    <w:rsid w:val="003F3E1B"/>
    <w:rsid w:val="003F48B1"/>
    <w:rsid w:val="003F558B"/>
    <w:rsid w:val="0040689E"/>
    <w:rsid w:val="004123B0"/>
    <w:rsid w:val="004130B8"/>
    <w:rsid w:val="004224DE"/>
    <w:rsid w:val="00426246"/>
    <w:rsid w:val="00426DA3"/>
    <w:rsid w:val="004276B4"/>
    <w:rsid w:val="004335E6"/>
    <w:rsid w:val="00437930"/>
    <w:rsid w:val="00440668"/>
    <w:rsid w:val="00452F28"/>
    <w:rsid w:val="004573C4"/>
    <w:rsid w:val="00477130"/>
    <w:rsid w:val="00477387"/>
    <w:rsid w:val="00486816"/>
    <w:rsid w:val="00486D9B"/>
    <w:rsid w:val="00495AE1"/>
    <w:rsid w:val="00497B0E"/>
    <w:rsid w:val="004A0F28"/>
    <w:rsid w:val="004A13CA"/>
    <w:rsid w:val="004A4508"/>
    <w:rsid w:val="004A6BBB"/>
    <w:rsid w:val="004B12CC"/>
    <w:rsid w:val="004B16D5"/>
    <w:rsid w:val="004B2D0A"/>
    <w:rsid w:val="004C2EB6"/>
    <w:rsid w:val="004C6D7C"/>
    <w:rsid w:val="004D1D8B"/>
    <w:rsid w:val="004D3353"/>
    <w:rsid w:val="004D57CC"/>
    <w:rsid w:val="004D633A"/>
    <w:rsid w:val="004D6926"/>
    <w:rsid w:val="004E309A"/>
    <w:rsid w:val="004E3FCE"/>
    <w:rsid w:val="004E5998"/>
    <w:rsid w:val="004F00BD"/>
    <w:rsid w:val="004F2302"/>
    <w:rsid w:val="0050039D"/>
    <w:rsid w:val="005017F9"/>
    <w:rsid w:val="00503FDD"/>
    <w:rsid w:val="00515EE4"/>
    <w:rsid w:val="00536B19"/>
    <w:rsid w:val="0054046D"/>
    <w:rsid w:val="00552207"/>
    <w:rsid w:val="005524FD"/>
    <w:rsid w:val="00570241"/>
    <w:rsid w:val="00570359"/>
    <w:rsid w:val="0057477A"/>
    <w:rsid w:val="00577B2B"/>
    <w:rsid w:val="0059043F"/>
    <w:rsid w:val="00593604"/>
    <w:rsid w:val="0059606A"/>
    <w:rsid w:val="0059719D"/>
    <w:rsid w:val="005A4A0E"/>
    <w:rsid w:val="005B26B1"/>
    <w:rsid w:val="005D1485"/>
    <w:rsid w:val="005D2EE1"/>
    <w:rsid w:val="005D313A"/>
    <w:rsid w:val="005D6390"/>
    <w:rsid w:val="005E04FE"/>
    <w:rsid w:val="005F6F0D"/>
    <w:rsid w:val="006014E0"/>
    <w:rsid w:val="00615BE4"/>
    <w:rsid w:val="00630D4A"/>
    <w:rsid w:val="00632138"/>
    <w:rsid w:val="00642AD2"/>
    <w:rsid w:val="00645736"/>
    <w:rsid w:val="0065034D"/>
    <w:rsid w:val="0065343E"/>
    <w:rsid w:val="0065631D"/>
    <w:rsid w:val="00657C89"/>
    <w:rsid w:val="0066091E"/>
    <w:rsid w:val="00664C8F"/>
    <w:rsid w:val="00675562"/>
    <w:rsid w:val="0067782A"/>
    <w:rsid w:val="006900A8"/>
    <w:rsid w:val="0069186B"/>
    <w:rsid w:val="00692C13"/>
    <w:rsid w:val="00697103"/>
    <w:rsid w:val="006A0BF9"/>
    <w:rsid w:val="006B0273"/>
    <w:rsid w:val="006B1766"/>
    <w:rsid w:val="006B32A9"/>
    <w:rsid w:val="006C274B"/>
    <w:rsid w:val="006C7644"/>
    <w:rsid w:val="006D25ED"/>
    <w:rsid w:val="006D3026"/>
    <w:rsid w:val="006D471C"/>
    <w:rsid w:val="006D548E"/>
    <w:rsid w:val="006D5A95"/>
    <w:rsid w:val="006E4CA3"/>
    <w:rsid w:val="006F17DD"/>
    <w:rsid w:val="0070511D"/>
    <w:rsid w:val="00707CF6"/>
    <w:rsid w:val="00711853"/>
    <w:rsid w:val="00712A6F"/>
    <w:rsid w:val="0071645A"/>
    <w:rsid w:val="007217F8"/>
    <w:rsid w:val="00724EB6"/>
    <w:rsid w:val="007448F0"/>
    <w:rsid w:val="007469AC"/>
    <w:rsid w:val="00754B8E"/>
    <w:rsid w:val="00754DDB"/>
    <w:rsid w:val="00760B4C"/>
    <w:rsid w:val="0076189C"/>
    <w:rsid w:val="007634EF"/>
    <w:rsid w:val="0077204E"/>
    <w:rsid w:val="00776468"/>
    <w:rsid w:val="007818F4"/>
    <w:rsid w:val="00781ED7"/>
    <w:rsid w:val="0079113B"/>
    <w:rsid w:val="007930D5"/>
    <w:rsid w:val="007A546F"/>
    <w:rsid w:val="007B0562"/>
    <w:rsid w:val="007B382C"/>
    <w:rsid w:val="007C0065"/>
    <w:rsid w:val="007C59D2"/>
    <w:rsid w:val="007D0690"/>
    <w:rsid w:val="007D1C34"/>
    <w:rsid w:val="007E432E"/>
    <w:rsid w:val="007E44E4"/>
    <w:rsid w:val="007E55AC"/>
    <w:rsid w:val="007E684E"/>
    <w:rsid w:val="007E7E2C"/>
    <w:rsid w:val="008002DE"/>
    <w:rsid w:val="00803AE4"/>
    <w:rsid w:val="00804851"/>
    <w:rsid w:val="008162B2"/>
    <w:rsid w:val="008175C7"/>
    <w:rsid w:val="00820EB5"/>
    <w:rsid w:val="00826C4D"/>
    <w:rsid w:val="00830F32"/>
    <w:rsid w:val="00836164"/>
    <w:rsid w:val="008430AF"/>
    <w:rsid w:val="0084687F"/>
    <w:rsid w:val="00847E59"/>
    <w:rsid w:val="008566D2"/>
    <w:rsid w:val="00857FE7"/>
    <w:rsid w:val="0086048A"/>
    <w:rsid w:val="00860B3D"/>
    <w:rsid w:val="00862DD7"/>
    <w:rsid w:val="00863B93"/>
    <w:rsid w:val="0087119E"/>
    <w:rsid w:val="00882A84"/>
    <w:rsid w:val="008A528E"/>
    <w:rsid w:val="008B7C22"/>
    <w:rsid w:val="008C22F5"/>
    <w:rsid w:val="008C6949"/>
    <w:rsid w:val="008E195C"/>
    <w:rsid w:val="008E2B3D"/>
    <w:rsid w:val="008E5D3B"/>
    <w:rsid w:val="008F1275"/>
    <w:rsid w:val="008F570F"/>
    <w:rsid w:val="008F5AB5"/>
    <w:rsid w:val="009001CB"/>
    <w:rsid w:val="00902F12"/>
    <w:rsid w:val="0090363C"/>
    <w:rsid w:val="00911082"/>
    <w:rsid w:val="0091140D"/>
    <w:rsid w:val="00914C3A"/>
    <w:rsid w:val="00931FCF"/>
    <w:rsid w:val="009337A1"/>
    <w:rsid w:val="00951060"/>
    <w:rsid w:val="0095769E"/>
    <w:rsid w:val="00960DC3"/>
    <w:rsid w:val="00961776"/>
    <w:rsid w:val="00965E39"/>
    <w:rsid w:val="0096725A"/>
    <w:rsid w:val="00970889"/>
    <w:rsid w:val="00972D7B"/>
    <w:rsid w:val="00973470"/>
    <w:rsid w:val="0097701E"/>
    <w:rsid w:val="009775E5"/>
    <w:rsid w:val="00977999"/>
    <w:rsid w:val="009854AD"/>
    <w:rsid w:val="00990ECC"/>
    <w:rsid w:val="00991378"/>
    <w:rsid w:val="00991E4E"/>
    <w:rsid w:val="0099660F"/>
    <w:rsid w:val="009A6BE7"/>
    <w:rsid w:val="009A6C9A"/>
    <w:rsid w:val="009A7122"/>
    <w:rsid w:val="009A78B8"/>
    <w:rsid w:val="009B0451"/>
    <w:rsid w:val="009B6485"/>
    <w:rsid w:val="009D3579"/>
    <w:rsid w:val="009D5B8E"/>
    <w:rsid w:val="009D646F"/>
    <w:rsid w:val="009F661C"/>
    <w:rsid w:val="00A018EF"/>
    <w:rsid w:val="00A03B85"/>
    <w:rsid w:val="00A24E5F"/>
    <w:rsid w:val="00A3186A"/>
    <w:rsid w:val="00A32961"/>
    <w:rsid w:val="00A34DDF"/>
    <w:rsid w:val="00A3657E"/>
    <w:rsid w:val="00A41F25"/>
    <w:rsid w:val="00A423F8"/>
    <w:rsid w:val="00A44434"/>
    <w:rsid w:val="00A45230"/>
    <w:rsid w:val="00A548BF"/>
    <w:rsid w:val="00A56857"/>
    <w:rsid w:val="00A6125A"/>
    <w:rsid w:val="00A6439C"/>
    <w:rsid w:val="00A649EE"/>
    <w:rsid w:val="00A82496"/>
    <w:rsid w:val="00A827D5"/>
    <w:rsid w:val="00A82F22"/>
    <w:rsid w:val="00A91BCB"/>
    <w:rsid w:val="00A94231"/>
    <w:rsid w:val="00AA472C"/>
    <w:rsid w:val="00AC3863"/>
    <w:rsid w:val="00AC3CE7"/>
    <w:rsid w:val="00AD5C91"/>
    <w:rsid w:val="00AD7766"/>
    <w:rsid w:val="00AE01AC"/>
    <w:rsid w:val="00AE2E2A"/>
    <w:rsid w:val="00AF6838"/>
    <w:rsid w:val="00B015AE"/>
    <w:rsid w:val="00B071AB"/>
    <w:rsid w:val="00B1093A"/>
    <w:rsid w:val="00B17316"/>
    <w:rsid w:val="00B201B6"/>
    <w:rsid w:val="00B21A36"/>
    <w:rsid w:val="00B23A52"/>
    <w:rsid w:val="00B26713"/>
    <w:rsid w:val="00B30850"/>
    <w:rsid w:val="00B35DEB"/>
    <w:rsid w:val="00B46DBA"/>
    <w:rsid w:val="00B46EFA"/>
    <w:rsid w:val="00B50387"/>
    <w:rsid w:val="00B51797"/>
    <w:rsid w:val="00B5460C"/>
    <w:rsid w:val="00B5680E"/>
    <w:rsid w:val="00B60569"/>
    <w:rsid w:val="00B719B6"/>
    <w:rsid w:val="00B72815"/>
    <w:rsid w:val="00B762AA"/>
    <w:rsid w:val="00B87A38"/>
    <w:rsid w:val="00B929D6"/>
    <w:rsid w:val="00BA108F"/>
    <w:rsid w:val="00BA4879"/>
    <w:rsid w:val="00BB00C6"/>
    <w:rsid w:val="00BB5E21"/>
    <w:rsid w:val="00BB5E5F"/>
    <w:rsid w:val="00BC290F"/>
    <w:rsid w:val="00BC7CAA"/>
    <w:rsid w:val="00BF1252"/>
    <w:rsid w:val="00BF2B49"/>
    <w:rsid w:val="00BF596A"/>
    <w:rsid w:val="00C04504"/>
    <w:rsid w:val="00C116BE"/>
    <w:rsid w:val="00C1383A"/>
    <w:rsid w:val="00C14F58"/>
    <w:rsid w:val="00C24C73"/>
    <w:rsid w:val="00C31DED"/>
    <w:rsid w:val="00C33341"/>
    <w:rsid w:val="00C35ACD"/>
    <w:rsid w:val="00C40655"/>
    <w:rsid w:val="00C448B5"/>
    <w:rsid w:val="00C467B5"/>
    <w:rsid w:val="00C61DD4"/>
    <w:rsid w:val="00C63727"/>
    <w:rsid w:val="00C658F8"/>
    <w:rsid w:val="00C718D5"/>
    <w:rsid w:val="00C719F8"/>
    <w:rsid w:val="00C75D79"/>
    <w:rsid w:val="00C770C7"/>
    <w:rsid w:val="00C808D3"/>
    <w:rsid w:val="00C81C38"/>
    <w:rsid w:val="00C86C7B"/>
    <w:rsid w:val="00C877CB"/>
    <w:rsid w:val="00C909CB"/>
    <w:rsid w:val="00C91C79"/>
    <w:rsid w:val="00C946D7"/>
    <w:rsid w:val="00CA011F"/>
    <w:rsid w:val="00CA50EB"/>
    <w:rsid w:val="00CA6D75"/>
    <w:rsid w:val="00CB097D"/>
    <w:rsid w:val="00CC0EE7"/>
    <w:rsid w:val="00CC404C"/>
    <w:rsid w:val="00CC40CB"/>
    <w:rsid w:val="00CC4B2E"/>
    <w:rsid w:val="00CD08BC"/>
    <w:rsid w:val="00CD08FC"/>
    <w:rsid w:val="00CF4C3E"/>
    <w:rsid w:val="00D009D1"/>
    <w:rsid w:val="00D04E89"/>
    <w:rsid w:val="00D21B5B"/>
    <w:rsid w:val="00D27997"/>
    <w:rsid w:val="00D322CB"/>
    <w:rsid w:val="00D37F91"/>
    <w:rsid w:val="00D418C4"/>
    <w:rsid w:val="00D42EA1"/>
    <w:rsid w:val="00D470A9"/>
    <w:rsid w:val="00D51E76"/>
    <w:rsid w:val="00D55A5F"/>
    <w:rsid w:val="00D7366C"/>
    <w:rsid w:val="00D74431"/>
    <w:rsid w:val="00D83714"/>
    <w:rsid w:val="00D863C3"/>
    <w:rsid w:val="00DA06FC"/>
    <w:rsid w:val="00DC1614"/>
    <w:rsid w:val="00DC190E"/>
    <w:rsid w:val="00DC337A"/>
    <w:rsid w:val="00DD04F3"/>
    <w:rsid w:val="00DD170E"/>
    <w:rsid w:val="00DD2423"/>
    <w:rsid w:val="00DF23C9"/>
    <w:rsid w:val="00DF5317"/>
    <w:rsid w:val="00DF697D"/>
    <w:rsid w:val="00DF7657"/>
    <w:rsid w:val="00E043ED"/>
    <w:rsid w:val="00E05A48"/>
    <w:rsid w:val="00E13FBF"/>
    <w:rsid w:val="00E16A01"/>
    <w:rsid w:val="00E16DAC"/>
    <w:rsid w:val="00E210D3"/>
    <w:rsid w:val="00E266CD"/>
    <w:rsid w:val="00E308EA"/>
    <w:rsid w:val="00E36B8F"/>
    <w:rsid w:val="00E46477"/>
    <w:rsid w:val="00E52CC7"/>
    <w:rsid w:val="00E5653E"/>
    <w:rsid w:val="00E67284"/>
    <w:rsid w:val="00E70287"/>
    <w:rsid w:val="00E703D5"/>
    <w:rsid w:val="00E704F6"/>
    <w:rsid w:val="00E73A33"/>
    <w:rsid w:val="00E74907"/>
    <w:rsid w:val="00E828E7"/>
    <w:rsid w:val="00E82938"/>
    <w:rsid w:val="00E93792"/>
    <w:rsid w:val="00EA2E13"/>
    <w:rsid w:val="00EA4052"/>
    <w:rsid w:val="00EA7B4A"/>
    <w:rsid w:val="00EB2251"/>
    <w:rsid w:val="00EB259C"/>
    <w:rsid w:val="00EB27FF"/>
    <w:rsid w:val="00EB33DF"/>
    <w:rsid w:val="00EC0770"/>
    <w:rsid w:val="00ED1E49"/>
    <w:rsid w:val="00ED3D36"/>
    <w:rsid w:val="00EE2D91"/>
    <w:rsid w:val="00EE2DE8"/>
    <w:rsid w:val="00EE3A5C"/>
    <w:rsid w:val="00EE524C"/>
    <w:rsid w:val="00EE562B"/>
    <w:rsid w:val="00EE7885"/>
    <w:rsid w:val="00EF0465"/>
    <w:rsid w:val="00F12183"/>
    <w:rsid w:val="00F125E4"/>
    <w:rsid w:val="00F16B52"/>
    <w:rsid w:val="00F22A29"/>
    <w:rsid w:val="00F4175C"/>
    <w:rsid w:val="00F43114"/>
    <w:rsid w:val="00F47727"/>
    <w:rsid w:val="00F50388"/>
    <w:rsid w:val="00F52D75"/>
    <w:rsid w:val="00F555E9"/>
    <w:rsid w:val="00F71007"/>
    <w:rsid w:val="00F716BB"/>
    <w:rsid w:val="00F761CA"/>
    <w:rsid w:val="00FB38D8"/>
    <w:rsid w:val="00FB528E"/>
    <w:rsid w:val="00FB5E54"/>
    <w:rsid w:val="00FC32D4"/>
    <w:rsid w:val="00FC3348"/>
    <w:rsid w:val="00FC5540"/>
    <w:rsid w:val="00FC6740"/>
    <w:rsid w:val="00FD0E9D"/>
    <w:rsid w:val="00FD27A8"/>
    <w:rsid w:val="00FE0623"/>
    <w:rsid w:val="00FF1804"/>
    <w:rsid w:val="00FF2033"/>
    <w:rsid w:val="00FF5DA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D615F6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sz w:val="22"/>
        <w:szCs w:val="22"/>
        <w:lang w:val="en-US" w:eastAsia="en-US" w:bidi="ar-SA"/>
      </w:rPr>
    </w:rPrDefault>
    <w:pPrDefault/>
  </w:docDefaults>
  <w:latentStyles w:defLockedState="0" w:defUIPriority="99" w:defSemiHidden="0" w:defUnhideWhenUsed="0" w:defQFormat="0" w:count="380">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locked="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6926"/>
    <w:rPr>
      <w:rFonts w:ascii="Times New Roman" w:eastAsia="Times New Roman" w:hAnsi="Times New Roman" w:cs="Times New Roman"/>
      <w:sz w:val="24"/>
      <w:szCs w:val="24"/>
      <w:lang w:val="en-AU"/>
    </w:rPr>
  </w:style>
  <w:style w:type="paragraph" w:styleId="Heading1">
    <w:name w:val="heading 1"/>
    <w:basedOn w:val="Normal"/>
    <w:next w:val="Normal"/>
    <w:link w:val="Heading1Char"/>
    <w:uiPriority w:val="99"/>
    <w:qFormat/>
    <w:rsid w:val="00052837"/>
    <w:pPr>
      <w:keepNext/>
      <w:spacing w:line="480" w:lineRule="auto"/>
      <w:outlineLvl w:val="0"/>
    </w:pPr>
    <w:rPr>
      <w:b/>
      <w:bCs/>
      <w:lang w:val="en-US"/>
    </w:rPr>
  </w:style>
  <w:style w:type="paragraph" w:styleId="Heading2">
    <w:name w:val="heading 2"/>
    <w:basedOn w:val="Normal"/>
    <w:next w:val="Normal"/>
    <w:link w:val="Heading2Char"/>
    <w:uiPriority w:val="99"/>
    <w:qFormat/>
    <w:rsid w:val="00052837"/>
    <w:pPr>
      <w:keepNext/>
      <w:spacing w:before="240" w:line="480" w:lineRule="auto"/>
      <w:ind w:right="72"/>
      <w:jc w:val="both"/>
      <w:outlineLvl w:val="1"/>
    </w:pPr>
    <w:rPr>
      <w:b/>
      <w:bCs/>
      <w:lang w:val="en-US"/>
    </w:rPr>
  </w:style>
  <w:style w:type="paragraph" w:styleId="Heading3">
    <w:name w:val="heading 3"/>
    <w:basedOn w:val="Normal"/>
    <w:next w:val="Normal"/>
    <w:link w:val="Heading3Char"/>
    <w:uiPriority w:val="99"/>
    <w:qFormat/>
    <w:rsid w:val="00052837"/>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99"/>
    <w:qFormat/>
    <w:rsid w:val="00052837"/>
    <w:pPr>
      <w:keepNext/>
      <w:spacing w:before="240" w:after="60"/>
      <w:outlineLvl w:val="3"/>
    </w:pPr>
    <w:rPr>
      <w:b/>
      <w:bCs/>
      <w:sz w:val="28"/>
      <w:szCs w:val="28"/>
    </w:rPr>
  </w:style>
  <w:style w:type="paragraph" w:styleId="Heading5">
    <w:name w:val="heading 5"/>
    <w:basedOn w:val="Normal"/>
    <w:next w:val="Normal"/>
    <w:link w:val="Heading5Char"/>
    <w:uiPriority w:val="99"/>
    <w:qFormat/>
    <w:locked/>
    <w:rsid w:val="00C718D5"/>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9"/>
    <w:qFormat/>
    <w:rsid w:val="00052837"/>
    <w:pPr>
      <w:keepNext/>
      <w:jc w:val="center"/>
      <w:outlineLvl w:val="5"/>
    </w:pPr>
    <w:rPr>
      <w:b/>
      <w:bCs/>
      <w:i/>
      <w:i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52837"/>
    <w:rPr>
      <w:rFonts w:ascii="Times New Roman" w:hAnsi="Times New Roman" w:cs="Times New Roman"/>
      <w:b/>
      <w:bCs/>
      <w:sz w:val="24"/>
      <w:szCs w:val="24"/>
      <w:lang w:val="en-US"/>
    </w:rPr>
  </w:style>
  <w:style w:type="character" w:customStyle="1" w:styleId="Heading2Char">
    <w:name w:val="Heading 2 Char"/>
    <w:basedOn w:val="DefaultParagraphFont"/>
    <w:link w:val="Heading2"/>
    <w:uiPriority w:val="99"/>
    <w:locked/>
    <w:rsid w:val="00052837"/>
    <w:rPr>
      <w:rFonts w:ascii="Times New Roman" w:hAnsi="Times New Roman" w:cs="Times New Roman"/>
      <w:b/>
      <w:bCs/>
      <w:sz w:val="24"/>
      <w:szCs w:val="24"/>
      <w:lang w:val="en-US"/>
    </w:rPr>
  </w:style>
  <w:style w:type="character" w:customStyle="1" w:styleId="Heading3Char">
    <w:name w:val="Heading 3 Char"/>
    <w:basedOn w:val="DefaultParagraphFont"/>
    <w:link w:val="Heading3"/>
    <w:uiPriority w:val="99"/>
    <w:locked/>
    <w:rsid w:val="00052837"/>
    <w:rPr>
      <w:rFonts w:ascii="Arial" w:hAnsi="Arial" w:cs="Arial"/>
      <w:b/>
      <w:bCs/>
      <w:sz w:val="26"/>
      <w:szCs w:val="26"/>
    </w:rPr>
  </w:style>
  <w:style w:type="character" w:customStyle="1" w:styleId="Heading4Char">
    <w:name w:val="Heading 4 Char"/>
    <w:basedOn w:val="DefaultParagraphFont"/>
    <w:link w:val="Heading4"/>
    <w:uiPriority w:val="99"/>
    <w:locked/>
    <w:rsid w:val="00052837"/>
    <w:rPr>
      <w:rFonts w:ascii="Times New Roman" w:hAnsi="Times New Roman" w:cs="Times New Roman"/>
      <w:b/>
      <w:bCs/>
      <w:sz w:val="28"/>
      <w:szCs w:val="28"/>
    </w:rPr>
  </w:style>
  <w:style w:type="character" w:customStyle="1" w:styleId="Heading5Char">
    <w:name w:val="Heading 5 Char"/>
    <w:basedOn w:val="DefaultParagraphFont"/>
    <w:link w:val="Heading5"/>
    <w:uiPriority w:val="99"/>
    <w:locked/>
    <w:rsid w:val="00C718D5"/>
    <w:rPr>
      <w:rFonts w:ascii="Calibri" w:hAnsi="Calibri" w:cs="Times New Roman"/>
      <w:b/>
      <w:bCs/>
      <w:i/>
      <w:iCs/>
      <w:sz w:val="26"/>
      <w:szCs w:val="26"/>
      <w:lang w:val="en-AU"/>
    </w:rPr>
  </w:style>
  <w:style w:type="character" w:customStyle="1" w:styleId="Heading6Char">
    <w:name w:val="Heading 6 Char"/>
    <w:basedOn w:val="DefaultParagraphFont"/>
    <w:link w:val="Heading6"/>
    <w:uiPriority w:val="99"/>
    <w:locked/>
    <w:rsid w:val="00052837"/>
    <w:rPr>
      <w:rFonts w:ascii="Times New Roman" w:hAnsi="Times New Roman" w:cs="Times New Roman"/>
      <w:b/>
      <w:bCs/>
      <w:i/>
      <w:iCs/>
      <w:sz w:val="24"/>
      <w:szCs w:val="24"/>
      <w:lang w:val="en-US"/>
    </w:rPr>
  </w:style>
  <w:style w:type="paragraph" w:styleId="Title">
    <w:name w:val="Title"/>
    <w:basedOn w:val="Normal"/>
    <w:link w:val="TitleChar"/>
    <w:uiPriority w:val="99"/>
    <w:qFormat/>
    <w:rsid w:val="00052837"/>
    <w:pPr>
      <w:jc w:val="center"/>
    </w:pPr>
    <w:rPr>
      <w:b/>
      <w:bCs/>
      <w:sz w:val="36"/>
      <w:szCs w:val="36"/>
    </w:rPr>
  </w:style>
  <w:style w:type="character" w:customStyle="1" w:styleId="TitleChar">
    <w:name w:val="Title Char"/>
    <w:basedOn w:val="DefaultParagraphFont"/>
    <w:link w:val="Title"/>
    <w:uiPriority w:val="99"/>
    <w:locked/>
    <w:rsid w:val="00052837"/>
    <w:rPr>
      <w:rFonts w:ascii="Times New Roman" w:hAnsi="Times New Roman" w:cs="Times New Roman"/>
      <w:b/>
      <w:bCs/>
      <w:sz w:val="36"/>
      <w:szCs w:val="36"/>
    </w:rPr>
  </w:style>
  <w:style w:type="paragraph" w:styleId="BodyText">
    <w:name w:val="Body Text"/>
    <w:basedOn w:val="Normal"/>
    <w:link w:val="BodyTextChar"/>
    <w:uiPriority w:val="99"/>
    <w:rsid w:val="00052837"/>
    <w:rPr>
      <w:b/>
      <w:bCs/>
      <w:sz w:val="36"/>
      <w:szCs w:val="36"/>
    </w:rPr>
  </w:style>
  <w:style w:type="character" w:customStyle="1" w:styleId="BodyTextChar">
    <w:name w:val="Body Text Char"/>
    <w:basedOn w:val="DefaultParagraphFont"/>
    <w:link w:val="BodyText"/>
    <w:uiPriority w:val="99"/>
    <w:locked/>
    <w:rsid w:val="00052837"/>
    <w:rPr>
      <w:rFonts w:ascii="Times New Roman" w:hAnsi="Times New Roman" w:cs="Times New Roman"/>
      <w:b/>
      <w:bCs/>
      <w:sz w:val="36"/>
      <w:szCs w:val="36"/>
    </w:rPr>
  </w:style>
  <w:style w:type="paragraph" w:styleId="FootnoteText">
    <w:name w:val="footnote text"/>
    <w:basedOn w:val="Normal"/>
    <w:link w:val="FootnoteTextChar"/>
    <w:uiPriority w:val="99"/>
    <w:rsid w:val="00052837"/>
    <w:rPr>
      <w:sz w:val="20"/>
      <w:szCs w:val="20"/>
    </w:rPr>
  </w:style>
  <w:style w:type="character" w:customStyle="1" w:styleId="FootnoteTextChar">
    <w:name w:val="Footnote Text Char"/>
    <w:basedOn w:val="DefaultParagraphFont"/>
    <w:link w:val="FootnoteText"/>
    <w:uiPriority w:val="99"/>
    <w:locked/>
    <w:rsid w:val="00052837"/>
    <w:rPr>
      <w:rFonts w:ascii="Times New Roman" w:hAnsi="Times New Roman" w:cs="Times New Roman"/>
      <w:sz w:val="20"/>
      <w:szCs w:val="20"/>
    </w:rPr>
  </w:style>
  <w:style w:type="character" w:styleId="FootnoteReference">
    <w:name w:val="footnote reference"/>
    <w:basedOn w:val="DefaultParagraphFont"/>
    <w:uiPriority w:val="99"/>
    <w:rsid w:val="00052837"/>
    <w:rPr>
      <w:rFonts w:ascii="Times New Roman" w:hAnsi="Times New Roman" w:cs="Times New Roman"/>
      <w:vertAlign w:val="superscript"/>
    </w:rPr>
  </w:style>
  <w:style w:type="paragraph" w:styleId="EndnoteText">
    <w:name w:val="endnote text"/>
    <w:basedOn w:val="Normal"/>
    <w:link w:val="EndnoteTextChar"/>
    <w:uiPriority w:val="99"/>
    <w:rsid w:val="00052837"/>
    <w:rPr>
      <w:sz w:val="20"/>
      <w:szCs w:val="20"/>
      <w:lang w:val="en-US"/>
    </w:rPr>
  </w:style>
  <w:style w:type="character" w:customStyle="1" w:styleId="EndnoteTextChar">
    <w:name w:val="Endnote Text Char"/>
    <w:basedOn w:val="DefaultParagraphFont"/>
    <w:link w:val="EndnoteText"/>
    <w:uiPriority w:val="99"/>
    <w:locked/>
    <w:rsid w:val="00052837"/>
    <w:rPr>
      <w:rFonts w:ascii="Times New Roman" w:hAnsi="Times New Roman" w:cs="Times New Roman"/>
      <w:sz w:val="20"/>
      <w:szCs w:val="20"/>
      <w:lang w:val="en-US"/>
    </w:rPr>
  </w:style>
  <w:style w:type="paragraph" w:styleId="Footer">
    <w:name w:val="footer"/>
    <w:basedOn w:val="Normal"/>
    <w:link w:val="FooterChar"/>
    <w:uiPriority w:val="99"/>
    <w:rsid w:val="00052837"/>
    <w:pPr>
      <w:tabs>
        <w:tab w:val="center" w:pos="4153"/>
        <w:tab w:val="right" w:pos="8306"/>
      </w:tabs>
    </w:pPr>
  </w:style>
  <w:style w:type="character" w:customStyle="1" w:styleId="FooterChar">
    <w:name w:val="Footer Char"/>
    <w:basedOn w:val="DefaultParagraphFont"/>
    <w:link w:val="Footer"/>
    <w:uiPriority w:val="99"/>
    <w:locked/>
    <w:rsid w:val="00052837"/>
    <w:rPr>
      <w:rFonts w:ascii="Times New Roman" w:hAnsi="Times New Roman" w:cs="Times New Roman"/>
      <w:sz w:val="24"/>
      <w:szCs w:val="24"/>
    </w:rPr>
  </w:style>
  <w:style w:type="character" w:styleId="PageNumber">
    <w:name w:val="page number"/>
    <w:basedOn w:val="DefaultParagraphFont"/>
    <w:uiPriority w:val="99"/>
    <w:rsid w:val="00052837"/>
    <w:rPr>
      <w:rFonts w:ascii="Times New Roman" w:hAnsi="Times New Roman" w:cs="Times New Roman"/>
    </w:rPr>
  </w:style>
  <w:style w:type="paragraph" w:styleId="BodyText2">
    <w:name w:val="Body Text 2"/>
    <w:basedOn w:val="Normal"/>
    <w:link w:val="BodyText2Char"/>
    <w:uiPriority w:val="99"/>
    <w:rsid w:val="00052837"/>
    <w:pPr>
      <w:spacing w:before="240" w:line="480" w:lineRule="auto"/>
      <w:ind w:firstLine="288"/>
    </w:pPr>
    <w:rPr>
      <w:lang w:val="en-US"/>
    </w:rPr>
  </w:style>
  <w:style w:type="character" w:customStyle="1" w:styleId="BodyText2Char">
    <w:name w:val="Body Text 2 Char"/>
    <w:basedOn w:val="DefaultParagraphFont"/>
    <w:link w:val="BodyText2"/>
    <w:uiPriority w:val="99"/>
    <w:locked/>
    <w:rsid w:val="00052837"/>
    <w:rPr>
      <w:rFonts w:ascii="Times New Roman" w:hAnsi="Times New Roman" w:cs="Times New Roman"/>
      <w:sz w:val="24"/>
      <w:szCs w:val="24"/>
      <w:lang w:val="en-US"/>
    </w:rPr>
  </w:style>
  <w:style w:type="character" w:customStyle="1" w:styleId="BodyTextIndentChar">
    <w:name w:val="Body Text Indent Char"/>
    <w:basedOn w:val="DefaultParagraphFont"/>
    <w:uiPriority w:val="99"/>
    <w:rsid w:val="00052837"/>
    <w:rPr>
      <w:rFonts w:ascii="Times New Roman" w:hAnsi="Times New Roman" w:cs="Times New Roman"/>
      <w:sz w:val="24"/>
      <w:szCs w:val="24"/>
    </w:rPr>
  </w:style>
  <w:style w:type="paragraph" w:styleId="NormalWeb">
    <w:name w:val="Normal (Web)"/>
    <w:basedOn w:val="Normal"/>
    <w:uiPriority w:val="99"/>
    <w:rsid w:val="00052837"/>
    <w:pPr>
      <w:spacing w:before="100" w:beforeAutospacing="1" w:after="100" w:afterAutospacing="1"/>
    </w:pPr>
  </w:style>
  <w:style w:type="paragraph" w:styleId="BodyTextIndent2">
    <w:name w:val="Body Text Indent 2"/>
    <w:basedOn w:val="Normal"/>
    <w:link w:val="BodyTextIndent2Char"/>
    <w:uiPriority w:val="99"/>
    <w:rsid w:val="00052837"/>
    <w:pPr>
      <w:ind w:left="576"/>
    </w:pPr>
    <w:rPr>
      <w:lang w:val="en-US"/>
    </w:rPr>
  </w:style>
  <w:style w:type="character" w:customStyle="1" w:styleId="BodyTextIndent2Char">
    <w:name w:val="Body Text Indent 2 Char"/>
    <w:basedOn w:val="DefaultParagraphFont"/>
    <w:link w:val="BodyTextIndent2"/>
    <w:uiPriority w:val="99"/>
    <w:locked/>
    <w:rsid w:val="00052837"/>
    <w:rPr>
      <w:rFonts w:ascii="Times New Roman" w:hAnsi="Times New Roman" w:cs="Times New Roman"/>
      <w:sz w:val="24"/>
      <w:szCs w:val="24"/>
      <w:lang w:val="en-US"/>
    </w:rPr>
  </w:style>
  <w:style w:type="paragraph" w:styleId="PlainText">
    <w:name w:val="Plain Text"/>
    <w:basedOn w:val="Normal"/>
    <w:link w:val="PlainTextChar"/>
    <w:uiPriority w:val="99"/>
    <w:rsid w:val="00052837"/>
    <w:rPr>
      <w:rFonts w:ascii="Courier New" w:hAnsi="Courier New" w:cs="Courier New"/>
      <w:sz w:val="20"/>
      <w:szCs w:val="20"/>
    </w:rPr>
  </w:style>
  <w:style w:type="character" w:customStyle="1" w:styleId="PlainTextChar">
    <w:name w:val="Plain Text Char"/>
    <w:basedOn w:val="DefaultParagraphFont"/>
    <w:link w:val="PlainText"/>
    <w:uiPriority w:val="99"/>
    <w:locked/>
    <w:rsid w:val="00052837"/>
    <w:rPr>
      <w:rFonts w:ascii="Courier New" w:hAnsi="Courier New" w:cs="Courier New"/>
      <w:sz w:val="20"/>
      <w:szCs w:val="20"/>
    </w:rPr>
  </w:style>
  <w:style w:type="paragraph" w:styleId="BlockText">
    <w:name w:val="Block Text"/>
    <w:basedOn w:val="Normal"/>
    <w:uiPriority w:val="99"/>
    <w:rsid w:val="00052837"/>
    <w:pPr>
      <w:ind w:left="720" w:right="720"/>
    </w:pPr>
    <w:rPr>
      <w:sz w:val="20"/>
      <w:szCs w:val="20"/>
      <w:lang w:val="en-US"/>
    </w:rPr>
  </w:style>
  <w:style w:type="paragraph" w:styleId="BalloonText">
    <w:name w:val="Balloon Text"/>
    <w:basedOn w:val="Normal"/>
    <w:link w:val="BalloonTextChar"/>
    <w:uiPriority w:val="99"/>
    <w:rsid w:val="00052837"/>
    <w:rPr>
      <w:rFonts w:ascii="Tahoma" w:hAnsi="Tahoma" w:cs="Tahoma"/>
      <w:sz w:val="16"/>
      <w:szCs w:val="16"/>
    </w:rPr>
  </w:style>
  <w:style w:type="character" w:customStyle="1" w:styleId="BalloonTextChar">
    <w:name w:val="Balloon Text Char"/>
    <w:basedOn w:val="DefaultParagraphFont"/>
    <w:link w:val="BalloonText"/>
    <w:uiPriority w:val="99"/>
    <w:locked/>
    <w:rsid w:val="00052837"/>
    <w:rPr>
      <w:rFonts w:ascii="Tahoma" w:hAnsi="Tahoma" w:cs="Tahoma"/>
      <w:sz w:val="16"/>
      <w:szCs w:val="16"/>
    </w:rPr>
  </w:style>
  <w:style w:type="character" w:styleId="Hyperlink">
    <w:name w:val="Hyperlink"/>
    <w:basedOn w:val="DefaultParagraphFont"/>
    <w:uiPriority w:val="99"/>
    <w:rsid w:val="00052837"/>
    <w:rPr>
      <w:rFonts w:ascii="Times New Roman" w:hAnsi="Times New Roman" w:cs="Times New Roman"/>
      <w:color w:val="0000FF"/>
      <w:u w:val="single"/>
    </w:rPr>
  </w:style>
  <w:style w:type="paragraph" w:customStyle="1" w:styleId="Default">
    <w:name w:val="Default"/>
    <w:link w:val="DefaultChar1"/>
    <w:uiPriority w:val="99"/>
    <w:rsid w:val="00052837"/>
    <w:pPr>
      <w:autoSpaceDE w:val="0"/>
      <w:autoSpaceDN w:val="0"/>
      <w:adjustRightInd w:val="0"/>
    </w:pPr>
    <w:rPr>
      <w:rFonts w:ascii="Arial" w:eastAsia="Times New Roman" w:hAnsi="Arial"/>
      <w:color w:val="000000"/>
      <w:sz w:val="24"/>
      <w:szCs w:val="24"/>
    </w:rPr>
  </w:style>
  <w:style w:type="character" w:customStyle="1" w:styleId="DefaultChar">
    <w:name w:val="Default Char"/>
    <w:basedOn w:val="DefaultParagraphFont"/>
    <w:uiPriority w:val="99"/>
    <w:rsid w:val="00052837"/>
    <w:rPr>
      <w:rFonts w:ascii="Arial" w:hAnsi="Arial" w:cs="Arial"/>
      <w:color w:val="000000"/>
      <w:sz w:val="24"/>
      <w:szCs w:val="24"/>
    </w:rPr>
  </w:style>
  <w:style w:type="paragraph" w:styleId="Header">
    <w:name w:val="header"/>
    <w:basedOn w:val="Normal"/>
    <w:link w:val="HeaderChar"/>
    <w:uiPriority w:val="99"/>
    <w:rsid w:val="00052837"/>
    <w:pPr>
      <w:tabs>
        <w:tab w:val="center" w:pos="4320"/>
        <w:tab w:val="right" w:pos="8640"/>
      </w:tabs>
    </w:pPr>
    <w:rPr>
      <w:lang w:val="en-GB"/>
    </w:rPr>
  </w:style>
  <w:style w:type="character" w:customStyle="1" w:styleId="HeaderChar">
    <w:name w:val="Header Char"/>
    <w:basedOn w:val="DefaultParagraphFont"/>
    <w:link w:val="Header"/>
    <w:uiPriority w:val="99"/>
    <w:locked/>
    <w:rsid w:val="00052837"/>
    <w:rPr>
      <w:rFonts w:ascii="Times New Roman" w:hAnsi="Times New Roman" w:cs="Times New Roman"/>
      <w:sz w:val="24"/>
      <w:szCs w:val="24"/>
      <w:lang w:val="en-GB"/>
    </w:rPr>
  </w:style>
  <w:style w:type="character" w:styleId="CommentReference">
    <w:name w:val="annotation reference"/>
    <w:basedOn w:val="DefaultParagraphFont"/>
    <w:uiPriority w:val="99"/>
    <w:rsid w:val="00052837"/>
    <w:rPr>
      <w:rFonts w:ascii="Times New Roman" w:hAnsi="Times New Roman" w:cs="Times New Roman"/>
      <w:sz w:val="16"/>
      <w:szCs w:val="16"/>
    </w:rPr>
  </w:style>
  <w:style w:type="paragraph" w:customStyle="1" w:styleId="bodytext0">
    <w:name w:val="bodytext"/>
    <w:basedOn w:val="Normal"/>
    <w:uiPriority w:val="99"/>
    <w:rsid w:val="00052837"/>
    <w:pPr>
      <w:spacing w:before="100" w:beforeAutospacing="1" w:after="100" w:afterAutospacing="1"/>
    </w:pPr>
    <w:rPr>
      <w:rFonts w:ascii="Arial" w:hAnsi="Arial" w:cs="Arial"/>
      <w:color w:val="000000"/>
      <w:sz w:val="18"/>
      <w:szCs w:val="18"/>
      <w:lang w:val="en-US"/>
    </w:rPr>
  </w:style>
  <w:style w:type="character" w:styleId="EndnoteReference">
    <w:name w:val="endnote reference"/>
    <w:basedOn w:val="DefaultParagraphFont"/>
    <w:uiPriority w:val="99"/>
    <w:rsid w:val="00052837"/>
    <w:rPr>
      <w:rFonts w:ascii="Times New Roman" w:hAnsi="Times New Roman" w:cs="Times New Roman"/>
      <w:vertAlign w:val="superscript"/>
    </w:rPr>
  </w:style>
  <w:style w:type="character" w:styleId="Strong">
    <w:name w:val="Strong"/>
    <w:basedOn w:val="DefaultParagraphFont"/>
    <w:uiPriority w:val="99"/>
    <w:qFormat/>
    <w:rsid w:val="00052837"/>
    <w:rPr>
      <w:rFonts w:ascii="Times New Roman" w:hAnsi="Times New Roman" w:cs="Times New Roman"/>
      <w:b/>
      <w:bCs/>
    </w:rPr>
  </w:style>
  <w:style w:type="paragraph" w:styleId="ListParagraph">
    <w:name w:val="List Paragraph"/>
    <w:basedOn w:val="Normal"/>
    <w:uiPriority w:val="99"/>
    <w:qFormat/>
    <w:rsid w:val="00052837"/>
    <w:pPr>
      <w:spacing w:after="200" w:line="276" w:lineRule="auto"/>
      <w:ind w:left="720"/>
    </w:pPr>
    <w:rPr>
      <w:rFonts w:ascii="Calibri" w:hAnsi="Calibri" w:cs="Calibri"/>
      <w:sz w:val="22"/>
      <w:szCs w:val="22"/>
      <w:lang w:val="en-US"/>
    </w:rPr>
  </w:style>
  <w:style w:type="paragraph" w:styleId="Caption">
    <w:name w:val="caption"/>
    <w:basedOn w:val="Default"/>
    <w:next w:val="Default"/>
    <w:uiPriority w:val="99"/>
    <w:qFormat/>
    <w:rsid w:val="00052837"/>
    <w:rPr>
      <w:rFonts w:ascii="JPGMBB+TimesNewRoman,Bold" w:hAnsi="JPGMBB+TimesNewRoman,Bold" w:cs="JPGMBB+TimesNewRoman,Bold"/>
      <w:color w:val="auto"/>
      <w:sz w:val="20"/>
      <w:szCs w:val="20"/>
    </w:rPr>
  </w:style>
  <w:style w:type="character" w:styleId="Emphasis">
    <w:name w:val="Emphasis"/>
    <w:basedOn w:val="DefaultParagraphFont"/>
    <w:uiPriority w:val="99"/>
    <w:qFormat/>
    <w:rsid w:val="00052837"/>
    <w:rPr>
      <w:rFonts w:ascii="Times New Roman" w:hAnsi="Times New Roman" w:cs="Times New Roman"/>
      <w:b/>
      <w:bCs/>
    </w:rPr>
  </w:style>
  <w:style w:type="paragraph" w:customStyle="1" w:styleId="h1">
    <w:name w:val="h1"/>
    <w:basedOn w:val="Normal"/>
    <w:link w:val="h1Char"/>
    <w:uiPriority w:val="99"/>
    <w:rsid w:val="00477387"/>
    <w:pPr>
      <w:keepNext/>
      <w:spacing w:before="280" w:after="180"/>
      <w:jc w:val="center"/>
    </w:pPr>
    <w:rPr>
      <w:bCs/>
      <w:smallCaps/>
      <w:sz w:val="32"/>
      <w:szCs w:val="28"/>
    </w:rPr>
  </w:style>
  <w:style w:type="paragraph" w:customStyle="1" w:styleId="h2">
    <w:name w:val="h2"/>
    <w:basedOn w:val="Default"/>
    <w:link w:val="h2Char"/>
    <w:uiPriority w:val="99"/>
    <w:rsid w:val="00961776"/>
    <w:pPr>
      <w:keepNext/>
      <w:spacing w:before="280" w:after="180"/>
      <w:ind w:firstLine="284"/>
      <w:jc w:val="center"/>
    </w:pPr>
    <w:rPr>
      <w:rFonts w:ascii="Times New Roman" w:hAnsi="Times New Roman" w:cs="Times New Roman"/>
      <w:b/>
      <w:bCs/>
      <w:color w:val="auto"/>
      <w:szCs w:val="20"/>
    </w:rPr>
  </w:style>
  <w:style w:type="paragraph" w:customStyle="1" w:styleId="DLHeading">
    <w:name w:val="DL Heading"/>
    <w:basedOn w:val="h1"/>
    <w:link w:val="DLHeadingChar"/>
    <w:uiPriority w:val="99"/>
    <w:rsid w:val="009A78B8"/>
  </w:style>
  <w:style w:type="paragraph" w:customStyle="1" w:styleId="DLText">
    <w:name w:val="DL Text"/>
    <w:basedOn w:val="Default"/>
    <w:link w:val="DLTextChar"/>
    <w:uiPriority w:val="99"/>
    <w:rsid w:val="009A78B8"/>
    <w:pPr>
      <w:ind w:firstLine="284"/>
      <w:jc w:val="both"/>
    </w:pPr>
    <w:rPr>
      <w:rFonts w:ascii="Times New Roman" w:hAnsi="Times New Roman" w:cs="Times New Roman"/>
      <w:color w:val="auto"/>
      <w:sz w:val="20"/>
      <w:szCs w:val="20"/>
    </w:rPr>
  </w:style>
  <w:style w:type="character" w:customStyle="1" w:styleId="h1Char">
    <w:name w:val="h1 Char"/>
    <w:basedOn w:val="DefaultParagraphFont"/>
    <w:link w:val="h1"/>
    <w:uiPriority w:val="99"/>
    <w:locked/>
    <w:rsid w:val="009A78B8"/>
    <w:rPr>
      <w:rFonts w:ascii="Times New Roman" w:hAnsi="Times New Roman" w:cs="Times New Roman"/>
      <w:bCs/>
      <w:smallCaps/>
      <w:sz w:val="28"/>
      <w:szCs w:val="28"/>
      <w:lang w:val="en-AU"/>
    </w:rPr>
  </w:style>
  <w:style w:type="character" w:customStyle="1" w:styleId="DLHeadingChar">
    <w:name w:val="DL Heading Char"/>
    <w:basedOn w:val="h1Char"/>
    <w:link w:val="DLHeading"/>
    <w:uiPriority w:val="99"/>
    <w:locked/>
    <w:rsid w:val="009A78B8"/>
    <w:rPr>
      <w:rFonts w:ascii="Times New Roman" w:hAnsi="Times New Roman" w:cs="Times New Roman"/>
      <w:bCs/>
      <w:smallCaps/>
      <w:sz w:val="28"/>
      <w:szCs w:val="28"/>
      <w:lang w:val="en-AU"/>
    </w:rPr>
  </w:style>
  <w:style w:type="paragraph" w:customStyle="1" w:styleId="DLHeading2">
    <w:name w:val="DL Heading2"/>
    <w:basedOn w:val="h2"/>
    <w:link w:val="DLHeading2Char"/>
    <w:uiPriority w:val="99"/>
    <w:rsid w:val="009A78B8"/>
    <w:pPr>
      <w:ind w:firstLine="0"/>
    </w:pPr>
  </w:style>
  <w:style w:type="character" w:customStyle="1" w:styleId="DefaultChar1">
    <w:name w:val="Default Char1"/>
    <w:basedOn w:val="DefaultParagraphFont"/>
    <w:link w:val="Default"/>
    <w:uiPriority w:val="99"/>
    <w:locked/>
    <w:rsid w:val="009A78B8"/>
    <w:rPr>
      <w:rFonts w:ascii="Arial" w:hAnsi="Arial" w:cs="Times New Roman"/>
      <w:color w:val="000000"/>
      <w:sz w:val="24"/>
      <w:szCs w:val="24"/>
      <w:lang w:val="en-US" w:eastAsia="en-US" w:bidi="ar-SA"/>
    </w:rPr>
  </w:style>
  <w:style w:type="character" w:customStyle="1" w:styleId="DLTextChar">
    <w:name w:val="DL Text Char"/>
    <w:basedOn w:val="DefaultChar1"/>
    <w:link w:val="DLText"/>
    <w:uiPriority w:val="99"/>
    <w:locked/>
    <w:rsid w:val="009A78B8"/>
    <w:rPr>
      <w:rFonts w:ascii="Arial" w:hAnsi="Arial" w:cs="Times New Roman"/>
      <w:color w:val="000000"/>
      <w:sz w:val="24"/>
      <w:szCs w:val="24"/>
      <w:lang w:val="en-US" w:eastAsia="en-US" w:bidi="ar-SA"/>
    </w:rPr>
  </w:style>
  <w:style w:type="paragraph" w:customStyle="1" w:styleId="DLQuotes">
    <w:name w:val="DL Quotes"/>
    <w:basedOn w:val="Normal"/>
    <w:link w:val="DLQuotesChar"/>
    <w:uiPriority w:val="99"/>
    <w:rsid w:val="00C14F58"/>
    <w:pPr>
      <w:tabs>
        <w:tab w:val="left" w:pos="8505"/>
      </w:tabs>
      <w:ind w:left="284" w:right="284"/>
      <w:jc w:val="both"/>
    </w:pPr>
    <w:rPr>
      <w:sz w:val="18"/>
      <w:szCs w:val="18"/>
    </w:rPr>
  </w:style>
  <w:style w:type="character" w:customStyle="1" w:styleId="h2Char">
    <w:name w:val="h2 Char"/>
    <w:basedOn w:val="DefaultChar1"/>
    <w:link w:val="h2"/>
    <w:uiPriority w:val="99"/>
    <w:locked/>
    <w:rsid w:val="009A78B8"/>
    <w:rPr>
      <w:rFonts w:ascii="Times New Roman" w:hAnsi="Times New Roman" w:cs="Times New Roman"/>
      <w:b/>
      <w:bCs/>
      <w:color w:val="000000"/>
      <w:sz w:val="20"/>
      <w:szCs w:val="20"/>
      <w:lang w:val="en-US" w:eastAsia="en-US" w:bidi="ar-SA"/>
    </w:rPr>
  </w:style>
  <w:style w:type="character" w:customStyle="1" w:styleId="DLHeading2Char">
    <w:name w:val="DL Heading2 Char"/>
    <w:basedOn w:val="h2Char"/>
    <w:link w:val="DLHeading2"/>
    <w:uiPriority w:val="99"/>
    <w:locked/>
    <w:rsid w:val="009A78B8"/>
    <w:rPr>
      <w:rFonts w:ascii="Times New Roman" w:hAnsi="Times New Roman" w:cs="Times New Roman"/>
      <w:b/>
      <w:bCs/>
      <w:color w:val="000000"/>
      <w:sz w:val="20"/>
      <w:szCs w:val="20"/>
      <w:lang w:val="en-US" w:eastAsia="en-US" w:bidi="ar-SA"/>
    </w:rPr>
  </w:style>
  <w:style w:type="paragraph" w:customStyle="1" w:styleId="DLFN">
    <w:name w:val="DL FN"/>
    <w:basedOn w:val="FootnoteText"/>
    <w:link w:val="DLFNChar"/>
    <w:uiPriority w:val="99"/>
    <w:rsid w:val="003E764F"/>
    <w:pPr>
      <w:jc w:val="both"/>
    </w:pPr>
    <w:rPr>
      <w:sz w:val="18"/>
      <w:szCs w:val="18"/>
    </w:rPr>
  </w:style>
  <w:style w:type="character" w:customStyle="1" w:styleId="DLQuotesChar">
    <w:name w:val="DL Quotes Char"/>
    <w:basedOn w:val="DefaultParagraphFont"/>
    <w:link w:val="DLQuotes"/>
    <w:uiPriority w:val="99"/>
    <w:locked/>
    <w:rsid w:val="00C14F58"/>
    <w:rPr>
      <w:rFonts w:ascii="Times New Roman" w:hAnsi="Times New Roman" w:cs="Times New Roman"/>
      <w:sz w:val="18"/>
      <w:szCs w:val="18"/>
      <w:lang w:val="en-AU"/>
    </w:rPr>
  </w:style>
  <w:style w:type="character" w:customStyle="1" w:styleId="DLFNChar">
    <w:name w:val="DL FN Char"/>
    <w:basedOn w:val="FootnoteTextChar"/>
    <w:link w:val="DLFN"/>
    <w:uiPriority w:val="99"/>
    <w:locked/>
    <w:rsid w:val="003E764F"/>
    <w:rPr>
      <w:rFonts w:ascii="Times New Roman" w:hAnsi="Times New Roman" w:cs="Times New Roman"/>
      <w:sz w:val="18"/>
      <w:szCs w:val="18"/>
      <w:lang w:val="en-AU"/>
    </w:rPr>
  </w:style>
  <w:style w:type="paragraph" w:styleId="Bibliography">
    <w:name w:val="Bibliography"/>
    <w:basedOn w:val="Normal"/>
    <w:next w:val="Normal"/>
    <w:uiPriority w:val="99"/>
    <w:semiHidden/>
    <w:rsid w:val="00ED1E49"/>
  </w:style>
  <w:style w:type="paragraph" w:customStyle="1" w:styleId="reference">
    <w:name w:val="reference"/>
    <w:basedOn w:val="Normal"/>
    <w:uiPriority w:val="99"/>
    <w:rsid w:val="00ED1E49"/>
    <w:pPr>
      <w:spacing w:before="100" w:beforeAutospacing="1" w:after="100" w:afterAutospacing="1"/>
    </w:pPr>
    <w:rPr>
      <w:lang w:eastAsia="en-AU"/>
    </w:rPr>
  </w:style>
  <w:style w:type="paragraph" w:styleId="CommentText">
    <w:name w:val="annotation text"/>
    <w:basedOn w:val="Normal"/>
    <w:link w:val="CommentTextChar"/>
    <w:uiPriority w:val="99"/>
    <w:semiHidden/>
    <w:rsid w:val="0095769E"/>
    <w:rPr>
      <w:sz w:val="20"/>
      <w:szCs w:val="20"/>
    </w:rPr>
  </w:style>
  <w:style w:type="character" w:customStyle="1" w:styleId="CommentTextChar">
    <w:name w:val="Comment Text Char"/>
    <w:basedOn w:val="DefaultParagraphFont"/>
    <w:link w:val="CommentText"/>
    <w:uiPriority w:val="99"/>
    <w:semiHidden/>
    <w:locked/>
    <w:rsid w:val="0095769E"/>
    <w:rPr>
      <w:rFonts w:ascii="Times New Roman" w:hAnsi="Times New Roman" w:cs="Times New Roman"/>
      <w:lang w:val="en-AU"/>
    </w:rPr>
  </w:style>
  <w:style w:type="paragraph" w:styleId="CommentSubject">
    <w:name w:val="annotation subject"/>
    <w:basedOn w:val="CommentText"/>
    <w:next w:val="CommentText"/>
    <w:link w:val="CommentSubjectChar"/>
    <w:uiPriority w:val="99"/>
    <w:semiHidden/>
    <w:rsid w:val="0095769E"/>
    <w:rPr>
      <w:b/>
      <w:bCs/>
    </w:rPr>
  </w:style>
  <w:style w:type="character" w:customStyle="1" w:styleId="CommentSubjectChar">
    <w:name w:val="Comment Subject Char"/>
    <w:basedOn w:val="CommentTextChar"/>
    <w:link w:val="CommentSubject"/>
    <w:uiPriority w:val="99"/>
    <w:semiHidden/>
    <w:locked/>
    <w:rsid w:val="0095769E"/>
    <w:rPr>
      <w:rFonts w:ascii="Times New Roman" w:hAnsi="Times New Roman" w:cs="Times New Roman"/>
      <w:b/>
      <w:bCs/>
      <w:lang w:val="en-AU"/>
    </w:rPr>
  </w:style>
  <w:style w:type="paragraph" w:styleId="Revision">
    <w:name w:val="Revision"/>
    <w:hidden/>
    <w:uiPriority w:val="99"/>
    <w:semiHidden/>
    <w:rsid w:val="0095769E"/>
    <w:rPr>
      <w:rFonts w:ascii="Times New Roman" w:eastAsia="Times New Roman" w:hAnsi="Times New Roman" w:cs="Times New Roman"/>
      <w:sz w:val="24"/>
      <w:szCs w:val="24"/>
      <w:lang w:val="en-AU"/>
    </w:rPr>
  </w:style>
  <w:style w:type="paragraph" w:styleId="ListBullet">
    <w:name w:val="List Bullet"/>
    <w:basedOn w:val="Normal"/>
    <w:uiPriority w:val="99"/>
    <w:rsid w:val="0069186B"/>
    <w:pPr>
      <w:tabs>
        <w:tab w:val="num" w:pos="360"/>
      </w:tabs>
      <w:ind w:left="360" w:hanging="360"/>
      <w:contextualSpacing/>
    </w:pPr>
  </w:style>
  <w:style w:type="character" w:styleId="FollowedHyperlink">
    <w:name w:val="FollowedHyperlink"/>
    <w:basedOn w:val="DefaultParagraphFont"/>
    <w:uiPriority w:val="99"/>
    <w:semiHidden/>
    <w:rsid w:val="007C0065"/>
    <w:rPr>
      <w:rFonts w:cs="Times New Roman"/>
      <w:color w:val="800080"/>
      <w:u w:val="single"/>
    </w:rPr>
  </w:style>
  <w:style w:type="paragraph" w:customStyle="1" w:styleId="q9">
    <w:name w:val="q9"/>
    <w:basedOn w:val="Normal"/>
    <w:uiPriority w:val="99"/>
    <w:rsid w:val="00495AE1"/>
    <w:pPr>
      <w:tabs>
        <w:tab w:val="left" w:pos="9214"/>
      </w:tabs>
      <w:autoSpaceDE w:val="0"/>
      <w:autoSpaceDN w:val="0"/>
      <w:adjustRightInd w:val="0"/>
      <w:spacing w:before="180" w:after="180"/>
      <w:ind w:left="300" w:right="300"/>
      <w:jc w:val="both"/>
    </w:pPr>
    <w:rPr>
      <w:sz w:val="18"/>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7587692">
      <w:marLeft w:val="0"/>
      <w:marRight w:val="0"/>
      <w:marTop w:val="0"/>
      <w:marBottom w:val="0"/>
      <w:divBdr>
        <w:top w:val="none" w:sz="0" w:space="0" w:color="auto"/>
        <w:left w:val="none" w:sz="0" w:space="0" w:color="auto"/>
        <w:bottom w:val="none" w:sz="0" w:space="0" w:color="auto"/>
        <w:right w:val="none" w:sz="0" w:space="0" w:color="auto"/>
      </w:divBdr>
      <w:divsChild>
        <w:div w:id="1037587689">
          <w:marLeft w:val="75"/>
          <w:marRight w:val="720"/>
          <w:marTop w:val="100"/>
          <w:marBottom w:val="100"/>
          <w:divBdr>
            <w:top w:val="none" w:sz="0" w:space="0" w:color="auto"/>
            <w:left w:val="single" w:sz="12" w:space="4" w:color="1010FF"/>
            <w:bottom w:val="none" w:sz="0" w:space="0" w:color="auto"/>
            <w:right w:val="none" w:sz="0" w:space="0" w:color="auto"/>
          </w:divBdr>
          <w:divsChild>
            <w:div w:id="1037587690">
              <w:marLeft w:val="0"/>
              <w:marRight w:val="0"/>
              <w:marTop w:val="0"/>
              <w:marBottom w:val="0"/>
              <w:divBdr>
                <w:top w:val="none" w:sz="0" w:space="0" w:color="auto"/>
                <w:left w:val="none" w:sz="0" w:space="0" w:color="auto"/>
                <w:bottom w:val="none" w:sz="0" w:space="0" w:color="auto"/>
                <w:right w:val="none" w:sz="0" w:space="0" w:color="auto"/>
              </w:divBdr>
              <w:divsChild>
                <w:div w:id="1037587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header" Target="header5.xml"/><Relationship Id="rId14" Type="http://schemas.openxmlformats.org/officeDocument/2006/relationships/header" Target="header6.xml"/><Relationship Id="rId15" Type="http://schemas.openxmlformats.org/officeDocument/2006/relationships/footer" Target="footer3.xml"/><Relationship Id="rId16" Type="http://schemas.openxmlformats.org/officeDocument/2006/relationships/header" Target="header7.xml"/><Relationship Id="rId17" Type="http://schemas.openxmlformats.org/officeDocument/2006/relationships/header" Target="header8.xml"/><Relationship Id="rId18" Type="http://schemas.openxmlformats.org/officeDocument/2006/relationships/header" Target="header9.xml"/><Relationship Id="rId19" Type="http://schemas.openxmlformats.org/officeDocument/2006/relationships/header" Target="header10.xml"/><Relationship Id="rId63" Type="http://schemas.openxmlformats.org/officeDocument/2006/relationships/hyperlink" Target="http://www.cgdev.org" TargetMode="External"/><Relationship Id="rId64" Type="http://schemas.openxmlformats.org/officeDocument/2006/relationships/image" Target="media/image16.wmf"/><Relationship Id="rId65" Type="http://schemas.openxmlformats.org/officeDocument/2006/relationships/image" Target="media/image17.wmf"/><Relationship Id="rId66" Type="http://schemas.openxmlformats.org/officeDocument/2006/relationships/image" Target="media/image18.wmf"/><Relationship Id="rId67" Type="http://schemas.openxmlformats.org/officeDocument/2006/relationships/image" Target="media/image19.emf"/><Relationship Id="rId68" Type="http://schemas.openxmlformats.org/officeDocument/2006/relationships/header" Target="header26.xml"/><Relationship Id="rId69" Type="http://schemas.openxmlformats.org/officeDocument/2006/relationships/fontTable" Target="fontTable.xml"/><Relationship Id="rId50" Type="http://schemas.openxmlformats.org/officeDocument/2006/relationships/hyperlink" Target="http://edition.cnn.com/2009/BUSINESS...nce/index.html" TargetMode="External"/><Relationship Id="rId51" Type="http://schemas.openxmlformats.org/officeDocument/2006/relationships/header" Target="header24.xml"/><Relationship Id="rId52" Type="http://schemas.openxmlformats.org/officeDocument/2006/relationships/header" Target="header25.xml"/><Relationship Id="rId53" Type="http://schemas.openxmlformats.org/officeDocument/2006/relationships/image" Target="media/image11.png"/><Relationship Id="rId54" Type="http://schemas.openxmlformats.org/officeDocument/2006/relationships/oleObject" Target="embeddings/oleObject1.bin"/><Relationship Id="rId55" Type="http://schemas.openxmlformats.org/officeDocument/2006/relationships/image" Target="media/image12.png"/><Relationship Id="rId56" Type="http://schemas.openxmlformats.org/officeDocument/2006/relationships/oleObject" Target="embeddings/oleObject2.bin"/><Relationship Id="rId57" Type="http://schemas.openxmlformats.org/officeDocument/2006/relationships/image" Target="media/image13.emf"/><Relationship Id="rId58" Type="http://schemas.openxmlformats.org/officeDocument/2006/relationships/image" Target="media/image14.emf"/><Relationship Id="rId59" Type="http://schemas.openxmlformats.org/officeDocument/2006/relationships/image" Target="media/image15.wmf"/><Relationship Id="rId40" Type="http://schemas.openxmlformats.org/officeDocument/2006/relationships/image" Target="media/image7.wmf"/><Relationship Id="rId41" Type="http://schemas.openxmlformats.org/officeDocument/2006/relationships/image" Target="media/image8.wmf"/><Relationship Id="rId42" Type="http://schemas.openxmlformats.org/officeDocument/2006/relationships/image" Target="media/image9.wmf"/><Relationship Id="rId43" Type="http://schemas.openxmlformats.org/officeDocument/2006/relationships/image" Target="media/image10.wmf"/><Relationship Id="rId44" Type="http://schemas.openxmlformats.org/officeDocument/2006/relationships/header" Target="header22.xml"/><Relationship Id="rId45" Type="http://schemas.openxmlformats.org/officeDocument/2006/relationships/header" Target="header23.xml"/><Relationship Id="rId46" Type="http://schemas.openxmlformats.org/officeDocument/2006/relationships/hyperlink" Target="http://www.garnautreview.org.au" TargetMode="External"/><Relationship Id="rId47" Type="http://schemas.openxmlformats.org/officeDocument/2006/relationships/hyperlink" Target="http://www.illegal-logging.info" TargetMode="External"/><Relationship Id="rId48" Type="http://schemas.openxmlformats.org/officeDocument/2006/relationships/hyperlink" Target="http://www.rfca-cfan.org/english/issues" TargetMode="External"/><Relationship Id="rId49" Type="http://schemas.openxmlformats.org/officeDocument/2006/relationships/hyperlink" Target="mailto:interview@tcsdaily.com" TargetMode="Externa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eader" Target="header1.xml"/><Relationship Id="rId8" Type="http://schemas.openxmlformats.org/officeDocument/2006/relationships/header" Target="header2.xml"/><Relationship Id="rId9" Type="http://schemas.openxmlformats.org/officeDocument/2006/relationships/footer" Target="footer1.xml"/><Relationship Id="rId30" Type="http://schemas.openxmlformats.org/officeDocument/2006/relationships/header" Target="header19.xml"/><Relationship Id="rId31" Type="http://schemas.openxmlformats.org/officeDocument/2006/relationships/comments" Target="comments.xml"/><Relationship Id="rId32" Type="http://schemas.microsoft.com/office/2011/relationships/commentsExtended" Target="commentsExtended.xml"/><Relationship Id="rId33" Type="http://schemas.openxmlformats.org/officeDocument/2006/relationships/image" Target="media/image2.emf"/><Relationship Id="rId34" Type="http://schemas.openxmlformats.org/officeDocument/2006/relationships/header" Target="header20.xml"/><Relationship Id="rId35" Type="http://schemas.openxmlformats.org/officeDocument/2006/relationships/header" Target="header21.xml"/><Relationship Id="rId36" Type="http://schemas.openxmlformats.org/officeDocument/2006/relationships/image" Target="media/image3.wmf"/><Relationship Id="rId37" Type="http://schemas.openxmlformats.org/officeDocument/2006/relationships/image" Target="media/image4.wmf"/><Relationship Id="rId38" Type="http://schemas.openxmlformats.org/officeDocument/2006/relationships/image" Target="media/image5.wmf"/><Relationship Id="rId39" Type="http://schemas.openxmlformats.org/officeDocument/2006/relationships/image" Target="media/image6.wmf"/><Relationship Id="rId70" Type="http://schemas.openxmlformats.org/officeDocument/2006/relationships/theme" Target="theme/theme1.xml"/><Relationship Id="rId20" Type="http://schemas.openxmlformats.org/officeDocument/2006/relationships/header" Target="header11.xml"/><Relationship Id="rId21" Type="http://schemas.openxmlformats.org/officeDocument/2006/relationships/header" Target="header12.xml"/><Relationship Id="rId22" Type="http://schemas.openxmlformats.org/officeDocument/2006/relationships/header" Target="header13.xml"/><Relationship Id="rId23" Type="http://schemas.openxmlformats.org/officeDocument/2006/relationships/header" Target="header14.xml"/><Relationship Id="rId24" Type="http://schemas.openxmlformats.org/officeDocument/2006/relationships/header" Target="header15.xml"/><Relationship Id="rId25" Type="http://schemas.openxmlformats.org/officeDocument/2006/relationships/header" Target="header16.xml"/><Relationship Id="rId26" Type="http://schemas.openxmlformats.org/officeDocument/2006/relationships/header" Target="header17.xml"/><Relationship Id="rId27" Type="http://schemas.openxmlformats.org/officeDocument/2006/relationships/image" Target="media/image1.emf"/><Relationship Id="rId28" Type="http://schemas.openxmlformats.org/officeDocument/2006/relationships/package" Target="embeddings/Microsoft_Excel_Worksheet1.xlsx"/><Relationship Id="rId29" Type="http://schemas.openxmlformats.org/officeDocument/2006/relationships/header" Target="header18.xml"/><Relationship Id="rId60" Type="http://schemas.openxmlformats.org/officeDocument/2006/relationships/hyperlink" Target="http://www.timcurtin.com" TargetMode="External"/><Relationship Id="rId61" Type="http://schemas.openxmlformats.org/officeDocument/2006/relationships/hyperlink" Target="http://www.zimbabwesituation.com" TargetMode="External"/><Relationship Id="rId62" Type="http://schemas.openxmlformats.org/officeDocument/2006/relationships/hyperlink" Target="http://www.aei.org" TargetMode="External"/><Relationship Id="rId10" Type="http://schemas.openxmlformats.org/officeDocument/2006/relationships/footer" Target="footer2.xml"/><Relationship Id="rId11" Type="http://schemas.openxmlformats.org/officeDocument/2006/relationships/header" Target="header3.xml"/><Relationship Id="rId12" Type="http://schemas.openxmlformats.org/officeDocument/2006/relationships/header" Target="header4.xml"/></Relationships>
</file>

<file path=word/_rels/footnotes.xml.rels><?xml version="1.0" encoding="UTF-8" standalone="yes"?>
<Relationships xmlns="http://schemas.openxmlformats.org/package/2006/relationships"><Relationship Id="rId1" Type="http://schemas.openxmlformats.org/officeDocument/2006/relationships/hyperlink" Target="http://www.zimbabwesituation.com" TargetMode="External"/><Relationship Id="rId2" Type="http://schemas.openxmlformats.org/officeDocument/2006/relationships/hyperlink" Target="http://www.zimbabwesituation.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209</Pages>
  <Words>69926</Words>
  <Characters>398582</Characters>
  <Application>Microsoft Macintosh Word</Application>
  <DocSecurity>0</DocSecurity>
  <Lines>3321</Lines>
  <Paragraphs>935</Paragraphs>
  <ScaleCrop>false</ScaleCrop>
  <Company/>
  <LinksUpToDate>false</LinksUpToDate>
  <CharactersWithSpaces>467573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and Titling and Forestry</dc:title>
  <dc:subject/>
  <dc:creator>OLE</dc:creator>
  <cp:keywords/>
  <dc:description/>
  <cp:lastModifiedBy>Microsoft Office User</cp:lastModifiedBy>
  <cp:revision>2</cp:revision>
  <cp:lastPrinted>2010-09-15T07:49:00Z</cp:lastPrinted>
  <dcterms:created xsi:type="dcterms:W3CDTF">2019-04-10T04:47:00Z</dcterms:created>
  <dcterms:modified xsi:type="dcterms:W3CDTF">2019-04-10T04:47:00Z</dcterms:modified>
</cp:coreProperties>
</file>