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pPr w:leftFromText="141" w:rightFromText="141" w:vertAnchor="text" w:horzAnchor="page" w:tblpXSpec="center" w:tblpY="143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D61EA0" w:rsidRPr="00D61EA0" w14:paraId="438FBF95" w14:textId="77777777" w:rsidTr="00F86A99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6EC78581" w14:textId="77777777" w:rsidR="00D61EA0" w:rsidRPr="00D61EA0" w:rsidRDefault="00D61EA0" w:rsidP="00D61EA0">
            <w:pPr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Jméno a příjmení: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77599AAC" w14:textId="77777777" w:rsidR="00D61EA0" w:rsidRPr="00D61EA0" w:rsidRDefault="00D61EA0" w:rsidP="00D61EA0">
            <w:pPr>
              <w:ind w:left="176"/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Vanesa Bašová</w:t>
            </w:r>
          </w:p>
        </w:tc>
      </w:tr>
      <w:tr w:rsidR="00D61EA0" w:rsidRPr="00D61EA0" w14:paraId="070893BD" w14:textId="77777777" w:rsidTr="00F86A99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7CB57DC8" w14:textId="77777777" w:rsidR="00D61EA0" w:rsidRPr="00D61EA0" w:rsidRDefault="00D61EA0" w:rsidP="00D61EA0">
            <w:pPr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59A76CDF" w14:textId="77777777" w:rsidR="00D61EA0" w:rsidRPr="00D61EA0" w:rsidRDefault="00D61EA0" w:rsidP="00D61EA0">
            <w:pPr>
              <w:ind w:left="176"/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477234</w:t>
            </w:r>
          </w:p>
        </w:tc>
      </w:tr>
      <w:tr w:rsidR="00D61EA0" w:rsidRPr="00D61EA0" w14:paraId="48CF0308" w14:textId="77777777" w:rsidTr="00F86A99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6F185C46" w14:textId="77777777" w:rsidR="00D61EA0" w:rsidRPr="00D61EA0" w:rsidRDefault="00D61EA0" w:rsidP="00D61EA0">
            <w:pPr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1498E67D" w14:textId="77777777" w:rsidR="00D61EA0" w:rsidRPr="00D61EA0" w:rsidRDefault="00D61EA0" w:rsidP="00D61EA0">
            <w:pPr>
              <w:ind w:left="176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Statistická analýza dat, PSY117</w:t>
            </w:r>
          </w:p>
        </w:tc>
      </w:tr>
      <w:tr w:rsidR="00D61EA0" w:rsidRPr="00D61EA0" w14:paraId="195434AA" w14:textId="77777777" w:rsidTr="00F86A99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48B41788" w14:textId="77777777" w:rsidR="00D61EA0" w:rsidRPr="00D61EA0" w:rsidRDefault="00D61EA0" w:rsidP="00D61EA0">
            <w:pPr>
              <w:ind w:left="164" w:hanging="164"/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3FF79D24" w14:textId="77777777" w:rsidR="00D61EA0" w:rsidRPr="00D61EA0" w:rsidRDefault="00D61EA0" w:rsidP="00D61EA0">
            <w:pPr>
              <w:ind w:left="176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Mgr. Stanislav Ježek, Ph.D.</w:t>
            </w:r>
          </w:p>
        </w:tc>
      </w:tr>
      <w:tr w:rsidR="00D61EA0" w:rsidRPr="00D61EA0" w14:paraId="1346D27B" w14:textId="77777777" w:rsidTr="00F86A99">
        <w:trPr>
          <w:gridBefore w:val="1"/>
          <w:wBefore w:w="1985" w:type="dxa"/>
          <w:trHeight w:val="34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4E751547" w14:textId="77777777" w:rsidR="00D61EA0" w:rsidRPr="00D61EA0" w:rsidRDefault="00D61EA0" w:rsidP="00D61EA0">
            <w:pPr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Datum odevzdání:</w:t>
            </w:r>
          </w:p>
        </w:tc>
        <w:tc>
          <w:tcPr>
            <w:tcW w:w="198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  <w:hideMark/>
          </w:tcPr>
          <w:p w14:paraId="7CBE357B" w14:textId="77777777" w:rsidR="00D61EA0" w:rsidRPr="00D61EA0" w:rsidRDefault="00D61EA0" w:rsidP="00D61EA0">
            <w:pPr>
              <w:ind w:left="176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7. 5. 2019</w:t>
            </w:r>
          </w:p>
        </w:tc>
        <w:tc>
          <w:tcPr>
            <w:tcW w:w="2126" w:type="dxa"/>
            <w:vAlign w:val="center"/>
            <w:hideMark/>
          </w:tcPr>
          <w:p w14:paraId="2816B715" w14:textId="77777777" w:rsidR="00D61EA0" w:rsidRPr="00D61EA0" w:rsidRDefault="00D61EA0" w:rsidP="00D61EA0">
            <w:pPr>
              <w:rPr>
                <w:rFonts w:ascii="Cambria" w:hAnsi="Cambria"/>
                <w:noProof/>
              </w:rPr>
            </w:pPr>
            <w:r w:rsidRPr="00D61EA0">
              <w:rPr>
                <w:rFonts w:ascii="Cambria" w:hAnsi="Cambria"/>
                <w:noProof/>
              </w:rPr>
              <w:t>Seminární skupina:</w:t>
            </w:r>
          </w:p>
        </w:tc>
        <w:tc>
          <w:tcPr>
            <w:tcW w:w="709" w:type="dxa"/>
            <w:vAlign w:val="center"/>
            <w:hideMark/>
          </w:tcPr>
          <w:p w14:paraId="0A7A5CCD" w14:textId="77777777" w:rsidR="00D61EA0" w:rsidRPr="00D61EA0" w:rsidRDefault="00E33B86" w:rsidP="00D61EA0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02</w:t>
            </w:r>
          </w:p>
        </w:tc>
      </w:tr>
      <w:tr w:rsidR="00D61EA0" w:rsidRPr="00D61EA0" w14:paraId="311B4FA6" w14:textId="77777777" w:rsidTr="00F86A99">
        <w:trPr>
          <w:trHeight w:val="341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F058064" w14:textId="77777777" w:rsidR="00D61EA0" w:rsidRPr="00D61EA0" w:rsidRDefault="00D61EA0" w:rsidP="00D61EA0">
            <w:pPr>
              <w:jc w:val="center"/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</w:tbl>
    <w:p w14:paraId="7FCB6C8A" w14:textId="77777777" w:rsidR="00D61EA0" w:rsidRDefault="00AF0189">
      <w:pPr>
        <w:rPr>
          <w:b/>
        </w:rPr>
      </w:pPr>
      <w:r>
        <w:rPr>
          <w:rFonts w:ascii="Cambria" w:hAnsi="Cambria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88AB661" wp14:editId="2C839E3A">
            <wp:simplePos x="0" y="0"/>
            <wp:positionH relativeFrom="column">
              <wp:posOffset>-108585</wp:posOffset>
            </wp:positionH>
            <wp:positionV relativeFrom="paragraph">
              <wp:posOffset>177165</wp:posOffset>
            </wp:positionV>
            <wp:extent cx="1091565" cy="835025"/>
            <wp:effectExtent l="0" t="0" r="0" b="0"/>
            <wp:wrapTight wrapText="bothSides">
              <wp:wrapPolygon edited="0">
                <wp:start x="1885" y="2464"/>
                <wp:lineTo x="1885" y="9363"/>
                <wp:lineTo x="4147" y="11334"/>
                <wp:lineTo x="3016" y="11334"/>
                <wp:lineTo x="2262" y="11827"/>
                <wp:lineTo x="2262" y="18725"/>
                <wp:lineTo x="14325" y="18725"/>
                <wp:lineTo x="15455" y="13798"/>
                <wp:lineTo x="13948" y="11334"/>
                <wp:lineTo x="16963" y="11334"/>
                <wp:lineTo x="19602" y="8870"/>
                <wp:lineTo x="19225" y="2464"/>
                <wp:lineTo x="1885" y="246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FF726" w14:textId="77777777" w:rsidR="00603C04" w:rsidRPr="004B31FB" w:rsidRDefault="00747CFB" w:rsidP="007204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Replicating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Milgram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Would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People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Still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Obey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Today</w:t>
      </w:r>
      <w:proofErr w:type="spellEnd"/>
      <w:r w:rsidR="00CB70D2" w:rsidRPr="004B31FB">
        <w:rPr>
          <w:rFonts w:ascii="Times New Roman" w:hAnsi="Times New Roman" w:cs="Times New Roman"/>
          <w:b/>
          <w:sz w:val="28"/>
          <w:szCs w:val="28"/>
        </w:rPr>
        <w:t>?</w:t>
      </w:r>
    </w:p>
    <w:p w14:paraId="118940F4" w14:textId="77777777" w:rsidR="00CB70D2" w:rsidRPr="00720419" w:rsidRDefault="00E939B5" w:rsidP="0072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e</w:t>
      </w:r>
      <w:r w:rsidR="00CB70D2" w:rsidRPr="00720419">
        <w:rPr>
          <w:rFonts w:ascii="Times New Roman" w:hAnsi="Times New Roman" w:cs="Times New Roman"/>
          <w:sz w:val="24"/>
          <w:szCs w:val="24"/>
        </w:rPr>
        <w:t>xpe</w:t>
      </w:r>
      <w:r w:rsidR="007E0604" w:rsidRPr="00720419">
        <w:rPr>
          <w:rFonts w:ascii="Times New Roman" w:hAnsi="Times New Roman" w:cs="Times New Roman"/>
          <w:sz w:val="24"/>
          <w:szCs w:val="24"/>
        </w:rPr>
        <w:t xml:space="preserve">riment </w:t>
      </w:r>
      <w:proofErr w:type="spellStart"/>
      <w:r w:rsidR="007E0604" w:rsidRPr="00720419">
        <w:rPr>
          <w:rFonts w:ascii="Times New Roman" w:hAnsi="Times New Roman" w:cs="Times New Roman"/>
          <w:sz w:val="24"/>
          <w:szCs w:val="24"/>
        </w:rPr>
        <w:t>Stanleyho</w:t>
      </w:r>
      <w:proofErr w:type="spellEnd"/>
      <w:r w:rsidR="007E0604" w:rsidRPr="0072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604" w:rsidRPr="00720419">
        <w:rPr>
          <w:rFonts w:ascii="Times New Roman" w:hAnsi="Times New Roman" w:cs="Times New Roman"/>
          <w:sz w:val="24"/>
          <w:szCs w:val="24"/>
        </w:rPr>
        <w:t>Milgrama</w:t>
      </w:r>
      <w:proofErr w:type="spellEnd"/>
      <w:r w:rsidR="007E0604" w:rsidRPr="00720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roku 1963 </w:t>
      </w:r>
      <w:r w:rsidR="00CB70D2" w:rsidRPr="00720419">
        <w:rPr>
          <w:rFonts w:ascii="Times New Roman" w:hAnsi="Times New Roman" w:cs="Times New Roman"/>
          <w:sz w:val="24"/>
          <w:szCs w:val="24"/>
        </w:rPr>
        <w:t>se zabýval</w:t>
      </w:r>
      <w:r>
        <w:rPr>
          <w:rFonts w:ascii="Times New Roman" w:hAnsi="Times New Roman" w:cs="Times New Roman"/>
          <w:sz w:val="24"/>
          <w:szCs w:val="24"/>
        </w:rPr>
        <w:t xml:space="preserve"> hranicí, kterou jsou lidé schopni překro</w:t>
      </w:r>
      <w:r w:rsidR="000A41EA">
        <w:rPr>
          <w:rFonts w:ascii="Times New Roman" w:hAnsi="Times New Roman" w:cs="Times New Roman"/>
          <w:sz w:val="24"/>
          <w:szCs w:val="24"/>
        </w:rPr>
        <w:t>čit, aby splnili rozkaz</w:t>
      </w:r>
      <w:r w:rsidR="001F0C05" w:rsidRPr="00720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C05" w:rsidRPr="00720419">
        <w:rPr>
          <w:rFonts w:ascii="Times New Roman" w:hAnsi="Times New Roman" w:cs="Times New Roman"/>
          <w:sz w:val="24"/>
          <w:szCs w:val="24"/>
        </w:rPr>
        <w:t>Ve</w:t>
      </w:r>
      <w:r w:rsidR="00CB70D2" w:rsidRPr="00720419">
        <w:rPr>
          <w:rFonts w:ascii="Times New Roman" w:hAnsi="Times New Roman" w:cs="Times New Roman"/>
          <w:sz w:val="24"/>
          <w:szCs w:val="24"/>
        </w:rPr>
        <w:t xml:space="preserve"> studii byli participanti r</w:t>
      </w:r>
      <w:r w:rsidR="00820FF4" w:rsidRPr="00720419">
        <w:rPr>
          <w:rFonts w:ascii="Times New Roman" w:hAnsi="Times New Roman" w:cs="Times New Roman"/>
          <w:sz w:val="24"/>
          <w:szCs w:val="24"/>
        </w:rPr>
        <w:t>ozděleni na dvě skupiny „učitelé</w:t>
      </w:r>
      <w:r w:rsidR="00CB70D2" w:rsidRPr="00720419">
        <w:rPr>
          <w:rFonts w:ascii="Times New Roman" w:hAnsi="Times New Roman" w:cs="Times New Roman"/>
          <w:sz w:val="24"/>
          <w:szCs w:val="24"/>
        </w:rPr>
        <w:t xml:space="preserve">“ a </w:t>
      </w:r>
      <w:r w:rsidR="00820FF4" w:rsidRPr="00720419">
        <w:rPr>
          <w:rFonts w:ascii="Times New Roman" w:hAnsi="Times New Roman" w:cs="Times New Roman"/>
          <w:sz w:val="24"/>
          <w:szCs w:val="24"/>
        </w:rPr>
        <w:t>„žáci</w:t>
      </w:r>
      <w:r w:rsidR="001F0C05" w:rsidRPr="00720419">
        <w:rPr>
          <w:rFonts w:ascii="Times New Roman" w:hAnsi="Times New Roman" w:cs="Times New Roman"/>
          <w:sz w:val="24"/>
          <w:szCs w:val="24"/>
        </w:rPr>
        <w:t xml:space="preserve">“. </w:t>
      </w:r>
      <w:r w:rsidR="00CB70D2" w:rsidRPr="00720419">
        <w:rPr>
          <w:rFonts w:ascii="Times New Roman" w:hAnsi="Times New Roman" w:cs="Times New Roman"/>
          <w:sz w:val="24"/>
          <w:szCs w:val="24"/>
        </w:rPr>
        <w:t>Učitelé pokládali žákům</w:t>
      </w:r>
      <w:r w:rsidR="001F0C05" w:rsidRPr="00720419">
        <w:rPr>
          <w:rFonts w:ascii="Times New Roman" w:hAnsi="Times New Roman" w:cs="Times New Roman"/>
          <w:sz w:val="24"/>
          <w:szCs w:val="24"/>
        </w:rPr>
        <w:t xml:space="preserve"> otázky, ti měli</w:t>
      </w:r>
      <w:r w:rsidR="00CB70D2" w:rsidRPr="00720419">
        <w:rPr>
          <w:rFonts w:ascii="Times New Roman" w:hAnsi="Times New Roman" w:cs="Times New Roman"/>
          <w:sz w:val="24"/>
          <w:szCs w:val="24"/>
        </w:rPr>
        <w:t xml:space="preserve"> vybrat </w:t>
      </w:r>
      <w:r w:rsidR="00771A94">
        <w:rPr>
          <w:rFonts w:ascii="Times New Roman" w:hAnsi="Times New Roman" w:cs="Times New Roman"/>
          <w:sz w:val="24"/>
          <w:szCs w:val="24"/>
        </w:rPr>
        <w:t xml:space="preserve">správnou odpověď, pokud se </w:t>
      </w:r>
      <w:proofErr w:type="spellStart"/>
      <w:r w:rsidR="00771A94">
        <w:rPr>
          <w:rFonts w:ascii="Times New Roman" w:hAnsi="Times New Roman" w:cs="Times New Roman"/>
          <w:sz w:val="24"/>
          <w:szCs w:val="24"/>
        </w:rPr>
        <w:t>zmíli</w:t>
      </w:r>
      <w:r w:rsidR="00CB70D2" w:rsidRPr="0072041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CB70D2" w:rsidRPr="00720419">
        <w:rPr>
          <w:rFonts w:ascii="Times New Roman" w:hAnsi="Times New Roman" w:cs="Times New Roman"/>
          <w:sz w:val="24"/>
          <w:szCs w:val="24"/>
        </w:rPr>
        <w:t>, dostali elektrický šok, j</w:t>
      </w:r>
      <w:r w:rsidR="000A41EA">
        <w:rPr>
          <w:rFonts w:ascii="Times New Roman" w:hAnsi="Times New Roman" w:cs="Times New Roman"/>
          <w:sz w:val="24"/>
          <w:szCs w:val="24"/>
        </w:rPr>
        <w:t xml:space="preserve">ehož intenzita se po </w:t>
      </w:r>
      <w:r w:rsidR="00CB70D2" w:rsidRPr="00720419">
        <w:rPr>
          <w:rFonts w:ascii="Times New Roman" w:hAnsi="Times New Roman" w:cs="Times New Roman"/>
          <w:sz w:val="24"/>
          <w:szCs w:val="24"/>
        </w:rPr>
        <w:t>špatné odpovědi zv</w:t>
      </w:r>
      <w:r w:rsidR="00820FF4" w:rsidRPr="00720419">
        <w:rPr>
          <w:rFonts w:ascii="Times New Roman" w:hAnsi="Times New Roman" w:cs="Times New Roman"/>
          <w:sz w:val="24"/>
          <w:szCs w:val="24"/>
        </w:rPr>
        <w:t>yšovala</w:t>
      </w:r>
      <w:r>
        <w:rPr>
          <w:rFonts w:ascii="Times New Roman" w:hAnsi="Times New Roman" w:cs="Times New Roman"/>
          <w:sz w:val="24"/>
          <w:szCs w:val="24"/>
        </w:rPr>
        <w:t>. Pokud učitel odmítl pokračovat, byl mu udělen jeden z</w:t>
      </w:r>
      <w:r w:rsidR="000A41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čtyř rozkazů</w:t>
      </w:r>
      <w:r w:rsidR="006B28B0">
        <w:rPr>
          <w:rFonts w:ascii="Times New Roman" w:hAnsi="Times New Roman" w:cs="Times New Roman"/>
          <w:sz w:val="24"/>
          <w:szCs w:val="24"/>
        </w:rPr>
        <w:t>: „Prosím pokračujte“, „Experiment vyžaduje, abyste pokračoval“, Je nezbytné, abyste pokračoval“, „Nemáte jinou volbu, musíte pokračovat“</w:t>
      </w:r>
      <w:r>
        <w:rPr>
          <w:rFonts w:ascii="Times New Roman" w:hAnsi="Times New Roman" w:cs="Times New Roman"/>
          <w:sz w:val="24"/>
          <w:szCs w:val="24"/>
        </w:rPr>
        <w:t>, který ho měl donutit pokračovat, jestliže byl využit i poslední, experiment skončil. Žák a učitel seděli naproti sobě v oddělených místnostech s průzorem z plexiskla. Žákovi byly na ruku připe</w:t>
      </w:r>
      <w:r w:rsidR="006B28B0">
        <w:rPr>
          <w:rFonts w:ascii="Times New Roman" w:hAnsi="Times New Roman" w:cs="Times New Roman"/>
          <w:sz w:val="24"/>
          <w:szCs w:val="24"/>
        </w:rPr>
        <w:t>vněny</w:t>
      </w:r>
      <w:r>
        <w:rPr>
          <w:rFonts w:ascii="Times New Roman" w:hAnsi="Times New Roman" w:cs="Times New Roman"/>
          <w:sz w:val="24"/>
          <w:szCs w:val="24"/>
        </w:rPr>
        <w:t xml:space="preserve"> elektrody a na židli byl připoután, naopak učitel ve druhé</w:t>
      </w:r>
      <w:r w:rsidR="006B28B0">
        <w:rPr>
          <w:rFonts w:ascii="Times New Roman" w:hAnsi="Times New Roman" w:cs="Times New Roman"/>
          <w:sz w:val="24"/>
          <w:szCs w:val="24"/>
        </w:rPr>
        <w:t xml:space="preserve"> místnosti seděl na židli volně a společně s ním byl v místnosti přítomen i experimentátor, který mu v případě potřeby ukládal rozkazy.</w:t>
      </w:r>
      <w:r>
        <w:rPr>
          <w:rFonts w:ascii="Times New Roman" w:hAnsi="Times New Roman" w:cs="Times New Roman"/>
          <w:sz w:val="24"/>
          <w:szCs w:val="24"/>
        </w:rPr>
        <w:t xml:space="preserve"> Ve skutečnosti skupina žáků účel experimentu znala a bolest ze šoku pouze předstírala. Skutečnými participanty byli učitelé, kteří se domnívali, že záměrem exp</w:t>
      </w:r>
      <w:r w:rsidR="000A41EA">
        <w:rPr>
          <w:rFonts w:ascii="Times New Roman" w:hAnsi="Times New Roman" w:cs="Times New Roman"/>
          <w:sz w:val="24"/>
          <w:szCs w:val="24"/>
        </w:rPr>
        <w:t xml:space="preserve">erimentu je </w:t>
      </w:r>
      <w:r>
        <w:rPr>
          <w:rFonts w:ascii="Times New Roman" w:hAnsi="Times New Roman" w:cs="Times New Roman"/>
          <w:sz w:val="24"/>
          <w:szCs w:val="24"/>
        </w:rPr>
        <w:t xml:space="preserve">zkoumat vliv trestu na učení. </w:t>
      </w:r>
    </w:p>
    <w:p w14:paraId="598D8371" w14:textId="77777777" w:rsidR="009F2771" w:rsidRDefault="00CB70D2" w:rsidP="0072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19">
        <w:rPr>
          <w:rFonts w:ascii="Times New Roman" w:hAnsi="Times New Roman" w:cs="Times New Roman"/>
          <w:sz w:val="24"/>
          <w:szCs w:val="24"/>
        </w:rPr>
        <w:t>V Burgerově studii</w:t>
      </w:r>
      <w:r w:rsidR="007E0604" w:rsidRPr="00720419">
        <w:rPr>
          <w:rFonts w:ascii="Times New Roman" w:hAnsi="Times New Roman" w:cs="Times New Roman"/>
          <w:sz w:val="24"/>
          <w:szCs w:val="24"/>
        </w:rPr>
        <w:t xml:space="preserve"> z roku 2009</w:t>
      </w:r>
      <w:r w:rsidRPr="00720419">
        <w:rPr>
          <w:rFonts w:ascii="Times New Roman" w:hAnsi="Times New Roman" w:cs="Times New Roman"/>
          <w:sz w:val="24"/>
          <w:szCs w:val="24"/>
        </w:rPr>
        <w:t xml:space="preserve"> byly oproti původní u</w:t>
      </w:r>
      <w:r w:rsidR="000A41EA">
        <w:rPr>
          <w:rFonts w:ascii="Times New Roman" w:hAnsi="Times New Roman" w:cs="Times New Roman"/>
          <w:sz w:val="24"/>
          <w:szCs w:val="24"/>
        </w:rPr>
        <w:t>praveny některé podmínky.</w:t>
      </w:r>
      <w:r w:rsidR="008574AD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1259F0" w:rsidRPr="00720419">
        <w:rPr>
          <w:rFonts w:ascii="Times New Roman" w:hAnsi="Times New Roman" w:cs="Times New Roman"/>
          <w:sz w:val="24"/>
          <w:szCs w:val="24"/>
        </w:rPr>
        <w:t>Mimo jiné n</w:t>
      </w:r>
      <w:r w:rsidR="008574AD" w:rsidRPr="00720419">
        <w:rPr>
          <w:rFonts w:ascii="Times New Roman" w:hAnsi="Times New Roman" w:cs="Times New Roman"/>
          <w:sz w:val="24"/>
          <w:szCs w:val="24"/>
        </w:rPr>
        <w:t xml:space="preserve">amísto </w:t>
      </w:r>
      <w:r w:rsidRPr="00720419">
        <w:rPr>
          <w:rFonts w:ascii="Times New Roman" w:hAnsi="Times New Roman" w:cs="Times New Roman"/>
          <w:sz w:val="24"/>
          <w:szCs w:val="24"/>
        </w:rPr>
        <w:t>horní hran</w:t>
      </w:r>
      <w:r w:rsidR="008574AD" w:rsidRPr="00720419">
        <w:rPr>
          <w:rFonts w:ascii="Times New Roman" w:hAnsi="Times New Roman" w:cs="Times New Roman"/>
          <w:sz w:val="24"/>
          <w:szCs w:val="24"/>
        </w:rPr>
        <w:t>ice 450 voltů byla zvolena</w:t>
      </w:r>
      <w:r w:rsidRPr="00720419">
        <w:rPr>
          <w:rFonts w:ascii="Times New Roman" w:hAnsi="Times New Roman" w:cs="Times New Roman"/>
          <w:sz w:val="24"/>
          <w:szCs w:val="24"/>
        </w:rPr>
        <w:t xml:space="preserve"> hra</w:t>
      </w:r>
      <w:r w:rsidR="006B28B0">
        <w:rPr>
          <w:rFonts w:ascii="Times New Roman" w:hAnsi="Times New Roman" w:cs="Times New Roman"/>
          <w:sz w:val="24"/>
          <w:szCs w:val="24"/>
        </w:rPr>
        <w:t>nice 150 voltů, která v původní</w:t>
      </w:r>
      <w:r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6B28B0">
        <w:rPr>
          <w:rFonts w:ascii="Times New Roman" w:hAnsi="Times New Roman" w:cs="Times New Roman"/>
          <w:sz w:val="24"/>
          <w:szCs w:val="24"/>
        </w:rPr>
        <w:t>sloužila jako mezník pro předstírání bolesti</w:t>
      </w:r>
      <w:r w:rsidR="00820FF4" w:rsidRPr="00720419">
        <w:rPr>
          <w:rFonts w:ascii="Times New Roman" w:hAnsi="Times New Roman" w:cs="Times New Roman"/>
          <w:sz w:val="24"/>
          <w:szCs w:val="24"/>
        </w:rPr>
        <w:t>. Burger</w:t>
      </w:r>
      <w:r w:rsidR="008A4353" w:rsidRPr="00720419">
        <w:rPr>
          <w:rFonts w:ascii="Times New Roman" w:hAnsi="Times New Roman" w:cs="Times New Roman"/>
          <w:sz w:val="24"/>
          <w:szCs w:val="24"/>
        </w:rPr>
        <w:t xml:space="preserve"> předpokládal,</w:t>
      </w:r>
      <w:r w:rsidR="001259F0" w:rsidRPr="00720419">
        <w:rPr>
          <w:rFonts w:ascii="Times New Roman" w:hAnsi="Times New Roman" w:cs="Times New Roman"/>
          <w:sz w:val="24"/>
          <w:szCs w:val="24"/>
        </w:rPr>
        <w:t xml:space="preserve"> že lidé, kteří pokračovali do této hranice,</w:t>
      </w:r>
      <w:r w:rsidR="008A4353" w:rsidRPr="00720419">
        <w:rPr>
          <w:rFonts w:ascii="Times New Roman" w:hAnsi="Times New Roman" w:cs="Times New Roman"/>
          <w:sz w:val="24"/>
          <w:szCs w:val="24"/>
        </w:rPr>
        <w:t xml:space="preserve"> by pravděpodobně pokračovali i dále.</w:t>
      </w:r>
      <w:r w:rsidR="00A60346">
        <w:rPr>
          <w:rFonts w:ascii="Times New Roman" w:hAnsi="Times New Roman" w:cs="Times New Roman"/>
          <w:sz w:val="24"/>
          <w:szCs w:val="24"/>
        </w:rPr>
        <w:t xml:space="preserve"> Navíc zkoumal i empatii a touhu po kontrole a jejich vliv na míru poslušnosti.</w:t>
      </w:r>
      <w:r w:rsidR="001259F0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0A41EA">
        <w:rPr>
          <w:rFonts w:ascii="Times New Roman" w:hAnsi="Times New Roman" w:cs="Times New Roman"/>
          <w:sz w:val="24"/>
          <w:szCs w:val="24"/>
        </w:rPr>
        <w:t>Potencionální p</w:t>
      </w:r>
      <w:r w:rsidR="008574AD" w:rsidRPr="00720419">
        <w:rPr>
          <w:rFonts w:ascii="Times New Roman" w:hAnsi="Times New Roman" w:cs="Times New Roman"/>
          <w:sz w:val="24"/>
          <w:szCs w:val="24"/>
        </w:rPr>
        <w:t xml:space="preserve">articipanti prošli dvěma </w:t>
      </w:r>
      <w:r w:rsidR="006B28B0">
        <w:rPr>
          <w:rFonts w:ascii="Times New Roman" w:hAnsi="Times New Roman" w:cs="Times New Roman"/>
          <w:sz w:val="24"/>
          <w:szCs w:val="24"/>
        </w:rPr>
        <w:t>„</w:t>
      </w:r>
      <w:r w:rsidR="008574AD" w:rsidRPr="00720419">
        <w:rPr>
          <w:rFonts w:ascii="Times New Roman" w:hAnsi="Times New Roman" w:cs="Times New Roman"/>
          <w:sz w:val="24"/>
          <w:szCs w:val="24"/>
        </w:rPr>
        <w:t>v</w:t>
      </w:r>
      <w:r w:rsidR="001259F0" w:rsidRPr="00720419">
        <w:rPr>
          <w:rFonts w:ascii="Times New Roman" w:hAnsi="Times New Roman" w:cs="Times New Roman"/>
          <w:sz w:val="24"/>
          <w:szCs w:val="24"/>
        </w:rPr>
        <w:t>ýběrovými</w:t>
      </w:r>
      <w:r w:rsidR="006B28B0">
        <w:rPr>
          <w:rFonts w:ascii="Times New Roman" w:hAnsi="Times New Roman" w:cs="Times New Roman"/>
          <w:sz w:val="24"/>
          <w:szCs w:val="24"/>
        </w:rPr>
        <w:t>“</w:t>
      </w:r>
      <w:r w:rsidR="001259F0" w:rsidRPr="00720419">
        <w:rPr>
          <w:rFonts w:ascii="Times New Roman" w:hAnsi="Times New Roman" w:cs="Times New Roman"/>
          <w:sz w:val="24"/>
          <w:szCs w:val="24"/>
        </w:rPr>
        <w:t xml:space="preserve"> koly, kde se testovaly</w:t>
      </w:r>
      <w:r w:rsidR="008574AD" w:rsidRPr="00720419">
        <w:rPr>
          <w:rFonts w:ascii="Times New Roman" w:hAnsi="Times New Roman" w:cs="Times New Roman"/>
          <w:sz w:val="24"/>
          <w:szCs w:val="24"/>
        </w:rPr>
        <w:t xml:space="preserve"> jeji</w:t>
      </w:r>
      <w:r w:rsidR="00AC4799" w:rsidRPr="00720419">
        <w:rPr>
          <w:rFonts w:ascii="Times New Roman" w:hAnsi="Times New Roman" w:cs="Times New Roman"/>
          <w:sz w:val="24"/>
          <w:szCs w:val="24"/>
        </w:rPr>
        <w:t>ch kompetence pro podstoupení ex</w:t>
      </w:r>
      <w:r w:rsidR="008574AD" w:rsidRPr="00720419">
        <w:rPr>
          <w:rFonts w:ascii="Times New Roman" w:hAnsi="Times New Roman" w:cs="Times New Roman"/>
          <w:sz w:val="24"/>
          <w:szCs w:val="24"/>
        </w:rPr>
        <w:t>perimentu.</w:t>
      </w:r>
      <w:r w:rsidR="006B28B0">
        <w:rPr>
          <w:rFonts w:ascii="Times New Roman" w:hAnsi="Times New Roman" w:cs="Times New Roman"/>
          <w:sz w:val="24"/>
          <w:szCs w:val="24"/>
        </w:rPr>
        <w:t xml:space="preserve"> Experimentu se nesměli například zúčastnit ti, kteří měli problém s návykovými látkami, psychické problémy a ti, kteří znali účel původního experimentu.</w:t>
      </w:r>
      <w:r w:rsidR="001D46F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1D46FF">
        <w:rPr>
          <w:rFonts w:ascii="Times New Roman" w:hAnsi="Times New Roman" w:cs="Times New Roman"/>
          <w:sz w:val="24"/>
          <w:szCs w:val="24"/>
        </w:rPr>
        <w:t>Milgramově</w:t>
      </w:r>
      <w:proofErr w:type="spellEnd"/>
      <w:r w:rsidR="001D46FF">
        <w:rPr>
          <w:rFonts w:ascii="Times New Roman" w:hAnsi="Times New Roman" w:cs="Times New Roman"/>
          <w:sz w:val="24"/>
          <w:szCs w:val="24"/>
        </w:rPr>
        <w:t xml:space="preserve"> verzi,</w:t>
      </w:r>
      <w:r w:rsidR="009F2771">
        <w:rPr>
          <w:rFonts w:ascii="Times New Roman" w:hAnsi="Times New Roman" w:cs="Times New Roman"/>
          <w:sz w:val="24"/>
          <w:szCs w:val="24"/>
        </w:rPr>
        <w:t xml:space="preserve"> byli účastníci pouze muži</w:t>
      </w:r>
      <w:r w:rsidR="000A41EA">
        <w:rPr>
          <w:rFonts w:ascii="Times New Roman" w:hAnsi="Times New Roman" w:cs="Times New Roman"/>
          <w:sz w:val="24"/>
          <w:szCs w:val="24"/>
        </w:rPr>
        <w:t>-běloši</w:t>
      </w:r>
      <w:r w:rsidR="009F2771">
        <w:rPr>
          <w:rFonts w:ascii="Times New Roman" w:hAnsi="Times New Roman" w:cs="Times New Roman"/>
          <w:sz w:val="24"/>
          <w:szCs w:val="24"/>
        </w:rPr>
        <w:t xml:space="preserve"> </w:t>
      </w:r>
      <w:r w:rsidR="001D46FF">
        <w:rPr>
          <w:rFonts w:ascii="Times New Roman" w:hAnsi="Times New Roman" w:cs="Times New Roman"/>
          <w:sz w:val="24"/>
          <w:szCs w:val="24"/>
        </w:rPr>
        <w:t>ve věku</w:t>
      </w:r>
      <w:r w:rsidR="009F2771">
        <w:rPr>
          <w:rFonts w:ascii="Times New Roman" w:hAnsi="Times New Roman" w:cs="Times New Roman"/>
          <w:sz w:val="24"/>
          <w:szCs w:val="24"/>
        </w:rPr>
        <w:t xml:space="preserve"> mezi 20 a 30 lety, lišící se vzděláním a pracovními pozicemi, celkem jich bylo 40. Jeho záměrem bylo zjistit, zda obhajoba nacistů v rámci Norimberských procesů, že pouze plnili rozkazy, je alespoň částečně akceptovatelná. </w:t>
      </w:r>
      <w:r w:rsidR="00FE5B9B">
        <w:rPr>
          <w:rFonts w:ascii="Times New Roman" w:hAnsi="Times New Roman" w:cs="Times New Roman"/>
          <w:sz w:val="24"/>
          <w:szCs w:val="24"/>
        </w:rPr>
        <w:t>Burgerovy</w:t>
      </w:r>
      <w:r w:rsidR="009F2771">
        <w:rPr>
          <w:rFonts w:ascii="Times New Roman" w:hAnsi="Times New Roman" w:cs="Times New Roman"/>
          <w:sz w:val="24"/>
          <w:szCs w:val="24"/>
        </w:rPr>
        <w:t xml:space="preserve"> studie se</w:t>
      </w:r>
      <w:r w:rsidR="009F2771" w:rsidRPr="009F2771">
        <w:rPr>
          <w:rFonts w:ascii="Times New Roman" w:hAnsi="Times New Roman" w:cs="Times New Roman"/>
          <w:sz w:val="24"/>
          <w:szCs w:val="24"/>
        </w:rPr>
        <w:t xml:space="preserve"> zúčastnilo 70 participantů</w:t>
      </w:r>
      <w:r w:rsidR="000A41EA">
        <w:rPr>
          <w:rFonts w:ascii="Times New Roman" w:hAnsi="Times New Roman" w:cs="Times New Roman"/>
          <w:sz w:val="24"/>
          <w:szCs w:val="24"/>
        </w:rPr>
        <w:t xml:space="preserve"> </w:t>
      </w:r>
      <w:r w:rsidR="009F2771" w:rsidRPr="009F2771">
        <w:rPr>
          <w:rFonts w:ascii="Times New Roman" w:hAnsi="Times New Roman" w:cs="Times New Roman"/>
          <w:sz w:val="24"/>
          <w:szCs w:val="24"/>
        </w:rPr>
        <w:t>(29 mužů, 41 žen), jejichž věk se pohyboval od 20 do 81 let (v průměru 42,9 let).</w:t>
      </w:r>
      <w:r w:rsidR="009F2771">
        <w:rPr>
          <w:rFonts w:ascii="Times New Roman" w:hAnsi="Times New Roman" w:cs="Times New Roman"/>
          <w:sz w:val="24"/>
          <w:szCs w:val="24"/>
        </w:rPr>
        <w:t xml:space="preserve"> Lišili se vzděláním, společenským postavením i etnicitou.</w:t>
      </w:r>
    </w:p>
    <w:p w14:paraId="24F865BC" w14:textId="77777777" w:rsidR="00BC3F68" w:rsidRPr="00720419" w:rsidRDefault="008B7CCF" w:rsidP="0072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19">
        <w:rPr>
          <w:rFonts w:ascii="Times New Roman" w:hAnsi="Times New Roman" w:cs="Times New Roman"/>
          <w:sz w:val="24"/>
          <w:szCs w:val="24"/>
        </w:rPr>
        <w:lastRenderedPageBreak/>
        <w:t>Burger repli</w:t>
      </w:r>
      <w:r w:rsidR="0071615A" w:rsidRPr="00720419">
        <w:rPr>
          <w:rFonts w:ascii="Times New Roman" w:hAnsi="Times New Roman" w:cs="Times New Roman"/>
          <w:sz w:val="24"/>
          <w:szCs w:val="24"/>
        </w:rPr>
        <w:t>koval varianty experiment</w:t>
      </w:r>
      <w:r w:rsidR="00E50013" w:rsidRPr="00720419">
        <w:rPr>
          <w:rFonts w:ascii="Times New Roman" w:hAnsi="Times New Roman" w:cs="Times New Roman"/>
          <w:sz w:val="24"/>
          <w:szCs w:val="24"/>
        </w:rPr>
        <w:t xml:space="preserve">u </w:t>
      </w:r>
      <w:r w:rsidRPr="00720419">
        <w:rPr>
          <w:rFonts w:ascii="Times New Roman" w:hAnsi="Times New Roman" w:cs="Times New Roman"/>
          <w:sz w:val="24"/>
          <w:szCs w:val="24"/>
        </w:rPr>
        <w:t>číslo 5 a 7. Varianta tzv. základní</w:t>
      </w:r>
      <w:r w:rsidR="00FF28E0" w:rsidRPr="00720419">
        <w:rPr>
          <w:rFonts w:ascii="Times New Roman" w:hAnsi="Times New Roman" w:cs="Times New Roman"/>
          <w:sz w:val="24"/>
          <w:szCs w:val="24"/>
        </w:rPr>
        <w:t>ch podmínek</w:t>
      </w:r>
      <w:r w:rsidR="0071615A" w:rsidRPr="00720419">
        <w:rPr>
          <w:rFonts w:ascii="Times New Roman" w:hAnsi="Times New Roman" w:cs="Times New Roman"/>
          <w:sz w:val="24"/>
          <w:szCs w:val="24"/>
        </w:rPr>
        <w:t xml:space="preserve"> zahrnovala učitele, žáka</w:t>
      </w:r>
      <w:r w:rsidRPr="00720419">
        <w:rPr>
          <w:rFonts w:ascii="Times New Roman" w:hAnsi="Times New Roman" w:cs="Times New Roman"/>
          <w:sz w:val="24"/>
          <w:szCs w:val="24"/>
        </w:rPr>
        <w:t xml:space="preserve"> a experimentátora.</w:t>
      </w:r>
      <w:r w:rsidR="0071615A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FF28E0" w:rsidRPr="00720419">
        <w:rPr>
          <w:rFonts w:ascii="Times New Roman" w:hAnsi="Times New Roman" w:cs="Times New Roman"/>
          <w:sz w:val="24"/>
          <w:szCs w:val="24"/>
        </w:rPr>
        <w:t>Učitel a experimentátor</w:t>
      </w:r>
      <w:r w:rsidR="0071615A" w:rsidRPr="00720419">
        <w:rPr>
          <w:rFonts w:ascii="Times New Roman" w:hAnsi="Times New Roman" w:cs="Times New Roman"/>
          <w:sz w:val="24"/>
          <w:szCs w:val="24"/>
        </w:rPr>
        <w:t xml:space="preserve"> seděli v jedné místnosti, žák</w:t>
      </w:r>
      <w:r w:rsidRPr="00720419">
        <w:rPr>
          <w:rFonts w:ascii="Times New Roman" w:hAnsi="Times New Roman" w:cs="Times New Roman"/>
          <w:sz w:val="24"/>
          <w:szCs w:val="24"/>
        </w:rPr>
        <w:t xml:space="preserve"> byl oddělen stěnou a seděl za průhledným plexisklem. Po špatně zodpovězené otázce dostal elektrický šok, který se pohyboval od 15V do 150V a intenzita stoupal</w:t>
      </w:r>
      <w:r w:rsidR="00FF28E0" w:rsidRPr="00720419">
        <w:rPr>
          <w:rFonts w:ascii="Times New Roman" w:hAnsi="Times New Roman" w:cs="Times New Roman"/>
          <w:sz w:val="24"/>
          <w:szCs w:val="24"/>
        </w:rPr>
        <w:t>a</w:t>
      </w:r>
      <w:r w:rsidR="00C13CBA">
        <w:rPr>
          <w:rFonts w:ascii="Times New Roman" w:hAnsi="Times New Roman" w:cs="Times New Roman"/>
          <w:sz w:val="24"/>
          <w:szCs w:val="24"/>
        </w:rPr>
        <w:t xml:space="preserve"> vždy po 15V.</w:t>
      </w:r>
      <w:r w:rsidRPr="00720419">
        <w:rPr>
          <w:rFonts w:ascii="Times New Roman" w:hAnsi="Times New Roman" w:cs="Times New Roman"/>
          <w:sz w:val="24"/>
          <w:szCs w:val="24"/>
        </w:rPr>
        <w:t xml:space="preserve"> Pokud chtěl </w:t>
      </w:r>
      <w:r w:rsidR="0071615A" w:rsidRPr="00720419">
        <w:rPr>
          <w:rFonts w:ascii="Times New Roman" w:hAnsi="Times New Roman" w:cs="Times New Roman"/>
          <w:sz w:val="24"/>
          <w:szCs w:val="24"/>
        </w:rPr>
        <w:t xml:space="preserve">participant </w:t>
      </w:r>
      <w:r w:rsidRPr="00720419">
        <w:rPr>
          <w:rFonts w:ascii="Times New Roman" w:hAnsi="Times New Roman" w:cs="Times New Roman"/>
          <w:sz w:val="24"/>
          <w:szCs w:val="24"/>
        </w:rPr>
        <w:t xml:space="preserve">skončit, byl experimentátorem </w:t>
      </w:r>
      <w:r w:rsidR="00E50013" w:rsidRPr="00720419">
        <w:rPr>
          <w:rFonts w:ascii="Times New Roman" w:hAnsi="Times New Roman" w:cs="Times New Roman"/>
          <w:sz w:val="24"/>
          <w:szCs w:val="24"/>
        </w:rPr>
        <w:t>vyzván k pokračování. Jestliže</w:t>
      </w:r>
      <w:r w:rsidRPr="00720419">
        <w:rPr>
          <w:rFonts w:ascii="Times New Roman" w:hAnsi="Times New Roman" w:cs="Times New Roman"/>
          <w:sz w:val="24"/>
          <w:szCs w:val="24"/>
        </w:rPr>
        <w:t xml:space="preserve"> ani po vyslovení čtvrtého příkazu nechtěl pokračovat, experiment skončil. </w:t>
      </w:r>
      <w:r w:rsidR="005B2064" w:rsidRPr="00720419">
        <w:rPr>
          <w:rFonts w:ascii="Times New Roman" w:hAnsi="Times New Roman" w:cs="Times New Roman"/>
          <w:sz w:val="24"/>
          <w:szCs w:val="24"/>
        </w:rPr>
        <w:t>Ve d</w:t>
      </w:r>
      <w:r w:rsidR="005F0CB1" w:rsidRPr="00720419">
        <w:rPr>
          <w:rFonts w:ascii="Times New Roman" w:hAnsi="Times New Roman" w:cs="Times New Roman"/>
          <w:sz w:val="24"/>
          <w:szCs w:val="24"/>
        </w:rPr>
        <w:t>ruhé variantě byl přidán druhý učitel</w:t>
      </w:r>
      <w:r w:rsidR="005B2064" w:rsidRPr="00720419">
        <w:rPr>
          <w:rFonts w:ascii="Times New Roman" w:hAnsi="Times New Roman" w:cs="Times New Roman"/>
          <w:sz w:val="24"/>
          <w:szCs w:val="24"/>
        </w:rPr>
        <w:t>, který</w:t>
      </w:r>
      <w:r w:rsidR="005F0CB1" w:rsidRPr="00720419">
        <w:rPr>
          <w:rFonts w:ascii="Times New Roman" w:hAnsi="Times New Roman" w:cs="Times New Roman"/>
          <w:sz w:val="24"/>
          <w:szCs w:val="24"/>
        </w:rPr>
        <w:t>m</w:t>
      </w:r>
      <w:r w:rsidR="005B2064" w:rsidRPr="00720419">
        <w:rPr>
          <w:rFonts w:ascii="Times New Roman" w:hAnsi="Times New Roman" w:cs="Times New Roman"/>
          <w:sz w:val="24"/>
          <w:szCs w:val="24"/>
        </w:rPr>
        <w:t xml:space="preserve"> byl opět experimentátor. Ten měl za úkol dávat elektrické šoky až do výše 90V, poté odmítl pokračovat,</w:t>
      </w:r>
      <w:r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71615A" w:rsidRPr="00720419">
        <w:rPr>
          <w:rFonts w:ascii="Times New Roman" w:hAnsi="Times New Roman" w:cs="Times New Roman"/>
          <w:sz w:val="24"/>
          <w:szCs w:val="24"/>
        </w:rPr>
        <w:t>skutečný participant</w:t>
      </w:r>
      <w:r w:rsidR="005F0CB1" w:rsidRPr="00720419">
        <w:rPr>
          <w:rFonts w:ascii="Times New Roman" w:hAnsi="Times New Roman" w:cs="Times New Roman"/>
          <w:sz w:val="24"/>
          <w:szCs w:val="24"/>
        </w:rPr>
        <w:t xml:space="preserve"> ho</w:t>
      </w:r>
      <w:r w:rsidR="005B2064" w:rsidRPr="00720419">
        <w:rPr>
          <w:rFonts w:ascii="Times New Roman" w:hAnsi="Times New Roman" w:cs="Times New Roman"/>
          <w:sz w:val="24"/>
          <w:szCs w:val="24"/>
        </w:rPr>
        <w:t xml:space="preserve"> mezitím s</w:t>
      </w:r>
      <w:r w:rsidR="00BC3F68" w:rsidRPr="00720419">
        <w:rPr>
          <w:rFonts w:ascii="Times New Roman" w:hAnsi="Times New Roman" w:cs="Times New Roman"/>
          <w:sz w:val="24"/>
          <w:szCs w:val="24"/>
        </w:rPr>
        <w:t>ledoval a pak</w:t>
      </w:r>
      <w:r w:rsidR="0071615A" w:rsidRPr="00720419">
        <w:rPr>
          <w:rFonts w:ascii="Times New Roman" w:hAnsi="Times New Roman" w:cs="Times New Roman"/>
          <w:sz w:val="24"/>
          <w:szCs w:val="24"/>
        </w:rPr>
        <w:t xml:space="preserve"> převzal jeho úkol</w:t>
      </w:r>
      <w:r w:rsidR="00C13CBA">
        <w:rPr>
          <w:rFonts w:ascii="Times New Roman" w:hAnsi="Times New Roman" w:cs="Times New Roman"/>
          <w:sz w:val="24"/>
          <w:szCs w:val="24"/>
        </w:rPr>
        <w:t xml:space="preserve">. </w:t>
      </w:r>
      <w:r w:rsidR="009D3D36" w:rsidRPr="00720419">
        <w:rPr>
          <w:rFonts w:ascii="Times New Roman" w:hAnsi="Times New Roman" w:cs="Times New Roman"/>
          <w:sz w:val="24"/>
          <w:szCs w:val="24"/>
        </w:rPr>
        <w:t>Při takto upravených podmínkách mělo být</w:t>
      </w:r>
      <w:r w:rsidR="00BC3F68" w:rsidRPr="00720419">
        <w:rPr>
          <w:rFonts w:ascii="Times New Roman" w:hAnsi="Times New Roman" w:cs="Times New Roman"/>
          <w:sz w:val="24"/>
          <w:szCs w:val="24"/>
        </w:rPr>
        <w:t xml:space="preserve"> pro účastníky</w:t>
      </w:r>
      <w:r w:rsidR="009D3D36" w:rsidRPr="00720419">
        <w:rPr>
          <w:rFonts w:ascii="Times New Roman" w:hAnsi="Times New Roman" w:cs="Times New Roman"/>
          <w:sz w:val="24"/>
          <w:szCs w:val="24"/>
        </w:rPr>
        <w:t xml:space="preserve"> snazší odmítnout pokračovat. </w:t>
      </w:r>
      <w:r w:rsidR="00BC3F68" w:rsidRPr="00720419">
        <w:rPr>
          <w:rFonts w:ascii="Times New Roman" w:hAnsi="Times New Roman" w:cs="Times New Roman"/>
          <w:sz w:val="24"/>
          <w:szCs w:val="24"/>
        </w:rPr>
        <w:t>Poslušnost se měřila</w:t>
      </w:r>
      <w:r w:rsidR="004E7F4F" w:rsidRPr="00720419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940F39" w:rsidRPr="00720419">
        <w:rPr>
          <w:rFonts w:ascii="Times New Roman" w:hAnsi="Times New Roman" w:cs="Times New Roman"/>
          <w:sz w:val="24"/>
          <w:szCs w:val="24"/>
        </w:rPr>
        <w:t xml:space="preserve">intenzity posledního uděleného šoku. </w:t>
      </w:r>
      <w:r w:rsidR="00FE5B9B">
        <w:rPr>
          <w:rFonts w:ascii="Times New Roman" w:hAnsi="Times New Roman" w:cs="Times New Roman"/>
          <w:sz w:val="24"/>
          <w:szCs w:val="24"/>
        </w:rPr>
        <w:t xml:space="preserve">Po skončení byl učitel seznámen se skutečným </w:t>
      </w:r>
      <w:r w:rsidR="00C13CBA">
        <w:rPr>
          <w:rFonts w:ascii="Times New Roman" w:hAnsi="Times New Roman" w:cs="Times New Roman"/>
          <w:sz w:val="24"/>
          <w:szCs w:val="24"/>
        </w:rPr>
        <w:t xml:space="preserve">účelem experimentu. </w:t>
      </w:r>
    </w:p>
    <w:p w14:paraId="6863B569" w14:textId="77777777" w:rsidR="00C3781A" w:rsidRDefault="0026415D" w:rsidP="0072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19">
        <w:rPr>
          <w:rFonts w:ascii="Times New Roman" w:hAnsi="Times New Roman" w:cs="Times New Roman"/>
          <w:sz w:val="24"/>
          <w:szCs w:val="24"/>
        </w:rPr>
        <w:t>Studie přišla se stejnými výsledky jako původní.</w:t>
      </w:r>
      <w:r w:rsidR="00D44968" w:rsidRPr="00720419">
        <w:rPr>
          <w:rFonts w:ascii="Times New Roman" w:hAnsi="Times New Roman" w:cs="Times New Roman"/>
          <w:sz w:val="24"/>
          <w:szCs w:val="24"/>
        </w:rPr>
        <w:t xml:space="preserve">  V základních podmínkách bylo testováno 40 účastníků, z nichž 12</w:t>
      </w:r>
      <w:r w:rsidR="00C13CBA">
        <w:rPr>
          <w:rFonts w:ascii="Times New Roman" w:hAnsi="Times New Roman" w:cs="Times New Roman"/>
          <w:sz w:val="24"/>
          <w:szCs w:val="24"/>
        </w:rPr>
        <w:t xml:space="preserve"> </w:t>
      </w:r>
      <w:r w:rsidR="00D44968" w:rsidRPr="00720419">
        <w:rPr>
          <w:rFonts w:ascii="Times New Roman" w:hAnsi="Times New Roman" w:cs="Times New Roman"/>
          <w:sz w:val="24"/>
          <w:szCs w:val="24"/>
        </w:rPr>
        <w:t>ukončilo experiment před dosažením hranice 150V</w:t>
      </w:r>
      <w:r w:rsidR="00BC3F68" w:rsidRPr="00720419">
        <w:rPr>
          <w:rFonts w:ascii="Times New Roman" w:hAnsi="Times New Roman" w:cs="Times New Roman"/>
          <w:sz w:val="24"/>
          <w:szCs w:val="24"/>
        </w:rPr>
        <w:t>.</w:t>
      </w:r>
      <w:r w:rsidR="00D44968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1A2B9B" w:rsidRPr="00720419">
        <w:rPr>
          <w:rFonts w:ascii="Times New Roman" w:hAnsi="Times New Roman" w:cs="Times New Roman"/>
          <w:sz w:val="24"/>
          <w:szCs w:val="24"/>
        </w:rPr>
        <w:t>Z</w:t>
      </w:r>
      <w:r w:rsidR="00D44968" w:rsidRPr="00720419">
        <w:rPr>
          <w:rFonts w:ascii="Times New Roman" w:hAnsi="Times New Roman" w:cs="Times New Roman"/>
          <w:sz w:val="24"/>
          <w:szCs w:val="24"/>
        </w:rPr>
        <w:t>bylých 28</w:t>
      </w:r>
      <w:r w:rsidR="001A2B9B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E66A07" w:rsidRPr="00720419">
        <w:rPr>
          <w:rFonts w:ascii="Times New Roman" w:hAnsi="Times New Roman" w:cs="Times New Roman"/>
          <w:sz w:val="24"/>
          <w:szCs w:val="24"/>
        </w:rPr>
        <w:t xml:space="preserve">účastníků </w:t>
      </w:r>
      <w:r w:rsidR="00BC3F68" w:rsidRPr="00720419">
        <w:rPr>
          <w:rFonts w:ascii="Times New Roman" w:hAnsi="Times New Roman" w:cs="Times New Roman"/>
          <w:sz w:val="24"/>
          <w:szCs w:val="24"/>
        </w:rPr>
        <w:t xml:space="preserve">pokračovalo až na </w:t>
      </w:r>
      <w:r w:rsidR="00D44968" w:rsidRPr="00720419">
        <w:rPr>
          <w:rFonts w:ascii="Times New Roman" w:hAnsi="Times New Roman" w:cs="Times New Roman"/>
          <w:sz w:val="24"/>
          <w:szCs w:val="24"/>
        </w:rPr>
        <w:t>hranici</w:t>
      </w:r>
      <w:r w:rsidR="00BC3F68" w:rsidRPr="00720419">
        <w:rPr>
          <w:rFonts w:ascii="Times New Roman" w:hAnsi="Times New Roman" w:cs="Times New Roman"/>
          <w:sz w:val="24"/>
          <w:szCs w:val="24"/>
        </w:rPr>
        <w:t xml:space="preserve"> 150V a museli být zastaveni</w:t>
      </w:r>
      <w:r w:rsidR="00C13CBA">
        <w:rPr>
          <w:rFonts w:ascii="Times New Roman" w:hAnsi="Times New Roman" w:cs="Times New Roman"/>
          <w:sz w:val="24"/>
          <w:szCs w:val="24"/>
        </w:rPr>
        <w:t xml:space="preserve"> experimentátorem. V druhé variantě </w:t>
      </w:r>
      <w:r w:rsidR="00E66A07" w:rsidRPr="00720419">
        <w:rPr>
          <w:rFonts w:ascii="Times New Roman" w:hAnsi="Times New Roman" w:cs="Times New Roman"/>
          <w:sz w:val="24"/>
          <w:szCs w:val="24"/>
        </w:rPr>
        <w:t xml:space="preserve">11 účastníků </w:t>
      </w:r>
      <w:r w:rsidR="0059258E" w:rsidRPr="00720419">
        <w:rPr>
          <w:rFonts w:ascii="Times New Roman" w:hAnsi="Times New Roman" w:cs="Times New Roman"/>
          <w:sz w:val="24"/>
          <w:szCs w:val="24"/>
        </w:rPr>
        <w:t>z</w:t>
      </w:r>
      <w:r w:rsidR="00C13CBA">
        <w:rPr>
          <w:rFonts w:ascii="Times New Roman" w:hAnsi="Times New Roman" w:cs="Times New Roman"/>
          <w:sz w:val="24"/>
          <w:szCs w:val="24"/>
        </w:rPr>
        <w:t xml:space="preserve"> 30</w:t>
      </w:r>
      <w:r w:rsidR="00E66A07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C13CBA">
        <w:rPr>
          <w:rFonts w:ascii="Times New Roman" w:hAnsi="Times New Roman" w:cs="Times New Roman"/>
          <w:sz w:val="24"/>
          <w:szCs w:val="24"/>
        </w:rPr>
        <w:t xml:space="preserve">ukončilo experiment dříve a 19 </w:t>
      </w:r>
      <w:r w:rsidR="00BC3F68" w:rsidRPr="00720419">
        <w:rPr>
          <w:rFonts w:ascii="Times New Roman" w:hAnsi="Times New Roman" w:cs="Times New Roman"/>
          <w:sz w:val="24"/>
          <w:szCs w:val="24"/>
        </w:rPr>
        <w:t>pokračovalo k nejvyšší</w:t>
      </w:r>
      <w:r w:rsidR="00A25824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FE5B9B">
        <w:rPr>
          <w:rFonts w:ascii="Times New Roman" w:hAnsi="Times New Roman" w:cs="Times New Roman"/>
          <w:sz w:val="24"/>
          <w:szCs w:val="24"/>
        </w:rPr>
        <w:t xml:space="preserve">možné </w:t>
      </w:r>
      <w:r w:rsidR="00A25824" w:rsidRPr="00720419">
        <w:rPr>
          <w:rFonts w:ascii="Times New Roman" w:hAnsi="Times New Roman" w:cs="Times New Roman"/>
          <w:sz w:val="24"/>
          <w:szCs w:val="24"/>
        </w:rPr>
        <w:t>hranici.</w:t>
      </w:r>
      <w:r w:rsidR="00C13CBA">
        <w:rPr>
          <w:rFonts w:ascii="Times New Roman" w:hAnsi="Times New Roman" w:cs="Times New Roman"/>
          <w:sz w:val="24"/>
          <w:szCs w:val="24"/>
        </w:rPr>
        <w:t xml:space="preserve"> Při nepoměru počtu</w:t>
      </w:r>
      <w:r w:rsidR="00FE5B9B">
        <w:rPr>
          <w:rFonts w:ascii="Times New Roman" w:hAnsi="Times New Roman" w:cs="Times New Roman"/>
          <w:sz w:val="24"/>
          <w:szCs w:val="24"/>
        </w:rPr>
        <w:t xml:space="preserve"> účastníků je rozdíl v poslušnosti mezi oběma variantami pouze nepatrný.</w:t>
      </w:r>
      <w:r w:rsidR="00A25824" w:rsidRPr="00720419">
        <w:rPr>
          <w:rFonts w:ascii="Times New Roman" w:hAnsi="Times New Roman" w:cs="Times New Roman"/>
          <w:sz w:val="24"/>
          <w:szCs w:val="24"/>
        </w:rPr>
        <w:t xml:space="preserve"> V původním experimentu pokus uko</w:t>
      </w:r>
      <w:r w:rsidR="00FE5B9B">
        <w:rPr>
          <w:rFonts w:ascii="Times New Roman" w:hAnsi="Times New Roman" w:cs="Times New Roman"/>
          <w:sz w:val="24"/>
          <w:szCs w:val="24"/>
        </w:rPr>
        <w:t>nčilo dříve 7 účastníků a dále jich pokračovalo 33. Přestože se rozdíl pokračujících do nejvyššího stupně šoku mezi Burgerovými (</w:t>
      </w:r>
      <w:r w:rsidR="00A25824" w:rsidRPr="00720419">
        <w:rPr>
          <w:rFonts w:ascii="Times New Roman" w:hAnsi="Times New Roman" w:cs="Times New Roman"/>
          <w:sz w:val="24"/>
          <w:szCs w:val="24"/>
        </w:rPr>
        <w:t>70 %</w:t>
      </w:r>
      <w:r w:rsidR="00FE5B9B">
        <w:rPr>
          <w:rFonts w:ascii="Times New Roman" w:hAnsi="Times New Roman" w:cs="Times New Roman"/>
          <w:sz w:val="24"/>
          <w:szCs w:val="24"/>
        </w:rPr>
        <w:t>)</w:t>
      </w:r>
      <w:r w:rsidR="00A25824" w:rsidRPr="007204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E5B9B">
        <w:rPr>
          <w:rFonts w:ascii="Times New Roman" w:hAnsi="Times New Roman" w:cs="Times New Roman"/>
          <w:sz w:val="24"/>
          <w:szCs w:val="24"/>
        </w:rPr>
        <w:t>Milgramovými</w:t>
      </w:r>
      <w:proofErr w:type="spellEnd"/>
      <w:r w:rsidR="00FE5B9B">
        <w:rPr>
          <w:rFonts w:ascii="Times New Roman" w:hAnsi="Times New Roman" w:cs="Times New Roman"/>
          <w:sz w:val="24"/>
          <w:szCs w:val="24"/>
        </w:rPr>
        <w:t xml:space="preserve"> (</w:t>
      </w:r>
      <w:r w:rsidR="00A25824" w:rsidRPr="00720419">
        <w:rPr>
          <w:rFonts w:ascii="Times New Roman" w:hAnsi="Times New Roman" w:cs="Times New Roman"/>
          <w:sz w:val="24"/>
          <w:szCs w:val="24"/>
        </w:rPr>
        <w:t>82,5 %</w:t>
      </w:r>
      <w:r w:rsidR="00FE5B9B">
        <w:rPr>
          <w:rFonts w:ascii="Times New Roman" w:hAnsi="Times New Roman" w:cs="Times New Roman"/>
          <w:sz w:val="24"/>
          <w:szCs w:val="24"/>
        </w:rPr>
        <w:t>) výsledky</w:t>
      </w:r>
      <w:r w:rsidR="00A25824" w:rsidRPr="00720419">
        <w:rPr>
          <w:rFonts w:ascii="Times New Roman" w:hAnsi="Times New Roman" w:cs="Times New Roman"/>
          <w:sz w:val="24"/>
          <w:szCs w:val="24"/>
        </w:rPr>
        <w:t xml:space="preserve"> může zdát velký, vezmeme-li </w:t>
      </w:r>
      <w:r w:rsidR="0059258E" w:rsidRPr="00720419">
        <w:rPr>
          <w:rFonts w:ascii="Times New Roman" w:hAnsi="Times New Roman" w:cs="Times New Roman"/>
          <w:sz w:val="24"/>
          <w:szCs w:val="24"/>
        </w:rPr>
        <w:t>v úvahu počty participantů (70 vs.</w:t>
      </w:r>
      <w:r w:rsidR="00A25824" w:rsidRPr="00720419">
        <w:rPr>
          <w:rFonts w:ascii="Times New Roman" w:hAnsi="Times New Roman" w:cs="Times New Roman"/>
          <w:sz w:val="24"/>
          <w:szCs w:val="24"/>
        </w:rPr>
        <w:t xml:space="preserve"> 40), pak </w:t>
      </w:r>
      <w:commentRangeStart w:id="0"/>
      <w:r w:rsidR="00A25824" w:rsidRPr="00720419">
        <w:rPr>
          <w:rFonts w:ascii="Times New Roman" w:hAnsi="Times New Roman" w:cs="Times New Roman"/>
          <w:sz w:val="24"/>
          <w:szCs w:val="24"/>
        </w:rPr>
        <w:t xml:space="preserve">statisticky není příliš významný. </w:t>
      </w:r>
      <w:commentRangeEnd w:id="0"/>
      <w:r w:rsidR="00DB0AC0">
        <w:rPr>
          <w:rStyle w:val="Odkaznakoment"/>
        </w:rPr>
        <w:commentReference w:id="0"/>
      </w:r>
      <w:r w:rsidR="002F4197" w:rsidRPr="00720419">
        <w:rPr>
          <w:rFonts w:ascii="Times New Roman" w:hAnsi="Times New Roman" w:cs="Times New Roman"/>
          <w:sz w:val="24"/>
          <w:szCs w:val="24"/>
        </w:rPr>
        <w:t>Burger nenašel žádný</w:t>
      </w:r>
      <w:r w:rsidR="00771A94">
        <w:rPr>
          <w:rFonts w:ascii="Times New Roman" w:hAnsi="Times New Roman" w:cs="Times New Roman"/>
          <w:sz w:val="24"/>
          <w:szCs w:val="24"/>
        </w:rPr>
        <w:t xml:space="preserve"> podstatný</w:t>
      </w:r>
      <w:r w:rsidR="002F4197" w:rsidRPr="00720419">
        <w:rPr>
          <w:rFonts w:ascii="Times New Roman" w:hAnsi="Times New Roman" w:cs="Times New Roman"/>
          <w:sz w:val="24"/>
          <w:szCs w:val="24"/>
        </w:rPr>
        <w:t xml:space="preserve"> rozdíl mezi muži a žen</w:t>
      </w:r>
      <w:r w:rsidR="00D3683D" w:rsidRPr="00720419">
        <w:rPr>
          <w:rFonts w:ascii="Times New Roman" w:hAnsi="Times New Roman" w:cs="Times New Roman"/>
          <w:sz w:val="24"/>
          <w:szCs w:val="24"/>
        </w:rPr>
        <w:t>ami</w:t>
      </w:r>
      <w:r w:rsidR="00A60346">
        <w:rPr>
          <w:rFonts w:ascii="Times New Roman" w:hAnsi="Times New Roman" w:cs="Times New Roman"/>
          <w:sz w:val="24"/>
          <w:szCs w:val="24"/>
        </w:rPr>
        <w:t xml:space="preserve">. </w:t>
      </w:r>
      <w:r w:rsidR="00C13CBA">
        <w:rPr>
          <w:rFonts w:ascii="Times New Roman" w:hAnsi="Times New Roman" w:cs="Times New Roman"/>
          <w:sz w:val="24"/>
          <w:szCs w:val="24"/>
        </w:rPr>
        <w:t>Věk, etnicita ani míra vzdělání neměli v experimentu významnou roli.</w:t>
      </w:r>
      <w:r w:rsidR="009D3D36" w:rsidRPr="00720419">
        <w:rPr>
          <w:rFonts w:ascii="Times New Roman" w:hAnsi="Times New Roman" w:cs="Times New Roman"/>
          <w:sz w:val="24"/>
          <w:szCs w:val="24"/>
        </w:rPr>
        <w:t xml:space="preserve"> </w:t>
      </w:r>
      <w:r w:rsidR="00A60346">
        <w:rPr>
          <w:rFonts w:ascii="Times New Roman" w:hAnsi="Times New Roman" w:cs="Times New Roman"/>
          <w:sz w:val="24"/>
          <w:szCs w:val="24"/>
        </w:rPr>
        <w:t xml:space="preserve">Míra empatie se nijak významně nelišila před hranicí 150V ani za ní. Naopak touha po kontrole se projevila, participantům, kteří ukončili své působení u hranice </w:t>
      </w:r>
      <w:proofErr w:type="gramStart"/>
      <w:r w:rsidR="00A60346">
        <w:rPr>
          <w:rFonts w:ascii="Times New Roman" w:hAnsi="Times New Roman" w:cs="Times New Roman"/>
          <w:sz w:val="24"/>
          <w:szCs w:val="24"/>
        </w:rPr>
        <w:t>150V</w:t>
      </w:r>
      <w:proofErr w:type="gramEnd"/>
      <w:r w:rsidR="00A60346">
        <w:rPr>
          <w:rFonts w:ascii="Times New Roman" w:hAnsi="Times New Roman" w:cs="Times New Roman"/>
          <w:sz w:val="24"/>
          <w:szCs w:val="24"/>
        </w:rPr>
        <w:t xml:space="preserve"> byla naměřena </w:t>
      </w:r>
      <w:commentRangeStart w:id="1"/>
      <w:r w:rsidR="00A60346">
        <w:rPr>
          <w:rFonts w:ascii="Times New Roman" w:hAnsi="Times New Roman" w:cs="Times New Roman"/>
          <w:sz w:val="24"/>
          <w:szCs w:val="24"/>
        </w:rPr>
        <w:t>nižší míra</w:t>
      </w:r>
      <w:commentRangeEnd w:id="1"/>
      <w:r w:rsidR="00DB0AC0">
        <w:rPr>
          <w:rStyle w:val="Odkaznakoment"/>
        </w:rPr>
        <w:commentReference w:id="1"/>
      </w:r>
      <w:r w:rsidR="00A603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36E5C" w14:textId="77777777" w:rsidR="00254262" w:rsidRPr="00720419" w:rsidRDefault="00254262" w:rsidP="0072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Burgerova replikace je významná, protože dokazuje, že lidé jsou stále schopni způsobit bolest další osobě jen proto, že jim k tomu někdo dal „rozkaz“. </w:t>
      </w:r>
    </w:p>
    <w:p w14:paraId="541DAADE" w14:textId="77777777" w:rsidR="00C3781A" w:rsidRDefault="00C3781A" w:rsidP="00720419">
      <w:pPr>
        <w:rPr>
          <w:rFonts w:ascii="Times New Roman" w:hAnsi="Times New Roman" w:cs="Times New Roman"/>
          <w:szCs w:val="24"/>
        </w:rPr>
      </w:pPr>
    </w:p>
    <w:p w14:paraId="1130F2A0" w14:textId="77777777" w:rsidR="00C3781A" w:rsidRDefault="00C3781A" w:rsidP="00720419">
      <w:pPr>
        <w:rPr>
          <w:rFonts w:ascii="Times New Roman" w:hAnsi="Times New Roman" w:cs="Times New Roman"/>
          <w:szCs w:val="24"/>
        </w:rPr>
      </w:pPr>
    </w:p>
    <w:p w14:paraId="1DD88DCA" w14:textId="77777777" w:rsidR="000A41EA" w:rsidRDefault="000A41EA" w:rsidP="00720419">
      <w:pPr>
        <w:rPr>
          <w:rFonts w:ascii="Times New Roman" w:hAnsi="Times New Roman" w:cs="Times New Roman"/>
          <w:szCs w:val="24"/>
        </w:rPr>
      </w:pPr>
    </w:p>
    <w:p w14:paraId="17C43190" w14:textId="77777777" w:rsidR="00C3781A" w:rsidRDefault="00C3781A" w:rsidP="0072041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Přílohy:</w:t>
      </w:r>
    </w:p>
    <w:tbl>
      <w:tblPr>
        <w:tblStyle w:val="Mkatabulky"/>
        <w:tblpPr w:leftFromText="141" w:rightFromText="141" w:vertAnchor="text" w:horzAnchor="margin" w:tblpY="264"/>
        <w:tblW w:w="9747" w:type="dxa"/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550"/>
      </w:tblGrid>
      <w:tr w:rsidR="00C3781A" w:rsidRPr="00720419" w14:paraId="108AA221" w14:textId="77777777" w:rsidTr="00C3781A">
        <w:trPr>
          <w:trHeight w:val="526"/>
        </w:trPr>
        <w:tc>
          <w:tcPr>
            <w:tcW w:w="2399" w:type="dxa"/>
          </w:tcPr>
          <w:p w14:paraId="5CAE171C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b/>
                <w:sz w:val="24"/>
                <w:szCs w:val="24"/>
              </w:rPr>
              <w:t>Chování</w:t>
            </w:r>
          </w:p>
        </w:tc>
        <w:tc>
          <w:tcPr>
            <w:tcW w:w="2399" w:type="dxa"/>
          </w:tcPr>
          <w:p w14:paraId="1DB9770C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b/>
                <w:sz w:val="24"/>
                <w:szCs w:val="24"/>
              </w:rPr>
              <w:t>Základní podmínky</w:t>
            </w:r>
          </w:p>
        </w:tc>
        <w:tc>
          <w:tcPr>
            <w:tcW w:w="2399" w:type="dxa"/>
          </w:tcPr>
          <w:p w14:paraId="6F18D415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b/>
                <w:sz w:val="24"/>
                <w:szCs w:val="24"/>
              </w:rPr>
              <w:t>Model odmítnutí</w:t>
            </w:r>
          </w:p>
        </w:tc>
        <w:tc>
          <w:tcPr>
            <w:tcW w:w="2550" w:type="dxa"/>
          </w:tcPr>
          <w:p w14:paraId="268D29D5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0419">
              <w:rPr>
                <w:rFonts w:ascii="Times New Roman" w:hAnsi="Times New Roman" w:cs="Times New Roman"/>
                <w:b/>
                <w:sz w:val="24"/>
                <w:szCs w:val="24"/>
              </w:rPr>
              <w:t>Milgramova</w:t>
            </w:r>
            <w:proofErr w:type="spellEnd"/>
            <w:r w:rsidRPr="0072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varianta č. 5</w:t>
            </w:r>
          </w:p>
        </w:tc>
      </w:tr>
      <w:tr w:rsidR="00C3781A" w:rsidRPr="00720419" w14:paraId="61A870F3" w14:textId="77777777" w:rsidTr="00C3781A">
        <w:trPr>
          <w:trHeight w:val="526"/>
        </w:trPr>
        <w:tc>
          <w:tcPr>
            <w:tcW w:w="2399" w:type="dxa"/>
          </w:tcPr>
          <w:p w14:paraId="317A85FC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Ukončeno před hranicí 150V nebo dříve</w:t>
            </w:r>
          </w:p>
        </w:tc>
        <w:tc>
          <w:tcPr>
            <w:tcW w:w="2399" w:type="dxa"/>
          </w:tcPr>
          <w:p w14:paraId="4472DEA7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sz w:val="24"/>
                <w:szCs w:val="24"/>
              </w:rPr>
              <w:t>12 (30 %)</w:t>
            </w:r>
          </w:p>
        </w:tc>
        <w:tc>
          <w:tcPr>
            <w:tcW w:w="2399" w:type="dxa"/>
          </w:tcPr>
          <w:p w14:paraId="05D478CD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sz w:val="24"/>
                <w:szCs w:val="24"/>
              </w:rPr>
              <w:t>11 (36.7 %)</w:t>
            </w:r>
          </w:p>
        </w:tc>
        <w:tc>
          <w:tcPr>
            <w:tcW w:w="2550" w:type="dxa"/>
          </w:tcPr>
          <w:p w14:paraId="432AF291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sz w:val="24"/>
                <w:szCs w:val="24"/>
              </w:rPr>
              <w:t>7 (17.5 %)</w:t>
            </w:r>
          </w:p>
        </w:tc>
      </w:tr>
      <w:tr w:rsidR="00C3781A" w:rsidRPr="00720419" w14:paraId="54ACB725" w14:textId="77777777" w:rsidTr="00C3781A">
        <w:trPr>
          <w:trHeight w:val="279"/>
        </w:trPr>
        <w:tc>
          <w:tcPr>
            <w:tcW w:w="2399" w:type="dxa"/>
          </w:tcPr>
          <w:p w14:paraId="16021709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b/>
                <w:sz w:val="24"/>
                <w:szCs w:val="24"/>
              </w:rPr>
              <w:t>Pokračující do 150V</w:t>
            </w:r>
          </w:p>
        </w:tc>
        <w:tc>
          <w:tcPr>
            <w:tcW w:w="2399" w:type="dxa"/>
          </w:tcPr>
          <w:p w14:paraId="693A784D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sz w:val="24"/>
                <w:szCs w:val="24"/>
              </w:rPr>
              <w:t>28 (70 %)</w:t>
            </w:r>
          </w:p>
        </w:tc>
        <w:tc>
          <w:tcPr>
            <w:tcW w:w="2399" w:type="dxa"/>
          </w:tcPr>
          <w:p w14:paraId="03261F7B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sz w:val="24"/>
                <w:szCs w:val="24"/>
              </w:rPr>
              <w:t>19 (63.3 %)</w:t>
            </w:r>
          </w:p>
        </w:tc>
        <w:tc>
          <w:tcPr>
            <w:tcW w:w="2550" w:type="dxa"/>
          </w:tcPr>
          <w:p w14:paraId="68926EAC" w14:textId="77777777" w:rsidR="00C3781A" w:rsidRPr="00720419" w:rsidRDefault="00C3781A" w:rsidP="00C3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19">
              <w:rPr>
                <w:rFonts w:ascii="Times New Roman" w:hAnsi="Times New Roman" w:cs="Times New Roman"/>
                <w:sz w:val="24"/>
                <w:szCs w:val="24"/>
              </w:rPr>
              <w:t>33 (82.5 %)</w:t>
            </w:r>
          </w:p>
        </w:tc>
      </w:tr>
    </w:tbl>
    <w:p w14:paraId="00FADE30" w14:textId="77777777" w:rsidR="002C2D7C" w:rsidRPr="00C3781A" w:rsidRDefault="00C3781A">
      <w:pPr>
        <w:rPr>
          <w:rFonts w:ascii="Times New Roman" w:hAnsi="Times New Roman" w:cs="Times New Roman"/>
          <w:szCs w:val="24"/>
        </w:rPr>
      </w:pPr>
      <w:r w:rsidRPr="00C3781A">
        <w:rPr>
          <w:rFonts w:ascii="Times New Roman" w:hAnsi="Times New Roman" w:cs="Times New Roman"/>
          <w:szCs w:val="24"/>
        </w:rPr>
        <w:t>Tabulka č. 1 výsledky jednotlivých experimentů</w:t>
      </w:r>
    </w:p>
    <w:p w14:paraId="332A7F73" w14:textId="77777777" w:rsidR="007E3184" w:rsidRDefault="00CA7B81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059DBA1" wp14:editId="224B910C">
            <wp:simplePos x="0" y="0"/>
            <wp:positionH relativeFrom="column">
              <wp:posOffset>-360045</wp:posOffset>
            </wp:positionH>
            <wp:positionV relativeFrom="paragraph">
              <wp:posOffset>25400</wp:posOffset>
            </wp:positionV>
            <wp:extent cx="4572000" cy="2743200"/>
            <wp:effectExtent l="0" t="0" r="19050" b="19050"/>
            <wp:wrapSquare wrapText="bothSides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83879" w14:textId="77777777" w:rsidR="007E3184" w:rsidRPr="009D7823" w:rsidRDefault="00C3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 č. 1</w:t>
      </w:r>
      <w:r w:rsidR="00CA7B81" w:rsidRPr="009D7823">
        <w:rPr>
          <w:rFonts w:ascii="Times New Roman" w:hAnsi="Times New Roman" w:cs="Times New Roman"/>
        </w:rPr>
        <w:t xml:space="preserve"> procenta participantů, kteří nepokračovali (&gt;150V) a pokračovali (&lt;150V) podle pohlaví</w:t>
      </w:r>
    </w:p>
    <w:p w14:paraId="394B22D5" w14:textId="77777777" w:rsidR="007E3184" w:rsidRDefault="007E3184"/>
    <w:p w14:paraId="12840F4D" w14:textId="77777777" w:rsidR="007E3184" w:rsidRDefault="007E3184"/>
    <w:p w14:paraId="6F4BB2D8" w14:textId="77777777" w:rsidR="00CA7B81" w:rsidRDefault="00CA7B81"/>
    <w:p w14:paraId="4618F950" w14:textId="77777777" w:rsidR="00CA7B81" w:rsidRDefault="00CA7B81"/>
    <w:p w14:paraId="47213AD1" w14:textId="77777777" w:rsidR="007E3184" w:rsidRDefault="00CA7B81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8083FDE" wp14:editId="7F86FE90">
            <wp:simplePos x="0" y="0"/>
            <wp:positionH relativeFrom="column">
              <wp:posOffset>-4670425</wp:posOffset>
            </wp:positionH>
            <wp:positionV relativeFrom="paragraph">
              <wp:posOffset>249555</wp:posOffset>
            </wp:positionV>
            <wp:extent cx="4578350" cy="2694305"/>
            <wp:effectExtent l="0" t="0" r="12700" b="10795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A4C13" w14:textId="77777777" w:rsidR="007E3184" w:rsidRPr="009D7823" w:rsidRDefault="00C37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Graf č. 2</w:t>
      </w:r>
      <w:r w:rsidR="00CA7B81" w:rsidRPr="009D7823">
        <w:rPr>
          <w:rFonts w:ascii="Times New Roman" w:hAnsi="Times New Roman" w:cs="Times New Roman"/>
        </w:rPr>
        <w:t xml:space="preserve"> procenta participantů, kteří nepokračovali (&gt;150V) a pokračovali (&lt;150V) podle pohlaví</w:t>
      </w:r>
    </w:p>
    <w:p w14:paraId="31A5612D" w14:textId="77777777" w:rsidR="00451152" w:rsidRDefault="00451152"/>
    <w:p w14:paraId="308DC0E2" w14:textId="77777777" w:rsidR="00451152" w:rsidRDefault="00451152"/>
    <w:p w14:paraId="492D6728" w14:textId="77777777" w:rsidR="00451152" w:rsidRDefault="00451152"/>
    <w:p w14:paraId="6DDB4730" w14:textId="77777777" w:rsidR="00451152" w:rsidRDefault="00451152"/>
    <w:p w14:paraId="1046FE97" w14:textId="77777777" w:rsidR="00B724D7" w:rsidRDefault="00B724D7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0EA1ADF7" w14:textId="77777777" w:rsidR="00451152" w:rsidRPr="009D7823" w:rsidRDefault="00451152" w:rsidP="009D7823">
      <w:pPr>
        <w:pStyle w:val="Nadpis1"/>
        <w:jc w:val="both"/>
        <w:rPr>
          <w:rFonts w:ascii="Times New Roman" w:hAnsi="Times New Roman" w:cs="Times New Roman"/>
        </w:rPr>
      </w:pPr>
      <w:r w:rsidRPr="009D7823">
        <w:rPr>
          <w:rFonts w:ascii="Times New Roman" w:hAnsi="Times New Roman" w:cs="Times New Roman"/>
        </w:rPr>
        <w:lastRenderedPageBreak/>
        <w:t xml:space="preserve">Zdroje </w:t>
      </w:r>
    </w:p>
    <w:p w14:paraId="6B9B9EAA" w14:textId="77777777" w:rsidR="009D7823" w:rsidRPr="009D7823" w:rsidRDefault="009D7823" w:rsidP="009D7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823">
        <w:rPr>
          <w:rFonts w:ascii="Times New Roman" w:hAnsi="Times New Roman" w:cs="Times New Roman"/>
          <w:sz w:val="24"/>
          <w:szCs w:val="24"/>
        </w:rPr>
        <w:t xml:space="preserve">Burger, J. M. (2009).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Replicating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Milgram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Obey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 xml:space="preserve">? </w:t>
      </w:r>
      <w:r w:rsidR="00B724D7">
        <w:rPr>
          <w:rFonts w:ascii="Times New Roman" w:hAnsi="Times New Roman" w:cs="Times New Roman"/>
          <w:i/>
          <w:sz w:val="24"/>
          <w:szCs w:val="24"/>
        </w:rPr>
        <w:t xml:space="preserve">America </w:t>
      </w:r>
      <w:proofErr w:type="spellStart"/>
      <w:r w:rsidR="00B724D7">
        <w:rPr>
          <w:rFonts w:ascii="Times New Roman" w:hAnsi="Times New Roman" w:cs="Times New Roman"/>
          <w:i/>
          <w:sz w:val="24"/>
          <w:szCs w:val="24"/>
        </w:rPr>
        <w:t>Psychologist</w:t>
      </w:r>
      <w:proofErr w:type="spellEnd"/>
      <w:r w:rsidR="00B724D7">
        <w:rPr>
          <w:rFonts w:ascii="Times New Roman" w:hAnsi="Times New Roman" w:cs="Times New Roman"/>
          <w:i/>
          <w:sz w:val="24"/>
          <w:szCs w:val="24"/>
        </w:rPr>
        <w:t>, 64</w:t>
      </w:r>
      <w:r w:rsidRPr="009D7823">
        <w:rPr>
          <w:rFonts w:ascii="Times New Roman" w:hAnsi="Times New Roman" w:cs="Times New Roman"/>
          <w:i/>
          <w:sz w:val="24"/>
          <w:szCs w:val="24"/>
        </w:rPr>
        <w:t xml:space="preserve"> (1)</w:t>
      </w:r>
      <w:r w:rsidRPr="009D7823">
        <w:rPr>
          <w:rFonts w:ascii="Times New Roman" w:hAnsi="Times New Roman" w:cs="Times New Roman"/>
          <w:sz w:val="24"/>
          <w:szCs w:val="24"/>
        </w:rPr>
        <w:t>, 1-11. DOI: 10.1037/a0010932</w:t>
      </w:r>
    </w:p>
    <w:p w14:paraId="4C22D9F7" w14:textId="77777777" w:rsidR="008D116F" w:rsidRPr="009D7823" w:rsidRDefault="008D116F" w:rsidP="009D7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823">
        <w:rPr>
          <w:rFonts w:ascii="Times New Roman" w:hAnsi="Times New Roman" w:cs="Times New Roman"/>
          <w:sz w:val="24"/>
          <w:szCs w:val="24"/>
        </w:rPr>
        <w:t>Hendl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>, J. (2012). </w:t>
      </w:r>
      <w:commentRangeStart w:id="2"/>
      <w:r w:rsidRPr="009D7823">
        <w:rPr>
          <w:rFonts w:ascii="Times New Roman" w:hAnsi="Times New Roman" w:cs="Times New Roman"/>
          <w:i/>
          <w:iCs/>
          <w:sz w:val="24"/>
          <w:szCs w:val="24"/>
        </w:rPr>
        <w:t>Přehled</w:t>
      </w:r>
      <w:commentRangeEnd w:id="2"/>
      <w:r w:rsidR="00AB3218">
        <w:rPr>
          <w:rStyle w:val="Odkaznakoment"/>
        </w:rPr>
        <w:commentReference w:id="2"/>
      </w:r>
      <w:r w:rsidRPr="009D7823">
        <w:rPr>
          <w:rFonts w:ascii="Times New Roman" w:hAnsi="Times New Roman" w:cs="Times New Roman"/>
          <w:i/>
          <w:iCs/>
          <w:sz w:val="24"/>
          <w:szCs w:val="24"/>
        </w:rPr>
        <w:t xml:space="preserve"> statistických metod: analýza a </w:t>
      </w:r>
      <w:proofErr w:type="spellStart"/>
      <w:r w:rsidRPr="009D7823">
        <w:rPr>
          <w:rFonts w:ascii="Times New Roman" w:hAnsi="Times New Roman" w:cs="Times New Roman"/>
          <w:i/>
          <w:iCs/>
          <w:sz w:val="24"/>
          <w:szCs w:val="24"/>
        </w:rPr>
        <w:t>metaanalýza</w:t>
      </w:r>
      <w:proofErr w:type="spellEnd"/>
      <w:r w:rsidRPr="009D7823">
        <w:rPr>
          <w:rFonts w:ascii="Times New Roman" w:hAnsi="Times New Roman" w:cs="Times New Roman"/>
          <w:i/>
          <w:iCs/>
          <w:sz w:val="24"/>
          <w:szCs w:val="24"/>
        </w:rPr>
        <w:t xml:space="preserve"> dat</w:t>
      </w:r>
      <w:r w:rsidRPr="009D7823">
        <w:rPr>
          <w:rFonts w:ascii="Times New Roman" w:hAnsi="Times New Roman" w:cs="Times New Roman"/>
          <w:sz w:val="24"/>
          <w:szCs w:val="24"/>
        </w:rPr>
        <w:t xml:space="preserve"> (4., rozšířené </w:t>
      </w:r>
      <w:proofErr w:type="spellStart"/>
      <w:r w:rsidRPr="009D7823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9D7823">
        <w:rPr>
          <w:rFonts w:ascii="Times New Roman" w:hAnsi="Times New Roman" w:cs="Times New Roman"/>
          <w:sz w:val="24"/>
          <w:szCs w:val="24"/>
        </w:rPr>
        <w:t>). Praha: Portál.</w:t>
      </w:r>
    </w:p>
    <w:p w14:paraId="7010BC75" w14:textId="77777777" w:rsidR="008D116F" w:rsidRPr="009D7823" w:rsidRDefault="008D116F" w:rsidP="009D782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23">
        <w:rPr>
          <w:rFonts w:ascii="Times New Roman" w:hAnsi="Times New Roman" w:cs="Times New Roman"/>
          <w:sz w:val="24"/>
          <w:szCs w:val="24"/>
        </w:rPr>
        <w:t xml:space="preserve">PSYCHLOGYWIZARD.NET. </w:t>
      </w:r>
      <w:r w:rsidRPr="009D7823">
        <w:rPr>
          <w:rFonts w:ascii="Times New Roman" w:hAnsi="Times New Roman" w:cs="Times New Roman"/>
          <w:bCs/>
          <w:i/>
          <w:sz w:val="24"/>
          <w:szCs w:val="24"/>
        </w:rPr>
        <w:t xml:space="preserve">BURGER (2009) REPLICATING </w:t>
      </w:r>
      <w:proofErr w:type="gramStart"/>
      <w:r w:rsidRPr="009D7823">
        <w:rPr>
          <w:rFonts w:ascii="Times New Roman" w:hAnsi="Times New Roman" w:cs="Times New Roman"/>
          <w:bCs/>
          <w:i/>
          <w:sz w:val="24"/>
          <w:szCs w:val="24"/>
        </w:rPr>
        <w:t>MILGRAM</w:t>
      </w:r>
      <w:r w:rsidR="00347CD0" w:rsidRPr="009D782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47CD0" w:rsidRPr="009D7823">
        <w:rPr>
          <w:rFonts w:ascii="Times New Roman" w:hAnsi="Times New Roman" w:cs="Times New Roman"/>
          <w:bCs/>
          <w:sz w:val="24"/>
          <w:szCs w:val="24"/>
        </w:rPr>
        <w:t>[</w:t>
      </w:r>
      <w:commentRangeStart w:id="3"/>
      <w:proofErr w:type="gramEnd"/>
      <w:r w:rsidR="00347CD0" w:rsidRPr="009D7823">
        <w:rPr>
          <w:rFonts w:ascii="Times New Roman" w:hAnsi="Times New Roman" w:cs="Times New Roman"/>
          <w:bCs/>
          <w:sz w:val="24"/>
          <w:szCs w:val="24"/>
        </w:rPr>
        <w:t>online</w:t>
      </w:r>
      <w:commentRangeEnd w:id="3"/>
      <w:r w:rsidR="00AB3218">
        <w:rPr>
          <w:rStyle w:val="Odkaznakoment"/>
        </w:rPr>
        <w:commentReference w:id="3"/>
      </w:r>
      <w:r w:rsidR="00347CD0" w:rsidRPr="009D7823">
        <w:rPr>
          <w:rFonts w:ascii="Times New Roman" w:hAnsi="Times New Roman" w:cs="Times New Roman"/>
          <w:bCs/>
          <w:sz w:val="24"/>
          <w:szCs w:val="24"/>
        </w:rPr>
        <w:t xml:space="preserve">] [cit. 2019-05-01] Dostupné z: </w:t>
      </w:r>
      <w:hyperlink r:id="rId13" w:history="1">
        <w:r w:rsidR="00347CD0" w:rsidRPr="009D782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http://www.psycholo</w:t>
        </w:r>
        <w:r w:rsidR="00347CD0" w:rsidRPr="009D782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g</w:t>
        </w:r>
        <w:r w:rsidR="00347CD0" w:rsidRPr="009D782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ywizard.net/burger-ao1-ao3.html</w:t>
        </w:r>
      </w:hyperlink>
      <w:r w:rsidR="00347CD0" w:rsidRPr="009D78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D1ACBA4" w14:textId="77777777" w:rsidR="008D116F" w:rsidRPr="00AB3218" w:rsidRDefault="008D116F" w:rsidP="008D116F">
      <w:pPr>
        <w:rPr>
          <w:i/>
        </w:rPr>
      </w:pPr>
    </w:p>
    <w:p w14:paraId="1803253A" w14:textId="77777777" w:rsidR="008D116F" w:rsidRPr="00AB3218" w:rsidRDefault="00AB3218" w:rsidP="008D116F">
      <w:pPr>
        <w:rPr>
          <w:i/>
        </w:rPr>
      </w:pPr>
      <w:r w:rsidRPr="00AB3218">
        <w:rPr>
          <w:i/>
        </w:rPr>
        <w:t>Já vám těch 5 bodů za opravu dám, protože vidím, že jste toho změnila hodně. Al</w:t>
      </w:r>
      <w:bookmarkStart w:id="4" w:name="_GoBack"/>
      <w:bookmarkEnd w:id="4"/>
      <w:r w:rsidRPr="00AB3218">
        <w:rPr>
          <w:i/>
        </w:rPr>
        <w:t xml:space="preserve">e mrzí mě, že tam zůstala signifikance a zbytečné desetiny u relativních četností. </w:t>
      </w:r>
    </w:p>
    <w:p w14:paraId="4BB7E2F5" w14:textId="77777777" w:rsidR="00AB3218" w:rsidRPr="00AB3218" w:rsidRDefault="00AB3218" w:rsidP="008D116F">
      <w:pPr>
        <w:rPr>
          <w:i/>
        </w:rPr>
      </w:pPr>
      <w:r w:rsidRPr="00AB3218">
        <w:rPr>
          <w:i/>
        </w:rPr>
        <w:t>SJ</w:t>
      </w:r>
    </w:p>
    <w:sectPr w:rsidR="00AB3218" w:rsidRPr="00AB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nislav Ježek" w:date="2019-06-27T09:09:00Z" w:initials="SJ">
    <w:p w14:paraId="7CEC9EFF" w14:textId="77777777" w:rsidR="00DB0AC0" w:rsidRDefault="00DB0AC0">
      <w:pPr>
        <w:pStyle w:val="Textkomente"/>
      </w:pPr>
      <w:r>
        <w:rPr>
          <w:rStyle w:val="Odkaznakoment"/>
        </w:rPr>
        <w:annotationRef/>
      </w:r>
      <w:r>
        <w:t>Pořád totéž. Jak má čtenář vědět, co znamená statisticky významný?</w:t>
      </w:r>
    </w:p>
  </w:comment>
  <w:comment w:id="1" w:author="Stanislav Ježek" w:date="2019-06-27T09:10:00Z" w:initials="SJ">
    <w:p w14:paraId="1C9CA1F0" w14:textId="77777777" w:rsidR="00DB0AC0" w:rsidRDefault="00DB0AC0">
      <w:pPr>
        <w:pStyle w:val="Textkomente"/>
      </w:pPr>
      <w:r>
        <w:rPr>
          <w:rStyle w:val="Odkaznakoment"/>
        </w:rPr>
        <w:annotationRef/>
      </w:r>
      <w:r>
        <w:t>O moc, o málo? Když nenapíšete, jak byl rozdíl velký, čtenář si ho pravděpodobně bude představovat větší, než je.</w:t>
      </w:r>
    </w:p>
  </w:comment>
  <w:comment w:id="2" w:author="Stanislav Ježek" w:date="2019-06-27T09:18:00Z" w:initials="SJ">
    <w:p w14:paraId="3FFD2D0F" w14:textId="77777777" w:rsidR="00AB3218" w:rsidRDefault="00AB3218">
      <w:pPr>
        <w:pStyle w:val="Textkomente"/>
      </w:pPr>
      <w:r>
        <w:rPr>
          <w:rStyle w:val="Odkaznakoment"/>
        </w:rPr>
        <w:annotationRef/>
      </w:r>
      <w:r>
        <w:t xml:space="preserve">V akademickém textu je potřeba uvést, jakou myšlenku konkrétně jste z něj čerpala. </w:t>
      </w:r>
    </w:p>
    <w:p w14:paraId="6EB66D1E" w14:textId="77777777" w:rsidR="00AB3218" w:rsidRDefault="00AB3218">
      <w:pPr>
        <w:pStyle w:val="Textkomente"/>
      </w:pPr>
    </w:p>
  </w:comment>
  <w:comment w:id="3" w:author="Stanislav Ježek" w:date="2019-06-27T09:19:00Z" w:initials="SJ">
    <w:p w14:paraId="6784FB7A" w14:textId="77777777" w:rsidR="00AB3218" w:rsidRDefault="00AB3218">
      <w:pPr>
        <w:pStyle w:val="Textkomente"/>
      </w:pPr>
      <w:r>
        <w:rPr>
          <w:rStyle w:val="Odkaznakoment"/>
        </w:rPr>
        <w:annotationRef/>
      </w:r>
      <w:r>
        <w:t>A tady to platí také.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EC9EFF" w15:done="0"/>
  <w15:commentEx w15:paraId="1C9CA1F0" w15:done="0"/>
  <w15:commentEx w15:paraId="6EB66D1E" w15:done="0"/>
  <w15:commentEx w15:paraId="6784FB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EC9EFF" w16cid:durableId="20BF063B"/>
  <w16cid:commentId w16cid:paraId="1C9CA1F0" w16cid:durableId="20BF0695"/>
  <w16cid:commentId w16cid:paraId="6EB66D1E" w16cid:durableId="20BF087D"/>
  <w16cid:commentId w16cid:paraId="6784FB7A" w16cid:durableId="20BF08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ADD7" w14:textId="77777777" w:rsidR="0005233D" w:rsidRDefault="0005233D" w:rsidP="001D6C31">
      <w:pPr>
        <w:spacing w:after="0" w:line="240" w:lineRule="auto"/>
      </w:pPr>
      <w:r>
        <w:separator/>
      </w:r>
    </w:p>
  </w:endnote>
  <w:endnote w:type="continuationSeparator" w:id="0">
    <w:p w14:paraId="26043FF0" w14:textId="77777777" w:rsidR="0005233D" w:rsidRDefault="0005233D" w:rsidP="001D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4741" w14:textId="77777777" w:rsidR="0005233D" w:rsidRDefault="0005233D" w:rsidP="001D6C31">
      <w:pPr>
        <w:spacing w:after="0" w:line="240" w:lineRule="auto"/>
      </w:pPr>
      <w:r>
        <w:separator/>
      </w:r>
    </w:p>
  </w:footnote>
  <w:footnote w:type="continuationSeparator" w:id="0">
    <w:p w14:paraId="1415873C" w14:textId="77777777" w:rsidR="0005233D" w:rsidRDefault="0005233D" w:rsidP="001D6C3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nislav Ježek">
    <w15:presenceInfo w15:providerId="None" w15:userId="Stanislav Jež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D2"/>
    <w:rsid w:val="00051B40"/>
    <w:rsid w:val="0005233D"/>
    <w:rsid w:val="000A41EA"/>
    <w:rsid w:val="000B0BE1"/>
    <w:rsid w:val="001259F0"/>
    <w:rsid w:val="00144C48"/>
    <w:rsid w:val="00187886"/>
    <w:rsid w:val="001A2B9B"/>
    <w:rsid w:val="001D46FF"/>
    <w:rsid w:val="001D6C31"/>
    <w:rsid w:val="001F0C05"/>
    <w:rsid w:val="00230926"/>
    <w:rsid w:val="00254262"/>
    <w:rsid w:val="0026415D"/>
    <w:rsid w:val="002C2D7C"/>
    <w:rsid w:val="002E3005"/>
    <w:rsid w:val="002F4197"/>
    <w:rsid w:val="00324A1F"/>
    <w:rsid w:val="00326F89"/>
    <w:rsid w:val="00347CD0"/>
    <w:rsid w:val="00350FAB"/>
    <w:rsid w:val="003811C3"/>
    <w:rsid w:val="003E1657"/>
    <w:rsid w:val="004234F7"/>
    <w:rsid w:val="00451152"/>
    <w:rsid w:val="004831E0"/>
    <w:rsid w:val="004B31FB"/>
    <w:rsid w:val="004E7F4F"/>
    <w:rsid w:val="00506777"/>
    <w:rsid w:val="00557942"/>
    <w:rsid w:val="0059258E"/>
    <w:rsid w:val="005A320B"/>
    <w:rsid w:val="005B2064"/>
    <w:rsid w:val="005F0CB1"/>
    <w:rsid w:val="005F3F60"/>
    <w:rsid w:val="00603C04"/>
    <w:rsid w:val="006314E4"/>
    <w:rsid w:val="00635577"/>
    <w:rsid w:val="006701D8"/>
    <w:rsid w:val="00686554"/>
    <w:rsid w:val="006B28B0"/>
    <w:rsid w:val="006C6A9F"/>
    <w:rsid w:val="006D5279"/>
    <w:rsid w:val="006D6879"/>
    <w:rsid w:val="0071615A"/>
    <w:rsid w:val="00720419"/>
    <w:rsid w:val="00747CFB"/>
    <w:rsid w:val="00771A94"/>
    <w:rsid w:val="0077634D"/>
    <w:rsid w:val="00797DEA"/>
    <w:rsid w:val="007E0604"/>
    <w:rsid w:val="007E3184"/>
    <w:rsid w:val="00820FF4"/>
    <w:rsid w:val="008574AD"/>
    <w:rsid w:val="0087206A"/>
    <w:rsid w:val="008745AE"/>
    <w:rsid w:val="008A4353"/>
    <w:rsid w:val="008B7CCF"/>
    <w:rsid w:val="008D116F"/>
    <w:rsid w:val="008D267C"/>
    <w:rsid w:val="009013E7"/>
    <w:rsid w:val="009035A0"/>
    <w:rsid w:val="00926661"/>
    <w:rsid w:val="009271C8"/>
    <w:rsid w:val="00940F39"/>
    <w:rsid w:val="00947A19"/>
    <w:rsid w:val="0097050F"/>
    <w:rsid w:val="009A5656"/>
    <w:rsid w:val="009C1D99"/>
    <w:rsid w:val="009C7DD4"/>
    <w:rsid w:val="009D3D36"/>
    <w:rsid w:val="009D7823"/>
    <w:rsid w:val="009F2771"/>
    <w:rsid w:val="00A25824"/>
    <w:rsid w:val="00A57786"/>
    <w:rsid w:val="00A60346"/>
    <w:rsid w:val="00AB3218"/>
    <w:rsid w:val="00AC4799"/>
    <w:rsid w:val="00AF0189"/>
    <w:rsid w:val="00B252C0"/>
    <w:rsid w:val="00B3180B"/>
    <w:rsid w:val="00B724D7"/>
    <w:rsid w:val="00BA7FBD"/>
    <w:rsid w:val="00BC3F68"/>
    <w:rsid w:val="00BD3871"/>
    <w:rsid w:val="00C13CBA"/>
    <w:rsid w:val="00C3781A"/>
    <w:rsid w:val="00C87995"/>
    <w:rsid w:val="00CA7B81"/>
    <w:rsid w:val="00CB70D2"/>
    <w:rsid w:val="00CC3242"/>
    <w:rsid w:val="00CF7D7B"/>
    <w:rsid w:val="00D04787"/>
    <w:rsid w:val="00D342F9"/>
    <w:rsid w:val="00D3683D"/>
    <w:rsid w:val="00D44968"/>
    <w:rsid w:val="00D55AB7"/>
    <w:rsid w:val="00D61EA0"/>
    <w:rsid w:val="00DB0AC0"/>
    <w:rsid w:val="00DE7589"/>
    <w:rsid w:val="00E33B86"/>
    <w:rsid w:val="00E50013"/>
    <w:rsid w:val="00E53CAF"/>
    <w:rsid w:val="00E66A07"/>
    <w:rsid w:val="00E939B5"/>
    <w:rsid w:val="00F577CA"/>
    <w:rsid w:val="00FE5B9B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571E"/>
  <w15:docId w15:val="{62137BED-9B7F-49C5-8CAB-B4AF77B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B81"/>
  </w:style>
  <w:style w:type="paragraph" w:styleId="Nadpis1">
    <w:name w:val="heading 1"/>
    <w:basedOn w:val="Normln"/>
    <w:next w:val="Normln"/>
    <w:link w:val="Nadpis1Char"/>
    <w:uiPriority w:val="9"/>
    <w:qFormat/>
    <w:rsid w:val="0045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1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80B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D61E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C31"/>
  </w:style>
  <w:style w:type="paragraph" w:styleId="Zpat">
    <w:name w:val="footer"/>
    <w:basedOn w:val="Normln"/>
    <w:link w:val="ZpatChar"/>
    <w:uiPriority w:val="99"/>
    <w:unhideWhenUsed/>
    <w:rsid w:val="001D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C31"/>
  </w:style>
  <w:style w:type="character" w:customStyle="1" w:styleId="Nadpis1Char">
    <w:name w:val="Nadpis 1 Char"/>
    <w:basedOn w:val="Standardnpsmoodstavce"/>
    <w:link w:val="Nadpis1"/>
    <w:uiPriority w:val="9"/>
    <w:rsid w:val="0045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1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47CD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0A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A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A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AC0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B3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psychologywizard.net/burger-ao1-ao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\Desktop\&#352;kola\Psychologie\statistika\graf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\Desktop\&#352;kola\Psychologie\statistika\grafy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Základní</a:t>
            </a:r>
            <a:r>
              <a:rPr lang="cs-CZ" baseline="0"/>
              <a:t> podmínky </a:t>
            </a:r>
            <a:endParaRPr lang="cs-CZ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muži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List1!$C$32:$C$33</c:f>
              <c:strCache>
                <c:ptCount val="2"/>
                <c:pt idx="0">
                  <c:v>&gt;150V</c:v>
                </c:pt>
                <c:pt idx="1">
                  <c:v>&lt;150V</c:v>
                </c:pt>
              </c:strCache>
            </c:strRef>
          </c:cat>
          <c:val>
            <c:numRef>
              <c:f>List1!$D$32:$D$33</c:f>
              <c:numCache>
                <c:formatCode>0.00%</c:formatCode>
                <c:ptCount val="2"/>
                <c:pt idx="0">
                  <c:v>0.33300000000000002</c:v>
                </c:pt>
                <c:pt idx="1">
                  <c:v>0.66700000000000004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1-41FD-A7C2-200D36D22663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ženy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List1!$C$32:$C$33</c:f>
              <c:strCache>
                <c:ptCount val="2"/>
                <c:pt idx="0">
                  <c:v>&gt;150V</c:v>
                </c:pt>
                <c:pt idx="1">
                  <c:v>&lt;150V</c:v>
                </c:pt>
              </c:strCache>
            </c:strRef>
          </c:cat>
          <c:val>
            <c:numRef>
              <c:f>List1!$E$32:$E$33</c:f>
              <c:numCache>
                <c:formatCode>0.00%</c:formatCode>
                <c:ptCount val="2"/>
                <c:pt idx="0">
                  <c:v>0.27300000000000002</c:v>
                </c:pt>
                <c:pt idx="1">
                  <c:v>0.72699999999999998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1-41FD-A7C2-200D36D22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125184"/>
        <c:axId val="193237760"/>
      </c:barChart>
      <c:catAx>
        <c:axId val="192125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237760"/>
        <c:crosses val="autoZero"/>
        <c:auto val="1"/>
        <c:lblAlgn val="ctr"/>
        <c:lblOffset val="100"/>
        <c:noMultiLvlLbl val="0"/>
      </c:catAx>
      <c:valAx>
        <c:axId val="193237760"/>
        <c:scaling>
          <c:orientation val="minMax"/>
          <c:max val="1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2125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Model změněných podmínek </a:t>
            </a:r>
          </a:p>
        </c:rich>
      </c:tx>
      <c:layout>
        <c:manualLayout>
          <c:xMode val="edge"/>
          <c:yMode val="edge"/>
          <c:x val="0.1955776347518525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47476253524131"/>
          <c:y val="7.456139228825219E-2"/>
          <c:w val="0.72451268591426077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List1!$H$31</c:f>
              <c:strCache>
                <c:ptCount val="1"/>
                <c:pt idx="0">
                  <c:v>muži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List1!$G$32:$G$33</c:f>
              <c:strCache>
                <c:ptCount val="2"/>
                <c:pt idx="0">
                  <c:v>&gt;150V</c:v>
                </c:pt>
                <c:pt idx="1">
                  <c:v>&lt;150V</c:v>
                </c:pt>
              </c:strCache>
            </c:strRef>
          </c:cat>
          <c:val>
            <c:numRef>
              <c:f>List1!$H$32:$H$33</c:f>
              <c:numCache>
                <c:formatCode>0.00%</c:formatCode>
                <c:ptCount val="2"/>
                <c:pt idx="0">
                  <c:v>0.45500000000000002</c:v>
                </c:pt>
                <c:pt idx="1">
                  <c:v>0.54500000000000004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7-45D5-913D-71DA592FE55A}"/>
            </c:ext>
          </c:extLst>
        </c:ser>
        <c:ser>
          <c:idx val="1"/>
          <c:order val="1"/>
          <c:tx>
            <c:strRef>
              <c:f>List1!$I$31</c:f>
              <c:strCache>
                <c:ptCount val="1"/>
                <c:pt idx="0">
                  <c:v>ženy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List1!$G$32:$G$33</c:f>
              <c:strCache>
                <c:ptCount val="2"/>
                <c:pt idx="0">
                  <c:v>&gt;150V</c:v>
                </c:pt>
                <c:pt idx="1">
                  <c:v>&lt;150V</c:v>
                </c:pt>
              </c:strCache>
            </c:strRef>
          </c:cat>
          <c:val>
            <c:numRef>
              <c:f>List1!$I$32:$I$33</c:f>
              <c:numCache>
                <c:formatCode>0.00%</c:formatCode>
                <c:ptCount val="2"/>
                <c:pt idx="0">
                  <c:v>0.316</c:v>
                </c:pt>
                <c:pt idx="1">
                  <c:v>0.68400000000000005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97-45D5-913D-71DA592FE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521536"/>
        <c:axId val="42582016"/>
      </c:barChart>
      <c:catAx>
        <c:axId val="19352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582016"/>
        <c:crosses val="autoZero"/>
        <c:auto val="1"/>
        <c:lblAlgn val="ctr"/>
        <c:lblOffset val="100"/>
        <c:noMultiLvlLbl val="0"/>
      </c:catAx>
      <c:valAx>
        <c:axId val="42582016"/>
        <c:scaling>
          <c:orientation val="minMax"/>
          <c:max val="1"/>
          <c:min val="0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9352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3C98-6BF8-4E65-BDA8-66774E23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Stanislav Ježek</cp:lastModifiedBy>
  <cp:revision>79</cp:revision>
  <dcterms:created xsi:type="dcterms:W3CDTF">2019-04-28T15:27:00Z</dcterms:created>
  <dcterms:modified xsi:type="dcterms:W3CDTF">2019-06-27T07:22:00Z</dcterms:modified>
</cp:coreProperties>
</file>