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E871B" w14:textId="77777777" w:rsidR="00F55A23" w:rsidRPr="006627FF" w:rsidRDefault="00965DA9" w:rsidP="00965DA9">
      <w:pPr>
        <w:jc w:val="center"/>
        <w:rPr>
          <w:rFonts w:ascii="Arial" w:hAnsi="Arial" w:cs="Arial"/>
          <w:sz w:val="32"/>
          <w:szCs w:val="32"/>
          <w:lang w:val="cs-CZ"/>
        </w:rPr>
      </w:pPr>
      <w:proofErr w:type="spellStart"/>
      <w:r w:rsidRPr="006627FF">
        <w:rPr>
          <w:rFonts w:ascii="Arial" w:hAnsi="Arial" w:cs="Arial"/>
          <w:sz w:val="32"/>
          <w:szCs w:val="32"/>
          <w:lang w:val="cs-CZ"/>
        </w:rPr>
        <w:t>Milgramův</w:t>
      </w:r>
      <w:proofErr w:type="spellEnd"/>
      <w:r w:rsidRPr="006627FF">
        <w:rPr>
          <w:rFonts w:ascii="Arial" w:hAnsi="Arial" w:cs="Arial"/>
          <w:sz w:val="32"/>
          <w:szCs w:val="32"/>
          <w:lang w:val="cs-CZ"/>
        </w:rPr>
        <w:t xml:space="preserve"> experiment v moderní době</w:t>
      </w:r>
    </w:p>
    <w:p w14:paraId="3E91C3B1" w14:textId="77777777" w:rsidR="00965DA9" w:rsidRDefault="003E5355" w:rsidP="003E5355">
      <w:pPr>
        <w:rPr>
          <w:rFonts w:ascii="Times New Roman" w:hAnsi="Times New Roman" w:cs="Times New Roman"/>
          <w:sz w:val="24"/>
          <w:szCs w:val="24"/>
          <w:lang w:val="cs-CZ"/>
        </w:rPr>
      </w:pPr>
      <w:r>
        <w:rPr>
          <w:rFonts w:ascii="Times New Roman" w:hAnsi="Times New Roman" w:cs="Times New Roman"/>
          <w:sz w:val="24"/>
          <w:szCs w:val="24"/>
          <w:lang w:val="cs-CZ"/>
        </w:rPr>
        <w:t xml:space="preserve">Velmi slavný experiment o poslušnosti s falešnými elektrošoky, který je známý nejen mezi odbornou veřejností. To je experiment </w:t>
      </w:r>
      <w:proofErr w:type="spellStart"/>
      <w:r>
        <w:rPr>
          <w:rFonts w:ascii="Times New Roman" w:hAnsi="Times New Roman" w:cs="Times New Roman"/>
          <w:sz w:val="24"/>
          <w:szCs w:val="24"/>
          <w:lang w:val="cs-CZ"/>
        </w:rPr>
        <w:t>Stanleyho</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Milgrama</w:t>
      </w:r>
      <w:proofErr w:type="spellEnd"/>
      <w:r>
        <w:rPr>
          <w:rFonts w:ascii="Times New Roman" w:hAnsi="Times New Roman" w:cs="Times New Roman"/>
          <w:sz w:val="24"/>
          <w:szCs w:val="24"/>
          <w:lang w:val="cs-CZ"/>
        </w:rPr>
        <w:t xml:space="preserve"> z roku 1974. Pokud vám toto jméno ani experiment nic neříká, určitě čtěte dál. Podstata celého experimentu spočívá v tom, že lidé, kterým byla za účast v experimentu slíbena finanční odměna, měli mačkat tlačítko, které vyšle do jiného testovaného člověka elektrický šok pokaždé, kdy</w:t>
      </w:r>
      <w:r w:rsidR="00095845">
        <w:rPr>
          <w:rFonts w:ascii="Times New Roman" w:hAnsi="Times New Roman" w:cs="Times New Roman"/>
          <w:sz w:val="24"/>
          <w:szCs w:val="24"/>
          <w:lang w:val="cs-CZ"/>
        </w:rPr>
        <w:t>ž</w:t>
      </w:r>
      <w:r>
        <w:rPr>
          <w:rFonts w:ascii="Times New Roman" w:hAnsi="Times New Roman" w:cs="Times New Roman"/>
          <w:sz w:val="24"/>
          <w:szCs w:val="24"/>
          <w:lang w:val="cs-CZ"/>
        </w:rPr>
        <w:t xml:space="preserve"> odpoví špatně. </w:t>
      </w:r>
      <w:r w:rsidR="00095845">
        <w:rPr>
          <w:rFonts w:ascii="Times New Roman" w:hAnsi="Times New Roman" w:cs="Times New Roman"/>
          <w:sz w:val="24"/>
          <w:szCs w:val="24"/>
          <w:lang w:val="cs-CZ"/>
        </w:rPr>
        <w:t>Byl v tom ale trik. Účastníci o</w:t>
      </w:r>
      <w:r>
        <w:rPr>
          <w:rFonts w:ascii="Times New Roman" w:hAnsi="Times New Roman" w:cs="Times New Roman"/>
          <w:sz w:val="24"/>
          <w:szCs w:val="24"/>
          <w:lang w:val="cs-CZ"/>
        </w:rPr>
        <w:t xml:space="preserve"> pravé povaze</w:t>
      </w:r>
      <w:r w:rsidR="00095845">
        <w:rPr>
          <w:rFonts w:ascii="Times New Roman" w:hAnsi="Times New Roman" w:cs="Times New Roman"/>
          <w:sz w:val="24"/>
          <w:szCs w:val="24"/>
          <w:lang w:val="cs-CZ"/>
        </w:rPr>
        <w:t xml:space="preserve"> experimentu nevěděli</w:t>
      </w:r>
      <w:r>
        <w:rPr>
          <w:rFonts w:ascii="Times New Roman" w:hAnsi="Times New Roman" w:cs="Times New Roman"/>
          <w:sz w:val="24"/>
          <w:szCs w:val="24"/>
          <w:lang w:val="cs-CZ"/>
        </w:rPr>
        <w:t xml:space="preserve"> a mysleli si, že jde o výzkum učení a trestu</w:t>
      </w:r>
      <w:r w:rsidR="00095845">
        <w:rPr>
          <w:rFonts w:ascii="Times New Roman" w:hAnsi="Times New Roman" w:cs="Times New Roman"/>
          <w:sz w:val="24"/>
          <w:szCs w:val="24"/>
          <w:lang w:val="cs-CZ"/>
        </w:rPr>
        <w:t>, založený na principu učitel</w:t>
      </w:r>
      <w:r w:rsidR="008B7A7D">
        <w:rPr>
          <w:rFonts w:ascii="Times New Roman" w:hAnsi="Times New Roman" w:cs="Times New Roman"/>
          <w:sz w:val="24"/>
          <w:szCs w:val="24"/>
          <w:lang w:val="cs-CZ"/>
        </w:rPr>
        <w:t xml:space="preserve"> a </w:t>
      </w:r>
      <w:r w:rsidR="00095845">
        <w:rPr>
          <w:rFonts w:ascii="Times New Roman" w:hAnsi="Times New Roman" w:cs="Times New Roman"/>
          <w:sz w:val="24"/>
          <w:szCs w:val="24"/>
          <w:lang w:val="cs-CZ"/>
        </w:rPr>
        <w:t>student</w:t>
      </w:r>
      <w:r>
        <w:rPr>
          <w:rFonts w:ascii="Times New Roman" w:hAnsi="Times New Roman" w:cs="Times New Roman"/>
          <w:sz w:val="24"/>
          <w:szCs w:val="24"/>
          <w:lang w:val="cs-CZ"/>
        </w:rPr>
        <w:t xml:space="preserve">. </w:t>
      </w:r>
      <w:r w:rsidR="00095845">
        <w:rPr>
          <w:rFonts w:ascii="Times New Roman" w:hAnsi="Times New Roman" w:cs="Times New Roman"/>
          <w:sz w:val="24"/>
          <w:szCs w:val="24"/>
          <w:lang w:val="cs-CZ"/>
        </w:rPr>
        <w:t>N</w:t>
      </w:r>
      <w:r>
        <w:rPr>
          <w:rFonts w:ascii="Times New Roman" w:hAnsi="Times New Roman" w:cs="Times New Roman"/>
          <w:sz w:val="24"/>
          <w:szCs w:val="24"/>
          <w:lang w:val="cs-CZ"/>
        </w:rPr>
        <w:t>evěděli</w:t>
      </w:r>
      <w:r w:rsidR="00095845">
        <w:rPr>
          <w:rFonts w:ascii="Times New Roman" w:hAnsi="Times New Roman" w:cs="Times New Roman"/>
          <w:sz w:val="24"/>
          <w:szCs w:val="24"/>
          <w:lang w:val="cs-CZ"/>
        </w:rPr>
        <w:t xml:space="preserve"> ani to</w:t>
      </w:r>
      <w:r>
        <w:rPr>
          <w:rFonts w:ascii="Times New Roman" w:hAnsi="Times New Roman" w:cs="Times New Roman"/>
          <w:sz w:val="24"/>
          <w:szCs w:val="24"/>
          <w:lang w:val="cs-CZ"/>
        </w:rPr>
        <w:t>, že člověk,</w:t>
      </w:r>
      <w:r w:rsidR="00BA78D8">
        <w:rPr>
          <w:rFonts w:ascii="Times New Roman" w:hAnsi="Times New Roman" w:cs="Times New Roman"/>
          <w:sz w:val="24"/>
          <w:szCs w:val="24"/>
          <w:lang w:val="cs-CZ"/>
        </w:rPr>
        <w:t xml:space="preserve"> který měl přidělen</w:t>
      </w:r>
      <w:r w:rsidR="00095845">
        <w:rPr>
          <w:rFonts w:ascii="Times New Roman" w:hAnsi="Times New Roman" w:cs="Times New Roman"/>
          <w:sz w:val="24"/>
          <w:szCs w:val="24"/>
          <w:lang w:val="cs-CZ"/>
        </w:rPr>
        <w:t>ou</w:t>
      </w:r>
      <w:r w:rsidR="00BA78D8">
        <w:rPr>
          <w:rFonts w:ascii="Times New Roman" w:hAnsi="Times New Roman" w:cs="Times New Roman"/>
          <w:sz w:val="24"/>
          <w:szCs w:val="24"/>
          <w:lang w:val="cs-CZ"/>
        </w:rPr>
        <w:t xml:space="preserve"> roli studenta a</w:t>
      </w:r>
      <w:r>
        <w:rPr>
          <w:rFonts w:ascii="Times New Roman" w:hAnsi="Times New Roman" w:cs="Times New Roman"/>
          <w:sz w:val="24"/>
          <w:szCs w:val="24"/>
          <w:lang w:val="cs-CZ"/>
        </w:rPr>
        <w:t xml:space="preserve"> do kterého postupem času vpouštěli silnější a </w:t>
      </w:r>
      <w:r w:rsidR="00C75524">
        <w:rPr>
          <w:rFonts w:ascii="Times New Roman" w:hAnsi="Times New Roman" w:cs="Times New Roman"/>
          <w:sz w:val="24"/>
          <w:szCs w:val="24"/>
          <w:lang w:val="cs-CZ"/>
        </w:rPr>
        <w:t>silnější šoky od 15 až do 4</w:t>
      </w:r>
      <w:r>
        <w:rPr>
          <w:rFonts w:ascii="Times New Roman" w:hAnsi="Times New Roman" w:cs="Times New Roman"/>
          <w:sz w:val="24"/>
          <w:szCs w:val="24"/>
          <w:lang w:val="cs-CZ"/>
        </w:rPr>
        <w:t>50 voltů</w:t>
      </w:r>
      <w:r w:rsidR="00DA413D">
        <w:rPr>
          <w:rFonts w:ascii="Times New Roman" w:hAnsi="Times New Roman" w:cs="Times New Roman"/>
          <w:sz w:val="24"/>
          <w:szCs w:val="24"/>
          <w:lang w:val="cs-CZ"/>
        </w:rPr>
        <w:t xml:space="preserve"> (pokaždé se šok zvýšil o 15V)</w:t>
      </w:r>
      <w:r>
        <w:rPr>
          <w:rFonts w:ascii="Times New Roman" w:hAnsi="Times New Roman" w:cs="Times New Roman"/>
          <w:sz w:val="24"/>
          <w:szCs w:val="24"/>
          <w:lang w:val="cs-CZ"/>
        </w:rPr>
        <w:t>, celou dobu bolest a reakce na šoky předstíral</w:t>
      </w:r>
      <w:r w:rsidR="00C75524">
        <w:rPr>
          <w:rFonts w:ascii="Times New Roman" w:hAnsi="Times New Roman" w:cs="Times New Roman"/>
          <w:sz w:val="24"/>
          <w:szCs w:val="24"/>
          <w:lang w:val="cs-CZ"/>
        </w:rPr>
        <w:t xml:space="preserve"> a spolupracoval s experimentátory</w:t>
      </w:r>
      <w:r>
        <w:rPr>
          <w:rFonts w:ascii="Times New Roman" w:hAnsi="Times New Roman" w:cs="Times New Roman"/>
          <w:sz w:val="24"/>
          <w:szCs w:val="24"/>
          <w:lang w:val="cs-CZ"/>
        </w:rPr>
        <w:t>.</w:t>
      </w:r>
      <w:r w:rsidR="00C75524">
        <w:rPr>
          <w:rFonts w:ascii="Times New Roman" w:hAnsi="Times New Roman" w:cs="Times New Roman"/>
          <w:sz w:val="24"/>
          <w:szCs w:val="24"/>
          <w:lang w:val="cs-CZ"/>
        </w:rPr>
        <w:t xml:space="preserve"> </w:t>
      </w:r>
      <w:r w:rsidR="00D42BF9">
        <w:rPr>
          <w:rFonts w:ascii="Times New Roman" w:hAnsi="Times New Roman" w:cs="Times New Roman"/>
          <w:sz w:val="24"/>
          <w:szCs w:val="24"/>
          <w:lang w:val="cs-CZ"/>
        </w:rPr>
        <w:t>Jeho úkolem bylo předstírat výkřiky, stěžovat si na bolest a pak i prosit o ukončení experimentu. Takto protestoval od 150V až do 330V, po překročení této hranice už nejevil žádné znaky odporu, zdánlivě byl fyzicky vysílený. Co tedy bylo pointou experimentu? Pravou podstatou byla otázka, kam až budou lidé</w:t>
      </w:r>
      <w:r w:rsidR="00095845">
        <w:rPr>
          <w:rFonts w:ascii="Times New Roman" w:hAnsi="Times New Roman" w:cs="Times New Roman"/>
          <w:sz w:val="24"/>
          <w:szCs w:val="24"/>
          <w:lang w:val="cs-CZ"/>
        </w:rPr>
        <w:t xml:space="preserve"> v roli učitele</w:t>
      </w:r>
      <w:r w:rsidR="00D42BF9">
        <w:rPr>
          <w:rFonts w:ascii="Times New Roman" w:hAnsi="Times New Roman" w:cs="Times New Roman"/>
          <w:sz w:val="24"/>
          <w:szCs w:val="24"/>
          <w:lang w:val="cs-CZ"/>
        </w:rPr>
        <w:t xml:space="preserve"> mačkající tlačítko schopni zajít. </w:t>
      </w:r>
      <w:r w:rsidR="00095845">
        <w:rPr>
          <w:rFonts w:ascii="Times New Roman" w:hAnsi="Times New Roman" w:cs="Times New Roman"/>
          <w:sz w:val="24"/>
          <w:szCs w:val="24"/>
          <w:lang w:val="cs-CZ"/>
        </w:rPr>
        <w:t>Velmi d</w:t>
      </w:r>
      <w:r w:rsidR="00DA413D">
        <w:rPr>
          <w:rFonts w:ascii="Times New Roman" w:hAnsi="Times New Roman" w:cs="Times New Roman"/>
          <w:sz w:val="24"/>
          <w:szCs w:val="24"/>
          <w:lang w:val="cs-CZ"/>
        </w:rPr>
        <w:t>ůležité bylo i to, že e</w:t>
      </w:r>
      <w:r w:rsidR="00D42BF9">
        <w:rPr>
          <w:rFonts w:ascii="Times New Roman" w:hAnsi="Times New Roman" w:cs="Times New Roman"/>
          <w:sz w:val="24"/>
          <w:szCs w:val="24"/>
          <w:lang w:val="cs-CZ"/>
        </w:rPr>
        <w:t>xperimentátor, který byl v</w:t>
      </w:r>
      <w:r w:rsidR="00095845">
        <w:rPr>
          <w:rFonts w:ascii="Times New Roman" w:hAnsi="Times New Roman" w:cs="Times New Roman"/>
          <w:sz w:val="24"/>
          <w:szCs w:val="24"/>
          <w:lang w:val="cs-CZ"/>
        </w:rPr>
        <w:t> </w:t>
      </w:r>
      <w:r w:rsidR="00D42BF9">
        <w:rPr>
          <w:rFonts w:ascii="Times New Roman" w:hAnsi="Times New Roman" w:cs="Times New Roman"/>
          <w:sz w:val="24"/>
          <w:szCs w:val="24"/>
          <w:lang w:val="cs-CZ"/>
        </w:rPr>
        <w:t>místnosti</w:t>
      </w:r>
      <w:r w:rsidR="00095845">
        <w:rPr>
          <w:rFonts w:ascii="Times New Roman" w:hAnsi="Times New Roman" w:cs="Times New Roman"/>
          <w:sz w:val="24"/>
          <w:szCs w:val="24"/>
          <w:lang w:val="cs-CZ"/>
        </w:rPr>
        <w:t xml:space="preserve"> s účastníky</w:t>
      </w:r>
      <w:r w:rsidR="00D42BF9">
        <w:rPr>
          <w:rFonts w:ascii="Times New Roman" w:hAnsi="Times New Roman" w:cs="Times New Roman"/>
          <w:sz w:val="24"/>
          <w:szCs w:val="24"/>
          <w:lang w:val="cs-CZ"/>
        </w:rPr>
        <w:t xml:space="preserve">, </w:t>
      </w:r>
      <w:r w:rsidR="00095845">
        <w:rPr>
          <w:rFonts w:ascii="Times New Roman" w:hAnsi="Times New Roman" w:cs="Times New Roman"/>
          <w:sz w:val="24"/>
          <w:szCs w:val="24"/>
          <w:lang w:val="cs-CZ"/>
        </w:rPr>
        <w:t>je navíc povzbuzoval</w:t>
      </w:r>
      <w:r w:rsidR="00D42BF9">
        <w:rPr>
          <w:rFonts w:ascii="Times New Roman" w:hAnsi="Times New Roman" w:cs="Times New Roman"/>
          <w:sz w:val="24"/>
          <w:szCs w:val="24"/>
          <w:lang w:val="cs-CZ"/>
        </w:rPr>
        <w:t xml:space="preserve"> v pokračování </w:t>
      </w:r>
      <w:r w:rsidR="00611682">
        <w:rPr>
          <w:rFonts w:ascii="Times New Roman" w:hAnsi="Times New Roman" w:cs="Times New Roman"/>
          <w:sz w:val="24"/>
          <w:szCs w:val="24"/>
          <w:lang w:val="cs-CZ"/>
        </w:rPr>
        <w:t>experimentu</w:t>
      </w:r>
      <w:r w:rsidR="00DA413D">
        <w:rPr>
          <w:rFonts w:ascii="Times New Roman" w:hAnsi="Times New Roman" w:cs="Times New Roman"/>
          <w:sz w:val="24"/>
          <w:szCs w:val="24"/>
          <w:lang w:val="cs-CZ"/>
        </w:rPr>
        <w:t xml:space="preserve"> větami jako například „Prosím pokračujte“ nebo „Výzkum vyžaduje, abyste zmáčkl další“. Experiment mohl</w:t>
      </w:r>
      <w:r w:rsidR="00611682">
        <w:rPr>
          <w:rFonts w:ascii="Times New Roman" w:hAnsi="Times New Roman" w:cs="Times New Roman"/>
          <w:sz w:val="24"/>
          <w:szCs w:val="24"/>
          <w:lang w:val="cs-CZ"/>
        </w:rPr>
        <w:t xml:space="preserve"> skončit dvěma způsoby – tím, že účastníci odmítli dál mačkat tlačítko a vpouštět silnější </w:t>
      </w:r>
      <w:r w:rsidR="00095845">
        <w:rPr>
          <w:rFonts w:ascii="Times New Roman" w:hAnsi="Times New Roman" w:cs="Times New Roman"/>
          <w:sz w:val="24"/>
          <w:szCs w:val="24"/>
          <w:lang w:val="cs-CZ"/>
        </w:rPr>
        <w:t xml:space="preserve">falešné </w:t>
      </w:r>
      <w:r w:rsidR="00611682">
        <w:rPr>
          <w:rFonts w:ascii="Times New Roman" w:hAnsi="Times New Roman" w:cs="Times New Roman"/>
          <w:sz w:val="24"/>
          <w:szCs w:val="24"/>
          <w:lang w:val="cs-CZ"/>
        </w:rPr>
        <w:t>šoky do špatně odpovídajícího člověka, nebo tím, že došli až na konec a vpustili do něj 450V. Výsledek byl poměrně znepokojující, protože 65</w:t>
      </w:r>
      <w:r w:rsidR="008B7A7D">
        <w:rPr>
          <w:rFonts w:ascii="Times New Roman" w:hAnsi="Times New Roman" w:cs="Times New Roman"/>
          <w:sz w:val="24"/>
          <w:szCs w:val="24"/>
          <w:lang w:val="cs-CZ"/>
        </w:rPr>
        <w:t xml:space="preserve"> </w:t>
      </w:r>
      <w:r w:rsidR="00611682">
        <w:rPr>
          <w:rFonts w:ascii="Times New Roman" w:hAnsi="Times New Roman" w:cs="Times New Roman"/>
          <w:sz w:val="24"/>
          <w:szCs w:val="24"/>
          <w:lang w:val="cs-CZ"/>
        </w:rPr>
        <w:t xml:space="preserve">% účastníků došlo až ke konečné hranici 450V. </w:t>
      </w:r>
    </w:p>
    <w:p w14:paraId="790D2F92" w14:textId="77777777" w:rsidR="00611682" w:rsidRPr="006627FF" w:rsidRDefault="00611682" w:rsidP="003E5355">
      <w:pPr>
        <w:rPr>
          <w:rFonts w:ascii="Arial" w:hAnsi="Arial" w:cs="Arial"/>
          <w:sz w:val="32"/>
          <w:szCs w:val="32"/>
          <w:lang w:val="cs-CZ"/>
        </w:rPr>
      </w:pPr>
      <w:r w:rsidRPr="006627FF">
        <w:rPr>
          <w:rFonts w:ascii="Arial" w:hAnsi="Arial" w:cs="Arial"/>
          <w:sz w:val="32"/>
          <w:szCs w:val="32"/>
          <w:lang w:val="cs-CZ"/>
        </w:rPr>
        <w:t>Byli by lidé poslušní i dnes?</w:t>
      </w:r>
    </w:p>
    <w:p w14:paraId="09E6DED1" w14:textId="77777777" w:rsidR="00611682" w:rsidRDefault="00611682" w:rsidP="003E5355">
      <w:pPr>
        <w:rPr>
          <w:rFonts w:ascii="Times New Roman" w:hAnsi="Times New Roman" w:cs="Times New Roman"/>
          <w:sz w:val="24"/>
          <w:szCs w:val="24"/>
          <w:lang w:val="cs-CZ"/>
        </w:rPr>
      </w:pPr>
      <w:r>
        <w:rPr>
          <w:rFonts w:ascii="Times New Roman" w:hAnsi="Times New Roman" w:cs="Times New Roman"/>
          <w:sz w:val="24"/>
          <w:szCs w:val="24"/>
          <w:lang w:val="cs-CZ"/>
        </w:rPr>
        <w:t>V roce 2009 vyšla studie, která</w:t>
      </w:r>
      <w:r w:rsidR="00DA413D">
        <w:rPr>
          <w:rFonts w:ascii="Times New Roman" w:hAnsi="Times New Roman" w:cs="Times New Roman"/>
          <w:sz w:val="24"/>
          <w:szCs w:val="24"/>
          <w:lang w:val="cs-CZ"/>
        </w:rPr>
        <w:t xml:space="preserve"> téměř</w:t>
      </w:r>
      <w:r>
        <w:rPr>
          <w:rFonts w:ascii="Times New Roman" w:hAnsi="Times New Roman" w:cs="Times New Roman"/>
          <w:sz w:val="24"/>
          <w:szCs w:val="24"/>
          <w:lang w:val="cs-CZ"/>
        </w:rPr>
        <w:t xml:space="preserve"> přesně </w:t>
      </w:r>
      <w:r w:rsidR="00095845">
        <w:rPr>
          <w:rFonts w:ascii="Times New Roman" w:hAnsi="Times New Roman" w:cs="Times New Roman"/>
          <w:sz w:val="24"/>
          <w:szCs w:val="24"/>
          <w:lang w:val="cs-CZ"/>
        </w:rPr>
        <w:t xml:space="preserve">napodobila </w:t>
      </w:r>
      <w:proofErr w:type="spellStart"/>
      <w:r w:rsidR="00095845">
        <w:rPr>
          <w:rFonts w:ascii="Times New Roman" w:hAnsi="Times New Roman" w:cs="Times New Roman"/>
          <w:sz w:val="24"/>
          <w:szCs w:val="24"/>
          <w:lang w:val="cs-CZ"/>
        </w:rPr>
        <w:t>Milgramův</w:t>
      </w:r>
      <w:proofErr w:type="spellEnd"/>
      <w:r w:rsidR="00095845">
        <w:rPr>
          <w:rFonts w:ascii="Times New Roman" w:hAnsi="Times New Roman" w:cs="Times New Roman"/>
          <w:sz w:val="24"/>
          <w:szCs w:val="24"/>
          <w:lang w:val="cs-CZ"/>
        </w:rPr>
        <w:t xml:space="preserve"> experiment</w:t>
      </w:r>
      <w:r w:rsidR="00A17957">
        <w:rPr>
          <w:rFonts w:ascii="Times New Roman" w:hAnsi="Times New Roman" w:cs="Times New Roman"/>
          <w:sz w:val="24"/>
          <w:szCs w:val="24"/>
          <w:lang w:val="cs-CZ"/>
        </w:rPr>
        <w:t>, a však s určitými změnami</w:t>
      </w:r>
      <w:r w:rsidR="00095845">
        <w:rPr>
          <w:rFonts w:ascii="Times New Roman" w:hAnsi="Times New Roman" w:cs="Times New Roman"/>
          <w:sz w:val="24"/>
          <w:szCs w:val="24"/>
          <w:lang w:val="cs-CZ"/>
        </w:rPr>
        <w:t xml:space="preserve">. </w:t>
      </w:r>
      <w:r w:rsidR="00BA78D8">
        <w:rPr>
          <w:rFonts w:ascii="Times New Roman" w:hAnsi="Times New Roman" w:cs="Times New Roman"/>
          <w:sz w:val="24"/>
          <w:szCs w:val="24"/>
          <w:lang w:val="cs-CZ"/>
        </w:rPr>
        <w:t>J</w:t>
      </w:r>
      <w:r w:rsidR="00C92F4D">
        <w:rPr>
          <w:rFonts w:ascii="Times New Roman" w:hAnsi="Times New Roman" w:cs="Times New Roman"/>
          <w:sz w:val="24"/>
          <w:szCs w:val="24"/>
          <w:lang w:val="cs-CZ"/>
        </w:rPr>
        <w:t>edna skupina lidí prošla základním</w:t>
      </w:r>
      <w:r w:rsidR="00BA78D8">
        <w:rPr>
          <w:rFonts w:ascii="Times New Roman" w:hAnsi="Times New Roman" w:cs="Times New Roman"/>
          <w:sz w:val="24"/>
          <w:szCs w:val="24"/>
          <w:lang w:val="cs-CZ"/>
        </w:rPr>
        <w:t xml:space="preserve"> experimentem jako ti v 70. letech. Ve druhé skupině byl kromě najatého člověka v roli studenta ještě jeden najatý člověk,</w:t>
      </w:r>
      <w:r w:rsidR="006627FF">
        <w:rPr>
          <w:rFonts w:ascii="Times New Roman" w:hAnsi="Times New Roman" w:cs="Times New Roman"/>
          <w:sz w:val="24"/>
          <w:szCs w:val="24"/>
          <w:lang w:val="cs-CZ"/>
        </w:rPr>
        <w:t xml:space="preserve"> který měl roli druhého učitele a na počátku experimentu mačkal tlačítko s elektrošoky on.</w:t>
      </w:r>
      <w:r w:rsidR="00BA78D8">
        <w:rPr>
          <w:rFonts w:ascii="Times New Roman" w:hAnsi="Times New Roman" w:cs="Times New Roman"/>
          <w:sz w:val="24"/>
          <w:szCs w:val="24"/>
          <w:lang w:val="cs-CZ"/>
        </w:rPr>
        <w:t xml:space="preserve"> </w:t>
      </w:r>
      <w:r w:rsidR="006627FF">
        <w:rPr>
          <w:rFonts w:ascii="Times New Roman" w:hAnsi="Times New Roman" w:cs="Times New Roman"/>
          <w:sz w:val="24"/>
          <w:szCs w:val="24"/>
          <w:lang w:val="cs-CZ"/>
        </w:rPr>
        <w:t xml:space="preserve">Jeho účelem bylo ovlivnění skutečného účastníka tím, že při šoku 75V, kdy student začal slovně projevovat bolest, začal mít o experimentu pochybnosti a při 90V řekl, že tohle nezvládne a s experimentem skončil. Experimentátor pak požádal skutečného účastníka, aby pokračoval v mačkání on. Druhý učitel seděl tiše v místnosti a vyhýbal se očnímu kontaktu s účastníkem. </w:t>
      </w:r>
      <w:r w:rsidR="00A17957">
        <w:rPr>
          <w:rFonts w:ascii="Times New Roman" w:hAnsi="Times New Roman" w:cs="Times New Roman"/>
          <w:sz w:val="24"/>
          <w:szCs w:val="24"/>
          <w:lang w:val="cs-CZ"/>
        </w:rPr>
        <w:t>Cílem</w:t>
      </w:r>
      <w:r w:rsidR="00C22D5A">
        <w:rPr>
          <w:rFonts w:ascii="Times New Roman" w:hAnsi="Times New Roman" w:cs="Times New Roman"/>
          <w:sz w:val="24"/>
          <w:szCs w:val="24"/>
          <w:lang w:val="cs-CZ"/>
        </w:rPr>
        <w:t xml:space="preserve"> bylo</w:t>
      </w:r>
      <w:r w:rsidR="00C92F4D">
        <w:rPr>
          <w:rFonts w:ascii="Times New Roman" w:hAnsi="Times New Roman" w:cs="Times New Roman"/>
          <w:sz w:val="24"/>
          <w:szCs w:val="24"/>
          <w:lang w:val="cs-CZ"/>
        </w:rPr>
        <w:t xml:space="preserve"> zjistit, jestli tzv. modelové</w:t>
      </w:r>
      <w:r w:rsidR="00C22D5A">
        <w:rPr>
          <w:rFonts w:ascii="Times New Roman" w:hAnsi="Times New Roman" w:cs="Times New Roman"/>
          <w:sz w:val="24"/>
          <w:szCs w:val="24"/>
          <w:lang w:val="cs-CZ"/>
        </w:rPr>
        <w:t xml:space="preserve"> odmítnutí bude mít na účastníka vliv. </w:t>
      </w:r>
      <w:r w:rsidR="00DA413D">
        <w:rPr>
          <w:rFonts w:ascii="Times New Roman" w:hAnsi="Times New Roman" w:cs="Times New Roman"/>
          <w:sz w:val="24"/>
          <w:szCs w:val="24"/>
          <w:lang w:val="cs-CZ"/>
        </w:rPr>
        <w:t xml:space="preserve">Z etických </w:t>
      </w:r>
      <w:r w:rsidR="00C22D5A">
        <w:rPr>
          <w:rFonts w:ascii="Times New Roman" w:hAnsi="Times New Roman" w:cs="Times New Roman"/>
          <w:sz w:val="24"/>
          <w:szCs w:val="24"/>
          <w:lang w:val="cs-CZ"/>
        </w:rPr>
        <w:t xml:space="preserve">důvodů </w:t>
      </w:r>
      <w:r w:rsidR="00DA413D">
        <w:rPr>
          <w:rFonts w:ascii="Times New Roman" w:hAnsi="Times New Roman" w:cs="Times New Roman"/>
          <w:sz w:val="24"/>
          <w:szCs w:val="24"/>
          <w:lang w:val="cs-CZ"/>
        </w:rPr>
        <w:t>experiment skončil nejpozději po stisknutí 150V.</w:t>
      </w:r>
    </w:p>
    <w:p w14:paraId="78FEA541" w14:textId="77777777" w:rsidR="008E49A0" w:rsidRDefault="008E49A0" w:rsidP="003E5355">
      <w:pPr>
        <w:rPr>
          <w:rFonts w:ascii="Times New Roman" w:hAnsi="Times New Roman" w:cs="Times New Roman"/>
          <w:sz w:val="24"/>
          <w:szCs w:val="24"/>
          <w:lang w:val="cs-CZ"/>
        </w:rPr>
      </w:pPr>
      <w:r>
        <w:rPr>
          <w:rFonts w:ascii="Times New Roman" w:hAnsi="Times New Roman" w:cs="Times New Roman"/>
          <w:sz w:val="24"/>
          <w:szCs w:val="24"/>
          <w:lang w:val="cs-CZ"/>
        </w:rPr>
        <w:t xml:space="preserve">Původní </w:t>
      </w:r>
      <w:proofErr w:type="spellStart"/>
      <w:r>
        <w:rPr>
          <w:rFonts w:ascii="Times New Roman" w:hAnsi="Times New Roman" w:cs="Times New Roman"/>
          <w:sz w:val="24"/>
          <w:szCs w:val="24"/>
          <w:lang w:val="cs-CZ"/>
        </w:rPr>
        <w:t>Milgramova</w:t>
      </w:r>
      <w:proofErr w:type="spellEnd"/>
      <w:r>
        <w:rPr>
          <w:rFonts w:ascii="Times New Roman" w:hAnsi="Times New Roman" w:cs="Times New Roman"/>
          <w:sz w:val="24"/>
          <w:szCs w:val="24"/>
          <w:lang w:val="cs-CZ"/>
        </w:rPr>
        <w:t xml:space="preserve"> studie se zaměřovala hlavně na moc situace a experimentátora na účastníky. Avšak současná studie si kladla otázku, jestli to, že někteří by pokračovali i za hranici 150V, nemůže být</w:t>
      </w:r>
      <w:r w:rsidR="00324EC3">
        <w:rPr>
          <w:rFonts w:ascii="Times New Roman" w:hAnsi="Times New Roman" w:cs="Times New Roman"/>
          <w:sz w:val="24"/>
          <w:szCs w:val="24"/>
          <w:lang w:val="cs-CZ"/>
        </w:rPr>
        <w:t xml:space="preserve"> způsobeno i osobností účastníků. Jako hlavní zkoumané vlastnosti byly zvoleny empatie a touha po kontrole. Pokud byly naměřeny vysoké skóry, mělo to znamenat, že účastníci spíše expe</w:t>
      </w:r>
      <w:r w:rsidR="00A17957">
        <w:rPr>
          <w:rFonts w:ascii="Times New Roman" w:hAnsi="Times New Roman" w:cs="Times New Roman"/>
          <w:sz w:val="24"/>
          <w:szCs w:val="24"/>
          <w:lang w:val="cs-CZ"/>
        </w:rPr>
        <w:t xml:space="preserve">riment ukončí před hranicí 150V a jejich vlastnosti tak překonají poslušnost. </w:t>
      </w:r>
    </w:p>
    <w:p w14:paraId="5C16AAB1" w14:textId="77777777" w:rsidR="00A17957" w:rsidRDefault="00A17957" w:rsidP="003E5355">
      <w:pPr>
        <w:rPr>
          <w:rFonts w:ascii="Arial" w:hAnsi="Arial" w:cs="Arial"/>
          <w:sz w:val="32"/>
          <w:szCs w:val="32"/>
          <w:lang w:val="cs-CZ"/>
        </w:rPr>
      </w:pPr>
    </w:p>
    <w:p w14:paraId="6C9F40B5" w14:textId="77777777" w:rsidR="006627FF" w:rsidRDefault="00A17957" w:rsidP="003E5355">
      <w:pPr>
        <w:rPr>
          <w:rFonts w:ascii="Arial" w:hAnsi="Arial" w:cs="Arial"/>
          <w:sz w:val="32"/>
          <w:szCs w:val="32"/>
          <w:lang w:val="cs-CZ"/>
        </w:rPr>
      </w:pPr>
      <w:r>
        <w:rPr>
          <w:rFonts w:ascii="Arial" w:hAnsi="Arial" w:cs="Arial"/>
          <w:sz w:val="32"/>
          <w:szCs w:val="32"/>
          <w:lang w:val="cs-CZ"/>
        </w:rPr>
        <w:lastRenderedPageBreak/>
        <w:t>Výsledky – poslušnost nade vše</w:t>
      </w:r>
    </w:p>
    <w:p w14:paraId="34825BFC" w14:textId="77777777" w:rsidR="00A17957" w:rsidRDefault="008B7A7D" w:rsidP="003E5355">
      <w:pPr>
        <w:rPr>
          <w:rFonts w:ascii="Times New Roman" w:hAnsi="Times New Roman" w:cs="Times New Roman"/>
          <w:sz w:val="24"/>
          <w:szCs w:val="24"/>
          <w:lang w:val="cs-CZ"/>
        </w:rPr>
      </w:pPr>
      <w:r>
        <w:rPr>
          <w:rFonts w:ascii="Times New Roman" w:hAnsi="Times New Roman" w:cs="Times New Roman"/>
          <w:sz w:val="24"/>
          <w:szCs w:val="24"/>
          <w:lang w:val="cs-CZ"/>
        </w:rPr>
        <w:t>V prvním grafu jsou shrnuty a prezentovány výsledky vlivu osobnosti zúčastněných na výsledek experimentu.</w:t>
      </w:r>
      <w:r w:rsidR="005D17C6">
        <w:rPr>
          <w:rFonts w:ascii="Times New Roman" w:hAnsi="Times New Roman" w:cs="Times New Roman"/>
          <w:sz w:val="24"/>
          <w:szCs w:val="24"/>
          <w:lang w:val="cs-CZ"/>
        </w:rPr>
        <w:t xml:space="preserve"> Ve svislém grafu jsou znázorněny dosažené skóry účastníků.</w:t>
      </w:r>
    </w:p>
    <w:p w14:paraId="080FB2AF" w14:textId="77777777" w:rsidR="008B7A7D" w:rsidRDefault="005D17C6" w:rsidP="003E5355">
      <w:pPr>
        <w:rPr>
          <w:rFonts w:ascii="Times New Roman" w:hAnsi="Times New Roman" w:cs="Times New Roman"/>
          <w:sz w:val="24"/>
          <w:szCs w:val="24"/>
          <w:lang w:val="cs-CZ"/>
        </w:rPr>
      </w:pPr>
      <w:r>
        <w:rPr>
          <w:rFonts w:ascii="Times New Roman" w:hAnsi="Times New Roman" w:cs="Times New Roman"/>
          <w:sz w:val="24"/>
          <w:szCs w:val="24"/>
          <w:lang w:val="cs-CZ"/>
        </w:rPr>
        <w:t>Jak vidíte</w:t>
      </w:r>
      <w:r w:rsidR="008B7A7D">
        <w:rPr>
          <w:rFonts w:ascii="Times New Roman" w:hAnsi="Times New Roman" w:cs="Times New Roman"/>
          <w:sz w:val="24"/>
          <w:szCs w:val="24"/>
          <w:lang w:val="cs-CZ"/>
        </w:rPr>
        <w:t>,</w:t>
      </w:r>
      <w:r>
        <w:rPr>
          <w:rFonts w:ascii="Times New Roman" w:hAnsi="Times New Roman" w:cs="Times New Roman"/>
          <w:sz w:val="24"/>
          <w:szCs w:val="24"/>
          <w:lang w:val="cs-CZ"/>
        </w:rPr>
        <w:t xml:space="preserve"> červený sloupec naznačující nejvyšší skóre v touze po kontrole (asi 106), se nachází v kategorii těch, kteří přestali s experimentem ještě před hranicí 150V. V ostatních podmínkách žádný vztah k poslušnosti nalezen nebyl.</w:t>
      </w:r>
    </w:p>
    <w:p w14:paraId="5D4698C6" w14:textId="77777777" w:rsidR="00A17957" w:rsidRPr="00C22D5A" w:rsidRDefault="00A17957" w:rsidP="003E5355">
      <w:pPr>
        <w:rPr>
          <w:rFonts w:ascii="Times New Roman" w:hAnsi="Times New Roman" w:cs="Times New Roman"/>
          <w:sz w:val="24"/>
          <w:szCs w:val="24"/>
          <w:lang w:val="cs-CZ"/>
        </w:rPr>
      </w:pPr>
    </w:p>
    <w:p w14:paraId="785FBC6B" w14:textId="77777777" w:rsidR="006627FF" w:rsidRPr="006627FF" w:rsidRDefault="005D17C6" w:rsidP="003E5355">
      <w:pPr>
        <w:rPr>
          <w:rFonts w:ascii="Times New Roman" w:hAnsi="Times New Roman" w:cs="Times New Roman"/>
          <w:sz w:val="24"/>
          <w:szCs w:val="24"/>
          <w:lang w:val="cs-CZ"/>
        </w:rPr>
      </w:pPr>
      <w:commentRangeStart w:id="0"/>
      <w:r w:rsidRPr="005D17C6">
        <w:rPr>
          <w:rFonts w:ascii="Times New Roman" w:hAnsi="Times New Roman" w:cs="Times New Roman"/>
          <w:noProof/>
          <w:sz w:val="24"/>
          <w:szCs w:val="24"/>
          <w:lang w:val="cs-CZ" w:eastAsia="cs-CZ"/>
        </w:rPr>
        <w:drawing>
          <wp:inline distT="0" distB="0" distL="0" distR="0" wp14:anchorId="649D75CC" wp14:editId="07BD1184">
            <wp:extent cx="4572000" cy="27432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commentRangeEnd w:id="0"/>
      <w:r w:rsidR="00FA72C3">
        <w:rPr>
          <w:rStyle w:val="Odkaznakoment"/>
        </w:rPr>
        <w:commentReference w:id="0"/>
      </w:r>
    </w:p>
    <w:p w14:paraId="0BCC4292" w14:textId="77777777" w:rsidR="00965DA9" w:rsidRDefault="00965DA9" w:rsidP="00C92F4D">
      <w:pPr>
        <w:rPr>
          <w:rFonts w:ascii="Times New Roman" w:hAnsi="Times New Roman" w:cs="Times New Roman"/>
          <w:sz w:val="24"/>
          <w:szCs w:val="24"/>
          <w:lang w:val="cs-CZ"/>
        </w:rPr>
      </w:pPr>
    </w:p>
    <w:p w14:paraId="36228B85" w14:textId="77777777" w:rsidR="00AB713F" w:rsidRDefault="008B7A7D" w:rsidP="008B7A7D">
      <w:pPr>
        <w:rPr>
          <w:rFonts w:ascii="Times New Roman" w:hAnsi="Times New Roman" w:cs="Times New Roman"/>
          <w:sz w:val="24"/>
          <w:szCs w:val="24"/>
          <w:lang w:val="cs-CZ"/>
        </w:rPr>
      </w:pPr>
      <w:r>
        <w:rPr>
          <w:rFonts w:ascii="Times New Roman" w:hAnsi="Times New Roman" w:cs="Times New Roman"/>
          <w:sz w:val="24"/>
          <w:szCs w:val="24"/>
          <w:lang w:val="cs-CZ"/>
        </w:rPr>
        <w:t>V druhém grafu můžete vidět porovnání výsledků všech tří provedených experimentů.</w:t>
      </w:r>
      <w:r w:rsidR="00AB713F">
        <w:rPr>
          <w:rFonts w:ascii="Times New Roman" w:hAnsi="Times New Roman" w:cs="Times New Roman"/>
          <w:sz w:val="24"/>
          <w:szCs w:val="24"/>
          <w:lang w:val="cs-CZ"/>
        </w:rPr>
        <w:t xml:space="preserve"> </w:t>
      </w:r>
      <w:r w:rsidR="004652F3">
        <w:rPr>
          <w:rFonts w:ascii="Times New Roman" w:hAnsi="Times New Roman" w:cs="Times New Roman"/>
          <w:sz w:val="24"/>
          <w:szCs w:val="24"/>
          <w:lang w:val="cs-CZ"/>
        </w:rPr>
        <w:t xml:space="preserve">I když </w:t>
      </w:r>
      <w:r w:rsidR="00AB713F">
        <w:rPr>
          <w:rFonts w:ascii="Times New Roman" w:hAnsi="Times New Roman" w:cs="Times New Roman"/>
          <w:sz w:val="24"/>
          <w:szCs w:val="24"/>
          <w:lang w:val="cs-CZ"/>
        </w:rPr>
        <w:t>v situaci s modelovým odmítn</w:t>
      </w:r>
      <w:r w:rsidR="004652F3">
        <w:rPr>
          <w:rFonts w:ascii="Times New Roman" w:hAnsi="Times New Roman" w:cs="Times New Roman"/>
          <w:sz w:val="24"/>
          <w:szCs w:val="24"/>
          <w:lang w:val="cs-CZ"/>
        </w:rPr>
        <w:t>utím</w:t>
      </w:r>
      <w:r w:rsidR="00AB713F">
        <w:rPr>
          <w:rFonts w:ascii="Times New Roman" w:hAnsi="Times New Roman" w:cs="Times New Roman"/>
          <w:sz w:val="24"/>
          <w:szCs w:val="24"/>
          <w:lang w:val="cs-CZ"/>
        </w:rPr>
        <w:t xml:space="preserve"> přes 150V přešlo nejméně lidí</w:t>
      </w:r>
      <w:r w:rsidR="004652F3">
        <w:rPr>
          <w:rFonts w:ascii="Times New Roman" w:hAnsi="Times New Roman" w:cs="Times New Roman"/>
          <w:sz w:val="24"/>
          <w:szCs w:val="24"/>
          <w:lang w:val="cs-CZ"/>
        </w:rPr>
        <w:t>,</w:t>
      </w:r>
      <w:r w:rsidR="005D17C6">
        <w:rPr>
          <w:rFonts w:ascii="Times New Roman" w:hAnsi="Times New Roman" w:cs="Times New Roman"/>
          <w:sz w:val="24"/>
          <w:szCs w:val="24"/>
          <w:lang w:val="cs-CZ"/>
        </w:rPr>
        <w:t xml:space="preserve"> i tak je</w:t>
      </w:r>
      <w:r w:rsidR="006D44BC">
        <w:rPr>
          <w:rFonts w:ascii="Times New Roman" w:hAnsi="Times New Roman" w:cs="Times New Roman"/>
          <w:sz w:val="24"/>
          <w:szCs w:val="24"/>
          <w:lang w:val="cs-CZ"/>
        </w:rPr>
        <w:t xml:space="preserve"> </w:t>
      </w:r>
      <w:r w:rsidR="00C63D8C">
        <w:rPr>
          <w:rFonts w:ascii="Times New Roman" w:hAnsi="Times New Roman" w:cs="Times New Roman"/>
          <w:sz w:val="24"/>
          <w:szCs w:val="24"/>
          <w:lang w:val="cs-CZ"/>
        </w:rPr>
        <w:t xml:space="preserve">to </w:t>
      </w:r>
      <w:r w:rsidR="005D17C6">
        <w:rPr>
          <w:rFonts w:ascii="Times New Roman" w:hAnsi="Times New Roman" w:cs="Times New Roman"/>
          <w:sz w:val="24"/>
          <w:szCs w:val="24"/>
          <w:lang w:val="cs-CZ"/>
        </w:rPr>
        <w:t>více než polovina</w:t>
      </w:r>
      <w:r w:rsidR="006D44BC">
        <w:rPr>
          <w:rFonts w:ascii="Times New Roman" w:hAnsi="Times New Roman" w:cs="Times New Roman"/>
          <w:sz w:val="24"/>
          <w:szCs w:val="24"/>
          <w:lang w:val="cs-CZ"/>
        </w:rPr>
        <w:t xml:space="preserve"> zúčastněných</w:t>
      </w:r>
      <w:r w:rsidR="004652F3">
        <w:rPr>
          <w:rFonts w:ascii="Times New Roman" w:hAnsi="Times New Roman" w:cs="Times New Roman"/>
          <w:sz w:val="24"/>
          <w:szCs w:val="24"/>
          <w:lang w:val="cs-CZ"/>
        </w:rPr>
        <w:t xml:space="preserve">. V původním </w:t>
      </w:r>
      <w:proofErr w:type="spellStart"/>
      <w:r w:rsidR="004652F3">
        <w:rPr>
          <w:rFonts w:ascii="Times New Roman" w:hAnsi="Times New Roman" w:cs="Times New Roman"/>
          <w:sz w:val="24"/>
          <w:szCs w:val="24"/>
          <w:lang w:val="cs-CZ"/>
        </w:rPr>
        <w:t>Milgramově</w:t>
      </w:r>
      <w:proofErr w:type="spellEnd"/>
      <w:r w:rsidR="004652F3">
        <w:rPr>
          <w:rFonts w:ascii="Times New Roman" w:hAnsi="Times New Roman" w:cs="Times New Roman"/>
          <w:sz w:val="24"/>
          <w:szCs w:val="24"/>
          <w:lang w:val="cs-CZ"/>
        </w:rPr>
        <w:t xml:space="preserve"> experimentu dokonce pokračovalo přes 80 % lidí.</w:t>
      </w:r>
    </w:p>
    <w:p w14:paraId="664F34CC" w14:textId="77777777" w:rsidR="00AB713F" w:rsidRDefault="005D17C6" w:rsidP="008B7A7D">
      <w:pPr>
        <w:rPr>
          <w:rFonts w:ascii="Times New Roman" w:hAnsi="Times New Roman" w:cs="Times New Roman"/>
          <w:sz w:val="24"/>
          <w:szCs w:val="24"/>
          <w:lang w:val="cs-CZ"/>
        </w:rPr>
      </w:pPr>
      <w:r w:rsidRPr="00AB713F">
        <w:rPr>
          <w:rFonts w:ascii="Times New Roman" w:hAnsi="Times New Roman" w:cs="Times New Roman"/>
          <w:noProof/>
          <w:sz w:val="24"/>
          <w:szCs w:val="24"/>
          <w:lang w:val="cs-CZ" w:eastAsia="cs-CZ"/>
        </w:rPr>
        <w:drawing>
          <wp:inline distT="0" distB="0" distL="0" distR="0" wp14:anchorId="29919275" wp14:editId="50AC6945">
            <wp:extent cx="4572000" cy="2743200"/>
            <wp:effectExtent l="19050" t="0" r="1905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A95AE4" w14:textId="77777777" w:rsidR="005D17C6" w:rsidRDefault="005D17C6" w:rsidP="005D17C6">
      <w:pPr>
        <w:rPr>
          <w:rFonts w:ascii="Times New Roman" w:hAnsi="Times New Roman" w:cs="Times New Roman"/>
          <w:sz w:val="24"/>
          <w:szCs w:val="24"/>
          <w:lang w:val="cs-CZ"/>
        </w:rPr>
      </w:pPr>
      <w:r>
        <w:rPr>
          <w:rFonts w:ascii="Times New Roman" w:hAnsi="Times New Roman" w:cs="Times New Roman"/>
          <w:sz w:val="24"/>
          <w:szCs w:val="24"/>
          <w:lang w:val="cs-CZ"/>
        </w:rPr>
        <w:lastRenderedPageBreak/>
        <w:t>Na závěr jsou uvedena</w:t>
      </w:r>
      <w:r w:rsidR="00C63D8C">
        <w:rPr>
          <w:rFonts w:ascii="Times New Roman" w:hAnsi="Times New Roman" w:cs="Times New Roman"/>
          <w:sz w:val="24"/>
          <w:szCs w:val="24"/>
          <w:lang w:val="cs-CZ"/>
        </w:rPr>
        <w:t xml:space="preserve"> grafika s celkovým procentem</w:t>
      </w:r>
      <w:r>
        <w:rPr>
          <w:rFonts w:ascii="Times New Roman" w:hAnsi="Times New Roman" w:cs="Times New Roman"/>
          <w:sz w:val="24"/>
          <w:szCs w:val="24"/>
          <w:lang w:val="cs-CZ"/>
        </w:rPr>
        <w:t xml:space="preserve"> lidí z obou experimentů, kteří prošli a neprošli přes hranici 150V.  Nová studie tedy potvrdila </w:t>
      </w:r>
      <w:proofErr w:type="spellStart"/>
      <w:r>
        <w:rPr>
          <w:rFonts w:ascii="Times New Roman" w:hAnsi="Times New Roman" w:cs="Times New Roman"/>
          <w:sz w:val="24"/>
          <w:szCs w:val="24"/>
          <w:lang w:val="cs-CZ"/>
        </w:rPr>
        <w:t>Milgramova</w:t>
      </w:r>
      <w:proofErr w:type="spellEnd"/>
      <w:r>
        <w:rPr>
          <w:rFonts w:ascii="Times New Roman" w:hAnsi="Times New Roman" w:cs="Times New Roman"/>
          <w:sz w:val="24"/>
          <w:szCs w:val="24"/>
          <w:lang w:val="cs-CZ"/>
        </w:rPr>
        <w:t xml:space="preserve"> zjištění, stejně jako to, že za 45 let se poslušnost lidí téměř vůbec nezměnila, dokonce ani v situaci s modelovým odmítnutím.</w:t>
      </w:r>
    </w:p>
    <w:p w14:paraId="07109C12" w14:textId="77777777" w:rsidR="00C92F4D" w:rsidRDefault="00AB713F" w:rsidP="00965DA9">
      <w:pPr>
        <w:rPr>
          <w:rStyle w:val="Odkaznakoment"/>
        </w:rPr>
      </w:pPr>
      <w:commentRangeStart w:id="1"/>
      <w:r>
        <w:rPr>
          <w:rFonts w:ascii="Times New Roman" w:hAnsi="Times New Roman" w:cs="Times New Roman"/>
          <w:noProof/>
          <w:sz w:val="24"/>
          <w:szCs w:val="24"/>
          <w:lang w:val="cs-CZ" w:eastAsia="cs-CZ"/>
        </w:rPr>
        <w:drawing>
          <wp:anchor distT="0" distB="0" distL="114300" distR="114300" simplePos="0" relativeHeight="251658240" behindDoc="1" locked="0" layoutInCell="1" allowOverlap="1" wp14:anchorId="7B55B8D6" wp14:editId="22A0D950">
            <wp:simplePos x="0" y="0"/>
            <wp:positionH relativeFrom="column">
              <wp:posOffset>-242570</wp:posOffset>
            </wp:positionH>
            <wp:positionV relativeFrom="paragraph">
              <wp:posOffset>168910</wp:posOffset>
            </wp:positionV>
            <wp:extent cx="5762625" cy="3238500"/>
            <wp:effectExtent l="19050" t="0" r="9525" b="0"/>
            <wp:wrapTight wrapText="bothSides">
              <wp:wrapPolygon edited="0">
                <wp:start x="-71" y="0"/>
                <wp:lineTo x="-71" y="21473"/>
                <wp:lineTo x="21636" y="21473"/>
                <wp:lineTo x="21636" y="0"/>
                <wp:lineTo x="-71" y="0"/>
              </wp:wrapPolygon>
            </wp:wrapTight>
            <wp:docPr id="2" name="Obrázek 1" descr="Bez názv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2.jpg"/>
                    <pic:cNvPicPr/>
                  </pic:nvPicPr>
                  <pic:blipFill>
                    <a:blip r:embed="rId9"/>
                    <a:stretch>
                      <a:fillRect/>
                    </a:stretch>
                  </pic:blipFill>
                  <pic:spPr>
                    <a:xfrm>
                      <a:off x="0" y="0"/>
                      <a:ext cx="5762625" cy="3238500"/>
                    </a:xfrm>
                    <a:prstGeom prst="rect">
                      <a:avLst/>
                    </a:prstGeom>
                  </pic:spPr>
                </pic:pic>
              </a:graphicData>
            </a:graphic>
          </wp:anchor>
        </w:drawing>
      </w:r>
      <w:commentRangeEnd w:id="1"/>
      <w:r w:rsidR="00FA72C3">
        <w:rPr>
          <w:rStyle w:val="Odkaznakoment"/>
        </w:rPr>
        <w:commentReference w:id="1"/>
      </w:r>
    </w:p>
    <w:p w14:paraId="23401DB5" w14:textId="77777777" w:rsidR="00FA72C3" w:rsidRDefault="00FA72C3" w:rsidP="00965DA9">
      <w:pPr>
        <w:rPr>
          <w:rFonts w:ascii="Times New Roman" w:hAnsi="Times New Roman" w:cs="Times New Roman"/>
          <w:sz w:val="24"/>
          <w:szCs w:val="24"/>
          <w:lang w:val="cs-CZ"/>
        </w:rPr>
      </w:pPr>
    </w:p>
    <w:p w14:paraId="6DC060F3" w14:textId="77777777" w:rsidR="00FA72C3" w:rsidRDefault="00FA72C3" w:rsidP="00965DA9">
      <w:pPr>
        <w:rPr>
          <w:rFonts w:ascii="Times New Roman" w:hAnsi="Times New Roman" w:cs="Times New Roman"/>
          <w:sz w:val="24"/>
          <w:szCs w:val="24"/>
          <w:lang w:val="cs-CZ"/>
        </w:rPr>
      </w:pPr>
    </w:p>
    <w:p w14:paraId="08542CF6" w14:textId="77777777" w:rsidR="00FA72C3" w:rsidRDefault="00FA72C3" w:rsidP="00965DA9">
      <w:pPr>
        <w:rPr>
          <w:rFonts w:ascii="Times New Roman" w:hAnsi="Times New Roman" w:cs="Times New Roman"/>
          <w:sz w:val="24"/>
          <w:szCs w:val="24"/>
          <w:lang w:val="cs-CZ"/>
        </w:rPr>
      </w:pPr>
    </w:p>
    <w:p w14:paraId="204D9563" w14:textId="77777777" w:rsidR="00FA72C3" w:rsidRDefault="00FA72C3" w:rsidP="00965DA9">
      <w:pPr>
        <w:rPr>
          <w:rFonts w:ascii="Times New Roman" w:hAnsi="Times New Roman" w:cs="Times New Roman"/>
          <w:sz w:val="24"/>
          <w:szCs w:val="24"/>
          <w:lang w:val="cs-CZ"/>
        </w:rPr>
      </w:pPr>
    </w:p>
    <w:p w14:paraId="5B68BD65" w14:textId="77777777" w:rsidR="00FA72C3" w:rsidRDefault="00FA72C3" w:rsidP="00965DA9">
      <w:pPr>
        <w:rPr>
          <w:rFonts w:ascii="Times New Roman" w:hAnsi="Times New Roman" w:cs="Times New Roman"/>
          <w:sz w:val="24"/>
          <w:szCs w:val="24"/>
          <w:lang w:val="cs-CZ"/>
        </w:rPr>
      </w:pPr>
    </w:p>
    <w:p w14:paraId="5C36C200" w14:textId="77777777" w:rsidR="00FA72C3" w:rsidRDefault="00FA72C3" w:rsidP="00965DA9">
      <w:pPr>
        <w:rPr>
          <w:rFonts w:ascii="Times New Roman" w:hAnsi="Times New Roman" w:cs="Times New Roman"/>
          <w:sz w:val="24"/>
          <w:szCs w:val="24"/>
          <w:lang w:val="cs-CZ"/>
        </w:rPr>
      </w:pPr>
    </w:p>
    <w:p w14:paraId="3BBD72EF" w14:textId="77777777" w:rsidR="00FA72C3" w:rsidRDefault="00FA72C3" w:rsidP="00965DA9">
      <w:pPr>
        <w:rPr>
          <w:rFonts w:ascii="Times New Roman" w:hAnsi="Times New Roman" w:cs="Times New Roman"/>
          <w:sz w:val="24"/>
          <w:szCs w:val="24"/>
          <w:lang w:val="cs-CZ"/>
        </w:rPr>
      </w:pPr>
    </w:p>
    <w:p w14:paraId="6DEF1B1B" w14:textId="77777777" w:rsidR="00FA72C3" w:rsidRDefault="00FA72C3" w:rsidP="00965DA9">
      <w:pPr>
        <w:rPr>
          <w:rFonts w:ascii="Times New Roman" w:hAnsi="Times New Roman" w:cs="Times New Roman"/>
          <w:sz w:val="24"/>
          <w:szCs w:val="24"/>
          <w:lang w:val="cs-CZ"/>
        </w:rPr>
      </w:pPr>
    </w:p>
    <w:p w14:paraId="08EFC450" w14:textId="77777777" w:rsidR="00FA72C3" w:rsidRDefault="00FA72C3" w:rsidP="00965DA9">
      <w:pPr>
        <w:rPr>
          <w:rFonts w:ascii="Times New Roman" w:hAnsi="Times New Roman" w:cs="Times New Roman"/>
          <w:sz w:val="24"/>
          <w:szCs w:val="24"/>
          <w:lang w:val="cs-CZ"/>
        </w:rPr>
      </w:pPr>
    </w:p>
    <w:p w14:paraId="714ADAF2" w14:textId="77777777" w:rsidR="00FA72C3" w:rsidRDefault="00FA72C3" w:rsidP="00965DA9">
      <w:pPr>
        <w:rPr>
          <w:rFonts w:ascii="Times New Roman" w:hAnsi="Times New Roman" w:cs="Times New Roman"/>
          <w:sz w:val="24"/>
          <w:szCs w:val="24"/>
          <w:lang w:val="cs-CZ"/>
        </w:rPr>
      </w:pPr>
    </w:p>
    <w:p w14:paraId="5FBE645B" w14:textId="77777777" w:rsidR="00FA72C3" w:rsidRDefault="00FA72C3" w:rsidP="00965DA9">
      <w:pPr>
        <w:rPr>
          <w:rFonts w:ascii="Times New Roman" w:hAnsi="Times New Roman" w:cs="Times New Roman"/>
          <w:sz w:val="24"/>
          <w:szCs w:val="24"/>
          <w:lang w:val="cs-CZ"/>
        </w:rPr>
      </w:pPr>
    </w:p>
    <w:p w14:paraId="261CED5F" w14:textId="77777777" w:rsidR="00FA72C3" w:rsidRDefault="00FA72C3" w:rsidP="00965DA9">
      <w:pPr>
        <w:rPr>
          <w:rFonts w:ascii="Times New Roman" w:hAnsi="Times New Roman" w:cs="Times New Roman"/>
          <w:sz w:val="24"/>
          <w:szCs w:val="24"/>
          <w:lang w:val="cs-CZ"/>
        </w:rPr>
      </w:pPr>
    </w:p>
    <w:p w14:paraId="3ECB2815" w14:textId="77777777" w:rsidR="00FA72C3" w:rsidRPr="00FA72C3" w:rsidRDefault="00FA72C3" w:rsidP="00965DA9">
      <w:pPr>
        <w:rPr>
          <w:rFonts w:ascii="Times New Roman" w:hAnsi="Times New Roman" w:cs="Times New Roman"/>
          <w:i/>
          <w:sz w:val="24"/>
          <w:szCs w:val="24"/>
          <w:lang w:val="cs-CZ"/>
        </w:rPr>
      </w:pPr>
      <w:r w:rsidRPr="00FA72C3">
        <w:rPr>
          <w:rFonts w:ascii="Times New Roman" w:hAnsi="Times New Roman" w:cs="Times New Roman"/>
          <w:i/>
          <w:sz w:val="24"/>
          <w:szCs w:val="24"/>
          <w:lang w:val="cs-CZ"/>
        </w:rPr>
        <w:t>Dobré opravné úsilí, byť to není úplně čisté. Opravu přijímám.</w:t>
      </w:r>
    </w:p>
    <w:p w14:paraId="12CD8DEA" w14:textId="77777777" w:rsidR="00FA72C3" w:rsidRPr="00FA72C3" w:rsidRDefault="00FA72C3" w:rsidP="00965DA9">
      <w:pPr>
        <w:rPr>
          <w:rFonts w:ascii="Times New Roman" w:hAnsi="Times New Roman" w:cs="Times New Roman"/>
          <w:i/>
          <w:sz w:val="24"/>
          <w:szCs w:val="24"/>
          <w:lang w:val="cs-CZ"/>
        </w:rPr>
      </w:pPr>
      <w:r w:rsidRPr="00FA72C3">
        <w:rPr>
          <w:rFonts w:ascii="Times New Roman" w:hAnsi="Times New Roman" w:cs="Times New Roman"/>
          <w:i/>
          <w:sz w:val="24"/>
          <w:szCs w:val="24"/>
          <w:lang w:val="cs-CZ"/>
        </w:rPr>
        <w:t>SJ</w:t>
      </w:r>
      <w:bookmarkStart w:id="2" w:name="_GoBack"/>
      <w:bookmarkEnd w:id="2"/>
    </w:p>
    <w:sectPr w:rsidR="00FA72C3" w:rsidRPr="00FA72C3" w:rsidSect="00F55A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anislav Ježek" w:date="2019-06-27T16:20:00Z" w:initials="SJ">
    <w:p w14:paraId="0FBD9760" w14:textId="77777777" w:rsidR="00FA72C3" w:rsidRDefault="00FA72C3">
      <w:pPr>
        <w:pStyle w:val="Textkomente"/>
      </w:pPr>
      <w:r>
        <w:rPr>
          <w:rStyle w:val="Odkaznakoment"/>
        </w:rPr>
        <w:annotationRef/>
      </w:r>
      <w:proofErr w:type="spellStart"/>
      <w:r>
        <w:t>Takto</w:t>
      </w:r>
      <w:proofErr w:type="spellEnd"/>
      <w:r>
        <w:t xml:space="preserve"> je to </w:t>
      </w:r>
      <w:proofErr w:type="spellStart"/>
      <w:r>
        <w:t>lepší</w:t>
      </w:r>
      <w:proofErr w:type="spellEnd"/>
      <w:r>
        <w:t xml:space="preserve">. </w:t>
      </w:r>
      <w:proofErr w:type="spellStart"/>
      <w:r>
        <w:t>Pořád</w:t>
      </w:r>
      <w:proofErr w:type="spellEnd"/>
      <w:r>
        <w:t xml:space="preserve"> je ale </w:t>
      </w:r>
      <w:proofErr w:type="spellStart"/>
      <w:r>
        <w:t>problém</w:t>
      </w:r>
      <w:proofErr w:type="spellEnd"/>
      <w:r>
        <w:t xml:space="preserve"> s </w:t>
      </w:r>
      <w:proofErr w:type="spellStart"/>
      <w:r>
        <w:t>tím</w:t>
      </w:r>
      <w:proofErr w:type="spellEnd"/>
      <w:r>
        <w:t xml:space="preserve">, </w:t>
      </w:r>
      <w:proofErr w:type="spellStart"/>
      <w:r>
        <w:t>že</w:t>
      </w:r>
      <w:proofErr w:type="spellEnd"/>
      <w:r>
        <w:t xml:space="preserve"> </w:t>
      </w:r>
      <w:proofErr w:type="spellStart"/>
      <w:r>
        <w:t>jsou</w:t>
      </w:r>
      <w:proofErr w:type="spellEnd"/>
      <w:r>
        <w:t xml:space="preserve"> </w:t>
      </w:r>
      <w:proofErr w:type="spellStart"/>
      <w:r>
        <w:t>dvě</w:t>
      </w:r>
      <w:proofErr w:type="spellEnd"/>
      <w:r>
        <w:t xml:space="preserve"> </w:t>
      </w:r>
      <w:proofErr w:type="spellStart"/>
      <w:r>
        <w:t>proměnné</w:t>
      </w:r>
      <w:proofErr w:type="spellEnd"/>
      <w:r>
        <w:t xml:space="preserve"> (</w:t>
      </w:r>
      <w:proofErr w:type="spellStart"/>
      <w:r>
        <w:t>veličiny</w:t>
      </w:r>
      <w:proofErr w:type="spellEnd"/>
      <w:r>
        <w:t xml:space="preserve">) </w:t>
      </w:r>
      <w:proofErr w:type="spellStart"/>
      <w:r>
        <w:t>perzentovány</w:t>
      </w:r>
      <w:proofErr w:type="spellEnd"/>
      <w:r>
        <w:t xml:space="preserve"> </w:t>
      </w:r>
      <w:proofErr w:type="spellStart"/>
      <w:r>
        <w:t>společně</w:t>
      </w:r>
      <w:proofErr w:type="spellEnd"/>
      <w:r>
        <w:t xml:space="preserve">, </w:t>
      </w:r>
      <w:proofErr w:type="spellStart"/>
      <w:r>
        <w:t>jako</w:t>
      </w:r>
      <w:proofErr w:type="spellEnd"/>
      <w:r>
        <w:t xml:space="preserve"> by </w:t>
      </w:r>
      <w:proofErr w:type="spellStart"/>
      <w:r>
        <w:t>byly</w:t>
      </w:r>
      <w:proofErr w:type="spellEnd"/>
      <w:r>
        <w:t xml:space="preserve"> </w:t>
      </w:r>
      <w:proofErr w:type="spellStart"/>
      <w:r>
        <w:t>měřeny</w:t>
      </w:r>
      <w:proofErr w:type="spellEnd"/>
      <w:r>
        <w:t xml:space="preserve"> </w:t>
      </w:r>
      <w:proofErr w:type="spellStart"/>
      <w:r>
        <w:t>na</w:t>
      </w:r>
      <w:proofErr w:type="spellEnd"/>
      <w:r>
        <w:t xml:space="preserve"> </w:t>
      </w:r>
      <w:proofErr w:type="spellStart"/>
      <w:r>
        <w:t>stejné</w:t>
      </w:r>
      <w:proofErr w:type="spellEnd"/>
      <w:r>
        <w:t xml:space="preserve"> </w:t>
      </w:r>
      <w:proofErr w:type="spellStart"/>
      <w:r>
        <w:t>škále</w:t>
      </w:r>
      <w:proofErr w:type="spellEnd"/>
      <w:r>
        <w:t>.</w:t>
      </w:r>
    </w:p>
  </w:comment>
  <w:comment w:id="1" w:author="Stanislav Ježek" w:date="2019-06-27T16:21:00Z" w:initials="SJ">
    <w:p w14:paraId="7764F206" w14:textId="77777777" w:rsidR="00FA72C3" w:rsidRDefault="00FA72C3">
      <w:pPr>
        <w:pStyle w:val="Textkomente"/>
      </w:pPr>
      <w:r>
        <w:rPr>
          <w:rStyle w:val="Odkaznakoment"/>
        </w:rPr>
        <w:annotationRef/>
      </w:r>
      <w:r>
        <w:t xml:space="preserve">Je </w:t>
      </w:r>
      <w:proofErr w:type="spellStart"/>
      <w:r>
        <w:t>hezké</w:t>
      </w:r>
      <w:proofErr w:type="spellEnd"/>
      <w:r>
        <w:t xml:space="preserve">, </w:t>
      </w:r>
      <w:proofErr w:type="spellStart"/>
      <w:r>
        <w:t>že</w:t>
      </w:r>
      <w:proofErr w:type="spellEnd"/>
      <w:r>
        <w:t xml:space="preserve"> </w:t>
      </w:r>
      <w:proofErr w:type="spellStart"/>
      <w:r>
        <w:t>vysvětlujete</w:t>
      </w:r>
      <w:proofErr w:type="spellEnd"/>
      <w:r>
        <w:t xml:space="preserve">, co je </w:t>
      </w:r>
      <w:proofErr w:type="spellStart"/>
      <w:r>
        <w:t>na</w:t>
      </w:r>
      <w:proofErr w:type="spellEnd"/>
      <w:r>
        <w:t xml:space="preserve"> </w:t>
      </w:r>
      <w:proofErr w:type="spellStart"/>
      <w:r>
        <w:t>obrázku</w:t>
      </w:r>
      <w:proofErr w:type="spellEnd"/>
      <w:r>
        <w:t xml:space="preserve">. Ale, </w:t>
      </w:r>
      <w:proofErr w:type="spellStart"/>
      <w:r>
        <w:t>jak</w:t>
      </w:r>
      <w:proofErr w:type="spellEnd"/>
      <w:r>
        <w:t xml:space="preserve"> </w:t>
      </w:r>
      <w:proofErr w:type="spellStart"/>
      <w:r>
        <w:t>píšete</w:t>
      </w:r>
      <w:proofErr w:type="spellEnd"/>
      <w:r>
        <w:t xml:space="preserve">, je tam </w:t>
      </w:r>
      <w:proofErr w:type="spellStart"/>
      <w:r>
        <w:t>vlastně</w:t>
      </w:r>
      <w:proofErr w:type="spellEnd"/>
      <w:r>
        <w:t xml:space="preserve"> </w:t>
      </w:r>
      <w:proofErr w:type="spellStart"/>
      <w:r>
        <w:t>prezentováno</w:t>
      </w:r>
      <w:proofErr w:type="spellEnd"/>
      <w:r>
        <w:t xml:space="preserve"> </w:t>
      </w:r>
      <w:proofErr w:type="spellStart"/>
      <w:r>
        <w:t>jedno</w:t>
      </w:r>
      <w:proofErr w:type="spellEnd"/>
      <w:r>
        <w:t xml:space="preserve"> </w:t>
      </w:r>
      <w:proofErr w:type="spellStart"/>
      <w:r>
        <w:t>číslo</w:t>
      </w:r>
      <w:proofErr w:type="spellEnd"/>
      <w:r>
        <w:t xml:space="preserve">. </w:t>
      </w:r>
      <w:proofErr w:type="spellStart"/>
      <w:r>
        <w:t>Přitom</w:t>
      </w:r>
      <w:proofErr w:type="spellEnd"/>
      <w:r>
        <w:t xml:space="preserve"> </w:t>
      </w:r>
      <w:proofErr w:type="spellStart"/>
      <w:r>
        <w:t>jsou</w:t>
      </w:r>
      <w:proofErr w:type="spellEnd"/>
      <w:r>
        <w:t xml:space="preserve"> tam 4 </w:t>
      </w:r>
      <w:proofErr w:type="spellStart"/>
      <w:r>
        <w:t>grafické</w:t>
      </w:r>
      <w:proofErr w:type="spellEnd"/>
      <w:r>
        <w:t xml:space="preserve"> </w:t>
      </w:r>
      <w:proofErr w:type="spellStart"/>
      <w:r>
        <w:t>prvky</w:t>
      </w:r>
      <w:proofErr w:type="spellEnd"/>
      <w:r>
        <w:t xml:space="preserve"> a 2 </w:t>
      </w:r>
      <w:proofErr w:type="spellStart"/>
      <w:r>
        <w:t>čísla</w:t>
      </w:r>
      <w:proofErr w:type="spellEnd"/>
      <w:r>
        <w:t xml:space="preserve">. </w:t>
      </w:r>
      <w:proofErr w:type="spellStart"/>
      <w:r>
        <w:t>Čtenář</w:t>
      </w:r>
      <w:proofErr w:type="spellEnd"/>
      <w:r>
        <w:t xml:space="preserve"> </w:t>
      </w:r>
      <w:proofErr w:type="spellStart"/>
      <w:r>
        <w:t>nutně</w:t>
      </w:r>
      <w:proofErr w:type="spellEnd"/>
      <w:r>
        <w:t xml:space="preserve"> </w:t>
      </w:r>
      <w:proofErr w:type="spellStart"/>
      <w:r>
        <w:t>musí</w:t>
      </w:r>
      <w:proofErr w:type="spellEnd"/>
      <w:r>
        <w:t xml:space="preserve"> </w:t>
      </w:r>
      <w:proofErr w:type="spellStart"/>
      <w:r>
        <w:t>mít</w:t>
      </w:r>
      <w:proofErr w:type="spellEnd"/>
      <w:r>
        <w:t xml:space="preserve"> </w:t>
      </w:r>
      <w:proofErr w:type="spellStart"/>
      <w:r>
        <w:t>dojem</w:t>
      </w:r>
      <w:proofErr w:type="spellEnd"/>
      <w:r>
        <w:t xml:space="preserve">, </w:t>
      </w:r>
      <w:proofErr w:type="spellStart"/>
      <w:r>
        <w:t>že</w:t>
      </w:r>
      <w:proofErr w:type="spellEnd"/>
      <w:r>
        <w:t xml:space="preserve"> mu </w:t>
      </w:r>
      <w:proofErr w:type="spellStart"/>
      <w:r>
        <w:t>něco</w:t>
      </w:r>
      <w:proofErr w:type="spellEnd"/>
      <w:r>
        <w:t xml:space="preserve"> </w:t>
      </w:r>
      <w:proofErr w:type="spellStart"/>
      <w:r>
        <w:t>uniká</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BD9760" w15:done="0"/>
  <w15:commentEx w15:paraId="7764F2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BD9760" w16cid:durableId="20BF6B5E"/>
  <w16cid:commentId w16cid:paraId="7764F206" w16cid:durableId="20BF6B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nislav Ježek">
    <w15:presenceInfo w15:providerId="None" w15:userId="Stanislav Jež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40D3F"/>
    <w:rsid w:val="000019AF"/>
    <w:rsid w:val="000042F7"/>
    <w:rsid w:val="00010280"/>
    <w:rsid w:val="000133F6"/>
    <w:rsid w:val="00013C41"/>
    <w:rsid w:val="00014B20"/>
    <w:rsid w:val="0001505A"/>
    <w:rsid w:val="00017276"/>
    <w:rsid w:val="00020AAB"/>
    <w:rsid w:val="00021F61"/>
    <w:rsid w:val="00022C5C"/>
    <w:rsid w:val="00023A8D"/>
    <w:rsid w:val="00025DBC"/>
    <w:rsid w:val="000272EF"/>
    <w:rsid w:val="00027B75"/>
    <w:rsid w:val="00030C8C"/>
    <w:rsid w:val="0003104A"/>
    <w:rsid w:val="00032C8A"/>
    <w:rsid w:val="000339CC"/>
    <w:rsid w:val="00033CAE"/>
    <w:rsid w:val="0003486C"/>
    <w:rsid w:val="00036887"/>
    <w:rsid w:val="00040D3F"/>
    <w:rsid w:val="00043E01"/>
    <w:rsid w:val="000449D1"/>
    <w:rsid w:val="00046A5E"/>
    <w:rsid w:val="00047948"/>
    <w:rsid w:val="00051BCC"/>
    <w:rsid w:val="00052A8D"/>
    <w:rsid w:val="000558D5"/>
    <w:rsid w:val="00056DA1"/>
    <w:rsid w:val="00061CFF"/>
    <w:rsid w:val="00062601"/>
    <w:rsid w:val="0006352F"/>
    <w:rsid w:val="00063C8A"/>
    <w:rsid w:val="000669DD"/>
    <w:rsid w:val="000669F3"/>
    <w:rsid w:val="00067B30"/>
    <w:rsid w:val="00067BA1"/>
    <w:rsid w:val="0007038E"/>
    <w:rsid w:val="00070FCA"/>
    <w:rsid w:val="000712A0"/>
    <w:rsid w:val="00072F46"/>
    <w:rsid w:val="000741F2"/>
    <w:rsid w:val="0007465C"/>
    <w:rsid w:val="00074D82"/>
    <w:rsid w:val="0008046A"/>
    <w:rsid w:val="00081436"/>
    <w:rsid w:val="00081EC3"/>
    <w:rsid w:val="00082C29"/>
    <w:rsid w:val="00084A61"/>
    <w:rsid w:val="00085FC6"/>
    <w:rsid w:val="00087AA9"/>
    <w:rsid w:val="000934DC"/>
    <w:rsid w:val="0009487E"/>
    <w:rsid w:val="00095845"/>
    <w:rsid w:val="000A08D4"/>
    <w:rsid w:val="000A6898"/>
    <w:rsid w:val="000A7528"/>
    <w:rsid w:val="000B2D2A"/>
    <w:rsid w:val="000B3890"/>
    <w:rsid w:val="000B4754"/>
    <w:rsid w:val="000B4BD3"/>
    <w:rsid w:val="000B4F6A"/>
    <w:rsid w:val="000B5ECD"/>
    <w:rsid w:val="000B6403"/>
    <w:rsid w:val="000B6B5E"/>
    <w:rsid w:val="000C0A70"/>
    <w:rsid w:val="000C1214"/>
    <w:rsid w:val="000C3FD1"/>
    <w:rsid w:val="000C4E97"/>
    <w:rsid w:val="000C5A9A"/>
    <w:rsid w:val="000D283D"/>
    <w:rsid w:val="000D43E3"/>
    <w:rsid w:val="000D44FB"/>
    <w:rsid w:val="000D7668"/>
    <w:rsid w:val="000E01FE"/>
    <w:rsid w:val="000E12B2"/>
    <w:rsid w:val="000E16B8"/>
    <w:rsid w:val="000E25EC"/>
    <w:rsid w:val="000E29D3"/>
    <w:rsid w:val="000E52FB"/>
    <w:rsid w:val="000E6AAE"/>
    <w:rsid w:val="000E6DEA"/>
    <w:rsid w:val="000E73FE"/>
    <w:rsid w:val="000F1FF5"/>
    <w:rsid w:val="000F223A"/>
    <w:rsid w:val="000F4F2F"/>
    <w:rsid w:val="000F5C2B"/>
    <w:rsid w:val="000F7121"/>
    <w:rsid w:val="00101EFB"/>
    <w:rsid w:val="001021DA"/>
    <w:rsid w:val="00102611"/>
    <w:rsid w:val="00103660"/>
    <w:rsid w:val="0010379D"/>
    <w:rsid w:val="00104159"/>
    <w:rsid w:val="001041D9"/>
    <w:rsid w:val="001052C0"/>
    <w:rsid w:val="00106B5F"/>
    <w:rsid w:val="00110247"/>
    <w:rsid w:val="00110897"/>
    <w:rsid w:val="00113C6A"/>
    <w:rsid w:val="001156C2"/>
    <w:rsid w:val="00116236"/>
    <w:rsid w:val="00121038"/>
    <w:rsid w:val="001256CF"/>
    <w:rsid w:val="00127259"/>
    <w:rsid w:val="001308B5"/>
    <w:rsid w:val="00132543"/>
    <w:rsid w:val="00135904"/>
    <w:rsid w:val="0014026C"/>
    <w:rsid w:val="0014165F"/>
    <w:rsid w:val="00144E79"/>
    <w:rsid w:val="00145C21"/>
    <w:rsid w:val="001460E5"/>
    <w:rsid w:val="00147184"/>
    <w:rsid w:val="00152261"/>
    <w:rsid w:val="0015269B"/>
    <w:rsid w:val="00152DE0"/>
    <w:rsid w:val="00153E54"/>
    <w:rsid w:val="00155843"/>
    <w:rsid w:val="00156226"/>
    <w:rsid w:val="0016118E"/>
    <w:rsid w:val="00161E9C"/>
    <w:rsid w:val="0016376A"/>
    <w:rsid w:val="00164B4A"/>
    <w:rsid w:val="00164D44"/>
    <w:rsid w:val="00164F48"/>
    <w:rsid w:val="00165434"/>
    <w:rsid w:val="0017331E"/>
    <w:rsid w:val="001733DB"/>
    <w:rsid w:val="0017525D"/>
    <w:rsid w:val="00176D44"/>
    <w:rsid w:val="0018061A"/>
    <w:rsid w:val="001868C4"/>
    <w:rsid w:val="00187027"/>
    <w:rsid w:val="00190FE4"/>
    <w:rsid w:val="00192BE8"/>
    <w:rsid w:val="00192D5D"/>
    <w:rsid w:val="00195727"/>
    <w:rsid w:val="00197076"/>
    <w:rsid w:val="001A0B4B"/>
    <w:rsid w:val="001A0D5B"/>
    <w:rsid w:val="001A22EC"/>
    <w:rsid w:val="001A2641"/>
    <w:rsid w:val="001A5309"/>
    <w:rsid w:val="001B1290"/>
    <w:rsid w:val="001B1A9C"/>
    <w:rsid w:val="001B1C21"/>
    <w:rsid w:val="001B2DEF"/>
    <w:rsid w:val="001B68AA"/>
    <w:rsid w:val="001B7B4D"/>
    <w:rsid w:val="001B7E82"/>
    <w:rsid w:val="001C0617"/>
    <w:rsid w:val="001C457B"/>
    <w:rsid w:val="001C61A2"/>
    <w:rsid w:val="001C77DA"/>
    <w:rsid w:val="001D0743"/>
    <w:rsid w:val="001D63A7"/>
    <w:rsid w:val="001D6568"/>
    <w:rsid w:val="001E0946"/>
    <w:rsid w:val="001E1605"/>
    <w:rsid w:val="001E4EFF"/>
    <w:rsid w:val="001E5364"/>
    <w:rsid w:val="001E55C3"/>
    <w:rsid w:val="001E5FAE"/>
    <w:rsid w:val="001F2FFC"/>
    <w:rsid w:val="001F405E"/>
    <w:rsid w:val="001F4160"/>
    <w:rsid w:val="001F465F"/>
    <w:rsid w:val="001F6748"/>
    <w:rsid w:val="001F748B"/>
    <w:rsid w:val="001F7F44"/>
    <w:rsid w:val="00200169"/>
    <w:rsid w:val="00201455"/>
    <w:rsid w:val="002017AA"/>
    <w:rsid w:val="00204460"/>
    <w:rsid w:val="0020689B"/>
    <w:rsid w:val="00207A1D"/>
    <w:rsid w:val="00210845"/>
    <w:rsid w:val="00210B68"/>
    <w:rsid w:val="00210E09"/>
    <w:rsid w:val="00211134"/>
    <w:rsid w:val="002114FB"/>
    <w:rsid w:val="002151E2"/>
    <w:rsid w:val="00215226"/>
    <w:rsid w:val="00215389"/>
    <w:rsid w:val="002172A6"/>
    <w:rsid w:val="0022230C"/>
    <w:rsid w:val="00222931"/>
    <w:rsid w:val="00222CA8"/>
    <w:rsid w:val="00222E2C"/>
    <w:rsid w:val="00225F36"/>
    <w:rsid w:val="0023401F"/>
    <w:rsid w:val="00235AE8"/>
    <w:rsid w:val="00242590"/>
    <w:rsid w:val="002437A4"/>
    <w:rsid w:val="00250460"/>
    <w:rsid w:val="00251EE3"/>
    <w:rsid w:val="00253072"/>
    <w:rsid w:val="00255825"/>
    <w:rsid w:val="00261924"/>
    <w:rsid w:val="00261DE8"/>
    <w:rsid w:val="002664F5"/>
    <w:rsid w:val="00267E35"/>
    <w:rsid w:val="0027067C"/>
    <w:rsid w:val="00271900"/>
    <w:rsid w:val="002752E0"/>
    <w:rsid w:val="00275B6B"/>
    <w:rsid w:val="002760F7"/>
    <w:rsid w:val="00276766"/>
    <w:rsid w:val="0027739C"/>
    <w:rsid w:val="00280039"/>
    <w:rsid w:val="002808FD"/>
    <w:rsid w:val="00280EE6"/>
    <w:rsid w:val="0028162B"/>
    <w:rsid w:val="00281ABA"/>
    <w:rsid w:val="00281F22"/>
    <w:rsid w:val="00283DE7"/>
    <w:rsid w:val="00284001"/>
    <w:rsid w:val="00286064"/>
    <w:rsid w:val="00286265"/>
    <w:rsid w:val="0028731A"/>
    <w:rsid w:val="002900C0"/>
    <w:rsid w:val="00292F04"/>
    <w:rsid w:val="00293AD8"/>
    <w:rsid w:val="00293EDF"/>
    <w:rsid w:val="00295282"/>
    <w:rsid w:val="002963CA"/>
    <w:rsid w:val="0029717C"/>
    <w:rsid w:val="00297332"/>
    <w:rsid w:val="002978D8"/>
    <w:rsid w:val="002A0792"/>
    <w:rsid w:val="002A0DE2"/>
    <w:rsid w:val="002A24F5"/>
    <w:rsid w:val="002A2549"/>
    <w:rsid w:val="002A570C"/>
    <w:rsid w:val="002A6F8C"/>
    <w:rsid w:val="002A7674"/>
    <w:rsid w:val="002A7ED4"/>
    <w:rsid w:val="002B065B"/>
    <w:rsid w:val="002B1AA1"/>
    <w:rsid w:val="002B226F"/>
    <w:rsid w:val="002B5523"/>
    <w:rsid w:val="002B5B7D"/>
    <w:rsid w:val="002B5C6C"/>
    <w:rsid w:val="002B61E2"/>
    <w:rsid w:val="002B6AC7"/>
    <w:rsid w:val="002B71DC"/>
    <w:rsid w:val="002B75D2"/>
    <w:rsid w:val="002C2AA5"/>
    <w:rsid w:val="002C5275"/>
    <w:rsid w:val="002D0ED4"/>
    <w:rsid w:val="002D1747"/>
    <w:rsid w:val="002D18AB"/>
    <w:rsid w:val="002D644F"/>
    <w:rsid w:val="002E2028"/>
    <w:rsid w:val="002E32AC"/>
    <w:rsid w:val="002E62F1"/>
    <w:rsid w:val="002E77A4"/>
    <w:rsid w:val="002F0A3D"/>
    <w:rsid w:val="002F2497"/>
    <w:rsid w:val="002F2702"/>
    <w:rsid w:val="002F57FA"/>
    <w:rsid w:val="002F69FE"/>
    <w:rsid w:val="00303919"/>
    <w:rsid w:val="00303F41"/>
    <w:rsid w:val="0030757E"/>
    <w:rsid w:val="00310CBC"/>
    <w:rsid w:val="0031497F"/>
    <w:rsid w:val="00316C76"/>
    <w:rsid w:val="00317926"/>
    <w:rsid w:val="00317DDD"/>
    <w:rsid w:val="00317FFA"/>
    <w:rsid w:val="003208A2"/>
    <w:rsid w:val="00324EC3"/>
    <w:rsid w:val="003262BC"/>
    <w:rsid w:val="003263F9"/>
    <w:rsid w:val="00331488"/>
    <w:rsid w:val="003331AE"/>
    <w:rsid w:val="003338C4"/>
    <w:rsid w:val="00334EB9"/>
    <w:rsid w:val="0034040C"/>
    <w:rsid w:val="00341472"/>
    <w:rsid w:val="003415D4"/>
    <w:rsid w:val="00341EF3"/>
    <w:rsid w:val="00350912"/>
    <w:rsid w:val="00350982"/>
    <w:rsid w:val="00351E1B"/>
    <w:rsid w:val="0035402E"/>
    <w:rsid w:val="00354A99"/>
    <w:rsid w:val="00354BEA"/>
    <w:rsid w:val="00354FCC"/>
    <w:rsid w:val="00356710"/>
    <w:rsid w:val="00356FA2"/>
    <w:rsid w:val="00361E27"/>
    <w:rsid w:val="003642A6"/>
    <w:rsid w:val="00367581"/>
    <w:rsid w:val="00367E71"/>
    <w:rsid w:val="00372CA1"/>
    <w:rsid w:val="003759C5"/>
    <w:rsid w:val="00377235"/>
    <w:rsid w:val="00377ACE"/>
    <w:rsid w:val="00377B78"/>
    <w:rsid w:val="00382366"/>
    <w:rsid w:val="00383763"/>
    <w:rsid w:val="0038478B"/>
    <w:rsid w:val="00384CDC"/>
    <w:rsid w:val="00384E55"/>
    <w:rsid w:val="00386B1F"/>
    <w:rsid w:val="00391841"/>
    <w:rsid w:val="0039413D"/>
    <w:rsid w:val="00397A91"/>
    <w:rsid w:val="003A031A"/>
    <w:rsid w:val="003A0B4B"/>
    <w:rsid w:val="003A2DF3"/>
    <w:rsid w:val="003A327D"/>
    <w:rsid w:val="003A331A"/>
    <w:rsid w:val="003A51D9"/>
    <w:rsid w:val="003B12E3"/>
    <w:rsid w:val="003B7E57"/>
    <w:rsid w:val="003C1125"/>
    <w:rsid w:val="003C23C1"/>
    <w:rsid w:val="003C26A8"/>
    <w:rsid w:val="003C4C17"/>
    <w:rsid w:val="003C52AA"/>
    <w:rsid w:val="003D0C91"/>
    <w:rsid w:val="003D549A"/>
    <w:rsid w:val="003D723A"/>
    <w:rsid w:val="003E219A"/>
    <w:rsid w:val="003E2C13"/>
    <w:rsid w:val="003E2CA0"/>
    <w:rsid w:val="003E3445"/>
    <w:rsid w:val="003E5355"/>
    <w:rsid w:val="003E5368"/>
    <w:rsid w:val="003E5440"/>
    <w:rsid w:val="003F0D4B"/>
    <w:rsid w:val="003F375E"/>
    <w:rsid w:val="003F4F15"/>
    <w:rsid w:val="003F599C"/>
    <w:rsid w:val="003F68CD"/>
    <w:rsid w:val="003F757C"/>
    <w:rsid w:val="00403A85"/>
    <w:rsid w:val="00405A5F"/>
    <w:rsid w:val="00406AE1"/>
    <w:rsid w:val="004076DF"/>
    <w:rsid w:val="004101F0"/>
    <w:rsid w:val="00410C5F"/>
    <w:rsid w:val="004126CD"/>
    <w:rsid w:val="00412F84"/>
    <w:rsid w:val="00412FB0"/>
    <w:rsid w:val="00413FA6"/>
    <w:rsid w:val="0041485C"/>
    <w:rsid w:val="00414B51"/>
    <w:rsid w:val="004154B9"/>
    <w:rsid w:val="00416AD9"/>
    <w:rsid w:val="00416D01"/>
    <w:rsid w:val="004171EA"/>
    <w:rsid w:val="0042023B"/>
    <w:rsid w:val="00420647"/>
    <w:rsid w:val="004206ED"/>
    <w:rsid w:val="0042356B"/>
    <w:rsid w:val="00424510"/>
    <w:rsid w:val="00425BA4"/>
    <w:rsid w:val="0043362D"/>
    <w:rsid w:val="0043544A"/>
    <w:rsid w:val="00442737"/>
    <w:rsid w:val="0044324D"/>
    <w:rsid w:val="0044330C"/>
    <w:rsid w:val="00443723"/>
    <w:rsid w:val="00443ADF"/>
    <w:rsid w:val="00444F48"/>
    <w:rsid w:val="00445181"/>
    <w:rsid w:val="00445E46"/>
    <w:rsid w:val="00446AF6"/>
    <w:rsid w:val="00447253"/>
    <w:rsid w:val="004509F4"/>
    <w:rsid w:val="00453AA1"/>
    <w:rsid w:val="00456C33"/>
    <w:rsid w:val="0046016A"/>
    <w:rsid w:val="0046020D"/>
    <w:rsid w:val="0046198F"/>
    <w:rsid w:val="004628CB"/>
    <w:rsid w:val="00462B14"/>
    <w:rsid w:val="00463EC4"/>
    <w:rsid w:val="00464D00"/>
    <w:rsid w:val="004652F3"/>
    <w:rsid w:val="004656F6"/>
    <w:rsid w:val="004707B8"/>
    <w:rsid w:val="0047173F"/>
    <w:rsid w:val="00472271"/>
    <w:rsid w:val="00473B69"/>
    <w:rsid w:val="00473EA1"/>
    <w:rsid w:val="00474AC3"/>
    <w:rsid w:val="00476F33"/>
    <w:rsid w:val="00480E99"/>
    <w:rsid w:val="00481247"/>
    <w:rsid w:val="00481759"/>
    <w:rsid w:val="00481D72"/>
    <w:rsid w:val="004837D0"/>
    <w:rsid w:val="00485F0C"/>
    <w:rsid w:val="004871DF"/>
    <w:rsid w:val="00494EE6"/>
    <w:rsid w:val="004964FA"/>
    <w:rsid w:val="004A0464"/>
    <w:rsid w:val="004A0A0F"/>
    <w:rsid w:val="004A15C8"/>
    <w:rsid w:val="004A1D6B"/>
    <w:rsid w:val="004A566A"/>
    <w:rsid w:val="004B5239"/>
    <w:rsid w:val="004B5317"/>
    <w:rsid w:val="004B5F95"/>
    <w:rsid w:val="004B65D0"/>
    <w:rsid w:val="004C0483"/>
    <w:rsid w:val="004C0527"/>
    <w:rsid w:val="004C1A04"/>
    <w:rsid w:val="004C1BDC"/>
    <w:rsid w:val="004C21CB"/>
    <w:rsid w:val="004C2249"/>
    <w:rsid w:val="004C75FC"/>
    <w:rsid w:val="004C7C2B"/>
    <w:rsid w:val="004D046F"/>
    <w:rsid w:val="004D3500"/>
    <w:rsid w:val="004D371C"/>
    <w:rsid w:val="004D4F82"/>
    <w:rsid w:val="004D6896"/>
    <w:rsid w:val="004E3B08"/>
    <w:rsid w:val="004E78E5"/>
    <w:rsid w:val="004F0CDD"/>
    <w:rsid w:val="004F59E3"/>
    <w:rsid w:val="004F5A68"/>
    <w:rsid w:val="004F6BF0"/>
    <w:rsid w:val="004F6EAC"/>
    <w:rsid w:val="004F7176"/>
    <w:rsid w:val="00501CA1"/>
    <w:rsid w:val="005024D5"/>
    <w:rsid w:val="005064EF"/>
    <w:rsid w:val="00507BD4"/>
    <w:rsid w:val="00510B6F"/>
    <w:rsid w:val="00510EE6"/>
    <w:rsid w:val="0051112C"/>
    <w:rsid w:val="00511866"/>
    <w:rsid w:val="00512687"/>
    <w:rsid w:val="005148A0"/>
    <w:rsid w:val="00514A85"/>
    <w:rsid w:val="005170BF"/>
    <w:rsid w:val="005216FF"/>
    <w:rsid w:val="005221A5"/>
    <w:rsid w:val="005224B1"/>
    <w:rsid w:val="005232A3"/>
    <w:rsid w:val="00523315"/>
    <w:rsid w:val="00525664"/>
    <w:rsid w:val="00525893"/>
    <w:rsid w:val="005273BB"/>
    <w:rsid w:val="00527C46"/>
    <w:rsid w:val="00535C54"/>
    <w:rsid w:val="00536AC1"/>
    <w:rsid w:val="00536C8E"/>
    <w:rsid w:val="005410B9"/>
    <w:rsid w:val="00541EF4"/>
    <w:rsid w:val="00541F61"/>
    <w:rsid w:val="0054335A"/>
    <w:rsid w:val="00543DFA"/>
    <w:rsid w:val="0054490C"/>
    <w:rsid w:val="00544BAD"/>
    <w:rsid w:val="0054664F"/>
    <w:rsid w:val="005466CA"/>
    <w:rsid w:val="00547F98"/>
    <w:rsid w:val="0055051F"/>
    <w:rsid w:val="005512C9"/>
    <w:rsid w:val="00551838"/>
    <w:rsid w:val="00554639"/>
    <w:rsid w:val="00554FA7"/>
    <w:rsid w:val="00556051"/>
    <w:rsid w:val="00560B8B"/>
    <w:rsid w:val="005610B7"/>
    <w:rsid w:val="00564ACB"/>
    <w:rsid w:val="00565770"/>
    <w:rsid w:val="0056591D"/>
    <w:rsid w:val="00566C7C"/>
    <w:rsid w:val="00570336"/>
    <w:rsid w:val="00571073"/>
    <w:rsid w:val="00571DD6"/>
    <w:rsid w:val="005738C3"/>
    <w:rsid w:val="00574166"/>
    <w:rsid w:val="005741A7"/>
    <w:rsid w:val="00574719"/>
    <w:rsid w:val="0058132E"/>
    <w:rsid w:val="00582A13"/>
    <w:rsid w:val="00583465"/>
    <w:rsid w:val="00584EC9"/>
    <w:rsid w:val="00590309"/>
    <w:rsid w:val="00590A87"/>
    <w:rsid w:val="00590E91"/>
    <w:rsid w:val="0059302A"/>
    <w:rsid w:val="0059356C"/>
    <w:rsid w:val="00595006"/>
    <w:rsid w:val="00597B0A"/>
    <w:rsid w:val="005A1EF1"/>
    <w:rsid w:val="005A2F14"/>
    <w:rsid w:val="005A31A0"/>
    <w:rsid w:val="005A426A"/>
    <w:rsid w:val="005A519F"/>
    <w:rsid w:val="005A7DEE"/>
    <w:rsid w:val="005A7FF8"/>
    <w:rsid w:val="005B0307"/>
    <w:rsid w:val="005B19C6"/>
    <w:rsid w:val="005B19D9"/>
    <w:rsid w:val="005B26BD"/>
    <w:rsid w:val="005B2A66"/>
    <w:rsid w:val="005B31CD"/>
    <w:rsid w:val="005B35B3"/>
    <w:rsid w:val="005B667F"/>
    <w:rsid w:val="005C0BA1"/>
    <w:rsid w:val="005C1BDE"/>
    <w:rsid w:val="005C237B"/>
    <w:rsid w:val="005C28FC"/>
    <w:rsid w:val="005C2EE8"/>
    <w:rsid w:val="005C407B"/>
    <w:rsid w:val="005C4DEF"/>
    <w:rsid w:val="005D1318"/>
    <w:rsid w:val="005D17C6"/>
    <w:rsid w:val="005D1CDD"/>
    <w:rsid w:val="005D1F30"/>
    <w:rsid w:val="005D3807"/>
    <w:rsid w:val="005D4855"/>
    <w:rsid w:val="005D65D1"/>
    <w:rsid w:val="005D7D08"/>
    <w:rsid w:val="005E1251"/>
    <w:rsid w:val="005E2E96"/>
    <w:rsid w:val="005E6F44"/>
    <w:rsid w:val="005E6FCA"/>
    <w:rsid w:val="005E7540"/>
    <w:rsid w:val="005F0B16"/>
    <w:rsid w:val="005F3F01"/>
    <w:rsid w:val="005F4AF3"/>
    <w:rsid w:val="005F6ABD"/>
    <w:rsid w:val="005F7606"/>
    <w:rsid w:val="006002A4"/>
    <w:rsid w:val="0060147F"/>
    <w:rsid w:val="00602EDF"/>
    <w:rsid w:val="00603903"/>
    <w:rsid w:val="00605C00"/>
    <w:rsid w:val="006103F6"/>
    <w:rsid w:val="00611682"/>
    <w:rsid w:val="00611C70"/>
    <w:rsid w:val="00612978"/>
    <w:rsid w:val="00612FC0"/>
    <w:rsid w:val="00613F48"/>
    <w:rsid w:val="00614D73"/>
    <w:rsid w:val="00614EAE"/>
    <w:rsid w:val="006161B1"/>
    <w:rsid w:val="006167C9"/>
    <w:rsid w:val="00616EFE"/>
    <w:rsid w:val="00621965"/>
    <w:rsid w:val="00622417"/>
    <w:rsid w:val="00624CC9"/>
    <w:rsid w:val="00631903"/>
    <w:rsid w:val="00632F66"/>
    <w:rsid w:val="00634BAC"/>
    <w:rsid w:val="00635A88"/>
    <w:rsid w:val="00636DA1"/>
    <w:rsid w:val="00637590"/>
    <w:rsid w:val="006405B6"/>
    <w:rsid w:val="00640E65"/>
    <w:rsid w:val="00642AD9"/>
    <w:rsid w:val="00643675"/>
    <w:rsid w:val="00643C86"/>
    <w:rsid w:val="00644E1F"/>
    <w:rsid w:val="0064700E"/>
    <w:rsid w:val="00647966"/>
    <w:rsid w:val="00650E85"/>
    <w:rsid w:val="00656085"/>
    <w:rsid w:val="0066226E"/>
    <w:rsid w:val="006627FF"/>
    <w:rsid w:val="006638AD"/>
    <w:rsid w:val="00665121"/>
    <w:rsid w:val="00665988"/>
    <w:rsid w:val="00666ABE"/>
    <w:rsid w:val="00666F3D"/>
    <w:rsid w:val="00667D02"/>
    <w:rsid w:val="006725A6"/>
    <w:rsid w:val="0067287E"/>
    <w:rsid w:val="0067477C"/>
    <w:rsid w:val="006756F1"/>
    <w:rsid w:val="00675F7F"/>
    <w:rsid w:val="00676477"/>
    <w:rsid w:val="00676F39"/>
    <w:rsid w:val="00684576"/>
    <w:rsid w:val="0068470B"/>
    <w:rsid w:val="00685D89"/>
    <w:rsid w:val="0068634C"/>
    <w:rsid w:val="006871A4"/>
    <w:rsid w:val="00687ABB"/>
    <w:rsid w:val="006936E8"/>
    <w:rsid w:val="00694613"/>
    <w:rsid w:val="00696745"/>
    <w:rsid w:val="006975BA"/>
    <w:rsid w:val="006A0A95"/>
    <w:rsid w:val="006A249D"/>
    <w:rsid w:val="006A4AC3"/>
    <w:rsid w:val="006A56CD"/>
    <w:rsid w:val="006A5A77"/>
    <w:rsid w:val="006A5F84"/>
    <w:rsid w:val="006A7C30"/>
    <w:rsid w:val="006B0DDA"/>
    <w:rsid w:val="006B258A"/>
    <w:rsid w:val="006B42DF"/>
    <w:rsid w:val="006B5B88"/>
    <w:rsid w:val="006C15FA"/>
    <w:rsid w:val="006C2070"/>
    <w:rsid w:val="006C3D54"/>
    <w:rsid w:val="006C3EB8"/>
    <w:rsid w:val="006D112D"/>
    <w:rsid w:val="006D4284"/>
    <w:rsid w:val="006D44BC"/>
    <w:rsid w:val="006E292F"/>
    <w:rsid w:val="006E3FD8"/>
    <w:rsid w:val="006E40D5"/>
    <w:rsid w:val="006E438E"/>
    <w:rsid w:val="006E4C91"/>
    <w:rsid w:val="006F7C09"/>
    <w:rsid w:val="007009D6"/>
    <w:rsid w:val="007010CB"/>
    <w:rsid w:val="00701324"/>
    <w:rsid w:val="007035C4"/>
    <w:rsid w:val="00703C4E"/>
    <w:rsid w:val="00703F53"/>
    <w:rsid w:val="0070455D"/>
    <w:rsid w:val="0070520B"/>
    <w:rsid w:val="007074D2"/>
    <w:rsid w:val="007075E1"/>
    <w:rsid w:val="007078AA"/>
    <w:rsid w:val="007103EF"/>
    <w:rsid w:val="007109FA"/>
    <w:rsid w:val="00711B31"/>
    <w:rsid w:val="00715654"/>
    <w:rsid w:val="00716268"/>
    <w:rsid w:val="007165EC"/>
    <w:rsid w:val="00722A3A"/>
    <w:rsid w:val="00722C2C"/>
    <w:rsid w:val="0072348C"/>
    <w:rsid w:val="00723BC4"/>
    <w:rsid w:val="007259A3"/>
    <w:rsid w:val="0072677E"/>
    <w:rsid w:val="00726C7F"/>
    <w:rsid w:val="00730181"/>
    <w:rsid w:val="00730715"/>
    <w:rsid w:val="00732C52"/>
    <w:rsid w:val="00733810"/>
    <w:rsid w:val="007362C7"/>
    <w:rsid w:val="007364E9"/>
    <w:rsid w:val="0074108D"/>
    <w:rsid w:val="00744D50"/>
    <w:rsid w:val="00744E80"/>
    <w:rsid w:val="007467F1"/>
    <w:rsid w:val="00747AB8"/>
    <w:rsid w:val="00750863"/>
    <w:rsid w:val="00750BEF"/>
    <w:rsid w:val="007526DC"/>
    <w:rsid w:val="007529A4"/>
    <w:rsid w:val="007536C3"/>
    <w:rsid w:val="0075664B"/>
    <w:rsid w:val="007601BA"/>
    <w:rsid w:val="007619B0"/>
    <w:rsid w:val="00764E71"/>
    <w:rsid w:val="00764F29"/>
    <w:rsid w:val="00765F52"/>
    <w:rsid w:val="007666A1"/>
    <w:rsid w:val="00766B36"/>
    <w:rsid w:val="00767F0A"/>
    <w:rsid w:val="00770BFB"/>
    <w:rsid w:val="00772329"/>
    <w:rsid w:val="00772E7A"/>
    <w:rsid w:val="00772F40"/>
    <w:rsid w:val="0077356E"/>
    <w:rsid w:val="00776069"/>
    <w:rsid w:val="0077742C"/>
    <w:rsid w:val="00782C13"/>
    <w:rsid w:val="00782DB2"/>
    <w:rsid w:val="00783479"/>
    <w:rsid w:val="00784DE3"/>
    <w:rsid w:val="0078614F"/>
    <w:rsid w:val="00786558"/>
    <w:rsid w:val="00786C43"/>
    <w:rsid w:val="0078782C"/>
    <w:rsid w:val="007907FA"/>
    <w:rsid w:val="007925C0"/>
    <w:rsid w:val="00794892"/>
    <w:rsid w:val="00794D11"/>
    <w:rsid w:val="00795038"/>
    <w:rsid w:val="007A0FF1"/>
    <w:rsid w:val="007A592A"/>
    <w:rsid w:val="007A7669"/>
    <w:rsid w:val="007B01C9"/>
    <w:rsid w:val="007B19CE"/>
    <w:rsid w:val="007B3FF9"/>
    <w:rsid w:val="007B4097"/>
    <w:rsid w:val="007B4A29"/>
    <w:rsid w:val="007B7963"/>
    <w:rsid w:val="007C00F1"/>
    <w:rsid w:val="007C072E"/>
    <w:rsid w:val="007C1D1D"/>
    <w:rsid w:val="007C2A49"/>
    <w:rsid w:val="007C5FBF"/>
    <w:rsid w:val="007C763B"/>
    <w:rsid w:val="007D05D0"/>
    <w:rsid w:val="007D1FB6"/>
    <w:rsid w:val="007D2B66"/>
    <w:rsid w:val="007D5631"/>
    <w:rsid w:val="007D70CA"/>
    <w:rsid w:val="007E2C2F"/>
    <w:rsid w:val="007E3D1D"/>
    <w:rsid w:val="007E473D"/>
    <w:rsid w:val="007E56FB"/>
    <w:rsid w:val="007E634E"/>
    <w:rsid w:val="007F652A"/>
    <w:rsid w:val="007F66A5"/>
    <w:rsid w:val="00800713"/>
    <w:rsid w:val="00800C86"/>
    <w:rsid w:val="00810C2E"/>
    <w:rsid w:val="0081248A"/>
    <w:rsid w:val="00813AAA"/>
    <w:rsid w:val="00814332"/>
    <w:rsid w:val="00815AED"/>
    <w:rsid w:val="00820490"/>
    <w:rsid w:val="0082075F"/>
    <w:rsid w:val="0082219E"/>
    <w:rsid w:val="00822603"/>
    <w:rsid w:val="00822BC4"/>
    <w:rsid w:val="008260F0"/>
    <w:rsid w:val="00826166"/>
    <w:rsid w:val="0082642E"/>
    <w:rsid w:val="008268A0"/>
    <w:rsid w:val="00832311"/>
    <w:rsid w:val="00836C29"/>
    <w:rsid w:val="00837DDB"/>
    <w:rsid w:val="00841910"/>
    <w:rsid w:val="008420F6"/>
    <w:rsid w:val="00846458"/>
    <w:rsid w:val="00850553"/>
    <w:rsid w:val="00852C0D"/>
    <w:rsid w:val="00857C99"/>
    <w:rsid w:val="0086083C"/>
    <w:rsid w:val="00860D98"/>
    <w:rsid w:val="00860EC5"/>
    <w:rsid w:val="008651B7"/>
    <w:rsid w:val="00865414"/>
    <w:rsid w:val="00865CCF"/>
    <w:rsid w:val="008677D1"/>
    <w:rsid w:val="00872912"/>
    <w:rsid w:val="0087487B"/>
    <w:rsid w:val="008763B7"/>
    <w:rsid w:val="008770E5"/>
    <w:rsid w:val="008776DC"/>
    <w:rsid w:val="00877FF4"/>
    <w:rsid w:val="00880DDB"/>
    <w:rsid w:val="00884015"/>
    <w:rsid w:val="008853B2"/>
    <w:rsid w:val="00887E43"/>
    <w:rsid w:val="0089111B"/>
    <w:rsid w:val="00892852"/>
    <w:rsid w:val="00892B07"/>
    <w:rsid w:val="00894A2C"/>
    <w:rsid w:val="008953A1"/>
    <w:rsid w:val="00895D3A"/>
    <w:rsid w:val="00896E36"/>
    <w:rsid w:val="008A0023"/>
    <w:rsid w:val="008A53FF"/>
    <w:rsid w:val="008A5DF2"/>
    <w:rsid w:val="008A7A04"/>
    <w:rsid w:val="008B1342"/>
    <w:rsid w:val="008B2D8B"/>
    <w:rsid w:val="008B3775"/>
    <w:rsid w:val="008B50AB"/>
    <w:rsid w:val="008B5702"/>
    <w:rsid w:val="008B5AA1"/>
    <w:rsid w:val="008B63E4"/>
    <w:rsid w:val="008B6C77"/>
    <w:rsid w:val="008B7A7D"/>
    <w:rsid w:val="008B7F36"/>
    <w:rsid w:val="008C0E1B"/>
    <w:rsid w:val="008C1B1F"/>
    <w:rsid w:val="008C2756"/>
    <w:rsid w:val="008C4F90"/>
    <w:rsid w:val="008C66E4"/>
    <w:rsid w:val="008C7AF0"/>
    <w:rsid w:val="008C7DEE"/>
    <w:rsid w:val="008D5346"/>
    <w:rsid w:val="008E49A0"/>
    <w:rsid w:val="008E55EC"/>
    <w:rsid w:val="008E594B"/>
    <w:rsid w:val="008E6A13"/>
    <w:rsid w:val="008E6AE2"/>
    <w:rsid w:val="008F1E65"/>
    <w:rsid w:val="008F2586"/>
    <w:rsid w:val="008F6329"/>
    <w:rsid w:val="008F7806"/>
    <w:rsid w:val="009021E5"/>
    <w:rsid w:val="0090274F"/>
    <w:rsid w:val="00902879"/>
    <w:rsid w:val="00903292"/>
    <w:rsid w:val="00904BCA"/>
    <w:rsid w:val="00904E55"/>
    <w:rsid w:val="0090663E"/>
    <w:rsid w:val="009069E1"/>
    <w:rsid w:val="0090725A"/>
    <w:rsid w:val="00911AB1"/>
    <w:rsid w:val="00911B2D"/>
    <w:rsid w:val="00912B2A"/>
    <w:rsid w:val="00915D93"/>
    <w:rsid w:val="00916991"/>
    <w:rsid w:val="0091792D"/>
    <w:rsid w:val="00922C41"/>
    <w:rsid w:val="009233C7"/>
    <w:rsid w:val="00923F91"/>
    <w:rsid w:val="00925018"/>
    <w:rsid w:val="00925AE5"/>
    <w:rsid w:val="00926892"/>
    <w:rsid w:val="00926E89"/>
    <w:rsid w:val="00931902"/>
    <w:rsid w:val="0093337C"/>
    <w:rsid w:val="00935021"/>
    <w:rsid w:val="00940C41"/>
    <w:rsid w:val="009434EF"/>
    <w:rsid w:val="00943ADC"/>
    <w:rsid w:val="009455C1"/>
    <w:rsid w:val="0094716D"/>
    <w:rsid w:val="00947ADC"/>
    <w:rsid w:val="00951FD5"/>
    <w:rsid w:val="00953066"/>
    <w:rsid w:val="00953C4D"/>
    <w:rsid w:val="00955F41"/>
    <w:rsid w:val="00956013"/>
    <w:rsid w:val="00960206"/>
    <w:rsid w:val="00960DC9"/>
    <w:rsid w:val="00962908"/>
    <w:rsid w:val="00964766"/>
    <w:rsid w:val="00965DA9"/>
    <w:rsid w:val="00971AE1"/>
    <w:rsid w:val="00974B23"/>
    <w:rsid w:val="0097534E"/>
    <w:rsid w:val="00976EF2"/>
    <w:rsid w:val="0098653A"/>
    <w:rsid w:val="009905CF"/>
    <w:rsid w:val="00990F9F"/>
    <w:rsid w:val="00991110"/>
    <w:rsid w:val="0099608D"/>
    <w:rsid w:val="009A0126"/>
    <w:rsid w:val="009A2CF6"/>
    <w:rsid w:val="009A5203"/>
    <w:rsid w:val="009B14BE"/>
    <w:rsid w:val="009B273F"/>
    <w:rsid w:val="009B3673"/>
    <w:rsid w:val="009B4239"/>
    <w:rsid w:val="009B5E84"/>
    <w:rsid w:val="009B77E5"/>
    <w:rsid w:val="009C4DC9"/>
    <w:rsid w:val="009C7A7D"/>
    <w:rsid w:val="009D18E7"/>
    <w:rsid w:val="009D1DF5"/>
    <w:rsid w:val="009D2952"/>
    <w:rsid w:val="009D2BE9"/>
    <w:rsid w:val="009D2D09"/>
    <w:rsid w:val="009D726F"/>
    <w:rsid w:val="009E2298"/>
    <w:rsid w:val="009E4EC0"/>
    <w:rsid w:val="009E7215"/>
    <w:rsid w:val="009E7AA7"/>
    <w:rsid w:val="009F1352"/>
    <w:rsid w:val="009F17C1"/>
    <w:rsid w:val="009F21D7"/>
    <w:rsid w:val="009F33E0"/>
    <w:rsid w:val="009F35EB"/>
    <w:rsid w:val="009F4472"/>
    <w:rsid w:val="009F64C8"/>
    <w:rsid w:val="009F713D"/>
    <w:rsid w:val="00A01592"/>
    <w:rsid w:val="00A01FB6"/>
    <w:rsid w:val="00A02695"/>
    <w:rsid w:val="00A03AF9"/>
    <w:rsid w:val="00A04E0D"/>
    <w:rsid w:val="00A0522B"/>
    <w:rsid w:val="00A05515"/>
    <w:rsid w:val="00A05891"/>
    <w:rsid w:val="00A0690F"/>
    <w:rsid w:val="00A076BB"/>
    <w:rsid w:val="00A106DD"/>
    <w:rsid w:val="00A10AA2"/>
    <w:rsid w:val="00A1102D"/>
    <w:rsid w:val="00A13334"/>
    <w:rsid w:val="00A152CB"/>
    <w:rsid w:val="00A15AF2"/>
    <w:rsid w:val="00A15DD8"/>
    <w:rsid w:val="00A1612C"/>
    <w:rsid w:val="00A16EB3"/>
    <w:rsid w:val="00A17957"/>
    <w:rsid w:val="00A17F60"/>
    <w:rsid w:val="00A20CA5"/>
    <w:rsid w:val="00A21598"/>
    <w:rsid w:val="00A2232A"/>
    <w:rsid w:val="00A319ED"/>
    <w:rsid w:val="00A32920"/>
    <w:rsid w:val="00A33B47"/>
    <w:rsid w:val="00A34D65"/>
    <w:rsid w:val="00A4012C"/>
    <w:rsid w:val="00A4066B"/>
    <w:rsid w:val="00A4076F"/>
    <w:rsid w:val="00A434A8"/>
    <w:rsid w:val="00A43D72"/>
    <w:rsid w:val="00A47485"/>
    <w:rsid w:val="00A50B39"/>
    <w:rsid w:val="00A5196D"/>
    <w:rsid w:val="00A52A77"/>
    <w:rsid w:val="00A54954"/>
    <w:rsid w:val="00A54DBD"/>
    <w:rsid w:val="00A55103"/>
    <w:rsid w:val="00A55E40"/>
    <w:rsid w:val="00A5797F"/>
    <w:rsid w:val="00A6179F"/>
    <w:rsid w:val="00A634E4"/>
    <w:rsid w:val="00A63532"/>
    <w:rsid w:val="00A646DB"/>
    <w:rsid w:val="00A65156"/>
    <w:rsid w:val="00A65B43"/>
    <w:rsid w:val="00A67795"/>
    <w:rsid w:val="00A678EB"/>
    <w:rsid w:val="00A71694"/>
    <w:rsid w:val="00A72C6E"/>
    <w:rsid w:val="00A73C1B"/>
    <w:rsid w:val="00A75283"/>
    <w:rsid w:val="00A76824"/>
    <w:rsid w:val="00A776E7"/>
    <w:rsid w:val="00A7771C"/>
    <w:rsid w:val="00A804F0"/>
    <w:rsid w:val="00A808EE"/>
    <w:rsid w:val="00A852AC"/>
    <w:rsid w:val="00A864C6"/>
    <w:rsid w:val="00A87AA0"/>
    <w:rsid w:val="00A87ED1"/>
    <w:rsid w:val="00A91257"/>
    <w:rsid w:val="00A96CC0"/>
    <w:rsid w:val="00AA0C67"/>
    <w:rsid w:val="00AA0D0D"/>
    <w:rsid w:val="00AA2658"/>
    <w:rsid w:val="00AA282E"/>
    <w:rsid w:val="00AA2E54"/>
    <w:rsid w:val="00AA5163"/>
    <w:rsid w:val="00AB06F6"/>
    <w:rsid w:val="00AB0C0A"/>
    <w:rsid w:val="00AB1EC5"/>
    <w:rsid w:val="00AB32DE"/>
    <w:rsid w:val="00AB445E"/>
    <w:rsid w:val="00AB5368"/>
    <w:rsid w:val="00AB57AC"/>
    <w:rsid w:val="00AB693B"/>
    <w:rsid w:val="00AB6DF9"/>
    <w:rsid w:val="00AB713F"/>
    <w:rsid w:val="00AB7C0A"/>
    <w:rsid w:val="00AC00C3"/>
    <w:rsid w:val="00AC08B5"/>
    <w:rsid w:val="00AC1057"/>
    <w:rsid w:val="00AC2B5D"/>
    <w:rsid w:val="00AC4282"/>
    <w:rsid w:val="00AC50AD"/>
    <w:rsid w:val="00AC549F"/>
    <w:rsid w:val="00AD2155"/>
    <w:rsid w:val="00AD2626"/>
    <w:rsid w:val="00AD336D"/>
    <w:rsid w:val="00AD3798"/>
    <w:rsid w:val="00AD43D6"/>
    <w:rsid w:val="00AD47CC"/>
    <w:rsid w:val="00AD531A"/>
    <w:rsid w:val="00AD59E3"/>
    <w:rsid w:val="00AE01BC"/>
    <w:rsid w:val="00AE117B"/>
    <w:rsid w:val="00AE28C9"/>
    <w:rsid w:val="00AE473D"/>
    <w:rsid w:val="00AE5294"/>
    <w:rsid w:val="00AE56C7"/>
    <w:rsid w:val="00AE69F0"/>
    <w:rsid w:val="00AE6C67"/>
    <w:rsid w:val="00AE710C"/>
    <w:rsid w:val="00AE7439"/>
    <w:rsid w:val="00AE7527"/>
    <w:rsid w:val="00AF13BC"/>
    <w:rsid w:val="00AF1B5B"/>
    <w:rsid w:val="00AF2487"/>
    <w:rsid w:val="00AF35C7"/>
    <w:rsid w:val="00AF3D45"/>
    <w:rsid w:val="00B00F0E"/>
    <w:rsid w:val="00B04EA1"/>
    <w:rsid w:val="00B05E26"/>
    <w:rsid w:val="00B12269"/>
    <w:rsid w:val="00B12723"/>
    <w:rsid w:val="00B1528A"/>
    <w:rsid w:val="00B20DE3"/>
    <w:rsid w:val="00B21050"/>
    <w:rsid w:val="00B22963"/>
    <w:rsid w:val="00B2487E"/>
    <w:rsid w:val="00B24D2C"/>
    <w:rsid w:val="00B30F44"/>
    <w:rsid w:val="00B31533"/>
    <w:rsid w:val="00B319A7"/>
    <w:rsid w:val="00B31D5C"/>
    <w:rsid w:val="00B32674"/>
    <w:rsid w:val="00B32827"/>
    <w:rsid w:val="00B329B7"/>
    <w:rsid w:val="00B33146"/>
    <w:rsid w:val="00B3429A"/>
    <w:rsid w:val="00B36C86"/>
    <w:rsid w:val="00B42BE5"/>
    <w:rsid w:val="00B43F40"/>
    <w:rsid w:val="00B4528E"/>
    <w:rsid w:val="00B4575C"/>
    <w:rsid w:val="00B45908"/>
    <w:rsid w:val="00B469DE"/>
    <w:rsid w:val="00B4766F"/>
    <w:rsid w:val="00B514F0"/>
    <w:rsid w:val="00B5268C"/>
    <w:rsid w:val="00B5610F"/>
    <w:rsid w:val="00B624BB"/>
    <w:rsid w:val="00B62F61"/>
    <w:rsid w:val="00B64427"/>
    <w:rsid w:val="00B65AA6"/>
    <w:rsid w:val="00B7188A"/>
    <w:rsid w:val="00B723A5"/>
    <w:rsid w:val="00B751CE"/>
    <w:rsid w:val="00B779F2"/>
    <w:rsid w:val="00B77CD0"/>
    <w:rsid w:val="00B80DDA"/>
    <w:rsid w:val="00B81CE0"/>
    <w:rsid w:val="00B81D41"/>
    <w:rsid w:val="00B8254B"/>
    <w:rsid w:val="00B833BF"/>
    <w:rsid w:val="00B83B28"/>
    <w:rsid w:val="00B85CCF"/>
    <w:rsid w:val="00B85E6D"/>
    <w:rsid w:val="00B91735"/>
    <w:rsid w:val="00B92B56"/>
    <w:rsid w:val="00B94CD8"/>
    <w:rsid w:val="00B96EC5"/>
    <w:rsid w:val="00B9701E"/>
    <w:rsid w:val="00B97944"/>
    <w:rsid w:val="00BA00DA"/>
    <w:rsid w:val="00BA0B9D"/>
    <w:rsid w:val="00BA483A"/>
    <w:rsid w:val="00BA5138"/>
    <w:rsid w:val="00BA542F"/>
    <w:rsid w:val="00BA5795"/>
    <w:rsid w:val="00BA58B1"/>
    <w:rsid w:val="00BA5F6B"/>
    <w:rsid w:val="00BA78D8"/>
    <w:rsid w:val="00BB064C"/>
    <w:rsid w:val="00BB088C"/>
    <w:rsid w:val="00BB1121"/>
    <w:rsid w:val="00BB2F02"/>
    <w:rsid w:val="00BB7566"/>
    <w:rsid w:val="00BB7FFA"/>
    <w:rsid w:val="00BC10EE"/>
    <w:rsid w:val="00BC346B"/>
    <w:rsid w:val="00BC3932"/>
    <w:rsid w:val="00BC525A"/>
    <w:rsid w:val="00BC526C"/>
    <w:rsid w:val="00BC65D2"/>
    <w:rsid w:val="00BC76E5"/>
    <w:rsid w:val="00BD4840"/>
    <w:rsid w:val="00BD633F"/>
    <w:rsid w:val="00BD7DD4"/>
    <w:rsid w:val="00BE3F09"/>
    <w:rsid w:val="00BE4B6A"/>
    <w:rsid w:val="00BE50C1"/>
    <w:rsid w:val="00BF084F"/>
    <w:rsid w:val="00BF4CDE"/>
    <w:rsid w:val="00BF7EF5"/>
    <w:rsid w:val="00C01EB2"/>
    <w:rsid w:val="00C03A1A"/>
    <w:rsid w:val="00C040F7"/>
    <w:rsid w:val="00C056FD"/>
    <w:rsid w:val="00C07C34"/>
    <w:rsid w:val="00C10DC0"/>
    <w:rsid w:val="00C10F55"/>
    <w:rsid w:val="00C13501"/>
    <w:rsid w:val="00C13AEB"/>
    <w:rsid w:val="00C13BBB"/>
    <w:rsid w:val="00C14E07"/>
    <w:rsid w:val="00C152D1"/>
    <w:rsid w:val="00C15546"/>
    <w:rsid w:val="00C15DE2"/>
    <w:rsid w:val="00C177E4"/>
    <w:rsid w:val="00C21008"/>
    <w:rsid w:val="00C21101"/>
    <w:rsid w:val="00C21527"/>
    <w:rsid w:val="00C21BEA"/>
    <w:rsid w:val="00C2255A"/>
    <w:rsid w:val="00C22D5A"/>
    <w:rsid w:val="00C24707"/>
    <w:rsid w:val="00C26CE6"/>
    <w:rsid w:val="00C31114"/>
    <w:rsid w:val="00C313F8"/>
    <w:rsid w:val="00C329D7"/>
    <w:rsid w:val="00C329EB"/>
    <w:rsid w:val="00C32BDD"/>
    <w:rsid w:val="00C33EB0"/>
    <w:rsid w:val="00C349FE"/>
    <w:rsid w:val="00C37627"/>
    <w:rsid w:val="00C41B89"/>
    <w:rsid w:val="00C42F62"/>
    <w:rsid w:val="00C43A23"/>
    <w:rsid w:val="00C45D59"/>
    <w:rsid w:val="00C46A95"/>
    <w:rsid w:val="00C479E9"/>
    <w:rsid w:val="00C54796"/>
    <w:rsid w:val="00C6095A"/>
    <w:rsid w:val="00C62194"/>
    <w:rsid w:val="00C622BF"/>
    <w:rsid w:val="00C6388D"/>
    <w:rsid w:val="00C63D8C"/>
    <w:rsid w:val="00C65050"/>
    <w:rsid w:val="00C67196"/>
    <w:rsid w:val="00C70D8C"/>
    <w:rsid w:val="00C71F4C"/>
    <w:rsid w:val="00C73E7F"/>
    <w:rsid w:val="00C75524"/>
    <w:rsid w:val="00C77146"/>
    <w:rsid w:val="00C77C24"/>
    <w:rsid w:val="00C80013"/>
    <w:rsid w:val="00C82907"/>
    <w:rsid w:val="00C854C6"/>
    <w:rsid w:val="00C86C15"/>
    <w:rsid w:val="00C904AC"/>
    <w:rsid w:val="00C9072F"/>
    <w:rsid w:val="00C912E3"/>
    <w:rsid w:val="00C92F4D"/>
    <w:rsid w:val="00C9750E"/>
    <w:rsid w:val="00CA0B3F"/>
    <w:rsid w:val="00CA0B66"/>
    <w:rsid w:val="00CA1B16"/>
    <w:rsid w:val="00CA2DCD"/>
    <w:rsid w:val="00CA357C"/>
    <w:rsid w:val="00CA3CA8"/>
    <w:rsid w:val="00CA5BF0"/>
    <w:rsid w:val="00CB3334"/>
    <w:rsid w:val="00CB677D"/>
    <w:rsid w:val="00CB6CCF"/>
    <w:rsid w:val="00CB77D0"/>
    <w:rsid w:val="00CB7E72"/>
    <w:rsid w:val="00CC12B3"/>
    <w:rsid w:val="00CC1463"/>
    <w:rsid w:val="00CC3034"/>
    <w:rsid w:val="00CC76C5"/>
    <w:rsid w:val="00CC793F"/>
    <w:rsid w:val="00CD1029"/>
    <w:rsid w:val="00CD27E4"/>
    <w:rsid w:val="00CD38D0"/>
    <w:rsid w:val="00CD4753"/>
    <w:rsid w:val="00CD4B4F"/>
    <w:rsid w:val="00CD5E16"/>
    <w:rsid w:val="00CD5F8C"/>
    <w:rsid w:val="00CE3881"/>
    <w:rsid w:val="00CE410C"/>
    <w:rsid w:val="00CE55DE"/>
    <w:rsid w:val="00CE7106"/>
    <w:rsid w:val="00CF0C41"/>
    <w:rsid w:val="00CF15B0"/>
    <w:rsid w:val="00CF1DD0"/>
    <w:rsid w:val="00CF331A"/>
    <w:rsid w:val="00D00371"/>
    <w:rsid w:val="00D0070E"/>
    <w:rsid w:val="00D03955"/>
    <w:rsid w:val="00D039AA"/>
    <w:rsid w:val="00D03B04"/>
    <w:rsid w:val="00D05B3C"/>
    <w:rsid w:val="00D108A7"/>
    <w:rsid w:val="00D11142"/>
    <w:rsid w:val="00D1357E"/>
    <w:rsid w:val="00D1553D"/>
    <w:rsid w:val="00D15D09"/>
    <w:rsid w:val="00D16507"/>
    <w:rsid w:val="00D17858"/>
    <w:rsid w:val="00D22085"/>
    <w:rsid w:val="00D221CB"/>
    <w:rsid w:val="00D2256F"/>
    <w:rsid w:val="00D250D9"/>
    <w:rsid w:val="00D272D7"/>
    <w:rsid w:val="00D31860"/>
    <w:rsid w:val="00D31F92"/>
    <w:rsid w:val="00D34AF8"/>
    <w:rsid w:val="00D34E9D"/>
    <w:rsid w:val="00D35403"/>
    <w:rsid w:val="00D41AE3"/>
    <w:rsid w:val="00D41C04"/>
    <w:rsid w:val="00D429C0"/>
    <w:rsid w:val="00D42A5B"/>
    <w:rsid w:val="00D42BF9"/>
    <w:rsid w:val="00D42DE9"/>
    <w:rsid w:val="00D42E39"/>
    <w:rsid w:val="00D42FCB"/>
    <w:rsid w:val="00D4328E"/>
    <w:rsid w:val="00D451E9"/>
    <w:rsid w:val="00D46414"/>
    <w:rsid w:val="00D468F7"/>
    <w:rsid w:val="00D52E93"/>
    <w:rsid w:val="00D52FE0"/>
    <w:rsid w:val="00D55226"/>
    <w:rsid w:val="00D5536C"/>
    <w:rsid w:val="00D566BE"/>
    <w:rsid w:val="00D56765"/>
    <w:rsid w:val="00D57B50"/>
    <w:rsid w:val="00D61465"/>
    <w:rsid w:val="00D61803"/>
    <w:rsid w:val="00D62D1E"/>
    <w:rsid w:val="00D642AD"/>
    <w:rsid w:val="00D64550"/>
    <w:rsid w:val="00D65D30"/>
    <w:rsid w:val="00D65D35"/>
    <w:rsid w:val="00D65FEA"/>
    <w:rsid w:val="00D66661"/>
    <w:rsid w:val="00D70967"/>
    <w:rsid w:val="00D710BE"/>
    <w:rsid w:val="00D73762"/>
    <w:rsid w:val="00D74C92"/>
    <w:rsid w:val="00D74E16"/>
    <w:rsid w:val="00D7701C"/>
    <w:rsid w:val="00D77487"/>
    <w:rsid w:val="00D77899"/>
    <w:rsid w:val="00D82297"/>
    <w:rsid w:val="00D82547"/>
    <w:rsid w:val="00D855CC"/>
    <w:rsid w:val="00D858E9"/>
    <w:rsid w:val="00D87EEA"/>
    <w:rsid w:val="00D920B2"/>
    <w:rsid w:val="00D93051"/>
    <w:rsid w:val="00D9426A"/>
    <w:rsid w:val="00DA0230"/>
    <w:rsid w:val="00DA1704"/>
    <w:rsid w:val="00DA413D"/>
    <w:rsid w:val="00DA4663"/>
    <w:rsid w:val="00DB4F98"/>
    <w:rsid w:val="00DB5CCC"/>
    <w:rsid w:val="00DC05FC"/>
    <w:rsid w:val="00DC1B24"/>
    <w:rsid w:val="00DC6715"/>
    <w:rsid w:val="00DD32BD"/>
    <w:rsid w:val="00DD4C31"/>
    <w:rsid w:val="00DD778A"/>
    <w:rsid w:val="00DD7FF4"/>
    <w:rsid w:val="00DE00EB"/>
    <w:rsid w:val="00DE04F4"/>
    <w:rsid w:val="00DE51FF"/>
    <w:rsid w:val="00DE77B1"/>
    <w:rsid w:val="00DE79E1"/>
    <w:rsid w:val="00DF4F10"/>
    <w:rsid w:val="00DF55BA"/>
    <w:rsid w:val="00DF67CD"/>
    <w:rsid w:val="00E02662"/>
    <w:rsid w:val="00E06C87"/>
    <w:rsid w:val="00E11106"/>
    <w:rsid w:val="00E11E96"/>
    <w:rsid w:val="00E12E9A"/>
    <w:rsid w:val="00E13CD2"/>
    <w:rsid w:val="00E164B7"/>
    <w:rsid w:val="00E1677E"/>
    <w:rsid w:val="00E171E1"/>
    <w:rsid w:val="00E204D6"/>
    <w:rsid w:val="00E20CD1"/>
    <w:rsid w:val="00E23ECD"/>
    <w:rsid w:val="00E279EB"/>
    <w:rsid w:val="00E30423"/>
    <w:rsid w:val="00E30814"/>
    <w:rsid w:val="00E30C62"/>
    <w:rsid w:val="00E34027"/>
    <w:rsid w:val="00E42286"/>
    <w:rsid w:val="00E44592"/>
    <w:rsid w:val="00E45A3F"/>
    <w:rsid w:val="00E45F44"/>
    <w:rsid w:val="00E45FEC"/>
    <w:rsid w:val="00E46DA2"/>
    <w:rsid w:val="00E51DF6"/>
    <w:rsid w:val="00E525B3"/>
    <w:rsid w:val="00E5272C"/>
    <w:rsid w:val="00E53057"/>
    <w:rsid w:val="00E60433"/>
    <w:rsid w:val="00E619AF"/>
    <w:rsid w:val="00E65D45"/>
    <w:rsid w:val="00E6622D"/>
    <w:rsid w:val="00E66B19"/>
    <w:rsid w:val="00E6740D"/>
    <w:rsid w:val="00E67FA4"/>
    <w:rsid w:val="00E71019"/>
    <w:rsid w:val="00E738D2"/>
    <w:rsid w:val="00E753A2"/>
    <w:rsid w:val="00E75BD7"/>
    <w:rsid w:val="00E76F26"/>
    <w:rsid w:val="00E8179D"/>
    <w:rsid w:val="00E90F7C"/>
    <w:rsid w:val="00E91915"/>
    <w:rsid w:val="00E9304E"/>
    <w:rsid w:val="00E94742"/>
    <w:rsid w:val="00E94BBA"/>
    <w:rsid w:val="00E956B3"/>
    <w:rsid w:val="00E96993"/>
    <w:rsid w:val="00E97760"/>
    <w:rsid w:val="00E97D46"/>
    <w:rsid w:val="00E97E97"/>
    <w:rsid w:val="00EA04FF"/>
    <w:rsid w:val="00EA214F"/>
    <w:rsid w:val="00EA47A6"/>
    <w:rsid w:val="00EA5E3E"/>
    <w:rsid w:val="00EA5E56"/>
    <w:rsid w:val="00EB7E26"/>
    <w:rsid w:val="00EB7FEB"/>
    <w:rsid w:val="00EC1675"/>
    <w:rsid w:val="00EC1C3F"/>
    <w:rsid w:val="00EC5FE9"/>
    <w:rsid w:val="00EC7139"/>
    <w:rsid w:val="00EC77B2"/>
    <w:rsid w:val="00ED1996"/>
    <w:rsid w:val="00ED1C7D"/>
    <w:rsid w:val="00ED2FFC"/>
    <w:rsid w:val="00ED41BE"/>
    <w:rsid w:val="00ED6663"/>
    <w:rsid w:val="00ED7C6E"/>
    <w:rsid w:val="00EE1880"/>
    <w:rsid w:val="00EE3CE2"/>
    <w:rsid w:val="00EE7995"/>
    <w:rsid w:val="00EF0049"/>
    <w:rsid w:val="00EF1F79"/>
    <w:rsid w:val="00EF45B1"/>
    <w:rsid w:val="00EF49B8"/>
    <w:rsid w:val="00EF7428"/>
    <w:rsid w:val="00F01900"/>
    <w:rsid w:val="00F01FC1"/>
    <w:rsid w:val="00F03B50"/>
    <w:rsid w:val="00F03E0A"/>
    <w:rsid w:val="00F05EBA"/>
    <w:rsid w:val="00F076BB"/>
    <w:rsid w:val="00F1090B"/>
    <w:rsid w:val="00F110C2"/>
    <w:rsid w:val="00F11145"/>
    <w:rsid w:val="00F12501"/>
    <w:rsid w:val="00F13A16"/>
    <w:rsid w:val="00F140FE"/>
    <w:rsid w:val="00F14F98"/>
    <w:rsid w:val="00F1555D"/>
    <w:rsid w:val="00F15B9A"/>
    <w:rsid w:val="00F16B7C"/>
    <w:rsid w:val="00F17A84"/>
    <w:rsid w:val="00F17C7A"/>
    <w:rsid w:val="00F220EA"/>
    <w:rsid w:val="00F24D76"/>
    <w:rsid w:val="00F257E6"/>
    <w:rsid w:val="00F259B9"/>
    <w:rsid w:val="00F267C4"/>
    <w:rsid w:val="00F27D27"/>
    <w:rsid w:val="00F31D17"/>
    <w:rsid w:val="00F32C94"/>
    <w:rsid w:val="00F33305"/>
    <w:rsid w:val="00F33631"/>
    <w:rsid w:val="00F33A8F"/>
    <w:rsid w:val="00F3551A"/>
    <w:rsid w:val="00F35B8C"/>
    <w:rsid w:val="00F37A38"/>
    <w:rsid w:val="00F44B97"/>
    <w:rsid w:val="00F45527"/>
    <w:rsid w:val="00F47ACE"/>
    <w:rsid w:val="00F524D6"/>
    <w:rsid w:val="00F52510"/>
    <w:rsid w:val="00F53ADF"/>
    <w:rsid w:val="00F53D12"/>
    <w:rsid w:val="00F54FDC"/>
    <w:rsid w:val="00F55A23"/>
    <w:rsid w:val="00F6056C"/>
    <w:rsid w:val="00F605D9"/>
    <w:rsid w:val="00F60B08"/>
    <w:rsid w:val="00F62493"/>
    <w:rsid w:val="00F6285E"/>
    <w:rsid w:val="00F66583"/>
    <w:rsid w:val="00F66DF9"/>
    <w:rsid w:val="00F674A0"/>
    <w:rsid w:val="00F71D4D"/>
    <w:rsid w:val="00F72F64"/>
    <w:rsid w:val="00F77C08"/>
    <w:rsid w:val="00F80BE4"/>
    <w:rsid w:val="00F80CD2"/>
    <w:rsid w:val="00F8216F"/>
    <w:rsid w:val="00F83FBD"/>
    <w:rsid w:val="00F84AF6"/>
    <w:rsid w:val="00F8545B"/>
    <w:rsid w:val="00F877E3"/>
    <w:rsid w:val="00F879DF"/>
    <w:rsid w:val="00F9116C"/>
    <w:rsid w:val="00F930A9"/>
    <w:rsid w:val="00F97338"/>
    <w:rsid w:val="00FA172B"/>
    <w:rsid w:val="00FA28E3"/>
    <w:rsid w:val="00FA3644"/>
    <w:rsid w:val="00FA5C58"/>
    <w:rsid w:val="00FA6A30"/>
    <w:rsid w:val="00FA6F5F"/>
    <w:rsid w:val="00FA72C3"/>
    <w:rsid w:val="00FA76A8"/>
    <w:rsid w:val="00FB0D33"/>
    <w:rsid w:val="00FB1C24"/>
    <w:rsid w:val="00FB37B8"/>
    <w:rsid w:val="00FB40E3"/>
    <w:rsid w:val="00FB4A64"/>
    <w:rsid w:val="00FB549A"/>
    <w:rsid w:val="00FB5810"/>
    <w:rsid w:val="00FB6661"/>
    <w:rsid w:val="00FB6DB4"/>
    <w:rsid w:val="00FC09E4"/>
    <w:rsid w:val="00FC0A12"/>
    <w:rsid w:val="00FC1B73"/>
    <w:rsid w:val="00FC2623"/>
    <w:rsid w:val="00FC3664"/>
    <w:rsid w:val="00FC56CE"/>
    <w:rsid w:val="00FC7B72"/>
    <w:rsid w:val="00FD05C1"/>
    <w:rsid w:val="00FD594E"/>
    <w:rsid w:val="00FD6896"/>
    <w:rsid w:val="00FD7097"/>
    <w:rsid w:val="00FD793A"/>
    <w:rsid w:val="00FD7DA8"/>
    <w:rsid w:val="00FE0451"/>
    <w:rsid w:val="00FE0803"/>
    <w:rsid w:val="00FE1595"/>
    <w:rsid w:val="00FE1EB7"/>
    <w:rsid w:val="00FE2636"/>
    <w:rsid w:val="00FE461E"/>
    <w:rsid w:val="00FE6637"/>
    <w:rsid w:val="00FE7207"/>
    <w:rsid w:val="00FF0CCF"/>
    <w:rsid w:val="00FF1EFE"/>
    <w:rsid w:val="00FF2951"/>
    <w:rsid w:val="00FF6519"/>
    <w:rsid w:val="00FF7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9545"/>
  <w15:docId w15:val="{C168BAF3-2259-468E-BD86-FE57387D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5A23"/>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F6E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6EAC"/>
    <w:rPr>
      <w:rFonts w:ascii="Tahoma" w:hAnsi="Tahoma" w:cs="Tahoma"/>
      <w:sz w:val="16"/>
      <w:szCs w:val="16"/>
      <w:lang w:val="en-US"/>
    </w:rPr>
  </w:style>
  <w:style w:type="character" w:styleId="Odkaznakoment">
    <w:name w:val="annotation reference"/>
    <w:basedOn w:val="Standardnpsmoodstavce"/>
    <w:uiPriority w:val="99"/>
    <w:semiHidden/>
    <w:unhideWhenUsed/>
    <w:rsid w:val="00FA72C3"/>
    <w:rPr>
      <w:sz w:val="16"/>
      <w:szCs w:val="16"/>
    </w:rPr>
  </w:style>
  <w:style w:type="paragraph" w:styleId="Textkomente">
    <w:name w:val="annotation text"/>
    <w:basedOn w:val="Normln"/>
    <w:link w:val="TextkomenteChar"/>
    <w:uiPriority w:val="99"/>
    <w:semiHidden/>
    <w:unhideWhenUsed/>
    <w:rsid w:val="00FA72C3"/>
    <w:pPr>
      <w:spacing w:line="240" w:lineRule="auto"/>
    </w:pPr>
    <w:rPr>
      <w:sz w:val="20"/>
      <w:szCs w:val="20"/>
    </w:rPr>
  </w:style>
  <w:style w:type="character" w:customStyle="1" w:styleId="TextkomenteChar">
    <w:name w:val="Text komentáře Char"/>
    <w:basedOn w:val="Standardnpsmoodstavce"/>
    <w:link w:val="Textkomente"/>
    <w:uiPriority w:val="99"/>
    <w:semiHidden/>
    <w:rsid w:val="00FA72C3"/>
    <w:rPr>
      <w:sz w:val="20"/>
      <w:szCs w:val="20"/>
      <w:lang w:val="en-US"/>
    </w:rPr>
  </w:style>
  <w:style w:type="paragraph" w:styleId="Pedmtkomente">
    <w:name w:val="annotation subject"/>
    <w:basedOn w:val="Textkomente"/>
    <w:next w:val="Textkomente"/>
    <w:link w:val="PedmtkomenteChar"/>
    <w:uiPriority w:val="99"/>
    <w:semiHidden/>
    <w:unhideWhenUsed/>
    <w:rsid w:val="00FA72C3"/>
    <w:rPr>
      <w:b/>
      <w:bCs/>
    </w:rPr>
  </w:style>
  <w:style w:type="character" w:customStyle="1" w:styleId="PedmtkomenteChar">
    <w:name w:val="Předmět komentáře Char"/>
    <w:basedOn w:val="TextkomenteChar"/>
    <w:link w:val="Pedmtkomente"/>
    <w:uiPriority w:val="99"/>
    <w:semiHidden/>
    <w:rsid w:val="00FA72C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Psychology\2.semestr\PSY117\seminarka\sta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esktop\Psychology\2.semestr\PSY117\seminarka\st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Vliv osobnosti </a:t>
            </a:r>
          </a:p>
          <a:p>
            <a:pPr>
              <a:defRPr/>
            </a:pPr>
            <a:r>
              <a:rPr lang="cs-CZ"/>
              <a:t>- empatie a kontrola</a:t>
            </a:r>
          </a:p>
        </c:rich>
      </c:tx>
      <c:overlay val="0"/>
    </c:title>
    <c:autoTitleDeleted val="0"/>
    <c:plotArea>
      <c:layout/>
      <c:barChart>
        <c:barDir val="col"/>
        <c:grouping val="clustered"/>
        <c:varyColors val="0"/>
        <c:ser>
          <c:idx val="0"/>
          <c:order val="0"/>
          <c:tx>
            <c:strRef>
              <c:f>[stat.xlsx]List2!$B$1</c:f>
              <c:strCache>
                <c:ptCount val="1"/>
                <c:pt idx="0">
                  <c:v>Empatie</c:v>
                </c:pt>
              </c:strCache>
            </c:strRef>
          </c:tx>
          <c:invertIfNegative val="0"/>
          <c:cat>
            <c:strRef>
              <c:f>[stat.xlsx]List2!$A$2:$A$7</c:f>
              <c:strCache>
                <c:ptCount val="6"/>
                <c:pt idx="0">
                  <c:v>Základní - nad 150</c:v>
                </c:pt>
                <c:pt idx="1">
                  <c:v>Základ - pod 150</c:v>
                </c:pt>
                <c:pt idx="2">
                  <c:v>Model - nad 150</c:v>
                </c:pt>
                <c:pt idx="3">
                  <c:v>Model -pod 150</c:v>
                </c:pt>
                <c:pt idx="4">
                  <c:v>Milgram -nad 150</c:v>
                </c:pt>
                <c:pt idx="5">
                  <c:v>Milgram -pod 150</c:v>
                </c:pt>
              </c:strCache>
            </c:strRef>
          </c:cat>
          <c:val>
            <c:numRef>
              <c:f>[stat.xlsx]List2!$B$2:$B$7</c:f>
              <c:numCache>
                <c:formatCode>0.00</c:formatCode>
                <c:ptCount val="6"/>
                <c:pt idx="0">
                  <c:v>19.2</c:v>
                </c:pt>
                <c:pt idx="1">
                  <c:v>19.25</c:v>
                </c:pt>
                <c:pt idx="2">
                  <c:v>18.37</c:v>
                </c:pt>
                <c:pt idx="3">
                  <c:v>20.91</c:v>
                </c:pt>
                <c:pt idx="4">
                  <c:v>18.84</c:v>
                </c:pt>
                <c:pt idx="5">
                  <c:v>20.04</c:v>
                </c:pt>
              </c:numCache>
            </c:numRef>
          </c:val>
          <c:extLst>
            <c:ext xmlns:c16="http://schemas.microsoft.com/office/drawing/2014/chart" uri="{C3380CC4-5D6E-409C-BE32-E72D297353CC}">
              <c16:uniqueId val="{00000000-FB03-4FC2-93A4-8E62BEBC8943}"/>
            </c:ext>
          </c:extLst>
        </c:ser>
        <c:ser>
          <c:idx val="1"/>
          <c:order val="1"/>
          <c:tx>
            <c:strRef>
              <c:f>[stat.xlsx]List2!$C$1</c:f>
              <c:strCache>
                <c:ptCount val="1"/>
                <c:pt idx="0">
                  <c:v>Kontrola</c:v>
                </c:pt>
              </c:strCache>
            </c:strRef>
          </c:tx>
          <c:invertIfNegative val="0"/>
          <c:cat>
            <c:strRef>
              <c:f>[stat.xlsx]List2!$A$2:$A$7</c:f>
              <c:strCache>
                <c:ptCount val="6"/>
                <c:pt idx="0">
                  <c:v>Základní - nad 150</c:v>
                </c:pt>
                <c:pt idx="1">
                  <c:v>Základ - pod 150</c:v>
                </c:pt>
                <c:pt idx="2">
                  <c:v>Model - nad 150</c:v>
                </c:pt>
                <c:pt idx="3">
                  <c:v>Model -pod 150</c:v>
                </c:pt>
                <c:pt idx="4">
                  <c:v>Milgram -nad 150</c:v>
                </c:pt>
                <c:pt idx="5">
                  <c:v>Milgram -pod 150</c:v>
                </c:pt>
              </c:strCache>
            </c:strRef>
          </c:cat>
          <c:val>
            <c:numRef>
              <c:f>[stat.xlsx]List2!$C$2:$C$7</c:f>
              <c:numCache>
                <c:formatCode>0.00</c:formatCode>
                <c:ptCount val="6"/>
                <c:pt idx="0">
                  <c:v>98.240000000000023</c:v>
                </c:pt>
                <c:pt idx="1">
                  <c:v>106.92</c:v>
                </c:pt>
                <c:pt idx="2">
                  <c:v>103.67999999999998</c:v>
                </c:pt>
                <c:pt idx="3">
                  <c:v>99.64</c:v>
                </c:pt>
                <c:pt idx="4">
                  <c:v>100.59</c:v>
                </c:pt>
                <c:pt idx="5">
                  <c:v>103.43</c:v>
                </c:pt>
              </c:numCache>
            </c:numRef>
          </c:val>
          <c:extLst>
            <c:ext xmlns:c16="http://schemas.microsoft.com/office/drawing/2014/chart" uri="{C3380CC4-5D6E-409C-BE32-E72D297353CC}">
              <c16:uniqueId val="{00000001-FB03-4FC2-93A4-8E62BEBC8943}"/>
            </c:ext>
          </c:extLst>
        </c:ser>
        <c:dLbls>
          <c:showLegendKey val="0"/>
          <c:showVal val="0"/>
          <c:showCatName val="0"/>
          <c:showSerName val="0"/>
          <c:showPercent val="0"/>
          <c:showBubbleSize val="0"/>
        </c:dLbls>
        <c:gapWidth val="150"/>
        <c:axId val="104027264"/>
        <c:axId val="104029184"/>
      </c:barChart>
      <c:catAx>
        <c:axId val="104027264"/>
        <c:scaling>
          <c:orientation val="minMax"/>
        </c:scaling>
        <c:delete val="0"/>
        <c:axPos val="b"/>
        <c:numFmt formatCode="General" sourceLinked="0"/>
        <c:majorTickMark val="out"/>
        <c:minorTickMark val="none"/>
        <c:tickLblPos val="nextTo"/>
        <c:crossAx val="104029184"/>
        <c:crosses val="autoZero"/>
        <c:auto val="1"/>
        <c:lblAlgn val="ctr"/>
        <c:lblOffset val="100"/>
        <c:noMultiLvlLbl val="0"/>
      </c:catAx>
      <c:valAx>
        <c:axId val="104029184"/>
        <c:scaling>
          <c:orientation val="minMax"/>
        </c:scaling>
        <c:delete val="0"/>
        <c:axPos val="l"/>
        <c:majorGridlines/>
        <c:numFmt formatCode="0.00" sourceLinked="1"/>
        <c:majorTickMark val="out"/>
        <c:minorTickMark val="none"/>
        <c:tickLblPos val="nextTo"/>
        <c:crossAx val="1040272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cs-CZ"/>
              <a:t>Kolik</a:t>
            </a:r>
            <a:r>
              <a:rPr lang="cs-CZ" baseline="0"/>
              <a:t> procent lidí přešlo přes 150V?</a:t>
            </a:r>
            <a:endParaRPr lang="cs-CZ"/>
          </a:p>
        </c:rich>
      </c:tx>
      <c:overlay val="0"/>
    </c:title>
    <c:autoTitleDeleted val="0"/>
    <c:plotArea>
      <c:layout/>
      <c:barChart>
        <c:barDir val="col"/>
        <c:grouping val="clustered"/>
        <c:varyColors val="0"/>
        <c:ser>
          <c:idx val="0"/>
          <c:order val="0"/>
          <c:tx>
            <c:strRef>
              <c:f>List1!$A$2</c:f>
              <c:strCache>
                <c:ptCount val="1"/>
                <c:pt idx="0">
                  <c:v>Konec při 150V nebo dřív</c:v>
                </c:pt>
              </c:strCache>
            </c:strRef>
          </c:tx>
          <c:spPr>
            <a:solidFill>
              <a:schemeClr val="accent1">
                <a:lumMod val="20000"/>
                <a:lumOff val="80000"/>
              </a:schemeClr>
            </a:solidFill>
          </c:spPr>
          <c:invertIfNegative val="0"/>
          <c:cat>
            <c:strRef>
              <c:f>List1!$B$1:$D$1</c:f>
              <c:strCache>
                <c:ptCount val="3"/>
                <c:pt idx="0">
                  <c:v>Základní</c:v>
                </c:pt>
                <c:pt idx="1">
                  <c:v>Modelové odmítnutí</c:v>
                </c:pt>
                <c:pt idx="2">
                  <c:v>Milgram</c:v>
                </c:pt>
              </c:strCache>
            </c:strRef>
          </c:cat>
          <c:val>
            <c:numRef>
              <c:f>List1!$B$2:$D$2</c:f>
              <c:numCache>
                <c:formatCode>#,##0.0</c:formatCode>
                <c:ptCount val="3"/>
                <c:pt idx="0" formatCode="0.0">
                  <c:v>30</c:v>
                </c:pt>
                <c:pt idx="1">
                  <c:v>36.700000000000003</c:v>
                </c:pt>
                <c:pt idx="2" formatCode="0.0">
                  <c:v>17.5</c:v>
                </c:pt>
              </c:numCache>
            </c:numRef>
          </c:val>
          <c:extLst>
            <c:ext xmlns:c16="http://schemas.microsoft.com/office/drawing/2014/chart" uri="{C3380CC4-5D6E-409C-BE32-E72D297353CC}">
              <c16:uniqueId val="{00000000-3E47-4145-9840-D76CEB96AB3D}"/>
            </c:ext>
          </c:extLst>
        </c:ser>
        <c:ser>
          <c:idx val="1"/>
          <c:order val="1"/>
          <c:tx>
            <c:strRef>
              <c:f>List1!$A$3</c:f>
              <c:strCache>
                <c:ptCount val="1"/>
                <c:pt idx="0">
                  <c:v>Pokračovali přes 150V</c:v>
                </c:pt>
              </c:strCache>
            </c:strRef>
          </c:tx>
          <c:spPr>
            <a:solidFill>
              <a:schemeClr val="tx2">
                <a:lumMod val="60000"/>
                <a:lumOff val="40000"/>
              </a:schemeClr>
            </a:solidFill>
          </c:spPr>
          <c:invertIfNegative val="0"/>
          <c:cat>
            <c:strRef>
              <c:f>List1!$B$1:$D$1</c:f>
              <c:strCache>
                <c:ptCount val="3"/>
                <c:pt idx="0">
                  <c:v>Základní</c:v>
                </c:pt>
                <c:pt idx="1">
                  <c:v>Modelové odmítnutí</c:v>
                </c:pt>
                <c:pt idx="2">
                  <c:v>Milgram</c:v>
                </c:pt>
              </c:strCache>
            </c:strRef>
          </c:cat>
          <c:val>
            <c:numRef>
              <c:f>List1!$B$3:$D$3</c:f>
              <c:numCache>
                <c:formatCode>0.0</c:formatCode>
                <c:ptCount val="3"/>
                <c:pt idx="0">
                  <c:v>70</c:v>
                </c:pt>
                <c:pt idx="1">
                  <c:v>63.3</c:v>
                </c:pt>
                <c:pt idx="2">
                  <c:v>82.5</c:v>
                </c:pt>
              </c:numCache>
            </c:numRef>
          </c:val>
          <c:extLst>
            <c:ext xmlns:c16="http://schemas.microsoft.com/office/drawing/2014/chart" uri="{C3380CC4-5D6E-409C-BE32-E72D297353CC}">
              <c16:uniqueId val="{00000001-3E47-4145-9840-D76CEB96AB3D}"/>
            </c:ext>
          </c:extLst>
        </c:ser>
        <c:dLbls>
          <c:showLegendKey val="0"/>
          <c:showVal val="0"/>
          <c:showCatName val="0"/>
          <c:showSerName val="0"/>
          <c:showPercent val="0"/>
          <c:showBubbleSize val="0"/>
        </c:dLbls>
        <c:gapWidth val="150"/>
        <c:axId val="110782336"/>
        <c:axId val="110788608"/>
      </c:barChart>
      <c:catAx>
        <c:axId val="110782336"/>
        <c:scaling>
          <c:orientation val="minMax"/>
        </c:scaling>
        <c:delete val="0"/>
        <c:axPos val="b"/>
        <c:numFmt formatCode="General" sourceLinked="0"/>
        <c:majorTickMark val="out"/>
        <c:minorTickMark val="none"/>
        <c:tickLblPos val="nextTo"/>
        <c:crossAx val="110788608"/>
        <c:crosses val="autoZero"/>
        <c:auto val="1"/>
        <c:lblAlgn val="ctr"/>
        <c:lblOffset val="100"/>
        <c:noMultiLvlLbl val="0"/>
      </c:catAx>
      <c:valAx>
        <c:axId val="110788608"/>
        <c:scaling>
          <c:orientation val="minMax"/>
          <c:max val="100"/>
        </c:scaling>
        <c:delete val="0"/>
        <c:axPos val="l"/>
        <c:majorGridlines/>
        <c:numFmt formatCode="0.0" sourceLinked="1"/>
        <c:majorTickMark val="out"/>
        <c:minorTickMark val="none"/>
        <c:tickLblPos val="nextTo"/>
        <c:crossAx val="1107823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Pages>
  <Words>607</Words>
  <Characters>3586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Stanislav Ježek</cp:lastModifiedBy>
  <cp:revision>19</cp:revision>
  <dcterms:created xsi:type="dcterms:W3CDTF">2019-05-02T16:32:00Z</dcterms:created>
  <dcterms:modified xsi:type="dcterms:W3CDTF">2019-06-27T14:24:00Z</dcterms:modified>
</cp:coreProperties>
</file>