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5FD14" w14:textId="77777777" w:rsidR="001C6D99" w:rsidRDefault="001C6D99" w:rsidP="001C6D99">
      <w:r w:rsidRPr="008A25A7">
        <w:rPr>
          <w:noProof/>
        </w:rPr>
        <w:drawing>
          <wp:anchor distT="0" distB="0" distL="114300" distR="114300" simplePos="0" relativeHeight="251659264" behindDoc="1" locked="1" layoutInCell="1" allowOverlap="1" wp14:anchorId="72A1F957" wp14:editId="4AE77AFC">
            <wp:simplePos x="0" y="0"/>
            <wp:positionH relativeFrom="margin">
              <wp:posOffset>-34925</wp:posOffset>
            </wp:positionH>
            <wp:positionV relativeFrom="paragraph">
              <wp:posOffset>-234950</wp:posOffset>
            </wp:positionV>
            <wp:extent cx="2077085" cy="1593850"/>
            <wp:effectExtent l="0" t="0" r="0" b="0"/>
            <wp:wrapTight wrapText="bothSides">
              <wp:wrapPolygon edited="0">
                <wp:start x="2377" y="3614"/>
                <wp:lineTo x="2773" y="17814"/>
                <wp:lineTo x="3368" y="18072"/>
                <wp:lineTo x="8122" y="18072"/>
                <wp:lineTo x="13867" y="18072"/>
                <wp:lineTo x="14264" y="18072"/>
                <wp:lineTo x="14858" y="16523"/>
                <wp:lineTo x="15056" y="15232"/>
                <wp:lineTo x="14462" y="12392"/>
                <wp:lineTo x="16443" y="11876"/>
                <wp:lineTo x="19018" y="9552"/>
                <wp:lineTo x="18622" y="7745"/>
                <wp:lineTo x="19216" y="3614"/>
                <wp:lineTo x="2377" y="3614"/>
              </wp:wrapPolygon>
            </wp:wrapTight>
            <wp:docPr id="2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AC314" w14:textId="77777777" w:rsidR="001C6D99" w:rsidRDefault="001C6D99" w:rsidP="001C6D99"/>
    <w:p w14:paraId="640AB5CC" w14:textId="77777777" w:rsidR="001C6D99" w:rsidRDefault="001C6D99" w:rsidP="001C6D99">
      <w:pPr>
        <w:jc w:val="center"/>
        <w:rPr>
          <w:rFonts w:ascii="Tahoma" w:hAnsi="Tahoma"/>
          <w:b/>
          <w:smallCaps/>
          <w:sz w:val="40"/>
        </w:rPr>
      </w:pPr>
    </w:p>
    <w:p w14:paraId="09ED43A8" w14:textId="77777777" w:rsidR="001C6D99" w:rsidRDefault="001C6D99" w:rsidP="001C6D99">
      <w:pPr>
        <w:jc w:val="center"/>
        <w:rPr>
          <w:rFonts w:ascii="Tahoma" w:hAnsi="Tahoma"/>
          <w:b/>
          <w:smallCaps/>
          <w:sz w:val="40"/>
        </w:rPr>
      </w:pPr>
    </w:p>
    <w:p w14:paraId="6E4930C3" w14:textId="77777777" w:rsidR="001F3301" w:rsidRDefault="001F3301" w:rsidP="001C6D99">
      <w:pPr>
        <w:jc w:val="center"/>
        <w:rPr>
          <w:rFonts w:ascii="Tahoma" w:hAnsi="Tahoma"/>
          <w:b/>
          <w:smallCaps/>
          <w:sz w:val="40"/>
        </w:rPr>
      </w:pPr>
    </w:p>
    <w:p w14:paraId="08E0938B" w14:textId="77777777" w:rsidR="001F3301" w:rsidRPr="00E8799B" w:rsidRDefault="001F3301" w:rsidP="001F3301">
      <w:pPr>
        <w:jc w:val="center"/>
        <w:rPr>
          <w:sz w:val="28"/>
          <w:szCs w:val="28"/>
        </w:rPr>
      </w:pPr>
      <w:r w:rsidRPr="001F3301">
        <w:rPr>
          <w:rFonts w:ascii="Tahoma" w:hAnsi="Tahoma"/>
          <w:b/>
          <w:smallCaps/>
          <w:sz w:val="40"/>
        </w:rPr>
        <w:t>DOSPÍVAJÍCÍ UŽIVATELÉ HEROINU A PERVITINU PO 14 LETECH: ANALÝZA PSYCHOSOCIÁLNÍCH CHARAKTERISTIK</w:t>
      </w:r>
    </w:p>
    <w:p w14:paraId="2A88E1C9" w14:textId="77777777" w:rsidR="001C6D99" w:rsidRDefault="001C6D99" w:rsidP="001C6D99"/>
    <w:p w14:paraId="604AAEE3" w14:textId="77777777" w:rsidR="001C6D99" w:rsidRPr="00DC1520" w:rsidRDefault="001C6D99" w:rsidP="00DC1520">
      <w:pPr>
        <w:tabs>
          <w:tab w:val="center" w:pos="4536"/>
          <w:tab w:val="left" w:pos="7133"/>
        </w:tabs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ab/>
        <w:t>PSY1</w:t>
      </w:r>
      <w:r w:rsidR="001F3301">
        <w:rPr>
          <w:rFonts w:ascii="Tahoma" w:hAnsi="Tahoma"/>
          <w:smallCaps/>
          <w:sz w:val="32"/>
        </w:rPr>
        <w:t>17</w:t>
      </w:r>
      <w:r>
        <w:rPr>
          <w:rFonts w:ascii="Tahoma" w:hAnsi="Tahoma"/>
          <w:smallCaps/>
          <w:sz w:val="32"/>
        </w:rPr>
        <w:t xml:space="preserve"> </w:t>
      </w:r>
      <w:r w:rsidR="001F3301">
        <w:rPr>
          <w:rFonts w:ascii="Tahoma" w:hAnsi="Tahoma"/>
          <w:smallCaps/>
          <w:sz w:val="32"/>
        </w:rPr>
        <w:t>Statistická analýza dat</w:t>
      </w:r>
      <w:r w:rsidR="001F3301">
        <w:rPr>
          <w:rFonts w:ascii="Tahoma" w:hAnsi="Tahoma"/>
          <w:smallCaps/>
          <w:sz w:val="32"/>
        </w:rPr>
        <w:tab/>
      </w:r>
    </w:p>
    <w:p w14:paraId="2C24369F" w14:textId="77777777" w:rsidR="001C6D99" w:rsidRDefault="001C6D99" w:rsidP="001C6D99">
      <w:pPr>
        <w:jc w:val="center"/>
        <w:rPr>
          <w:rFonts w:ascii="Tahoma" w:hAnsi="Tahoma"/>
          <w:sz w:val="28"/>
        </w:rPr>
      </w:pPr>
    </w:p>
    <w:p w14:paraId="04504AC8" w14:textId="77777777" w:rsidR="001C6D99" w:rsidRDefault="001C6D99" w:rsidP="001C6D9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Hynek Nedbal</w:t>
      </w:r>
    </w:p>
    <w:p w14:paraId="1751860B" w14:textId="77777777" w:rsidR="001C6D99" w:rsidRDefault="001C6D99" w:rsidP="001C6D99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443940, Psychologie</w:t>
      </w:r>
    </w:p>
    <w:p w14:paraId="2D900DFE" w14:textId="77777777" w:rsidR="001C6D99" w:rsidRDefault="001C6D99" w:rsidP="001C6D99">
      <w:pPr>
        <w:jc w:val="center"/>
        <w:rPr>
          <w:rFonts w:ascii="Tahoma" w:hAnsi="Tahoma"/>
          <w:sz w:val="28"/>
        </w:rPr>
      </w:pPr>
    </w:p>
    <w:p w14:paraId="0A759362" w14:textId="77777777" w:rsidR="001C6D99" w:rsidRDefault="001C6D99" w:rsidP="001C6D99">
      <w:pPr>
        <w:tabs>
          <w:tab w:val="right" w:pos="8931"/>
        </w:tabs>
        <w:rPr>
          <w:rFonts w:ascii="Tahoma" w:hAnsi="Tahoma"/>
        </w:rPr>
      </w:pPr>
    </w:p>
    <w:p w14:paraId="5BA3BC5D" w14:textId="77777777" w:rsidR="001C6D99" w:rsidRDefault="001C6D99" w:rsidP="001C6D99">
      <w:pPr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 xml:space="preserve">Vyučující: </w:t>
      </w:r>
      <w:r w:rsidR="001F3301">
        <w:rPr>
          <w:rFonts w:ascii="Tahoma" w:hAnsi="Tahoma"/>
        </w:rPr>
        <w:t xml:space="preserve">Mgr. Stanislav Ježek, Ph.D. </w:t>
      </w:r>
      <w:r w:rsidR="00332BB8">
        <w:rPr>
          <w:rFonts w:ascii="Tahoma" w:hAnsi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FORMTEXT </w:instrText>
      </w:r>
      <w:r w:rsidR="003158D5">
        <w:rPr>
          <w:rFonts w:ascii="Tahoma" w:hAnsi="Tahoma"/>
        </w:rPr>
      </w:r>
      <w:r w:rsidR="003158D5">
        <w:rPr>
          <w:rFonts w:ascii="Tahoma" w:hAnsi="Tahoma"/>
        </w:rPr>
        <w:fldChar w:fldCharType="separate"/>
      </w:r>
      <w:r w:rsidR="00332BB8">
        <w:rPr>
          <w:rFonts w:ascii="Tahoma" w:hAnsi="Tahoma"/>
        </w:rPr>
        <w:fldChar w:fldCharType="end"/>
      </w:r>
      <w:r>
        <w:rPr>
          <w:rFonts w:ascii="Tahoma" w:hAnsi="Tahoma"/>
        </w:rPr>
        <w:tab/>
        <w:t xml:space="preserve">Datum odevzdání: </w:t>
      </w:r>
      <w:r w:rsidR="001F3301">
        <w:rPr>
          <w:rFonts w:ascii="Tahoma" w:hAnsi="Tahoma"/>
        </w:rPr>
        <w:t>8</w:t>
      </w:r>
      <w:r>
        <w:rPr>
          <w:rFonts w:ascii="Tahoma" w:hAnsi="Tahoma"/>
        </w:rPr>
        <w:t xml:space="preserve">. </w:t>
      </w:r>
      <w:r w:rsidR="001F3301">
        <w:rPr>
          <w:rFonts w:ascii="Tahoma" w:hAnsi="Tahoma"/>
        </w:rPr>
        <w:t>5</w:t>
      </w:r>
      <w:r>
        <w:rPr>
          <w:rFonts w:ascii="Tahoma" w:hAnsi="Tahoma"/>
        </w:rPr>
        <w:t>. 2019</w:t>
      </w:r>
      <w:r w:rsidR="00332BB8">
        <w:rPr>
          <w:rFonts w:ascii="Tahoma" w:hAnsi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FORMTEXT </w:instrText>
      </w:r>
      <w:r w:rsidR="003158D5">
        <w:rPr>
          <w:rFonts w:ascii="Tahoma" w:hAnsi="Tahoma"/>
        </w:rPr>
      </w:r>
      <w:r w:rsidR="003158D5">
        <w:rPr>
          <w:rFonts w:ascii="Tahoma" w:hAnsi="Tahoma"/>
        </w:rPr>
        <w:fldChar w:fldCharType="separate"/>
      </w:r>
      <w:r w:rsidR="00332BB8">
        <w:rPr>
          <w:rFonts w:ascii="Tahoma" w:hAnsi="Tahoma"/>
        </w:rPr>
        <w:fldChar w:fldCharType="end"/>
      </w:r>
    </w:p>
    <w:p w14:paraId="337E2A9B" w14:textId="77777777" w:rsidR="001C6D99" w:rsidRDefault="001C6D99" w:rsidP="001C6D99">
      <w:r>
        <w:t>Seminární skupina:</w:t>
      </w:r>
      <w:bookmarkStart w:id="0" w:name="Text3"/>
      <w:r w:rsidR="001F3301">
        <w:t xml:space="preserve"> 03</w:t>
      </w:r>
      <w:r>
        <w:t xml:space="preserve">, </w:t>
      </w:r>
      <w:r w:rsidR="001F3301" w:rsidRPr="001F3301">
        <w:rPr>
          <w:rFonts w:asciiTheme="minorHAnsi" w:hAnsiTheme="minorHAnsi"/>
        </w:rPr>
        <w:t xml:space="preserve">Mgr. Stanislav Ježek, Ph.D. </w:t>
      </w:r>
      <w:r w:rsidR="00332BB8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158D5">
        <w:fldChar w:fldCharType="separate"/>
      </w:r>
      <w:r w:rsidR="00332BB8">
        <w:fldChar w:fldCharType="end"/>
      </w:r>
      <w:bookmarkEnd w:id="0"/>
      <w:r w:rsidRPr="00B72725">
        <w:tab/>
      </w:r>
    </w:p>
    <w:p w14:paraId="0A354897" w14:textId="77777777" w:rsidR="001F3301" w:rsidRDefault="001F3301" w:rsidP="001C6D99"/>
    <w:p w14:paraId="392E78E3" w14:textId="77777777" w:rsidR="001C6D99" w:rsidRDefault="001C6D99" w:rsidP="001C6D99">
      <w:pPr>
        <w:jc w:val="center"/>
        <w:rPr>
          <w:rFonts w:ascii="Tahoma" w:hAnsi="Tahoma"/>
        </w:rPr>
      </w:pPr>
      <w:r>
        <w:rPr>
          <w:rFonts w:ascii="Tahoma" w:hAnsi="Tahoma"/>
        </w:rPr>
        <w:t>Fakulta sociálních studií MU, 2018/2019</w:t>
      </w:r>
    </w:p>
    <w:p w14:paraId="46E06080" w14:textId="77777777" w:rsidR="001C6D99" w:rsidRDefault="001C6D99" w:rsidP="00DC1520">
      <w:pPr>
        <w:jc w:val="left"/>
        <w:rPr>
          <w:rFonts w:ascii="Tahoma" w:hAnsi="Tahoma"/>
        </w:rPr>
      </w:pPr>
    </w:p>
    <w:p w14:paraId="28E2E5A5" w14:textId="77777777" w:rsidR="00DC1520" w:rsidRDefault="00DC1520" w:rsidP="00DC1520">
      <w:pPr>
        <w:ind w:firstLine="708"/>
      </w:pPr>
      <w:r>
        <w:t xml:space="preserve">Nejen američtí vědci, ale i čeští výzkumníci provádí studie na poli psychologie. Studii provedlo Psychiatrické centrum Praha a </w:t>
      </w:r>
      <w:r w:rsidRPr="00CB2631">
        <w:t>Centrum adiktologie, Psychiatrická klinika 1. LF UK</w:t>
      </w:r>
      <w:r>
        <w:t>.</w:t>
      </w:r>
      <w:r w:rsidRPr="00BF7045">
        <w:rPr>
          <w:highlight w:val="yellow"/>
        </w:rPr>
        <w:t>Počátek 90. Let</w:t>
      </w:r>
      <w:r>
        <w:t xml:space="preserve"> došlo k nárůstu užívání drog u dospívajících a mladých dospělých. Počet problémových uživatelů drog se odhaduje na 35 až 37 tisíc. </w:t>
      </w:r>
    </w:p>
    <w:p w14:paraId="2390A7EF" w14:textId="77777777" w:rsidR="00DC1520" w:rsidRDefault="00DC1520" w:rsidP="00DC1520">
      <w:pPr>
        <w:ind w:left="708"/>
        <w:rPr>
          <w:bCs/>
        </w:rPr>
      </w:pPr>
      <w:r w:rsidRPr="00140522">
        <w:t>Definice problémového uživatele drog podle EMCDDA (European Monitoring Centre for Drugs and Drug Addiction)</w:t>
      </w:r>
      <w:r>
        <w:t>: „</w:t>
      </w:r>
      <w:r w:rsidRPr="00140522">
        <w:rPr>
          <w:bCs/>
        </w:rPr>
        <w:t>osoba užívající heroin a další opiáty, kokain, amfetamin, pervitin či injekční uživatel jakékoliv jiné drogy.</w:t>
      </w:r>
      <w:r>
        <w:rPr>
          <w:bCs/>
        </w:rPr>
        <w:t>“</w:t>
      </w:r>
    </w:p>
    <w:p w14:paraId="7F87501D" w14:textId="77777777" w:rsidR="00DC1520" w:rsidRDefault="00DC1520" w:rsidP="00DC1520">
      <w:pPr>
        <w:ind w:firstLine="708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Pro získání poznatků o psychologických, sociálních i zdravotních aspektech zneužívání drog je potřeba longitudinálních studií. Dlouhodobé studie však mají kromě finanční náročnosti i řadu metodologických nevýhod, jakými mohou být ztráta participantů z původního vzorku nebo aplikovatelnost neaktuálních dat na populaci. </w:t>
      </w:r>
    </w:p>
    <w:p w14:paraId="05197601" w14:textId="77777777" w:rsidR="00DC1520" w:rsidRDefault="00DC1520" w:rsidP="00DC1520">
      <w:pPr>
        <w:ind w:firstLine="708"/>
      </w:pPr>
      <w:r>
        <w:t xml:space="preserve">Studie zaměřené na dlouhodobé vlivy drog již byly prováděny. Za zmínku třeba stojí amsterodamská kohortová studie </w:t>
      </w:r>
      <w:r>
        <w:rPr>
          <w:rFonts w:ascii="TimesNewRomanPSMT" w:eastAsia="TimesNewRomanPSMT" w:hAnsiTheme="minorHAnsi" w:cs="TimesNewRomanPSMT"/>
          <w:sz w:val="21"/>
          <w:szCs w:val="21"/>
        </w:rPr>
        <w:t>(Termorshuizen et al., 2005)</w:t>
      </w:r>
      <w:r>
        <w:t xml:space="preserve">, jež zjistila přibližně 27 %, na 899 participantech, úmrtnost problémových uživatelů drog do 20 let. Stejné procento participantů však dokázalo dlouhodobě abstinovat. </w:t>
      </w:r>
      <w:r w:rsidRPr="00BF7045">
        <w:rPr>
          <w:highlight w:val="yellow"/>
        </w:rPr>
        <w:t>Predikátorem</w:t>
      </w:r>
      <w:r>
        <w:t xml:space="preserve"> šance k abstinenci byl věk při prvním užití drogy. </w:t>
      </w:r>
    </w:p>
    <w:p w14:paraId="3CD0B571" w14:textId="77777777" w:rsidR="00DC1520" w:rsidRDefault="00DC1520" w:rsidP="00DC1520">
      <w:pPr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ab/>
        <w:t xml:space="preserve">V České republice jde o první práci zkoumající dlouhodobé dopady užívání drog na život jedince. Výzkumníci použili data získaná před 14 lety od dospívajících uživatelů drog. Výzkumníci chtěli zjistit, zdali a u jak velké části vzorku problémy s drogami přetrvají, </w:t>
      </w:r>
      <w:commentRangeStart w:id="1"/>
      <w:r>
        <w:rPr>
          <w:rFonts w:ascii="Segoe UI" w:hAnsi="Segoe UI" w:cs="Segoe UI"/>
          <w:color w:val="000000"/>
          <w:sz w:val="18"/>
          <w:szCs w:val="18"/>
        </w:rPr>
        <w:t>a jestli a v čem se skupiny budou lišit</w:t>
      </w:r>
      <w:commentRangeEnd w:id="1"/>
      <w:r w:rsidR="00BF7045">
        <w:rPr>
          <w:rStyle w:val="CommentReference"/>
        </w:rPr>
        <w:commentReference w:id="1"/>
      </w:r>
      <w:r>
        <w:rPr>
          <w:rFonts w:ascii="Segoe UI" w:hAnsi="Segoe UI" w:cs="Segoe UI"/>
          <w:color w:val="000000"/>
          <w:sz w:val="18"/>
          <w:szCs w:val="18"/>
        </w:rPr>
        <w:t xml:space="preserve">. Studie navazuje na projekt „Mládež a návykové látky“ (Csémy, 1999), při níž byly získány data od 180 participantů. Jednalo se o problémové uživatele drog v průměrném věku 17,5 let, kteří byli v kontaktu se specializovanými zařízeními v Praze. Výzkumníkům se podařilo dohledat 52 osob, 42 % z celku. Průměrný věk dotazovaných byl 31 let.  Z metodologických důvodů bylo potřeba porovnat dohledanou a nedohledanou skupinu. Ze zastoupených proměnných se zkoumaná skupina lišila ve vyšším poměru heroinu jako primární drogy (58,3 vs. </w:t>
      </w:r>
      <w:r w:rsidRPr="00BF7045">
        <w:rPr>
          <w:rFonts w:ascii="Segoe UI" w:hAnsi="Segoe UI" w:cs="Segoe UI"/>
          <w:color w:val="000000"/>
          <w:sz w:val="18"/>
          <w:szCs w:val="18"/>
          <w:highlight w:val="yellow"/>
        </w:rPr>
        <w:t>338,8</w:t>
      </w:r>
      <w:r>
        <w:rPr>
          <w:rFonts w:ascii="Segoe UI" w:hAnsi="Segoe UI" w:cs="Segoe UI"/>
          <w:color w:val="000000"/>
          <w:sz w:val="18"/>
          <w:szCs w:val="18"/>
        </w:rPr>
        <w:t xml:space="preserve">) a v subjektivně pociťované síle návyku. Redukce původní skupiny by však neměla mít zásadní zkreslující dopad na výsledky. </w:t>
      </w:r>
    </w:p>
    <w:p w14:paraId="2DCD88EB" w14:textId="77777777" w:rsidR="00DC1520" w:rsidRDefault="00DC1520" w:rsidP="00DC1520">
      <w:pPr>
        <w:ind w:firstLine="708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Při zkoumání adolescentů v prvním kole byl použit dotazník obsahující otázky na rodinné vztahy, vztah rodičů k návykovým látkám a životní podmínky</w:t>
      </w:r>
      <w:commentRangeStart w:id="2"/>
      <w:r>
        <w:rPr>
          <w:rFonts w:ascii="Segoe UI" w:hAnsi="Segoe UI" w:cs="Segoe UI"/>
          <w:color w:val="000000"/>
          <w:sz w:val="18"/>
          <w:szCs w:val="18"/>
        </w:rPr>
        <w:t xml:space="preserve">. Byl také použit dotazník problémového chování (Windle, 1993) zkoumající opoziční poruchu, poruchu chování a poruchu pozornosti, jako ukazatelé disociačního chování. K stanovení subjektivní síly návyku výzkumníci použili Severity of dependence scale (Gosop et. al., 1995). </w:t>
      </w:r>
      <w:commentRangeEnd w:id="2"/>
      <w:r w:rsidR="00BF7045">
        <w:rPr>
          <w:rStyle w:val="CommentReference"/>
        </w:rPr>
        <w:commentReference w:id="2"/>
      </w:r>
    </w:p>
    <w:p w14:paraId="410A632E" w14:textId="77777777" w:rsidR="00DC1520" w:rsidRDefault="00DC1520" w:rsidP="00DC1520">
      <w:pPr>
        <w:ind w:firstLine="708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V současné studii bylo použito několik metod. </w:t>
      </w:r>
      <w:commentRangeStart w:id="3"/>
      <w:r>
        <w:rPr>
          <w:rFonts w:ascii="Segoe UI" w:hAnsi="Segoe UI" w:cs="Segoe UI"/>
          <w:color w:val="000000"/>
          <w:sz w:val="18"/>
          <w:szCs w:val="18"/>
        </w:rPr>
        <w:t xml:space="preserve">V první části proběhl rozhovor se zaměřením na důležité událostí života participanta. V druhé části byl použit dotazník ASI-Lite zjišťující zdraví, zaměstnání, užívání drog, užívání alkoholu, dodržování zákona, rodiny a psychického zdraví. V poslední části ke stanovení psychologických </w:t>
      </w:r>
      <w:r>
        <w:rPr>
          <w:rFonts w:ascii="Segoe UI" w:hAnsi="Segoe UI" w:cs="Segoe UI"/>
          <w:color w:val="000000"/>
          <w:sz w:val="18"/>
          <w:szCs w:val="18"/>
        </w:rPr>
        <w:lastRenderedPageBreak/>
        <w:t>aspektů účastníků výzkumníci použili tyto testy. Eysenckův osobnostní dotazník v české verzi (Kožený, 1994),</w:t>
      </w:r>
      <w:r w:rsidRPr="00652379">
        <w:rPr>
          <w:rFonts w:ascii="Segoe UI" w:hAnsi="Segoe UI" w:cs="Segoe UI"/>
          <w:color w:val="000000"/>
          <w:sz w:val="18"/>
          <w:szCs w:val="18"/>
        </w:rPr>
        <w:t xml:space="preserve"> Dienerovu škálu </w:t>
      </w:r>
      <w:r>
        <w:rPr>
          <w:rFonts w:ascii="Segoe UI" w:hAnsi="Segoe UI" w:cs="Segoe UI"/>
          <w:color w:val="000000"/>
          <w:sz w:val="18"/>
          <w:szCs w:val="18"/>
        </w:rPr>
        <w:t>životní spokojenosti (Diener</w:t>
      </w:r>
      <w:r w:rsidRPr="00652379">
        <w:rPr>
          <w:rFonts w:ascii="Segoe UI" w:hAnsi="Segoe UI" w:cs="Segoe UI"/>
          <w:color w:val="000000"/>
          <w:sz w:val="18"/>
          <w:szCs w:val="18"/>
        </w:rPr>
        <w:t>et al. 1985), Rosenbergovu škálu sebehodnocení (</w:t>
      </w:r>
      <w:r>
        <w:rPr>
          <w:rFonts w:ascii="Segoe UI" w:hAnsi="Segoe UI" w:cs="Segoe UI"/>
          <w:color w:val="000000"/>
          <w:sz w:val="18"/>
          <w:szCs w:val="18"/>
        </w:rPr>
        <w:t xml:space="preserve">Rosenberg, 1965), krátkou škálu </w:t>
      </w:r>
      <w:r w:rsidRPr="00652379">
        <w:rPr>
          <w:rFonts w:ascii="Segoe UI" w:hAnsi="Segoe UI" w:cs="Segoe UI"/>
          <w:color w:val="000000"/>
          <w:sz w:val="18"/>
          <w:szCs w:val="18"/>
        </w:rPr>
        <w:t>depresivity (Radloff, 1977) a pětipoložkový index d</w:t>
      </w:r>
      <w:r>
        <w:rPr>
          <w:rFonts w:ascii="Segoe UI" w:hAnsi="Segoe UI" w:cs="Segoe UI"/>
          <w:color w:val="000000"/>
          <w:sz w:val="18"/>
          <w:szCs w:val="18"/>
        </w:rPr>
        <w:t xml:space="preserve">uševního zdraví (MHI-5, Bervick </w:t>
      </w:r>
      <w:r w:rsidRPr="00652379">
        <w:rPr>
          <w:rFonts w:ascii="Segoe UI" w:hAnsi="Segoe UI" w:cs="Segoe UI"/>
          <w:color w:val="000000"/>
          <w:sz w:val="18"/>
          <w:szCs w:val="18"/>
        </w:rPr>
        <w:t>et al. 1991).</w:t>
      </w:r>
      <w:commentRangeEnd w:id="3"/>
      <w:r w:rsidR="00BF7045">
        <w:rPr>
          <w:rStyle w:val="CommentReference"/>
        </w:rPr>
        <w:commentReference w:id="3"/>
      </w:r>
    </w:p>
    <w:p w14:paraId="468BC450" w14:textId="77777777" w:rsidR="00DC1520" w:rsidRDefault="00DC1520" w:rsidP="00DC1520">
      <w:pPr>
        <w:ind w:firstLine="708"/>
      </w:pPr>
      <w:r>
        <w:t xml:space="preserve">Pro zjištění rozdílů skupinových průměrů byl využit t-test, který </w:t>
      </w:r>
      <w:commentRangeStart w:id="4"/>
      <w:r>
        <w:t>zjišťuje pravdivost hypotéz na hladině statistické významnosti</w:t>
      </w:r>
      <w:commentRangeEnd w:id="4"/>
      <w:r w:rsidR="00BF7045">
        <w:rPr>
          <w:rStyle w:val="CommentReference"/>
        </w:rPr>
        <w:commentReference w:id="4"/>
      </w:r>
      <w:r>
        <w:t xml:space="preserve">. </w:t>
      </w:r>
      <w:commentRangeStart w:id="5"/>
      <w:r>
        <w:t>T-test je nástrojem k určení,  jestli jsou výběrová data stažitelná na celou populaci</w:t>
      </w:r>
      <w:commentRangeEnd w:id="5"/>
      <w:r w:rsidR="00BF7045">
        <w:rPr>
          <w:rStyle w:val="CommentReference"/>
        </w:rPr>
        <w:commentReference w:id="5"/>
      </w:r>
      <w:r>
        <w:t xml:space="preserve">. Proto i když se rozdíly zdají dost výrazné, vzhledem k velikosti vzorku nejsou jednoznačně průkazné právě s dostatečnou pravděpodobností. </w:t>
      </w:r>
      <w:r w:rsidRPr="003438F6">
        <w:t>T</w:t>
      </w:r>
      <w:r>
        <w:t>ěsnost mezi proměnnými byla zjištěna Pearsonovým koeficientem korelace. Koeficient nabývá hodnot od -1 do 1. PKK počítá pouze lineární vztahy.</w:t>
      </w:r>
    </w:p>
    <w:p w14:paraId="7AF6FA6A" w14:textId="77777777" w:rsidR="00DC1520" w:rsidRPr="004E3E75" w:rsidRDefault="00DC1520" w:rsidP="00DC1520">
      <w:pPr>
        <w:ind w:firstLine="708"/>
      </w:pPr>
      <w:r>
        <w:t>V době provádění studie mělo problém s drogami 13 osob z 52, čili 25 %. Problém s drogami byl definován jako užívání heroinu, pervitinu, kokainu i substitučních látek. Marihuana ani extáze se mezi tyto drogy nepočítaly</w:t>
      </w:r>
      <w:commentRangeStart w:id="6"/>
      <w:r>
        <w:t xml:space="preserve">.  Je zajímavé, že práci mentální povahy vykonávalo víc osob s drogovými problémy, než abstinujících osob (52% vs. 38 %). </w:t>
      </w:r>
      <w:commentRangeEnd w:id="6"/>
      <w:r w:rsidR="00BF7045">
        <w:rPr>
          <w:rStyle w:val="CommentReference"/>
        </w:rPr>
        <w:commentReference w:id="6"/>
      </w:r>
      <w:r>
        <w:t xml:space="preserve">Obě skupiny se shodují v nízkém problému s alkoholem a vysokém se zaměstnáním. Jde nejspíš o těžko udržitelný pracovní návyk. </w:t>
      </w:r>
      <w:r>
        <w:tab/>
        <w:t xml:space="preserve">Statisticky významný rozdíl byl zjištěn u životní spokojenosti, což je pochopitelné vzhledem </w:t>
      </w:r>
      <w:commentRangeStart w:id="7"/>
      <w:r>
        <w:t>k obtížné životní změně</w:t>
      </w:r>
      <w:commentRangeEnd w:id="7"/>
      <w:r w:rsidR="00BF7045">
        <w:rPr>
          <w:rStyle w:val="CommentReference"/>
        </w:rPr>
        <w:commentReference w:id="7"/>
      </w:r>
      <w:r>
        <w:t xml:space="preserve">. Je patrný silný vliv rodiny i vrstevníků. Z výsledků také vyplývá vliv drog na vzdělání, 54 % abstinujících a 77 % problémových osob dosáhlo maximálně </w:t>
      </w:r>
      <w:commentRangeStart w:id="8"/>
      <w:r>
        <w:t>vyučení</w:t>
      </w:r>
      <w:commentRangeEnd w:id="8"/>
      <w:r w:rsidR="00BF7045">
        <w:rPr>
          <w:rStyle w:val="CommentReference"/>
        </w:rPr>
        <w:commentReference w:id="8"/>
      </w:r>
      <w:r>
        <w:t xml:space="preserve">. </w:t>
      </w:r>
    </w:p>
    <w:p w14:paraId="6FF1AE0A" w14:textId="77777777" w:rsidR="00DC1520" w:rsidRDefault="00DC1520" w:rsidP="00DC1520"/>
    <w:p w14:paraId="25AEA773" w14:textId="77777777" w:rsidR="00DC1520" w:rsidRDefault="00DC1520" w:rsidP="00DC1520"/>
    <w:p w14:paraId="385ABD52" w14:textId="77777777" w:rsidR="00DC1520" w:rsidRDefault="00DC1520" w:rsidP="00DC1520">
      <w:r w:rsidRPr="00235B96">
        <w:rPr>
          <w:noProof/>
        </w:rPr>
        <w:drawing>
          <wp:inline distT="0" distB="0" distL="0" distR="0" wp14:anchorId="2D660378" wp14:editId="3D9FD7FA">
            <wp:extent cx="4572000" cy="274320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367"/>
        <w:gridCol w:w="2159"/>
      </w:tblGrid>
      <w:tr w:rsidR="00DC1520" w14:paraId="35061D75" w14:textId="77777777" w:rsidTr="00506998">
        <w:tc>
          <w:tcPr>
            <w:tcW w:w="0" w:type="auto"/>
            <w:vAlign w:val="center"/>
          </w:tcPr>
          <w:p w14:paraId="0C1DC4C4" w14:textId="77777777" w:rsidR="00DC1520" w:rsidRDefault="00DC1520" w:rsidP="00DC1520"/>
        </w:tc>
        <w:tc>
          <w:tcPr>
            <w:tcW w:w="0" w:type="auto"/>
            <w:vAlign w:val="center"/>
          </w:tcPr>
          <w:p w14:paraId="6D123BBD" w14:textId="77777777" w:rsidR="00DC1520" w:rsidRDefault="00DC1520" w:rsidP="00DC1520">
            <w:r>
              <w:t>Osoba neužívající drogy</w:t>
            </w:r>
          </w:p>
        </w:tc>
        <w:tc>
          <w:tcPr>
            <w:tcW w:w="0" w:type="auto"/>
            <w:vAlign w:val="center"/>
          </w:tcPr>
          <w:p w14:paraId="6F8AA5C3" w14:textId="77777777" w:rsidR="00DC1520" w:rsidRDefault="00DC1520" w:rsidP="00DC1520">
            <w:r>
              <w:t>Osoba užívající drogy</w:t>
            </w:r>
          </w:p>
        </w:tc>
      </w:tr>
      <w:tr w:rsidR="00DC1520" w14:paraId="5CEFE446" w14:textId="77777777" w:rsidTr="00506998">
        <w:tc>
          <w:tcPr>
            <w:tcW w:w="0" w:type="auto"/>
            <w:vAlign w:val="center"/>
          </w:tcPr>
          <w:p w14:paraId="46A4CF78" w14:textId="77777777" w:rsidR="00DC1520" w:rsidRDefault="00DC1520" w:rsidP="00DC1520">
            <w:r>
              <w:t>Nadměrná konzumace</w:t>
            </w:r>
          </w:p>
          <w:p w14:paraId="3BB810C0" w14:textId="77777777" w:rsidR="00DC1520" w:rsidRDefault="00DC1520" w:rsidP="00DC1520">
            <w:r>
              <w:t>Alkoholu u otce</w:t>
            </w:r>
          </w:p>
        </w:tc>
        <w:tc>
          <w:tcPr>
            <w:tcW w:w="0" w:type="auto"/>
            <w:vAlign w:val="center"/>
          </w:tcPr>
          <w:p w14:paraId="1F676DA5" w14:textId="77777777" w:rsidR="00DC1520" w:rsidRDefault="00DC1520" w:rsidP="00DC1520">
            <w:r>
              <w:t>37,9 %</w:t>
            </w:r>
          </w:p>
        </w:tc>
        <w:tc>
          <w:tcPr>
            <w:tcW w:w="0" w:type="auto"/>
            <w:vAlign w:val="center"/>
          </w:tcPr>
          <w:p w14:paraId="5DE608E3" w14:textId="77777777" w:rsidR="00DC1520" w:rsidRDefault="00DC1520" w:rsidP="00DC1520">
            <w:r>
              <w:t>18,2 %</w:t>
            </w:r>
          </w:p>
        </w:tc>
      </w:tr>
      <w:tr w:rsidR="00DC1520" w14:paraId="220AC7AF" w14:textId="77777777" w:rsidTr="00506998">
        <w:tc>
          <w:tcPr>
            <w:tcW w:w="0" w:type="auto"/>
            <w:vAlign w:val="center"/>
          </w:tcPr>
          <w:p w14:paraId="7A153C46" w14:textId="77777777" w:rsidR="00DC1520" w:rsidRDefault="00DC1520" w:rsidP="00DC1520">
            <w:r>
              <w:t>Nadměrná konzumace</w:t>
            </w:r>
          </w:p>
          <w:p w14:paraId="1BB64A62" w14:textId="77777777" w:rsidR="00DC1520" w:rsidRDefault="00DC1520" w:rsidP="00DC1520">
            <w:r>
              <w:t>Alkoholu u matky</w:t>
            </w:r>
          </w:p>
        </w:tc>
        <w:tc>
          <w:tcPr>
            <w:tcW w:w="0" w:type="auto"/>
            <w:vAlign w:val="center"/>
          </w:tcPr>
          <w:p w14:paraId="3B505C4E" w14:textId="77777777" w:rsidR="00DC1520" w:rsidRDefault="00DC1520" w:rsidP="00DC1520">
            <w:r>
              <w:t>3,8 %</w:t>
            </w:r>
          </w:p>
        </w:tc>
        <w:tc>
          <w:tcPr>
            <w:tcW w:w="0" w:type="auto"/>
            <w:vAlign w:val="center"/>
          </w:tcPr>
          <w:p w14:paraId="14F1F9D9" w14:textId="77777777" w:rsidR="00DC1520" w:rsidRDefault="00DC1520" w:rsidP="00DC1520">
            <w:r>
              <w:t>38,5 %</w:t>
            </w:r>
          </w:p>
        </w:tc>
      </w:tr>
      <w:tr w:rsidR="00DC1520" w14:paraId="1FD26A49" w14:textId="77777777" w:rsidTr="00506998">
        <w:tc>
          <w:tcPr>
            <w:tcW w:w="0" w:type="auto"/>
            <w:vAlign w:val="center"/>
          </w:tcPr>
          <w:p w14:paraId="129B53DA" w14:textId="77777777" w:rsidR="00DC1520" w:rsidRDefault="00DC1520" w:rsidP="00DC1520">
            <w:r>
              <w:t>Nejlepší kamarád</w:t>
            </w:r>
          </w:p>
          <w:p w14:paraId="6BEC8C6A" w14:textId="77777777" w:rsidR="00DC1520" w:rsidRDefault="00DC1520" w:rsidP="00DC1520">
            <w:r>
              <w:t>užívá drogy</w:t>
            </w:r>
          </w:p>
        </w:tc>
        <w:tc>
          <w:tcPr>
            <w:tcW w:w="0" w:type="auto"/>
            <w:vAlign w:val="center"/>
          </w:tcPr>
          <w:p w14:paraId="6CD39D84" w14:textId="77777777" w:rsidR="00DC1520" w:rsidRDefault="00DC1520" w:rsidP="00DC1520">
            <w:r>
              <w:t>60,0 %</w:t>
            </w:r>
          </w:p>
        </w:tc>
        <w:tc>
          <w:tcPr>
            <w:tcW w:w="0" w:type="auto"/>
            <w:vAlign w:val="center"/>
          </w:tcPr>
          <w:p w14:paraId="0D4EB715" w14:textId="77777777" w:rsidR="00DC1520" w:rsidRDefault="00DC1520" w:rsidP="00DC1520">
            <w:r>
              <w:t>76,9 %</w:t>
            </w:r>
          </w:p>
        </w:tc>
      </w:tr>
      <w:tr w:rsidR="00DC1520" w14:paraId="046F0250" w14:textId="77777777" w:rsidTr="00506998">
        <w:tc>
          <w:tcPr>
            <w:tcW w:w="0" w:type="auto"/>
            <w:vAlign w:val="center"/>
          </w:tcPr>
          <w:p w14:paraId="66443B33" w14:textId="77777777" w:rsidR="00DC1520" w:rsidRDefault="00DC1520" w:rsidP="00DC1520">
            <w:r>
              <w:t>Nejlepší kamarádka</w:t>
            </w:r>
          </w:p>
          <w:p w14:paraId="629FF4B5" w14:textId="77777777" w:rsidR="00DC1520" w:rsidRDefault="00DC1520" w:rsidP="00DC1520">
            <w:r>
              <w:t>užívá drogy</w:t>
            </w:r>
          </w:p>
        </w:tc>
        <w:tc>
          <w:tcPr>
            <w:tcW w:w="0" w:type="auto"/>
            <w:vAlign w:val="center"/>
          </w:tcPr>
          <w:p w14:paraId="2D7BB426" w14:textId="77777777" w:rsidR="00DC1520" w:rsidRDefault="00DC1520" w:rsidP="00DC1520">
            <w:r>
              <w:t>57,6 %</w:t>
            </w:r>
          </w:p>
        </w:tc>
        <w:tc>
          <w:tcPr>
            <w:tcW w:w="0" w:type="auto"/>
            <w:vAlign w:val="center"/>
          </w:tcPr>
          <w:p w14:paraId="7DBADAF6" w14:textId="77777777" w:rsidR="00DC1520" w:rsidRDefault="00DC1520" w:rsidP="00DC1520">
            <w:r>
              <w:t>63,6 %</w:t>
            </w:r>
          </w:p>
        </w:tc>
      </w:tr>
    </w:tbl>
    <w:p w14:paraId="31B85CC1" w14:textId="77777777" w:rsidR="00DC1520" w:rsidRDefault="00DC1520" w:rsidP="00DC1520"/>
    <w:p w14:paraId="08CB199B" w14:textId="77777777" w:rsidR="00C956E3" w:rsidRDefault="00C956E3" w:rsidP="00DC1520"/>
    <w:sectPr w:rsidR="00C956E3" w:rsidSect="0033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dam Ťápal" w:date="2019-06-13T21:10:00Z" w:initials="AŤ">
    <w:p w14:paraId="42AD36E0" w14:textId="77777777" w:rsidR="00BF7045" w:rsidRDefault="00BF7045">
      <w:pPr>
        <w:pStyle w:val="CommentText"/>
      </w:pPr>
      <w:r>
        <w:rPr>
          <w:rStyle w:val="CommentReference"/>
        </w:rPr>
        <w:annotationRef/>
      </w:r>
      <w:r>
        <w:t>Jaké skupiny?</w:t>
      </w:r>
    </w:p>
  </w:comment>
  <w:comment w:id="2" w:author="Adam Ťápal" w:date="2019-06-13T21:11:00Z" w:initials="AŤ">
    <w:p w14:paraId="0A1F0A6B" w14:textId="77777777" w:rsidR="00BF7045" w:rsidRDefault="00BF7045">
      <w:pPr>
        <w:pStyle w:val="CommentText"/>
      </w:pPr>
      <w:r>
        <w:rPr>
          <w:rStyle w:val="CommentReference"/>
        </w:rPr>
        <w:annotationRef/>
      </w:r>
      <w:r>
        <w:t>Je tohle info pro účely popularizace vážně potřeba?</w:t>
      </w:r>
    </w:p>
  </w:comment>
  <w:comment w:id="3" w:author="Adam Ťápal" w:date="2019-06-13T21:12:00Z" w:initials="AŤ">
    <w:p w14:paraId="63DF5295" w14:textId="77777777" w:rsidR="00BF7045" w:rsidRDefault="00BF7045">
      <w:pPr>
        <w:pStyle w:val="CommentText"/>
      </w:pPr>
      <w:r>
        <w:rPr>
          <w:rStyle w:val="CommentReference"/>
        </w:rPr>
        <w:annotationRef/>
      </w:r>
      <w:r>
        <w:t>dtto</w:t>
      </w:r>
    </w:p>
  </w:comment>
  <w:comment w:id="4" w:author="Adam Ťápal" w:date="2019-06-13T21:12:00Z" w:initials="AŤ">
    <w:p w14:paraId="09700250" w14:textId="77777777" w:rsidR="00BF7045" w:rsidRDefault="00BF7045">
      <w:pPr>
        <w:pStyle w:val="CommentText"/>
      </w:pPr>
      <w:r>
        <w:rPr>
          <w:rStyle w:val="CommentReference"/>
        </w:rPr>
        <w:annotationRef/>
      </w:r>
      <w:r>
        <w:t>nezjišťuje</w:t>
      </w:r>
    </w:p>
  </w:comment>
  <w:comment w:id="5" w:author="Adam Ťápal" w:date="2019-06-13T21:13:00Z" w:initials="AŤ">
    <w:p w14:paraId="291564EC" w14:textId="77777777" w:rsidR="00BF7045" w:rsidRDefault="00BF7045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6" w:author="Adam Ťápal" w:date="2019-06-13T21:15:00Z" w:initials="AŤ">
    <w:p w14:paraId="34CD6B81" w14:textId="77777777" w:rsidR="00BF7045" w:rsidRDefault="00BF7045">
      <w:pPr>
        <w:pStyle w:val="CommentText"/>
      </w:pPr>
      <w:r>
        <w:rPr>
          <w:rStyle w:val="CommentReference"/>
        </w:rPr>
        <w:annotationRef/>
      </w:r>
      <w:r>
        <w:t>Bylo to přesně naopak</w:t>
      </w:r>
    </w:p>
  </w:comment>
  <w:comment w:id="7" w:author="Adam Ťápal" w:date="2019-06-13T21:15:00Z" w:initials="AŤ">
    <w:p w14:paraId="47A20F6D" w14:textId="77777777" w:rsidR="00BF7045" w:rsidRDefault="00BF7045">
      <w:pPr>
        <w:pStyle w:val="CommentText"/>
      </w:pPr>
      <w:r>
        <w:rPr>
          <w:rStyle w:val="CommentReference"/>
        </w:rPr>
        <w:annotationRef/>
      </w:r>
      <w:r>
        <w:t>Jakou životní změnu máte na mysli?</w:t>
      </w:r>
    </w:p>
  </w:comment>
  <w:comment w:id="8" w:author="Adam Ťápal" w:date="2019-06-13T21:16:00Z" w:initials="AŤ">
    <w:p w14:paraId="2F36A117" w14:textId="554181A0" w:rsidR="00BF7045" w:rsidRDefault="00BF7045">
      <w:pPr>
        <w:pStyle w:val="CommentText"/>
      </w:pPr>
      <w:r>
        <w:rPr>
          <w:rStyle w:val="CommentReference"/>
        </w:rPr>
        <w:annotationRef/>
      </w:r>
      <w:r>
        <w:t xml:space="preserve">Hynku, nezlobte se, ale </w:t>
      </w:r>
      <w:r w:rsidR="003158D5">
        <w:t>práci nepřijímám</w:t>
      </w:r>
      <w:bookmarkStart w:id="9" w:name="_GoBack"/>
      <w:bookmarkEnd w:id="9"/>
      <w:r>
        <w:t xml:space="preserve"> Jednak se mi nelíbí její forma (je plná překlepů i stylistických chyb</w:t>
      </w:r>
      <w:r w:rsidR="00645307">
        <w:t>, ale to bych klidně přehlédl</w:t>
      </w:r>
      <w:r>
        <w:t xml:space="preserve">), </w:t>
      </w:r>
      <w:r w:rsidR="00645307">
        <w:t>především však</w:t>
      </w:r>
      <w:r>
        <w:t xml:space="preserve"> její obsah (text obsahuje řadu nepochopení, zničeho nic se objevujících nevysvětlených informací, končí zcela nečekaně, ...). Přiložený graf i tabulka jsou nepopsané, seminárka v podstatě neobsahuje žádné rozumné přetlumočení </w:t>
      </w:r>
      <w:r w:rsidR="00CA3253">
        <w:t xml:space="preserve">byť jediné statistické analýzy. Poprosím vás o přepracování.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AD36E0" w15:done="0"/>
  <w15:commentEx w15:paraId="0A1F0A6B" w15:done="0"/>
  <w15:commentEx w15:paraId="63DF5295" w15:done="0"/>
  <w15:commentEx w15:paraId="09700250" w15:done="0"/>
  <w15:commentEx w15:paraId="291564EC" w15:done="0"/>
  <w15:commentEx w15:paraId="34CD6B81" w15:done="0"/>
  <w15:commentEx w15:paraId="47A20F6D" w15:done="0"/>
  <w15:commentEx w15:paraId="2F36A1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D36E0" w16cid:durableId="20AD3A56"/>
  <w16cid:commentId w16cid:paraId="0A1F0A6B" w16cid:durableId="20AD3A9F"/>
  <w16cid:commentId w16cid:paraId="63DF5295" w16cid:durableId="20AD3ABC"/>
  <w16cid:commentId w16cid:paraId="09700250" w16cid:durableId="20AD3AD5"/>
  <w16cid:commentId w16cid:paraId="291564EC" w16cid:durableId="20AD3AE0"/>
  <w16cid:commentId w16cid:paraId="34CD6B81" w16cid:durableId="20AD3B63"/>
  <w16cid:commentId w16cid:paraId="47A20F6D" w16cid:durableId="20AD3B7E"/>
  <w16cid:commentId w16cid:paraId="2F36A117" w16cid:durableId="20AD3B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D99"/>
    <w:rsid w:val="001C6D99"/>
    <w:rsid w:val="001F3301"/>
    <w:rsid w:val="003158D5"/>
    <w:rsid w:val="00332BB8"/>
    <w:rsid w:val="00645307"/>
    <w:rsid w:val="00BF7045"/>
    <w:rsid w:val="00C956E3"/>
    <w:rsid w:val="00CA3253"/>
    <w:rsid w:val="00D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4423"/>
  <w15:docId w15:val="{78356825-E380-4CB7-A17A-EB62324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o"/>
    <w:qFormat/>
    <w:rsid w:val="00DC152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5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0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04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Osoby neužívající drogy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Zdraví</c:v>
                </c:pt>
                <c:pt idx="1">
                  <c:v>Zaměstnání</c:v>
                </c:pt>
                <c:pt idx="2">
                  <c:v>Alkohol</c:v>
                </c:pt>
                <c:pt idx="3">
                  <c:v>Drogy</c:v>
                </c:pt>
                <c:pt idx="4">
                  <c:v>Dodržování zákona</c:v>
                </c:pt>
                <c:pt idx="5">
                  <c:v>Rodinné vztahy</c:v>
                </c:pt>
                <c:pt idx="6">
                  <c:v>Psychické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0.12000000000000002</c:v>
                </c:pt>
                <c:pt idx="1">
                  <c:v>0.39000000000000035</c:v>
                </c:pt>
                <c:pt idx="2">
                  <c:v>5.0000000000000024E-2</c:v>
                </c:pt>
                <c:pt idx="3">
                  <c:v>2.0000000000000011E-2</c:v>
                </c:pt>
                <c:pt idx="4">
                  <c:v>4.0000000000000022E-2</c:v>
                </c:pt>
                <c:pt idx="5">
                  <c:v>0.13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5-4B58-A9AE-A6154D6F646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Osoby užívající drogy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Zdraví</c:v>
                </c:pt>
                <c:pt idx="1">
                  <c:v>Zaměstnání</c:v>
                </c:pt>
                <c:pt idx="2">
                  <c:v>Alkohol</c:v>
                </c:pt>
                <c:pt idx="3">
                  <c:v>Drogy</c:v>
                </c:pt>
                <c:pt idx="4">
                  <c:v>Dodržování zákona</c:v>
                </c:pt>
                <c:pt idx="5">
                  <c:v>Rodinné vztahy</c:v>
                </c:pt>
                <c:pt idx="6">
                  <c:v>Psychické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0.38000000000000034</c:v>
                </c:pt>
                <c:pt idx="1">
                  <c:v>0.70000000000000051</c:v>
                </c:pt>
                <c:pt idx="2">
                  <c:v>5.0000000000000024E-2</c:v>
                </c:pt>
                <c:pt idx="3">
                  <c:v>0.19000000000000003</c:v>
                </c:pt>
                <c:pt idx="4">
                  <c:v>0.16000000000000003</c:v>
                </c:pt>
                <c:pt idx="5">
                  <c:v>0.28000000000000008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E5-4B58-A9AE-A6154D6F6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79520"/>
        <c:axId val="163971840"/>
      </c:barChart>
      <c:catAx>
        <c:axId val="73579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971840"/>
        <c:crosses val="autoZero"/>
        <c:auto val="1"/>
        <c:lblAlgn val="ctr"/>
        <c:lblOffset val="100"/>
        <c:noMultiLvlLbl val="0"/>
      </c:catAx>
      <c:valAx>
        <c:axId val="16397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579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782086614173305"/>
          <c:y val="6.4430956547098392E-2"/>
          <c:w val="0.31273468941382332"/>
          <c:h val="0.167434383202100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Adam Ťápal</cp:lastModifiedBy>
  <cp:revision>7</cp:revision>
  <dcterms:created xsi:type="dcterms:W3CDTF">2019-05-08T21:13:00Z</dcterms:created>
  <dcterms:modified xsi:type="dcterms:W3CDTF">2019-06-20T22:14:00Z</dcterms:modified>
</cp:coreProperties>
</file>