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F323F" w14:textId="77777777" w:rsidR="00572F6A" w:rsidRDefault="00572F6A" w:rsidP="00572F6A">
      <w:r>
        <w:rPr>
          <w:noProof/>
        </w:rPr>
        <w:drawing>
          <wp:inline distT="0" distB="0" distL="0" distR="0" wp14:anchorId="528170C0" wp14:editId="4ACF48B2">
            <wp:extent cx="1724025" cy="1724025"/>
            <wp:effectExtent l="0" t="0" r="0" b="0"/>
            <wp:docPr id="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778B47" w14:textId="77777777" w:rsidR="00572F6A" w:rsidRDefault="00572F6A" w:rsidP="00572F6A"/>
    <w:p w14:paraId="72270E50" w14:textId="77777777" w:rsidR="00572F6A" w:rsidRDefault="00572F6A" w:rsidP="00572F6A">
      <w:pPr>
        <w:jc w:val="center"/>
        <w:rPr>
          <w:rFonts w:eastAsia="Batang" w:cs="Vrinda"/>
          <w:b/>
          <w:sz w:val="36"/>
          <w:szCs w:val="36"/>
        </w:rPr>
      </w:pPr>
      <w:r>
        <w:rPr>
          <w:rFonts w:eastAsia="Batang" w:cs="Vrinda"/>
          <w:b/>
          <w:sz w:val="36"/>
          <w:szCs w:val="36"/>
        </w:rPr>
        <w:t>Popularizační sdělení</w:t>
      </w:r>
    </w:p>
    <w:p w14:paraId="5F5D0600" w14:textId="77777777" w:rsidR="00572F6A" w:rsidRPr="00572F6A" w:rsidRDefault="00572F6A" w:rsidP="00572F6A">
      <w:pPr>
        <w:jc w:val="center"/>
        <w:rPr>
          <w:b/>
          <w:sz w:val="32"/>
          <w:szCs w:val="32"/>
        </w:rPr>
      </w:pPr>
      <w:r w:rsidRPr="00572F6A">
        <w:rPr>
          <w:b/>
          <w:sz w:val="32"/>
          <w:szCs w:val="32"/>
        </w:rPr>
        <w:t>Dospívající uživatelé heroinu a pervitinu po 14 letech: analýza psychosociálních charakteristik</w:t>
      </w:r>
    </w:p>
    <w:p w14:paraId="0EBC206B" w14:textId="77777777" w:rsidR="00572F6A" w:rsidRDefault="00572F6A" w:rsidP="00572F6A"/>
    <w:p w14:paraId="62346A5B" w14:textId="77777777" w:rsidR="00572F6A" w:rsidRDefault="00572F6A" w:rsidP="00572F6A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14:paraId="0FE11BD3" w14:textId="77777777" w:rsidR="00572F6A" w:rsidRDefault="00572F6A" w:rsidP="00572F6A">
      <w:pPr>
        <w:jc w:val="center"/>
        <w:rPr>
          <w:rFonts w:ascii="Tahoma" w:hAnsi="Tahoma"/>
          <w:sz w:val="28"/>
        </w:rPr>
      </w:pPr>
    </w:p>
    <w:p w14:paraId="49F51D4E" w14:textId="77777777" w:rsidR="00572F6A" w:rsidRDefault="00572F6A" w:rsidP="00572F6A">
      <w:pPr>
        <w:jc w:val="center"/>
        <w:rPr>
          <w:rFonts w:ascii="Tahoma" w:hAnsi="Tahoma"/>
          <w:sz w:val="28"/>
        </w:rPr>
      </w:pPr>
    </w:p>
    <w:p w14:paraId="5B722741" w14:textId="77777777" w:rsidR="00572F6A" w:rsidRDefault="00572F6A" w:rsidP="00572F6A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Tomáš Kubík</w:t>
      </w:r>
    </w:p>
    <w:p w14:paraId="4558D45C" w14:textId="77777777" w:rsidR="00572F6A" w:rsidRDefault="00572F6A" w:rsidP="00572F6A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465254, Psychologie (jednooborová)</w:t>
      </w:r>
    </w:p>
    <w:p w14:paraId="7BD7AEE6" w14:textId="77777777" w:rsidR="00572F6A" w:rsidRDefault="00572F6A" w:rsidP="00572F6A">
      <w:pPr>
        <w:jc w:val="center"/>
        <w:rPr>
          <w:rFonts w:ascii="Tahoma" w:hAnsi="Tahoma"/>
          <w:sz w:val="28"/>
        </w:rPr>
      </w:pPr>
    </w:p>
    <w:p w14:paraId="1C5DB9D3" w14:textId="77777777" w:rsidR="00572F6A" w:rsidRDefault="00572F6A" w:rsidP="00572F6A">
      <w:pPr>
        <w:jc w:val="center"/>
        <w:rPr>
          <w:rFonts w:ascii="Tahoma" w:hAnsi="Tahoma"/>
          <w:sz w:val="28"/>
        </w:rPr>
      </w:pPr>
    </w:p>
    <w:p w14:paraId="52AE8853" w14:textId="77777777" w:rsidR="00572F6A" w:rsidRDefault="00572F6A" w:rsidP="00572F6A">
      <w:pPr>
        <w:jc w:val="center"/>
        <w:rPr>
          <w:rFonts w:ascii="Tahoma" w:hAnsi="Tahoma"/>
          <w:sz w:val="28"/>
        </w:rPr>
      </w:pPr>
    </w:p>
    <w:p w14:paraId="0CB0CC98" w14:textId="77777777" w:rsidR="00572F6A" w:rsidRDefault="00572F6A" w:rsidP="00572F6A">
      <w:pPr>
        <w:jc w:val="center"/>
        <w:rPr>
          <w:rFonts w:ascii="Tahoma" w:hAnsi="Tahoma"/>
          <w:sz w:val="28"/>
        </w:rPr>
      </w:pPr>
    </w:p>
    <w:p w14:paraId="75A5A108" w14:textId="77777777" w:rsidR="00572F6A" w:rsidRPr="00572F6A" w:rsidRDefault="00572F6A" w:rsidP="00572F6A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S. Ježek, Ph.D.</w:t>
      </w:r>
      <w:r>
        <w:rPr>
          <w:rFonts w:ascii="Tahoma" w:hAnsi="Tahoma"/>
          <w:sz w:val="24"/>
        </w:rPr>
        <w:tab/>
        <w:t>Datum odevzdání: 8.5.2019</w:t>
      </w:r>
    </w:p>
    <w:p w14:paraId="6E1FAA7D" w14:textId="77777777" w:rsidR="00572F6A" w:rsidRDefault="00572F6A" w:rsidP="00572F6A">
      <w:pPr>
        <w:tabs>
          <w:tab w:val="right" w:pos="8931"/>
        </w:tabs>
        <w:rPr>
          <w:sz w:val="24"/>
        </w:rPr>
      </w:pPr>
    </w:p>
    <w:p w14:paraId="4FDC5D8B" w14:textId="77777777" w:rsidR="00572F6A" w:rsidRDefault="00572F6A" w:rsidP="00572F6A">
      <w:pPr>
        <w:tabs>
          <w:tab w:val="right" w:pos="8931"/>
        </w:tabs>
        <w:rPr>
          <w:sz w:val="24"/>
        </w:rPr>
      </w:pPr>
    </w:p>
    <w:p w14:paraId="53FD7922" w14:textId="77777777" w:rsidR="00572F6A" w:rsidRDefault="00572F6A" w:rsidP="00572F6A">
      <w:pPr>
        <w:tabs>
          <w:tab w:val="right" w:pos="8931"/>
        </w:tabs>
        <w:rPr>
          <w:sz w:val="24"/>
        </w:rPr>
      </w:pPr>
    </w:p>
    <w:p w14:paraId="3E1CECD0" w14:textId="77777777" w:rsidR="00572F6A" w:rsidRPr="00572F6A" w:rsidRDefault="00572F6A" w:rsidP="00572F6A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2018/19</w:t>
      </w:r>
    </w:p>
    <w:p w14:paraId="76B5AAC5" w14:textId="77777777" w:rsidR="006427F4" w:rsidRPr="009753CF" w:rsidRDefault="00C16349" w:rsidP="0051367B">
      <w:pPr>
        <w:spacing w:after="0"/>
        <w:jc w:val="both"/>
        <w:rPr>
          <w:b/>
        </w:rPr>
      </w:pPr>
      <w:r>
        <w:lastRenderedPageBreak/>
        <w:t xml:space="preserve">Výzkum </w:t>
      </w:r>
      <w:r w:rsidR="009753CF">
        <w:t>(Csémy et al., 2012)</w:t>
      </w:r>
      <w:r w:rsidR="009753CF">
        <w:rPr>
          <w:b/>
        </w:rPr>
        <w:t xml:space="preserve"> </w:t>
      </w:r>
      <w:r w:rsidR="00B04AFF" w:rsidRPr="00270C42">
        <w:t xml:space="preserve">zjišťoval dopad užívání drog v dospívání na období mladší dospělosti, konkrétněji, u jak velké části vzorku přetrvávají problémy s drogami do období mladé dospělosti a v čem se liší ti, co mají </w:t>
      </w:r>
      <w:r w:rsidR="006427F4">
        <w:t xml:space="preserve">i v mladší dospělosti </w:t>
      </w:r>
      <w:r w:rsidR="00B04AFF" w:rsidRPr="00270C42">
        <w:t>problémy s drogami (</w:t>
      </w:r>
      <w:r w:rsidR="00B04AFF" w:rsidRPr="00D614DB">
        <w:rPr>
          <w:i/>
        </w:rPr>
        <w:t>problémová skupina</w:t>
      </w:r>
      <w:r w:rsidR="006427F4">
        <w:t>) od těch, kteří je</w:t>
      </w:r>
      <w:r w:rsidR="00B04AFF" w:rsidRPr="00270C42">
        <w:t xml:space="preserve"> v dospívání</w:t>
      </w:r>
      <w:r w:rsidR="00B63CD7">
        <w:t xml:space="preserve"> měli</w:t>
      </w:r>
      <w:r w:rsidR="00B04AFF" w:rsidRPr="00270C42">
        <w:t xml:space="preserve">, ale nyní </w:t>
      </w:r>
      <w:r w:rsidR="000D79C0">
        <w:t>je již nemají</w:t>
      </w:r>
      <w:r w:rsidR="00B04AFF">
        <w:t xml:space="preserve"> (</w:t>
      </w:r>
      <w:r w:rsidR="00B04AFF" w:rsidRPr="00D614DB">
        <w:rPr>
          <w:i/>
        </w:rPr>
        <w:t>neproblémová skupina</w:t>
      </w:r>
      <w:r w:rsidR="00B04AFF">
        <w:t>)</w:t>
      </w:r>
      <w:r w:rsidR="009753CF">
        <w:t>.</w:t>
      </w:r>
    </w:p>
    <w:p w14:paraId="32654526" w14:textId="77777777" w:rsidR="00B04AFF" w:rsidRDefault="00B04AFF" w:rsidP="0051367B">
      <w:pPr>
        <w:jc w:val="both"/>
      </w:pPr>
      <w:r>
        <w:t>V</w:t>
      </w:r>
      <w:r w:rsidRPr="00270C42">
        <w:t xml:space="preserve">ýzkum proběhl ve dvou </w:t>
      </w:r>
      <w:r w:rsidR="006427F4">
        <w:t>etapách</w:t>
      </w:r>
      <w:r w:rsidRPr="00270C42">
        <w:t xml:space="preserve">. Časový odstup mezi šetřeními byl 13,6 let, což mělo za následek úbytek </w:t>
      </w:r>
      <w:r w:rsidR="006427F4">
        <w:t>zkoumaného</w:t>
      </w:r>
      <w:r w:rsidRPr="00270C42">
        <w:t xml:space="preserve"> souboru ze 124 </w:t>
      </w:r>
      <w:r>
        <w:t xml:space="preserve">respondentů </w:t>
      </w:r>
      <w:r w:rsidRPr="00270C42">
        <w:t xml:space="preserve">na 52. Při takto velkém úbytku vzorku </w:t>
      </w:r>
      <w:r>
        <w:t>bylo</w:t>
      </w:r>
      <w:r w:rsidRPr="00270C42">
        <w:t xml:space="preserve"> </w:t>
      </w:r>
      <w:r w:rsidR="004E45E7">
        <w:t>potřeba</w:t>
      </w:r>
      <w:r w:rsidRPr="00270C42">
        <w:t xml:space="preserve"> porovnat charakteristiky souboru testovaného v obou etapách (N=52)</w:t>
      </w:r>
      <w:r>
        <w:t xml:space="preserve"> </w:t>
      </w:r>
      <w:r w:rsidRPr="00270C42">
        <w:t>s následně nevyšetřeným souborem (N=72), aby byly zjištěny případné rozdíly. Srovnání naznačuje, že úbytek vzo</w:t>
      </w:r>
      <w:r w:rsidR="000F3D25">
        <w:t>rku by nemusel zásadně zkresli</w:t>
      </w:r>
      <w:r w:rsidRPr="00270C42">
        <w:t xml:space="preserve">t výsledky analýz, </w:t>
      </w:r>
      <w:r>
        <w:t>výrazný rozdíl byl pouze v tom, že vyšetřená skupina (N=52) udávala více heroin jako primární drogu oproti nevyšetřené skupině (N=72), (58,3% vs. 33,8%; p=0,009).</w:t>
      </w:r>
    </w:p>
    <w:p w14:paraId="721A86C3" w14:textId="77777777" w:rsidR="00B04AFF" w:rsidRDefault="00B04AFF" w:rsidP="0051367B">
      <w:pPr>
        <w:spacing w:after="0"/>
        <w:jc w:val="both"/>
      </w:pPr>
      <w:r>
        <w:t>Jak poznáme, kdy je mezi skupinami výrazný rozdíl?</w:t>
      </w:r>
    </w:p>
    <w:p w14:paraId="7EB0DD5F" w14:textId="77777777" w:rsidR="00B04AFF" w:rsidRPr="00666806" w:rsidRDefault="00B04AFF" w:rsidP="0051367B">
      <w:pPr>
        <w:jc w:val="both"/>
      </w:pPr>
      <w:r>
        <w:t>Ve většině výzkumů se testují statistické hypotézy (</w:t>
      </w:r>
      <w:r w:rsidR="00FD3375">
        <w:rPr>
          <w:rFonts w:cs="Arial"/>
          <w:color w:val="222222"/>
          <w:shd w:val="clear" w:color="auto" w:fill="FFFFFF"/>
        </w:rPr>
        <w:t>umožňuje</w:t>
      </w:r>
      <w:r w:rsidR="002A72C6">
        <w:rPr>
          <w:rFonts w:cs="Arial"/>
          <w:color w:val="222222"/>
          <w:shd w:val="clear" w:color="auto" w:fill="FFFFFF"/>
        </w:rPr>
        <w:t xml:space="preserve"> posoudit, zda</w:t>
      </w:r>
      <w:r w:rsidRPr="00270C42">
        <w:rPr>
          <w:rFonts w:cs="Arial"/>
          <w:color w:val="222222"/>
          <w:shd w:val="clear" w:color="auto" w:fill="FFFFFF"/>
        </w:rPr>
        <w:t xml:space="preserve"> data, získaná z </w:t>
      </w:r>
      <w:r w:rsidR="002A72C6">
        <w:rPr>
          <w:rFonts w:cs="Arial"/>
          <w:color w:val="222222"/>
          <w:shd w:val="clear" w:color="auto" w:fill="FFFFFF"/>
        </w:rPr>
        <w:t>výzkumu</w:t>
      </w:r>
      <w:r w:rsidRPr="00270C42">
        <w:rPr>
          <w:rFonts w:cs="Arial"/>
          <w:color w:val="222222"/>
          <w:shd w:val="clear" w:color="auto" w:fill="FFFFFF"/>
        </w:rPr>
        <w:t>, vyhovují předpokladu</w:t>
      </w:r>
      <w:r>
        <w:rPr>
          <w:rFonts w:cs="Arial"/>
          <w:color w:val="222222"/>
          <w:shd w:val="clear" w:color="auto" w:fill="FFFFFF"/>
        </w:rPr>
        <w:t>).</w:t>
      </w:r>
      <w:r>
        <w:t xml:space="preserve"> </w:t>
      </w:r>
      <w:r>
        <w:rPr>
          <w:rFonts w:cs="Arial"/>
          <w:color w:val="222222"/>
          <w:shd w:val="clear" w:color="auto" w:fill="FFFFFF"/>
        </w:rPr>
        <w:t>Stanoví se alternativní hypotéza (H</w:t>
      </w:r>
      <w:r>
        <w:rPr>
          <w:rFonts w:cs="Arial"/>
          <w:color w:val="222222"/>
          <w:shd w:val="clear" w:color="auto" w:fill="FFFFFF"/>
          <w:vertAlign w:val="subscript"/>
        </w:rPr>
        <w:t>1</w:t>
      </w:r>
      <w:r>
        <w:rPr>
          <w:rFonts w:cs="Arial"/>
          <w:color w:val="222222"/>
          <w:shd w:val="clear" w:color="auto" w:fill="FFFFFF"/>
        </w:rPr>
        <w:t>), v našem případě</w:t>
      </w:r>
      <w:r w:rsidR="00982548">
        <w:rPr>
          <w:rFonts w:cs="Arial"/>
          <w:color w:val="222222"/>
          <w:shd w:val="clear" w:color="auto" w:fill="FFFFFF"/>
        </w:rPr>
        <w:t xml:space="preserve"> hypotéza</w:t>
      </w:r>
      <w:r>
        <w:rPr>
          <w:rFonts w:cs="Arial"/>
          <w:color w:val="222222"/>
          <w:shd w:val="clear" w:color="auto" w:fill="FFFFFF"/>
        </w:rPr>
        <w:t xml:space="preserve">, že </w:t>
      </w:r>
      <w:r w:rsidR="00982548">
        <w:rPr>
          <w:rFonts w:cs="Arial"/>
          <w:color w:val="222222"/>
          <w:shd w:val="clear" w:color="auto" w:fill="FFFFFF"/>
        </w:rPr>
        <w:t xml:space="preserve">existuje rozdíl </w:t>
      </w:r>
      <w:r w:rsidRPr="00270C42">
        <w:rPr>
          <w:rFonts w:cs="Arial"/>
          <w:color w:val="222222"/>
          <w:shd w:val="clear" w:color="auto" w:fill="FFFFFF"/>
        </w:rPr>
        <w:t>mezi skupinami</w:t>
      </w:r>
      <w:r>
        <w:rPr>
          <w:rFonts w:cs="Arial"/>
          <w:color w:val="222222"/>
          <w:shd w:val="clear" w:color="auto" w:fill="FFFFFF"/>
        </w:rPr>
        <w:t>,</w:t>
      </w:r>
      <w:r w:rsidRPr="00270C42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v</w:t>
      </w:r>
      <w:r w:rsidRPr="00270C42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testovaných</w:t>
      </w:r>
      <w:r w:rsidRPr="00270C42">
        <w:rPr>
          <w:rFonts w:cs="Arial"/>
          <w:color w:val="222222"/>
          <w:shd w:val="clear" w:color="auto" w:fill="FFFFFF"/>
        </w:rPr>
        <w:t xml:space="preserve"> oblastech (problémová </w:t>
      </w:r>
      <w:r w:rsidRPr="00D853D3">
        <w:rPr>
          <w:rFonts w:cs="Arial"/>
          <w:color w:val="222222"/>
          <w:shd w:val="clear" w:color="auto" w:fill="FFFFFF"/>
        </w:rPr>
        <w:t>skupina</w:t>
      </w:r>
      <w:r w:rsidRPr="006C023F">
        <w:rPr>
          <w:rFonts w:cs="Arial"/>
          <w:color w:val="222222"/>
          <w:shd w:val="clear" w:color="auto" w:fill="F8F9FA"/>
        </w:rPr>
        <w:t>≠</w:t>
      </w:r>
      <w:r>
        <w:rPr>
          <w:rFonts w:cs="Arial"/>
          <w:color w:val="222222"/>
          <w:shd w:val="clear" w:color="auto" w:fill="F8F9FA"/>
        </w:rPr>
        <w:t>ne</w:t>
      </w:r>
      <w:r w:rsidRPr="006C023F">
        <w:rPr>
          <w:rFonts w:cs="Arial"/>
          <w:color w:val="222222"/>
          <w:shd w:val="clear" w:color="auto" w:fill="F8F9FA"/>
        </w:rPr>
        <w:t>problémová skupina).</w:t>
      </w:r>
      <w:r>
        <w:rPr>
          <w:rFonts w:cs="Arial"/>
          <w:color w:val="222222"/>
          <w:shd w:val="clear" w:color="auto" w:fill="F8F9FA"/>
        </w:rPr>
        <w:t xml:space="preserve"> </w:t>
      </w:r>
      <w:r w:rsidRPr="006C023F">
        <w:rPr>
          <w:rFonts w:cs="Arial"/>
          <w:color w:val="222222"/>
          <w:shd w:val="clear" w:color="auto" w:fill="F8F9FA"/>
        </w:rPr>
        <w:t xml:space="preserve">Dále </w:t>
      </w:r>
      <w:r>
        <w:rPr>
          <w:rFonts w:cs="Arial"/>
          <w:color w:val="222222"/>
          <w:shd w:val="clear" w:color="auto" w:fill="F8F9FA"/>
        </w:rPr>
        <w:t>se</w:t>
      </w:r>
      <w:r w:rsidRPr="006C023F">
        <w:rPr>
          <w:rFonts w:cs="Arial"/>
          <w:color w:val="222222"/>
          <w:shd w:val="clear" w:color="auto" w:fill="F8F9FA"/>
        </w:rPr>
        <w:t xml:space="preserve"> stanov</w:t>
      </w:r>
      <w:r>
        <w:rPr>
          <w:rFonts w:cs="Arial"/>
          <w:color w:val="222222"/>
          <w:shd w:val="clear" w:color="auto" w:fill="F8F9FA"/>
        </w:rPr>
        <w:t>í</w:t>
      </w:r>
      <w:r w:rsidRPr="006C023F">
        <w:rPr>
          <w:rFonts w:cs="Arial"/>
          <w:color w:val="222222"/>
          <w:shd w:val="clear" w:color="auto" w:fill="F8F9FA"/>
        </w:rPr>
        <w:t xml:space="preserve"> nulová hypotéza H</w:t>
      </w:r>
      <w:r w:rsidRPr="006C023F">
        <w:rPr>
          <w:rFonts w:cs="Arial"/>
          <w:color w:val="222222"/>
          <w:shd w:val="clear" w:color="auto" w:fill="F8F9FA"/>
          <w:vertAlign w:val="subscript"/>
        </w:rPr>
        <w:t>0</w:t>
      </w:r>
      <w:r w:rsidRPr="006C023F">
        <w:rPr>
          <w:rFonts w:cs="Arial"/>
          <w:color w:val="222222"/>
          <w:shd w:val="clear" w:color="auto" w:fill="F8F9FA"/>
        </w:rPr>
        <w:t>, která bývá logickou negací k H</w:t>
      </w:r>
      <w:r w:rsidRPr="006C023F">
        <w:rPr>
          <w:rFonts w:cs="Arial"/>
          <w:color w:val="222222"/>
          <w:shd w:val="clear" w:color="auto" w:fill="F8F9FA"/>
          <w:vertAlign w:val="subscript"/>
        </w:rPr>
        <w:t>1</w:t>
      </w:r>
      <w:r w:rsidRPr="00D853D3">
        <w:rPr>
          <w:rFonts w:cs="Arial"/>
          <w:color w:val="222222"/>
          <w:shd w:val="clear" w:color="auto" w:fill="F8F9FA"/>
        </w:rPr>
        <w:t xml:space="preserve"> (</w:t>
      </w:r>
      <w:r w:rsidRPr="00D853D3">
        <w:rPr>
          <w:rFonts w:cs="Arial"/>
          <w:color w:val="222222"/>
          <w:shd w:val="clear" w:color="auto" w:fill="FFFFFF"/>
        </w:rPr>
        <w:t>problémová</w:t>
      </w:r>
      <w:r>
        <w:rPr>
          <w:rFonts w:cs="Arial"/>
          <w:color w:val="222222"/>
          <w:shd w:val="clear" w:color="auto" w:fill="FFFFFF"/>
        </w:rPr>
        <w:t xml:space="preserve"> skupina=ne</w:t>
      </w:r>
      <w:r w:rsidRPr="00270C42">
        <w:rPr>
          <w:rFonts w:cs="Arial"/>
          <w:color w:val="222222"/>
          <w:shd w:val="clear" w:color="auto" w:fill="FFFFFF"/>
        </w:rPr>
        <w:t>problémová skupina</w:t>
      </w:r>
      <w:r>
        <w:rPr>
          <w:rFonts w:cs="Arial"/>
          <w:color w:val="222222"/>
          <w:shd w:val="clear" w:color="auto" w:fill="FFFFFF"/>
        </w:rPr>
        <w:t>). Abychom mohli podpořit H</w:t>
      </w:r>
      <w:r>
        <w:rPr>
          <w:rFonts w:cs="Arial"/>
          <w:color w:val="222222"/>
          <w:shd w:val="clear" w:color="auto" w:fill="FFFFFF"/>
          <w:vertAlign w:val="subscript"/>
        </w:rPr>
        <w:t>1</w:t>
      </w:r>
      <w:r>
        <w:rPr>
          <w:rFonts w:cs="Arial"/>
          <w:color w:val="222222"/>
          <w:shd w:val="clear" w:color="auto" w:fill="FFFFFF"/>
        </w:rPr>
        <w:t xml:space="preserve">, je zapotřebí, aby </w:t>
      </w:r>
      <w:r w:rsidR="00C60083">
        <w:rPr>
          <w:rFonts w:cs="Arial"/>
          <w:b/>
          <w:color w:val="222222"/>
          <w:shd w:val="clear" w:color="auto" w:fill="FFFFFF"/>
        </w:rPr>
        <w:t xml:space="preserve">p-hodnota </w:t>
      </w:r>
      <w:r w:rsidR="00C60083">
        <w:rPr>
          <w:rFonts w:cs="Arial"/>
          <w:color w:val="222222"/>
          <w:shd w:val="clear" w:color="auto" w:fill="FFFFFF"/>
        </w:rPr>
        <w:t>(</w:t>
      </w:r>
      <w:r w:rsidRPr="00A75286">
        <w:rPr>
          <w:rFonts w:cs="Arial"/>
          <w:b/>
          <w:color w:val="222222"/>
          <w:shd w:val="clear" w:color="auto" w:fill="FFFFFF"/>
        </w:rPr>
        <w:t>p</w:t>
      </w:r>
      <w:r>
        <w:rPr>
          <w:rFonts w:cs="Arial"/>
          <w:color w:val="222222"/>
          <w:shd w:val="clear" w:color="auto" w:fill="FFFFFF"/>
        </w:rPr>
        <w:t xml:space="preserve">, </w:t>
      </w:r>
      <w:r w:rsidRPr="00A75286">
        <w:rPr>
          <w:rFonts w:cs="Arial"/>
          <w:color w:val="222222"/>
          <w:shd w:val="clear" w:color="auto" w:fill="FFFFFF"/>
        </w:rPr>
        <w:t>můžeme</w:t>
      </w:r>
      <w:r>
        <w:rPr>
          <w:rFonts w:cs="Arial"/>
          <w:color w:val="222222"/>
          <w:shd w:val="clear" w:color="auto" w:fill="FFFFFF"/>
        </w:rPr>
        <w:t xml:space="preserve"> definovat jako nejmenší hladinu</w:t>
      </w:r>
      <w:r w:rsidRPr="00270C42">
        <w:rPr>
          <w:rFonts w:cs="Arial"/>
          <w:color w:val="222222"/>
          <w:shd w:val="clear" w:color="auto" w:fill="FFFFFF"/>
        </w:rPr>
        <w:t xml:space="preserve"> významnosti, při </w:t>
      </w:r>
      <w:r w:rsidR="006A090D">
        <w:rPr>
          <w:rFonts w:cs="Arial"/>
          <w:color w:val="222222"/>
          <w:shd w:val="clear" w:color="auto" w:fill="FFFFFF"/>
        </w:rPr>
        <w:t>níž</w:t>
      </w:r>
      <w:r w:rsidRPr="00270C42">
        <w:rPr>
          <w:rFonts w:cs="Arial"/>
          <w:color w:val="222222"/>
          <w:shd w:val="clear" w:color="auto" w:fill="FFFFFF"/>
        </w:rPr>
        <w:t xml:space="preserve"> ještě zamítáme H</w:t>
      </w:r>
      <w:r w:rsidRPr="00270C42">
        <w:rPr>
          <w:rFonts w:cs="Arial"/>
          <w:color w:val="222222"/>
          <w:shd w:val="clear" w:color="auto" w:fill="FFFFFF"/>
          <w:vertAlign w:val="subscript"/>
        </w:rPr>
        <w:t>0</w:t>
      </w:r>
      <w:r>
        <w:rPr>
          <w:rFonts w:cs="Arial"/>
          <w:color w:val="222222"/>
          <w:shd w:val="clear" w:color="auto" w:fill="FFFFFF"/>
        </w:rPr>
        <w:t>)</w:t>
      </w:r>
      <w:r>
        <w:rPr>
          <w:rFonts w:cs="Arial"/>
          <w:color w:val="222222"/>
          <w:shd w:val="clear" w:color="auto" w:fill="FFFFFF"/>
          <w:vertAlign w:val="subscript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byla menší nebo rovna hladině </w:t>
      </w:r>
      <w:r w:rsidRPr="00403A30">
        <w:rPr>
          <w:rFonts w:cs="Arial"/>
          <w:b/>
          <w:color w:val="222222"/>
          <w:shd w:val="clear" w:color="auto" w:fill="FFFFFF"/>
        </w:rPr>
        <w:t>statistické významnosti</w:t>
      </w:r>
      <w:r>
        <w:rPr>
          <w:rFonts w:cs="Arial"/>
          <w:color w:val="222222"/>
          <w:shd w:val="clear" w:color="auto" w:fill="FFFFFF"/>
        </w:rPr>
        <w:t xml:space="preserve"> </w:t>
      </w:r>
      <w:r w:rsidRPr="00403A30">
        <w:rPr>
          <w:rFonts w:cs="Arial"/>
          <w:color w:val="222222"/>
          <w:shd w:val="clear" w:color="auto" w:fill="FFFFFF"/>
        </w:rPr>
        <w:t>(</w:t>
      </w:r>
      <w:r w:rsidRPr="00270C42">
        <w:rPr>
          <w:rFonts w:cs="Arial"/>
          <w:b/>
          <w:color w:val="222222"/>
          <w:shd w:val="clear" w:color="auto" w:fill="FFFFFF"/>
        </w:rPr>
        <w:t>α</w:t>
      </w:r>
      <w:r>
        <w:rPr>
          <w:rFonts w:cs="Arial"/>
          <w:color w:val="222222"/>
          <w:shd w:val="clear" w:color="auto" w:fill="FFFFFF"/>
        </w:rPr>
        <w:t xml:space="preserve">, </w:t>
      </w:r>
      <w:r w:rsidRPr="00270C42">
        <w:rPr>
          <w:rFonts w:cs="Arial"/>
          <w:color w:val="222222"/>
          <w:shd w:val="clear" w:color="auto" w:fill="FFFFFF"/>
        </w:rPr>
        <w:t>nejčastěji α=0,01 nebo 0,05</w:t>
      </w:r>
      <w:r>
        <w:rPr>
          <w:rFonts w:cs="Arial"/>
          <w:color w:val="222222"/>
          <w:shd w:val="clear" w:color="auto" w:fill="FFFFFF"/>
        </w:rPr>
        <w:t xml:space="preserve"> -</w:t>
      </w:r>
      <w:r w:rsidRPr="00270C42">
        <w:rPr>
          <w:rFonts w:cs="Arial"/>
          <w:color w:val="222222"/>
          <w:shd w:val="clear" w:color="auto" w:fill="FFFFFF"/>
        </w:rPr>
        <w:t>pravděpodobnost, že H</w:t>
      </w:r>
      <w:r w:rsidRPr="00270C42">
        <w:rPr>
          <w:rFonts w:cs="Arial"/>
          <w:color w:val="222222"/>
          <w:shd w:val="clear" w:color="auto" w:fill="FFFFFF"/>
          <w:vertAlign w:val="subscript"/>
        </w:rPr>
        <w:t>0</w:t>
      </w:r>
      <w:r w:rsidRPr="00270C42">
        <w:rPr>
          <w:rFonts w:cs="Arial"/>
          <w:color w:val="222222"/>
          <w:shd w:val="clear" w:color="auto" w:fill="FFFFFF"/>
        </w:rPr>
        <w:t xml:space="preserve"> bude zamítnuta, ačkoliv platí)</w:t>
      </w:r>
      <w:r>
        <w:rPr>
          <w:rFonts w:cs="Arial"/>
          <w:color w:val="222222"/>
          <w:shd w:val="clear" w:color="auto" w:fill="FFFFFF"/>
        </w:rPr>
        <w:t xml:space="preserve">. </w:t>
      </w:r>
      <w:r w:rsidRPr="00270C42">
        <w:rPr>
          <w:rFonts w:cs="Arial"/>
          <w:color w:val="222222"/>
          <w:shd w:val="clear" w:color="auto" w:fill="FFFFFF"/>
        </w:rPr>
        <w:t xml:space="preserve">Je-li </w:t>
      </w:r>
      <w:r w:rsidRPr="00270C42">
        <w:rPr>
          <w:rFonts w:cs="Arial"/>
          <w:b/>
          <w:color w:val="222222"/>
          <w:shd w:val="clear" w:color="auto" w:fill="FFFFFF"/>
        </w:rPr>
        <w:t>p&gt;α</w:t>
      </w:r>
      <w:r w:rsidRPr="00270C42">
        <w:rPr>
          <w:rFonts w:cs="Arial"/>
          <w:color w:val="222222"/>
          <w:shd w:val="clear" w:color="auto" w:fill="FFFFFF"/>
        </w:rPr>
        <w:t>, pak H</w:t>
      </w:r>
      <w:r w:rsidRPr="00270C42">
        <w:rPr>
          <w:rFonts w:cs="Arial"/>
          <w:color w:val="222222"/>
          <w:shd w:val="clear" w:color="auto" w:fill="FFFFFF"/>
          <w:vertAlign w:val="subscript"/>
        </w:rPr>
        <w:t xml:space="preserve">0 </w:t>
      </w:r>
      <w:r w:rsidRPr="00270C42">
        <w:rPr>
          <w:rFonts w:cs="Arial"/>
          <w:color w:val="222222"/>
          <w:shd w:val="clear" w:color="auto" w:fill="FFFFFF"/>
        </w:rPr>
        <w:t>nezamítáme a ponecháváme ji k dalšímu zkoumání</w:t>
      </w:r>
      <w:r w:rsidR="009753CF">
        <w:rPr>
          <w:rFonts w:cs="Arial"/>
          <w:color w:val="222222"/>
          <w:shd w:val="clear" w:color="auto" w:fill="FFFFFF"/>
        </w:rPr>
        <w:t xml:space="preserve"> </w:t>
      </w:r>
      <w:r w:rsidR="009753CF">
        <w:t>(Hendl, 2012)</w:t>
      </w:r>
      <w:r w:rsidRPr="00270C42">
        <w:rPr>
          <w:rFonts w:cs="Arial"/>
          <w:color w:val="222222"/>
          <w:shd w:val="clear" w:color="auto" w:fill="FFFFFF"/>
        </w:rPr>
        <w:t>.</w:t>
      </w:r>
    </w:p>
    <w:p w14:paraId="62299380" w14:textId="77777777" w:rsidR="00B04AFF" w:rsidRPr="00270C42" w:rsidRDefault="00B04AFF" w:rsidP="0051367B">
      <w:pPr>
        <w:spacing w:after="0"/>
        <w:jc w:val="both"/>
      </w:pPr>
      <w:r w:rsidRPr="00270C42">
        <w:t xml:space="preserve">Při druhém šetření mělo 13 respondentů (25%) z 52 problémy s drogami. Do </w:t>
      </w:r>
      <w:r>
        <w:t>problémové skupiny</w:t>
      </w:r>
      <w:r w:rsidRPr="00270C42">
        <w:t xml:space="preserve"> nebyli zahrnuti </w:t>
      </w:r>
      <w:r w:rsidR="004A6EDE">
        <w:t>ti</w:t>
      </w:r>
      <w:r w:rsidRPr="00270C42">
        <w:t>, kteří užívali marihuanu či extázi. Další srovnání je uvedeno v následující tabulce.</w:t>
      </w:r>
    </w:p>
    <w:p w14:paraId="700C776E" w14:textId="77777777" w:rsidR="00B04AFF" w:rsidRDefault="00DB2BA7" w:rsidP="0051367B">
      <w:pPr>
        <w:jc w:val="both"/>
      </w:pPr>
      <w:r>
        <w:rPr>
          <w:noProof/>
          <w:lang w:eastAsia="cs-CZ"/>
        </w:rPr>
        <w:pict w14:anchorId="0D24B1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5.9pt;margin-top:244.5pt;width:99pt;height:0;z-index:251664384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cs-CZ"/>
        </w:rPr>
        <w:pict w14:anchorId="53B7777E">
          <v:shape id="_x0000_s1028" type="#_x0000_t32" style="position:absolute;left:0;text-align:left;margin-left:385.9pt;margin-top:221.25pt;width:99pt;height:0;z-index:251663360" o:connectortype="straight" strokecolor="red" strokeweight="3pt">
            <v:shadow type="perspective" color="#622423 [1605]" opacity=".5" offset="1pt" offset2="-1pt"/>
          </v:shape>
        </w:pict>
      </w:r>
      <w:r w:rsidR="00B04AFF">
        <w:rPr>
          <w:noProof/>
          <w:lang w:eastAsia="cs-CZ"/>
        </w:rPr>
        <w:drawing>
          <wp:inline distT="0" distB="0" distL="0" distR="0" wp14:anchorId="406FEEE5" wp14:editId="212CA408">
            <wp:extent cx="6302871" cy="3790950"/>
            <wp:effectExtent l="19050" t="0" r="2679" b="0"/>
            <wp:docPr id="1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71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EA050" w14:textId="77777777" w:rsidR="00B04AFF" w:rsidRPr="009753CF" w:rsidRDefault="004A6EDE" w:rsidP="0051367B">
      <w:pPr>
        <w:jc w:val="both"/>
        <w:rPr>
          <w:b/>
        </w:rPr>
      </w:pPr>
      <w:r>
        <w:lastRenderedPageBreak/>
        <w:t>M</w:t>
      </w:r>
      <w:r w:rsidR="00B04AFF">
        <w:t xml:space="preserve">ezi </w:t>
      </w:r>
      <w:r w:rsidR="00814470">
        <w:t>skupinami</w:t>
      </w:r>
      <w:r w:rsidR="00B04AFF">
        <w:t xml:space="preserve"> byly zjištěny </w:t>
      </w:r>
      <w:r w:rsidR="002179FD">
        <w:t>výrazné</w:t>
      </w:r>
      <w:r w:rsidR="00B04AFF">
        <w:t xml:space="preserve"> rozdíly pouze v průměrném počtu detoxikačních pobytů (p=0,008) a v celkovém počtu léčení se z drogových problémů (p=0,001). V obou těchto případech má problémová skupina výrazně vyšší hodnoty</w:t>
      </w:r>
      <w:r w:rsidR="009753CF">
        <w:t xml:space="preserve"> (Csémy et al., 2012)</w:t>
      </w:r>
      <w:r w:rsidR="00B04AFF">
        <w:t>.</w:t>
      </w:r>
    </w:p>
    <w:p w14:paraId="4868DF86" w14:textId="77777777" w:rsidR="00B04AFF" w:rsidRDefault="00B04AFF" w:rsidP="0051367B">
      <w:pPr>
        <w:jc w:val="both"/>
      </w:pPr>
      <w:r>
        <w:t xml:space="preserve">Dále byly zjišťovány rozdíly v sedmi </w:t>
      </w:r>
      <w:r w:rsidR="00C5481B">
        <w:t>životních</w:t>
      </w:r>
      <w:r>
        <w:t xml:space="preserve"> situacích, které jsou uvedeny v následujícím grafu.</w:t>
      </w:r>
    </w:p>
    <w:p w14:paraId="7A53F5F0" w14:textId="77777777" w:rsidR="00B04AFF" w:rsidRDefault="00B04AFF" w:rsidP="0051367B">
      <w:pPr>
        <w:jc w:val="both"/>
      </w:pPr>
      <w:r w:rsidRPr="00270C42">
        <w:rPr>
          <w:noProof/>
        </w:rPr>
        <w:drawing>
          <wp:inline distT="0" distB="0" distL="0" distR="0" wp14:anchorId="489D7C68" wp14:editId="5CBA6FC8">
            <wp:extent cx="5760720" cy="3327548"/>
            <wp:effectExtent l="19050" t="0" r="0" b="0"/>
            <wp:docPr id="1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EE55D" w14:textId="77777777" w:rsidR="00B04AFF" w:rsidRDefault="00B04AFF" w:rsidP="0051367B">
      <w:pPr>
        <w:spacing w:after="0"/>
        <w:jc w:val="both"/>
      </w:pPr>
      <w:r>
        <w:t xml:space="preserve">Problémová skupina měla vyšší </w:t>
      </w:r>
      <w:r w:rsidR="0024657C">
        <w:t xml:space="preserve">průměrné </w:t>
      </w:r>
      <w:r>
        <w:t>skóry</w:t>
      </w:r>
      <w:r w:rsidR="00592185">
        <w:t xml:space="preserve"> v oblasti problémů týkající</w:t>
      </w:r>
      <w:r>
        <w:t xml:space="preserve"> se </w:t>
      </w:r>
      <w:r w:rsidR="00C5481B">
        <w:t>dodržování</w:t>
      </w:r>
      <w:r w:rsidR="0051367B">
        <w:t xml:space="preserve"> zákona (p&lt;</w:t>
      </w:r>
      <w:r>
        <w:t>0,01), zdraví (p&lt;0.001) a zaměstnání</w:t>
      </w:r>
      <w:r w:rsidR="00091332">
        <w:t xml:space="preserve"> (p&lt;</w:t>
      </w:r>
      <w:r>
        <w:t xml:space="preserve">0.05). </w:t>
      </w:r>
      <w:r w:rsidR="00C60083">
        <w:t>Obě skupiny měly</w:t>
      </w:r>
      <w:r>
        <w:t xml:space="preserve"> nejvyšší průměrné skóry v oblasti problémů se zaměstnáním, což by mohlo naznačovat, že i osoby, které překonaly závislost na drogách, mají problém se pracovně uplatnit. </w:t>
      </w:r>
    </w:p>
    <w:p w14:paraId="1081C6ED" w14:textId="77777777" w:rsidR="00B04AFF" w:rsidRPr="009753CF" w:rsidRDefault="00B04AFF" w:rsidP="0051367B">
      <w:pPr>
        <w:jc w:val="both"/>
        <w:rPr>
          <w:b/>
        </w:rPr>
      </w:pPr>
      <w:commentRangeStart w:id="0"/>
      <w:r>
        <w:t>Výzkum ukázal</w:t>
      </w:r>
      <w:r w:rsidR="004A6EDE">
        <w:t>, že problémy s drogami by mohly</w:t>
      </w:r>
      <w:r>
        <w:t xml:space="preserve"> souviset s dalšími testovanými problémy. Pro tato zjištění se využívá </w:t>
      </w:r>
      <w:r w:rsidRPr="00270C42">
        <w:rPr>
          <w:rFonts w:cs="Arial"/>
          <w:b/>
          <w:color w:val="222222"/>
          <w:shd w:val="clear" w:color="auto" w:fill="FFFFFF"/>
        </w:rPr>
        <w:t>Pearsonův korelační koeficient (korelace, r)</w:t>
      </w:r>
      <w:r w:rsidRPr="00270C42">
        <w:rPr>
          <w:rFonts w:cs="Arial"/>
          <w:color w:val="222222"/>
          <w:shd w:val="clear" w:color="auto" w:fill="FFFFFF"/>
        </w:rPr>
        <w:t xml:space="preserve">. Nabývá hodnot z intervalu [-1;1], přičemž -1 a 1 znamenají absolutní vztah a 0 žádný vztah. Korelace však vyjadřuje sílu pouze lineárního vztahu, </w:t>
      </w:r>
      <w:r w:rsidR="00091332">
        <w:rPr>
          <w:rFonts w:cs="Arial"/>
          <w:color w:val="222222"/>
          <w:shd w:val="clear" w:color="auto" w:fill="FFFFFF"/>
        </w:rPr>
        <w:t xml:space="preserve">zjednodušeně, </w:t>
      </w:r>
      <w:r w:rsidRPr="00270C42">
        <w:rPr>
          <w:rFonts w:cs="Arial"/>
          <w:color w:val="222222"/>
          <w:shd w:val="clear" w:color="auto" w:fill="FFFFFF"/>
        </w:rPr>
        <w:t>čím vyšší bude jedna proměnná, tím vyšší bude proměnná</w:t>
      </w:r>
      <w:r>
        <w:rPr>
          <w:rFonts w:cs="Arial"/>
          <w:color w:val="222222"/>
          <w:shd w:val="clear" w:color="auto" w:fill="FFFFFF"/>
        </w:rPr>
        <w:t xml:space="preserve"> druhá</w:t>
      </w:r>
      <w:r w:rsidR="002F2010">
        <w:rPr>
          <w:rFonts w:cs="Arial"/>
          <w:color w:val="222222"/>
          <w:shd w:val="clear" w:color="auto" w:fill="FFFFFF"/>
        </w:rPr>
        <w:t xml:space="preserve">. </w:t>
      </w:r>
      <w:r>
        <w:t xml:space="preserve">Problémy s drogami pozitivně korelovali s problémy týkající se zdraví (r=0,598; p&lt;0,01), zaměstnání (r=0,312; p&lt;0,05), dodržování zákona (r=0,316; p&lt;0,05), rodinnými problémy (r=0,401; p&lt;0,01) a psychologickými problémy (r=0,381; p&lt;0,01). </w:t>
      </w:r>
      <w:r w:rsidR="0024657C">
        <w:rPr>
          <w:rFonts w:cs="Arial"/>
          <w:color w:val="222222"/>
          <w:shd w:val="clear" w:color="auto" w:fill="FFFFFF"/>
        </w:rPr>
        <w:t>K</w:t>
      </w:r>
      <w:r w:rsidRPr="00270C42">
        <w:rPr>
          <w:rFonts w:cs="Arial"/>
          <w:color w:val="222222"/>
          <w:shd w:val="clear" w:color="auto" w:fill="FFFFFF"/>
        </w:rPr>
        <w:t xml:space="preserve">orelace </w:t>
      </w:r>
      <w:r w:rsidR="0024657C">
        <w:rPr>
          <w:rFonts w:cs="Arial"/>
          <w:color w:val="222222"/>
          <w:shd w:val="clear" w:color="auto" w:fill="FFFFFF"/>
        </w:rPr>
        <w:t xml:space="preserve">však </w:t>
      </w:r>
      <w:r w:rsidRPr="00270C42">
        <w:rPr>
          <w:rFonts w:cs="Arial"/>
          <w:color w:val="222222"/>
          <w:shd w:val="clear" w:color="auto" w:fill="FFFFFF"/>
        </w:rPr>
        <w:t>neznamená kauzalitu</w:t>
      </w:r>
      <w:r>
        <w:rPr>
          <w:rFonts w:cs="Arial"/>
          <w:color w:val="222222"/>
          <w:shd w:val="clear" w:color="auto" w:fill="FFFFFF"/>
        </w:rPr>
        <w:t>,</w:t>
      </w:r>
      <w:r w:rsidRPr="00270C42">
        <w:rPr>
          <w:rFonts w:cs="Arial"/>
          <w:color w:val="222222"/>
          <w:shd w:val="clear" w:color="auto" w:fill="FFFFFF"/>
        </w:rPr>
        <w:t xml:space="preserve"> a</w:t>
      </w:r>
      <w:r>
        <w:rPr>
          <w:rFonts w:cs="Arial"/>
          <w:color w:val="222222"/>
          <w:shd w:val="clear" w:color="auto" w:fill="FFFFFF"/>
        </w:rPr>
        <w:t xml:space="preserve"> </w:t>
      </w:r>
      <w:r w:rsidRPr="004A6EDE">
        <w:rPr>
          <w:rFonts w:cs="Arial"/>
          <w:shd w:val="clear" w:color="auto" w:fill="FFFFFF"/>
        </w:rPr>
        <w:t>proto</w:t>
      </w:r>
      <w:r w:rsidRPr="00270C42">
        <w:rPr>
          <w:rFonts w:cs="Arial"/>
          <w:color w:val="222222"/>
          <w:shd w:val="clear" w:color="auto" w:fill="FFFFFF"/>
        </w:rPr>
        <w:t xml:space="preserve"> nelze </w:t>
      </w:r>
      <w:r w:rsidR="007E0233">
        <w:rPr>
          <w:rFonts w:cs="Arial"/>
          <w:color w:val="222222"/>
          <w:shd w:val="clear" w:color="auto" w:fill="FFFFFF"/>
        </w:rPr>
        <w:t>vyvodit závěry</w:t>
      </w:r>
      <w:r w:rsidRPr="00270C42">
        <w:rPr>
          <w:rFonts w:cs="Arial"/>
          <w:color w:val="222222"/>
          <w:shd w:val="clear" w:color="auto" w:fill="FFFFFF"/>
        </w:rPr>
        <w:t>, že změny jedné proměnné působí na změny druhé proměnné</w:t>
      </w:r>
      <w:r w:rsidR="009753CF">
        <w:rPr>
          <w:rFonts w:cs="Arial"/>
          <w:color w:val="222222"/>
          <w:shd w:val="clear" w:color="auto" w:fill="FFFFFF"/>
        </w:rPr>
        <w:t xml:space="preserve"> </w:t>
      </w:r>
      <w:r w:rsidR="009753CF">
        <w:t>(</w:t>
      </w:r>
      <w:r w:rsidR="002F2010">
        <w:t xml:space="preserve">Hendl, 2012; </w:t>
      </w:r>
      <w:r w:rsidR="009753CF">
        <w:t>Csémy et al., 2012)</w:t>
      </w:r>
      <w:r w:rsidRPr="00270C42">
        <w:rPr>
          <w:rFonts w:cs="Arial"/>
          <w:color w:val="222222"/>
          <w:shd w:val="clear" w:color="auto" w:fill="FFFFFF"/>
        </w:rPr>
        <w:t xml:space="preserve">. </w:t>
      </w:r>
      <w:commentRangeEnd w:id="0"/>
      <w:r w:rsidR="00FA18D5">
        <w:rPr>
          <w:rStyle w:val="CommentReference"/>
        </w:rPr>
        <w:commentReference w:id="0"/>
      </w:r>
    </w:p>
    <w:p w14:paraId="5DB93708" w14:textId="77777777" w:rsidR="00B04AFF" w:rsidRPr="009753CF" w:rsidRDefault="00B04AFF" w:rsidP="0051367B">
      <w:pPr>
        <w:jc w:val="both"/>
        <w:rPr>
          <w:b/>
        </w:rPr>
      </w:pPr>
      <w:r>
        <w:t xml:space="preserve">Dále byl zjišťován rozdíl v míře </w:t>
      </w:r>
      <w:commentRangeStart w:id="1"/>
      <w:r>
        <w:t>extraverze, neuroticismu, psychoticismu</w:t>
      </w:r>
      <w:commentRangeEnd w:id="1"/>
      <w:r w:rsidR="00FA18D5">
        <w:rPr>
          <w:rStyle w:val="CommentReference"/>
        </w:rPr>
        <w:commentReference w:id="1"/>
      </w:r>
      <w:r>
        <w:t>,</w:t>
      </w:r>
      <w:r w:rsidRPr="005D2FB9">
        <w:t xml:space="preserve"> </w:t>
      </w:r>
      <w:r>
        <w:t xml:space="preserve">životní spokojenosti, sebehodnocení a depresivity. Výsledky jsou v tabulkách uváděny v </w:t>
      </w:r>
      <w:r w:rsidRPr="000C1AAB">
        <w:rPr>
          <w:b/>
        </w:rPr>
        <w:t>průměrech</w:t>
      </w:r>
      <w:r w:rsidR="000C1AAB" w:rsidRPr="000C1AAB">
        <w:rPr>
          <w:b/>
        </w:rPr>
        <w:t xml:space="preserve"> (M)</w:t>
      </w:r>
      <w:r w:rsidR="000C1AAB">
        <w:rPr>
          <w:b/>
        </w:rPr>
        <w:t xml:space="preserve">. </w:t>
      </w:r>
      <w:r>
        <w:t xml:space="preserve">U průměru bývá uvedena </w:t>
      </w:r>
      <w:r w:rsidRPr="00052910">
        <w:rPr>
          <w:b/>
        </w:rPr>
        <w:t>směrodatná odchylka (s)</w:t>
      </w:r>
      <w:r>
        <w:t>, která nám umožňuje</w:t>
      </w:r>
      <w:r w:rsidRPr="00270C42">
        <w:t xml:space="preserve"> posoudit, jak moc jsou hodnoty rozptýlené kolem </w:t>
      </w:r>
      <w:r>
        <w:t>M</w:t>
      </w:r>
      <w:r w:rsidRPr="00270C42">
        <w:t xml:space="preserve">. Čím větší je </w:t>
      </w:r>
      <w:r w:rsidRPr="006E534A">
        <w:rPr>
          <w:i/>
        </w:rPr>
        <w:t>s</w:t>
      </w:r>
      <w:r w:rsidRPr="00270C42">
        <w:t>, tím větší můžeme očekávat rozptýlenost</w:t>
      </w:r>
      <w:r>
        <w:t xml:space="preserve"> kolem M</w:t>
      </w:r>
      <w:r w:rsidR="009753CF">
        <w:t xml:space="preserve"> (Hendl, 2012; Csémy et al., 2012)</w:t>
      </w:r>
      <w:r>
        <w:t>.</w:t>
      </w:r>
    </w:p>
    <w:p w14:paraId="258122F2" w14:textId="77777777" w:rsidR="00B04AFF" w:rsidRDefault="00B04AFF" w:rsidP="0051367B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775F28DD" wp14:editId="18AFA4FE">
            <wp:extent cx="5762625" cy="2305050"/>
            <wp:effectExtent l="19050" t="0" r="9525" b="0"/>
            <wp:docPr id="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66D1C" w14:textId="77777777" w:rsidR="00B04AFF" w:rsidRDefault="00DB2BA7" w:rsidP="0051367B">
      <w:pPr>
        <w:jc w:val="both"/>
      </w:pPr>
      <w:r>
        <w:rPr>
          <w:noProof/>
          <w:lang w:eastAsia="cs-CZ"/>
        </w:rPr>
        <w:pict w14:anchorId="25595DBF">
          <v:shape id="_x0000_s1030" type="#_x0000_t32" style="position:absolute;left:0;text-align:left;margin-left:415.15pt;margin-top:107.65pt;width:27.75pt;height:0;z-index:251665408" o:connectortype="straight" strokecolor="red" strokeweight="3pt">
            <v:shadow type="perspective" color="#622423 [1605]" opacity=".5" offset="1pt" offset2="-1pt"/>
          </v:shape>
        </w:pict>
      </w:r>
      <w:r w:rsidR="00B04AFF" w:rsidRPr="002A0333">
        <w:rPr>
          <w:noProof/>
        </w:rPr>
        <w:drawing>
          <wp:inline distT="0" distB="0" distL="0" distR="0" wp14:anchorId="706E2813" wp14:editId="4D0449E0">
            <wp:extent cx="5762625" cy="2809875"/>
            <wp:effectExtent l="19050" t="0" r="9525" b="0"/>
            <wp:docPr id="2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4CB26" w14:textId="77777777" w:rsidR="00B04AFF" w:rsidRPr="00F11C1F" w:rsidRDefault="00B04AFF" w:rsidP="0051367B">
      <w:pPr>
        <w:jc w:val="both"/>
        <w:rPr>
          <w:b/>
        </w:rPr>
      </w:pPr>
      <w:r>
        <w:t>Vý</w:t>
      </w:r>
      <w:r w:rsidR="00AA3612">
        <w:t>razný</w:t>
      </w:r>
      <w:r>
        <w:t xml:space="preserve"> rozdíl byl zjištěn pouze u životní spokojenosti</w:t>
      </w:r>
      <w:r w:rsidR="00020879">
        <w:t xml:space="preserve"> (p=0,025)</w:t>
      </w:r>
      <w:r>
        <w:t>, kde se ukázalo, že problémová skupina je méně spokojená se svoji životní situací.</w:t>
      </w:r>
    </w:p>
    <w:p w14:paraId="636253EF" w14:textId="77777777" w:rsidR="00B04AFF" w:rsidRPr="009D16C9" w:rsidRDefault="00052910" w:rsidP="0051367B">
      <w:pPr>
        <w:spacing w:after="0"/>
        <w:jc w:val="both"/>
        <w:rPr>
          <w:b/>
        </w:rPr>
      </w:pPr>
      <w:r>
        <w:rPr>
          <w:rFonts w:cs="Arial"/>
          <w:color w:val="222222"/>
          <w:shd w:val="clear" w:color="auto" w:fill="FFFFFF"/>
        </w:rPr>
        <w:t>Z výsledků vyplývá</w:t>
      </w:r>
      <w:r w:rsidR="00B04AFF" w:rsidRPr="00B04AFF">
        <w:rPr>
          <w:rFonts w:cs="Arial"/>
          <w:color w:val="222222"/>
          <w:shd w:val="clear" w:color="auto" w:fill="FFFFFF"/>
        </w:rPr>
        <w:t>, že</w:t>
      </w:r>
      <w:r>
        <w:rPr>
          <w:rFonts w:cs="Arial"/>
          <w:color w:val="222222"/>
          <w:shd w:val="clear" w:color="auto" w:fill="FFFFFF"/>
        </w:rPr>
        <w:t xml:space="preserve"> ze zkoumaného souboru</w:t>
      </w:r>
      <w:r w:rsidR="00B04AFF" w:rsidRPr="00B04AFF">
        <w:rPr>
          <w:rFonts w:cs="Arial"/>
          <w:color w:val="222222"/>
          <w:shd w:val="clear" w:color="auto" w:fill="FFFFFF"/>
        </w:rPr>
        <w:t xml:space="preserve"> tři čtvrtiny mladších dospělých, kteří v dospívání užívali drogy, jsou stabilními abstinenty a zároveň tito respondenti vykazují lepší životní spokojenost. Zdá se, že už</w:t>
      </w:r>
      <w:r w:rsidR="005948DD">
        <w:rPr>
          <w:rFonts w:cs="Arial"/>
          <w:color w:val="222222"/>
          <w:shd w:val="clear" w:color="auto" w:fill="FFFFFF"/>
        </w:rPr>
        <w:t xml:space="preserve">ívání drog v dospívání limituje </w:t>
      </w:r>
      <w:r w:rsidR="00B04AFF" w:rsidRPr="00B04AFF">
        <w:rPr>
          <w:rFonts w:cs="Arial"/>
          <w:color w:val="222222"/>
          <w:shd w:val="clear" w:color="auto" w:fill="FFFFFF"/>
        </w:rPr>
        <w:t>možnosti pracovního uplatnění</w:t>
      </w:r>
      <w:r w:rsidR="002F2010">
        <w:rPr>
          <w:rFonts w:cs="Arial"/>
          <w:color w:val="222222"/>
          <w:shd w:val="clear" w:color="auto" w:fill="FFFFFF"/>
        </w:rPr>
        <w:t>.</w:t>
      </w:r>
    </w:p>
    <w:p w14:paraId="4E3ADDA7" w14:textId="77777777" w:rsidR="00B04AFF" w:rsidRPr="009D16C9" w:rsidRDefault="00B04AFF" w:rsidP="0051367B">
      <w:pPr>
        <w:jc w:val="both"/>
        <w:rPr>
          <w:b/>
        </w:rPr>
      </w:pPr>
      <w:r>
        <w:t xml:space="preserve">Je zapotřebí zmínit </w:t>
      </w:r>
      <w:r w:rsidR="007E5088">
        <w:t>i</w:t>
      </w:r>
      <w:r>
        <w:t xml:space="preserve"> limity </w:t>
      </w:r>
      <w:r w:rsidR="00052910">
        <w:t>výzkumu</w:t>
      </w:r>
      <w:r>
        <w:t>. Byl testován poměrně malý</w:t>
      </w:r>
      <w:r w:rsidR="007E5088">
        <w:t xml:space="preserve"> vzorek</w:t>
      </w:r>
      <w:r>
        <w:t xml:space="preserve">, což má vliv na testování statistické významnosti. </w:t>
      </w:r>
      <w:r w:rsidR="00E1191E">
        <w:t>Další limit</w:t>
      </w:r>
      <w:r>
        <w:t xml:space="preserve"> </w:t>
      </w:r>
      <w:r w:rsidR="00E1191E">
        <w:t>je ten</w:t>
      </w:r>
      <w:r>
        <w:t xml:space="preserve">, že data byla sesbírána pouze v Praze a výsledky je tedy možné vztáhnout </w:t>
      </w:r>
      <w:r w:rsidR="00052910">
        <w:t>jen</w:t>
      </w:r>
      <w:r>
        <w:t xml:space="preserve"> na velkoměstskou populaci</w:t>
      </w:r>
      <w:r w:rsidR="009D16C9">
        <w:t xml:space="preserve"> (Csémy et al., </w:t>
      </w:r>
      <w:commentRangeStart w:id="2"/>
      <w:r w:rsidR="009D16C9">
        <w:t>2012</w:t>
      </w:r>
      <w:commentRangeEnd w:id="2"/>
      <w:r w:rsidR="00FA18D5">
        <w:rPr>
          <w:rStyle w:val="CommentReference"/>
        </w:rPr>
        <w:commentReference w:id="2"/>
      </w:r>
      <w:r w:rsidR="009D16C9">
        <w:t>)</w:t>
      </w:r>
      <w:r>
        <w:t xml:space="preserve">. </w:t>
      </w:r>
    </w:p>
    <w:p w14:paraId="435623BD" w14:textId="77777777" w:rsidR="00B04AFF" w:rsidRDefault="00B04AFF"/>
    <w:p w14:paraId="5AA5DBDB" w14:textId="77777777" w:rsidR="00A13E2D" w:rsidRDefault="00A13E2D"/>
    <w:p w14:paraId="27F0445D" w14:textId="77777777" w:rsidR="00A13E2D" w:rsidRDefault="00A13E2D"/>
    <w:p w14:paraId="477B7B87" w14:textId="77777777" w:rsidR="00A13E2D" w:rsidRDefault="00A13E2D"/>
    <w:p w14:paraId="673EB86A" w14:textId="77777777" w:rsidR="00A13E2D" w:rsidRDefault="00A13E2D"/>
    <w:p w14:paraId="6C35BA8F" w14:textId="77777777" w:rsidR="00A13E2D" w:rsidRPr="00437F8A" w:rsidRDefault="00A13E2D">
      <w:pPr>
        <w:rPr>
          <w:b/>
          <w:sz w:val="36"/>
          <w:szCs w:val="36"/>
        </w:rPr>
      </w:pPr>
      <w:r w:rsidRPr="00437F8A">
        <w:rPr>
          <w:b/>
          <w:sz w:val="36"/>
          <w:szCs w:val="36"/>
        </w:rPr>
        <w:lastRenderedPageBreak/>
        <w:t>Zdroje:</w:t>
      </w:r>
    </w:p>
    <w:p w14:paraId="6442EA0C" w14:textId="77777777" w:rsidR="00A13E2D" w:rsidRDefault="00A13E2D">
      <w:r>
        <w:t xml:space="preserve">Csémy, L., Zábranský, T., Grohmannová, K., Dvořáková, Z., Brenza, J. &amp; Janíková, B. (2012). Dospívající uživatelé heroinu a pervitinu po 14 letech: analýza psychosociálních charakteristik. </w:t>
      </w:r>
      <w:r>
        <w:rPr>
          <w:i/>
        </w:rPr>
        <w:t>Československá psychologie, 56</w:t>
      </w:r>
      <w:r>
        <w:t>(6), 505-517.</w:t>
      </w:r>
    </w:p>
    <w:p w14:paraId="7619AFFD" w14:textId="77777777" w:rsidR="00A13E2D" w:rsidRPr="00A13E2D" w:rsidRDefault="00A13E2D">
      <w:r>
        <w:t xml:space="preserve">Hendl, J. (2012). </w:t>
      </w:r>
      <w:r w:rsidRPr="00A13E2D">
        <w:rPr>
          <w:i/>
        </w:rPr>
        <w:t>Přehled statistických metod: analýza a metaanalýza dat</w:t>
      </w:r>
      <w:r>
        <w:t>. Praha: Portál.</w:t>
      </w:r>
    </w:p>
    <w:sectPr w:rsidR="00A13E2D" w:rsidRPr="00A13E2D" w:rsidSect="0011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13T21:35:00Z" w:initials="AŤ">
    <w:p w14:paraId="7AD95FD6" w14:textId="77777777" w:rsidR="00FA18D5" w:rsidRDefault="00FA18D5">
      <w:pPr>
        <w:pStyle w:val="CommentText"/>
      </w:pPr>
      <w:r>
        <w:rPr>
          <w:rStyle w:val="CommentReference"/>
        </w:rPr>
        <w:annotationRef/>
      </w:r>
      <w:r>
        <w:t xml:space="preserve">Tohle je spíš něco mezi reportem výsledků ve vědeckém článku a popularizací. Do typické popularizace takto technické informace spíš nepatří. </w:t>
      </w:r>
    </w:p>
  </w:comment>
  <w:comment w:id="1" w:author="Adam Ťápal" w:date="2019-06-13T21:36:00Z" w:initials="AŤ">
    <w:p w14:paraId="003E842A" w14:textId="77777777" w:rsidR="00FA18D5" w:rsidRDefault="00FA18D5">
      <w:pPr>
        <w:pStyle w:val="CommentText"/>
      </w:pPr>
      <w:r>
        <w:rPr>
          <w:rStyle w:val="CommentReference"/>
        </w:rPr>
        <w:annotationRef/>
      </w:r>
      <w:r>
        <w:t xml:space="preserve">Laik by si nejspíš kladl otázku, co to je. </w:t>
      </w:r>
    </w:p>
  </w:comment>
  <w:comment w:id="2" w:author="Adam Ťápal" w:date="2019-06-13T21:36:00Z" w:initials="AŤ">
    <w:p w14:paraId="7960F6A0" w14:textId="55716A60" w:rsidR="00FA18D5" w:rsidRDefault="00FA18D5">
      <w:pPr>
        <w:pStyle w:val="CommentText"/>
      </w:pPr>
      <w:r>
        <w:rPr>
          <w:rStyle w:val="CommentReference"/>
        </w:rPr>
        <w:annotationRef/>
      </w:r>
      <w:r w:rsidR="00DB2BA7">
        <w:t>Tomáši, text je sám o sobě spíše z těch nadprůměrnějších, ale je žánrově vzdálen od popularizace, připomíná spíše něco mezi popularizací a odborným shrnutím / reportem článku. Poprosím vás o přepracování.</w:t>
      </w:r>
      <w:bookmarkStart w:id="3" w:name="_GoBack"/>
      <w:bookmarkEnd w:id="3"/>
      <w:r w:rsidR="00DB2BA7">
        <w:t xml:space="preserve"> Omezte technické informace, komunikujte méně zjištění, a zaměřte se spíše na interpretaci a „přežvýkání“ věcného sdělení čtenářům.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D95FD6" w15:done="0"/>
  <w15:commentEx w15:paraId="003E842A" w15:done="0"/>
  <w15:commentEx w15:paraId="7960F6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95FD6" w16cid:durableId="20AD401E"/>
  <w16cid:commentId w16cid:paraId="003E842A" w16cid:durableId="20AD4046"/>
  <w16cid:commentId w16cid:paraId="7960F6A0" w16cid:durableId="20AD40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8DF"/>
    <w:rsid w:val="00020879"/>
    <w:rsid w:val="00052910"/>
    <w:rsid w:val="00091332"/>
    <w:rsid w:val="000C1AAB"/>
    <w:rsid w:val="000D79C0"/>
    <w:rsid w:val="000F3D25"/>
    <w:rsid w:val="001108D0"/>
    <w:rsid w:val="002179FD"/>
    <w:rsid w:val="0024657C"/>
    <w:rsid w:val="002A72C6"/>
    <w:rsid w:val="002F2010"/>
    <w:rsid w:val="002F510B"/>
    <w:rsid w:val="00403A30"/>
    <w:rsid w:val="00437F8A"/>
    <w:rsid w:val="004A6EDE"/>
    <w:rsid w:val="004E45E7"/>
    <w:rsid w:val="0051367B"/>
    <w:rsid w:val="00572F6A"/>
    <w:rsid w:val="00592185"/>
    <w:rsid w:val="005948DD"/>
    <w:rsid w:val="006427F4"/>
    <w:rsid w:val="006A090D"/>
    <w:rsid w:val="007E0233"/>
    <w:rsid w:val="007E5088"/>
    <w:rsid w:val="00805F86"/>
    <w:rsid w:val="00814470"/>
    <w:rsid w:val="00953639"/>
    <w:rsid w:val="009753CF"/>
    <w:rsid w:val="00982548"/>
    <w:rsid w:val="009D16C9"/>
    <w:rsid w:val="00A13E2D"/>
    <w:rsid w:val="00A248DF"/>
    <w:rsid w:val="00A438C8"/>
    <w:rsid w:val="00A522BB"/>
    <w:rsid w:val="00AA3612"/>
    <w:rsid w:val="00B04AFF"/>
    <w:rsid w:val="00B20093"/>
    <w:rsid w:val="00B63CD7"/>
    <w:rsid w:val="00BD497B"/>
    <w:rsid w:val="00C16349"/>
    <w:rsid w:val="00C5481B"/>
    <w:rsid w:val="00C60083"/>
    <w:rsid w:val="00CF2445"/>
    <w:rsid w:val="00D614DB"/>
    <w:rsid w:val="00D6364D"/>
    <w:rsid w:val="00D961C8"/>
    <w:rsid w:val="00DB2BA7"/>
    <w:rsid w:val="00E1191E"/>
    <w:rsid w:val="00E33392"/>
    <w:rsid w:val="00E86984"/>
    <w:rsid w:val="00F11C1F"/>
    <w:rsid w:val="00FA18D5"/>
    <w:rsid w:val="00FD3375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</o:rules>
    </o:shapelayout>
  </w:shapeDefaults>
  <w:decimalSymbol w:val="."/>
  <w:listSeparator w:val=","/>
  <w14:docId w14:val="01510AFD"/>
  <w15:docId w15:val="{78356825-E380-4CB7-A17A-EB62324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1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Adam Ťápal</cp:lastModifiedBy>
  <cp:revision>45</cp:revision>
  <cp:lastPrinted>2019-05-08T13:42:00Z</cp:lastPrinted>
  <dcterms:created xsi:type="dcterms:W3CDTF">2019-05-08T13:41:00Z</dcterms:created>
  <dcterms:modified xsi:type="dcterms:W3CDTF">2019-06-20T22:58:00Z</dcterms:modified>
</cp:coreProperties>
</file>