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0A171A" w:rsidRPr="008371F0" w14:paraId="2A3C6EC1" w14:textId="77777777" w:rsidTr="003E06FD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/>
            </w:tcBorders>
            <w:vAlign w:val="center"/>
          </w:tcPr>
          <w:p w14:paraId="7494262F" w14:textId="77777777" w:rsidR="000A171A" w:rsidRPr="008371F0" w:rsidRDefault="000A171A" w:rsidP="003E06FD">
            <w:pPr>
              <w:rPr>
                <w:rFonts w:ascii="Cambria" w:eastAsia="Calibri" w:hAnsi="Cambria" w:cs="Times New Roman"/>
                <w:noProof/>
              </w:rPr>
            </w:pPr>
            <w:r w:rsidRPr="008371F0">
              <w:rPr>
                <w:rFonts w:ascii="Cambria" w:eastAsia="Calibri" w:hAnsi="Cambria" w:cs="Times New Roman"/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/>
            </w:tcBorders>
            <w:vAlign w:val="center"/>
          </w:tcPr>
          <w:p w14:paraId="7289C44B" w14:textId="77777777" w:rsidR="000A171A" w:rsidRPr="008371F0" w:rsidRDefault="000A171A" w:rsidP="003E06FD">
            <w:pPr>
              <w:ind w:left="176"/>
              <w:rPr>
                <w:rFonts w:ascii="Cambria" w:eastAsia="Calibri" w:hAnsi="Cambria" w:cs="Times New Roman"/>
                <w:noProof/>
              </w:rPr>
            </w:pPr>
            <w:r w:rsidRPr="008371F0">
              <w:rPr>
                <w:rFonts w:ascii="Cambria" w:eastAsia="Calibri" w:hAnsi="Cambria" w:cs="Times New Roman"/>
                <w:noProof/>
              </w:rPr>
              <w:t>Barbora Chmelová</w:t>
            </w:r>
          </w:p>
        </w:tc>
      </w:tr>
      <w:tr w:rsidR="000A171A" w:rsidRPr="008371F0" w14:paraId="3F516D96" w14:textId="77777777" w:rsidTr="003E06FD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/>
            </w:tcBorders>
            <w:vAlign w:val="center"/>
          </w:tcPr>
          <w:p w14:paraId="6B719F2D" w14:textId="77777777" w:rsidR="000A171A" w:rsidRPr="008371F0" w:rsidRDefault="000A171A" w:rsidP="003E06FD">
            <w:pPr>
              <w:rPr>
                <w:rFonts w:ascii="Cambria" w:eastAsia="Calibri" w:hAnsi="Cambria" w:cs="Times New Roman"/>
                <w:noProof/>
              </w:rPr>
            </w:pPr>
            <w:r w:rsidRPr="008371F0">
              <w:rPr>
                <w:rFonts w:ascii="Cambria" w:eastAsia="Calibri" w:hAnsi="Cambria" w:cs="Times New Roman"/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/>
            </w:tcBorders>
            <w:vAlign w:val="center"/>
          </w:tcPr>
          <w:p w14:paraId="00F482FA" w14:textId="77777777" w:rsidR="000A171A" w:rsidRPr="008371F0" w:rsidRDefault="000A171A" w:rsidP="003E06FD">
            <w:pPr>
              <w:ind w:left="176"/>
              <w:rPr>
                <w:rFonts w:ascii="Cambria" w:eastAsia="Calibri" w:hAnsi="Cambria" w:cs="Times New Roman"/>
                <w:noProof/>
              </w:rPr>
            </w:pPr>
            <w:r w:rsidRPr="008371F0">
              <w:rPr>
                <w:rFonts w:ascii="Cambria" w:eastAsia="Calibri" w:hAnsi="Cambria" w:cs="Times New Roman"/>
                <w:noProof/>
              </w:rPr>
              <w:t>481392</w:t>
            </w:r>
          </w:p>
        </w:tc>
      </w:tr>
      <w:tr w:rsidR="000A171A" w:rsidRPr="008371F0" w14:paraId="7E723670" w14:textId="77777777" w:rsidTr="003E06FD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/>
            </w:tcBorders>
            <w:vAlign w:val="center"/>
          </w:tcPr>
          <w:p w14:paraId="31E5F93F" w14:textId="77777777" w:rsidR="000A171A" w:rsidRPr="008371F0" w:rsidRDefault="000A171A" w:rsidP="003E06FD">
            <w:pPr>
              <w:rPr>
                <w:rFonts w:ascii="Cambria" w:eastAsia="Calibri" w:hAnsi="Cambria" w:cs="Times New Roman"/>
                <w:noProof/>
              </w:rPr>
            </w:pPr>
            <w:r w:rsidRPr="008371F0">
              <w:rPr>
                <w:rFonts w:ascii="Cambria" w:eastAsia="Calibri" w:hAnsi="Cambria" w:cs="Times New Roman"/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/>
            </w:tcBorders>
            <w:vAlign w:val="center"/>
          </w:tcPr>
          <w:p w14:paraId="5E97BE73" w14:textId="77777777" w:rsidR="000A171A" w:rsidRPr="008371F0" w:rsidRDefault="000A171A" w:rsidP="003E06FD">
            <w:pPr>
              <w:ind w:left="176"/>
              <w:rPr>
                <w:rFonts w:ascii="Cambria" w:eastAsia="Calibri" w:hAnsi="Cambria" w:cs="Times New Roman"/>
                <w:noProof/>
              </w:rPr>
            </w:pPr>
            <w:r>
              <w:rPr>
                <w:rFonts w:ascii="Cambria" w:eastAsia="Calibri" w:hAnsi="Cambria" w:cs="Times New Roman"/>
                <w:noProof/>
              </w:rPr>
              <w:t>Statistická analýza dat, PSY 117</w:t>
            </w:r>
          </w:p>
        </w:tc>
      </w:tr>
      <w:tr w:rsidR="000A171A" w:rsidRPr="008371F0" w14:paraId="3BED5E5A" w14:textId="77777777" w:rsidTr="003E06FD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/>
            </w:tcBorders>
            <w:vAlign w:val="center"/>
          </w:tcPr>
          <w:p w14:paraId="7E9F5FC5" w14:textId="77777777" w:rsidR="000A171A" w:rsidRPr="008371F0" w:rsidRDefault="000A171A" w:rsidP="003E06FD">
            <w:pPr>
              <w:ind w:left="164" w:hanging="164"/>
              <w:rPr>
                <w:rFonts w:ascii="Cambria" w:eastAsia="Calibri" w:hAnsi="Cambria" w:cs="Times New Roman"/>
                <w:noProof/>
              </w:rPr>
            </w:pPr>
            <w:r w:rsidRPr="008371F0">
              <w:rPr>
                <w:rFonts w:ascii="Cambria" w:eastAsia="Calibri" w:hAnsi="Cambria" w:cs="Times New Roman"/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/>
            </w:tcBorders>
            <w:vAlign w:val="center"/>
          </w:tcPr>
          <w:p w14:paraId="4329F6C9" w14:textId="77777777" w:rsidR="000A171A" w:rsidRPr="008371F0" w:rsidRDefault="0083566C" w:rsidP="003E06FD">
            <w:pPr>
              <w:ind w:left="176"/>
              <w:rPr>
                <w:rFonts w:ascii="Cambria" w:eastAsia="Calibri" w:hAnsi="Cambria" w:cs="Times New Roman"/>
                <w:noProof/>
              </w:rPr>
            </w:pPr>
            <w:r>
              <w:rPr>
                <w:rFonts w:ascii="Cambria" w:eastAsia="Calibri" w:hAnsi="Cambria" w:cs="Times New Roman"/>
                <w:noProof/>
              </w:rPr>
              <w:t>Mgr. Stanislav Ježek, Ph.D.</w:t>
            </w:r>
          </w:p>
        </w:tc>
      </w:tr>
      <w:tr w:rsidR="000A171A" w:rsidRPr="008371F0" w14:paraId="51591152" w14:textId="77777777" w:rsidTr="003E06FD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/>
            </w:tcBorders>
            <w:vAlign w:val="center"/>
          </w:tcPr>
          <w:p w14:paraId="1C497AAA" w14:textId="77777777" w:rsidR="000A171A" w:rsidRPr="008371F0" w:rsidRDefault="000A171A" w:rsidP="003E06FD">
            <w:pPr>
              <w:rPr>
                <w:rFonts w:ascii="Cambria" w:eastAsia="Calibri" w:hAnsi="Cambria" w:cs="Times New Roman"/>
                <w:noProof/>
              </w:rPr>
            </w:pPr>
            <w:r w:rsidRPr="008371F0">
              <w:rPr>
                <w:rFonts w:ascii="Cambria" w:eastAsia="Calibri" w:hAnsi="Cambria" w:cs="Times New Roman"/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/>
            </w:tcBorders>
            <w:vAlign w:val="center"/>
          </w:tcPr>
          <w:p w14:paraId="49F388AD" w14:textId="77777777" w:rsidR="000A171A" w:rsidRPr="008371F0" w:rsidRDefault="00B619EA" w:rsidP="003E06FD">
            <w:pPr>
              <w:ind w:left="176"/>
              <w:rPr>
                <w:rFonts w:ascii="Cambria" w:eastAsia="Calibri" w:hAnsi="Cambria" w:cs="Times New Roman"/>
                <w:noProof/>
              </w:rPr>
            </w:pPr>
            <w:r>
              <w:rPr>
                <w:rFonts w:ascii="Cambria" w:eastAsia="Calibri" w:hAnsi="Cambria" w:cs="Times New Roman"/>
                <w:noProof/>
              </w:rPr>
              <w:t>8</w:t>
            </w:r>
            <w:r w:rsidR="000A171A" w:rsidRPr="008371F0">
              <w:rPr>
                <w:rFonts w:ascii="Cambria" w:eastAsia="Calibri" w:hAnsi="Cambria" w:cs="Times New Roman"/>
                <w:noProof/>
              </w:rPr>
              <w:t xml:space="preserve">. </w:t>
            </w:r>
            <w:r w:rsidR="0083566C">
              <w:rPr>
                <w:rFonts w:ascii="Cambria" w:eastAsia="Calibri" w:hAnsi="Cambria" w:cs="Times New Roman"/>
                <w:noProof/>
              </w:rPr>
              <w:t>5</w:t>
            </w:r>
            <w:r w:rsidR="000A171A" w:rsidRPr="008371F0">
              <w:rPr>
                <w:rFonts w:ascii="Cambria" w:eastAsia="Calibri" w:hAnsi="Cambria" w:cs="Times New Roman"/>
                <w:noProof/>
              </w:rPr>
              <w:t>. 2019</w:t>
            </w:r>
          </w:p>
        </w:tc>
        <w:tc>
          <w:tcPr>
            <w:tcW w:w="2126" w:type="dxa"/>
            <w:vAlign w:val="center"/>
          </w:tcPr>
          <w:p w14:paraId="1ECF222D" w14:textId="77777777" w:rsidR="000A171A" w:rsidRPr="008371F0" w:rsidRDefault="000A171A" w:rsidP="003E06FD">
            <w:pPr>
              <w:rPr>
                <w:rFonts w:ascii="Cambria" w:eastAsia="Calibri" w:hAnsi="Cambria" w:cs="Times New Roman"/>
                <w:noProof/>
              </w:rPr>
            </w:pPr>
            <w:r w:rsidRPr="008371F0">
              <w:rPr>
                <w:rFonts w:ascii="Cambria" w:eastAsia="Calibri" w:hAnsi="Cambria" w:cs="Times New Roman"/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0B5EDD36" w14:textId="77777777" w:rsidR="000A171A" w:rsidRPr="008371F0" w:rsidRDefault="000A171A" w:rsidP="003E06FD">
            <w:pPr>
              <w:rPr>
                <w:rFonts w:ascii="Cambria" w:eastAsia="Calibri" w:hAnsi="Cambria" w:cs="Times New Roman"/>
                <w:noProof/>
              </w:rPr>
            </w:pPr>
            <w:r w:rsidRPr="008371F0">
              <w:rPr>
                <w:rFonts w:ascii="Cambria" w:eastAsia="Calibri" w:hAnsi="Cambria" w:cs="Times New Roman"/>
                <w:noProof/>
              </w:rPr>
              <w:t>0</w:t>
            </w:r>
            <w:r w:rsidR="0083566C">
              <w:rPr>
                <w:rFonts w:ascii="Cambria" w:eastAsia="Calibri" w:hAnsi="Cambria" w:cs="Times New Roman"/>
                <w:noProof/>
              </w:rPr>
              <w:t>1</w:t>
            </w:r>
          </w:p>
        </w:tc>
      </w:tr>
      <w:tr w:rsidR="000A171A" w:rsidRPr="008371F0" w14:paraId="7E55BDC2" w14:textId="77777777" w:rsidTr="003E06FD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/>
            </w:tcBorders>
            <w:vAlign w:val="center"/>
          </w:tcPr>
          <w:p w14:paraId="60FA532D" w14:textId="77777777" w:rsidR="000A171A" w:rsidRPr="008371F0" w:rsidRDefault="000A171A" w:rsidP="003E06FD">
            <w:pPr>
              <w:jc w:val="center"/>
              <w:rPr>
                <w:rFonts w:ascii="Cambria" w:eastAsia="Calibri" w:hAnsi="Cambria" w:cs="Times New Roman"/>
                <w:noProof/>
                <w:sz w:val="24"/>
                <w:szCs w:val="24"/>
              </w:rPr>
            </w:pPr>
          </w:p>
        </w:tc>
      </w:tr>
    </w:tbl>
    <w:p w14:paraId="3A5DC891" w14:textId="77777777" w:rsidR="000A171A" w:rsidRDefault="000A171A" w:rsidP="00411D0C">
      <w:pPr>
        <w:pStyle w:val="Heading1"/>
      </w:pPr>
      <w:r w:rsidRPr="0088375A">
        <w:rPr>
          <w:rFonts w:ascii="Cambria" w:eastAsia="Calibri" w:hAnsi="Cambria" w:cs="Times New Roman"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59264" behindDoc="1" locked="1" layoutInCell="1" allowOverlap="1" wp14:anchorId="513B7EAA" wp14:editId="72771519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1090295" cy="8382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43DB7" w14:textId="77777777" w:rsidR="001C6816" w:rsidRPr="000A171A" w:rsidRDefault="00411D0C" w:rsidP="000A171A">
      <w:pPr>
        <w:pStyle w:val="Heading1"/>
        <w:jc w:val="center"/>
        <w:rPr>
          <w:rFonts w:ascii="Cambria" w:hAnsi="Cambria"/>
        </w:rPr>
      </w:pPr>
      <w:r w:rsidRPr="000A171A">
        <w:rPr>
          <w:rFonts w:ascii="Cambria" w:hAnsi="Cambria"/>
          <w:color w:val="auto"/>
        </w:rPr>
        <w:t>Drogová závislost – záležitost na celý život?</w:t>
      </w:r>
    </w:p>
    <w:p w14:paraId="6120638E" w14:textId="77777777" w:rsidR="00134AC4" w:rsidRPr="007B639C" w:rsidRDefault="0096620D" w:rsidP="00A82651">
      <w:pPr>
        <w:ind w:firstLine="708"/>
        <w:jc w:val="both"/>
        <w:rPr>
          <w:rFonts w:ascii="Cambria" w:hAnsi="Cambria"/>
        </w:rPr>
      </w:pPr>
      <w:r w:rsidRPr="007B639C">
        <w:rPr>
          <w:rFonts w:ascii="Cambria" w:hAnsi="Cambria"/>
        </w:rPr>
        <w:t>V devadesátých letech minulého století prudce vzrostl počet dospívajících</w:t>
      </w:r>
      <w:r w:rsidR="00037F6C" w:rsidRPr="007B639C">
        <w:rPr>
          <w:rFonts w:ascii="Cambria" w:hAnsi="Cambria"/>
        </w:rPr>
        <w:t>,</w:t>
      </w:r>
      <w:r w:rsidR="00500158" w:rsidRPr="007B639C">
        <w:rPr>
          <w:rFonts w:ascii="Cambria" w:hAnsi="Cambria"/>
        </w:rPr>
        <w:t xml:space="preserve"> kteří p</w:t>
      </w:r>
      <w:r w:rsidR="00CA7222" w:rsidRPr="007B639C">
        <w:rPr>
          <w:rFonts w:ascii="Cambria" w:hAnsi="Cambria"/>
        </w:rPr>
        <w:t>odlehli</w:t>
      </w:r>
      <w:r w:rsidR="00500158" w:rsidRPr="007B639C">
        <w:rPr>
          <w:rFonts w:ascii="Cambria" w:hAnsi="Cambria"/>
        </w:rPr>
        <w:t xml:space="preserve"> kouzlu drog</w:t>
      </w:r>
      <w:r w:rsidRPr="007B639C">
        <w:rPr>
          <w:rFonts w:ascii="Cambria" w:hAnsi="Cambria"/>
        </w:rPr>
        <w:t xml:space="preserve">. Jednou z nich byla také Katka. Její příběh se rozhodla zvěčnit </w:t>
      </w:r>
      <w:r w:rsidR="001526FC">
        <w:rPr>
          <w:rFonts w:ascii="Cambria" w:hAnsi="Cambria"/>
        </w:rPr>
        <w:t xml:space="preserve">režisérka </w:t>
      </w:r>
      <w:r w:rsidRPr="007B639C">
        <w:rPr>
          <w:rFonts w:ascii="Cambria" w:hAnsi="Cambria"/>
        </w:rPr>
        <w:t xml:space="preserve">Helena Třeštíková. Vznikl tak časosběrný dokument, který </w:t>
      </w:r>
      <w:r w:rsidR="00037F6C" w:rsidRPr="007B639C">
        <w:rPr>
          <w:rFonts w:ascii="Cambria" w:hAnsi="Cambria"/>
        </w:rPr>
        <w:t xml:space="preserve">po dobu </w:t>
      </w:r>
      <w:r w:rsidR="009836B8" w:rsidRPr="007B639C">
        <w:rPr>
          <w:rFonts w:ascii="Cambria" w:hAnsi="Cambria"/>
        </w:rPr>
        <w:t>třinácti</w:t>
      </w:r>
      <w:r w:rsidR="00037F6C" w:rsidRPr="007B639C">
        <w:rPr>
          <w:rFonts w:ascii="Cambria" w:hAnsi="Cambria"/>
        </w:rPr>
        <w:t xml:space="preserve"> let sledoval </w:t>
      </w:r>
      <w:r w:rsidRPr="007B639C">
        <w:rPr>
          <w:rFonts w:ascii="Cambria" w:hAnsi="Cambria"/>
        </w:rPr>
        <w:t>život Katky</w:t>
      </w:r>
      <w:r w:rsidR="00037F6C" w:rsidRPr="007B639C">
        <w:rPr>
          <w:rFonts w:ascii="Cambria" w:hAnsi="Cambria"/>
        </w:rPr>
        <w:t>,</w:t>
      </w:r>
      <w:r w:rsidR="00500158" w:rsidRPr="007B639C">
        <w:rPr>
          <w:rFonts w:ascii="Cambria" w:hAnsi="Cambria"/>
        </w:rPr>
        <w:t xml:space="preserve"> </w:t>
      </w:r>
      <w:r w:rsidR="00037F6C" w:rsidRPr="007B639C">
        <w:rPr>
          <w:rFonts w:ascii="Cambria" w:hAnsi="Cambria"/>
        </w:rPr>
        <w:t>j</w:t>
      </w:r>
      <w:r w:rsidR="00500158" w:rsidRPr="007B639C">
        <w:rPr>
          <w:rFonts w:ascii="Cambria" w:hAnsi="Cambria"/>
        </w:rPr>
        <w:t xml:space="preserve">ejí pády, vzestupy, zápasy s drogou, se životem, se sebou. </w:t>
      </w:r>
      <w:r w:rsidR="00037F6C" w:rsidRPr="007B639C">
        <w:rPr>
          <w:rFonts w:ascii="Cambria" w:hAnsi="Cambria"/>
        </w:rPr>
        <w:t>Výzkumná studie, která proběhla v</w:t>
      </w:r>
      <w:r w:rsidR="00611478" w:rsidRPr="007B639C">
        <w:rPr>
          <w:rFonts w:ascii="Cambria" w:hAnsi="Cambria"/>
        </w:rPr>
        <w:t> letech 2010 a 2011</w:t>
      </w:r>
      <w:r w:rsidR="00037F6C" w:rsidRPr="007B639C">
        <w:rPr>
          <w:rFonts w:ascii="Cambria" w:hAnsi="Cambria"/>
        </w:rPr>
        <w:t xml:space="preserve">, má s tímto </w:t>
      </w:r>
      <w:r w:rsidR="008B589E" w:rsidRPr="007B639C">
        <w:rPr>
          <w:rFonts w:ascii="Cambria" w:hAnsi="Cambria"/>
        </w:rPr>
        <w:t>dokume</w:t>
      </w:r>
      <w:r w:rsidR="00FA17D1" w:rsidRPr="007B639C">
        <w:rPr>
          <w:rFonts w:ascii="Cambria" w:hAnsi="Cambria"/>
        </w:rPr>
        <w:t>n</w:t>
      </w:r>
      <w:r w:rsidR="008B589E" w:rsidRPr="007B639C">
        <w:rPr>
          <w:rFonts w:ascii="Cambria" w:hAnsi="Cambria"/>
        </w:rPr>
        <w:t>tem</w:t>
      </w:r>
      <w:r w:rsidR="00CA7222" w:rsidRPr="007B639C">
        <w:rPr>
          <w:rFonts w:ascii="Cambria" w:hAnsi="Cambria"/>
        </w:rPr>
        <w:t xml:space="preserve"> společného víc, než se může na první pohled zdát.</w:t>
      </w:r>
    </w:p>
    <w:p w14:paraId="329822C4" w14:textId="77777777" w:rsidR="00CA7222" w:rsidRDefault="00CA7222" w:rsidP="00A82651">
      <w:pPr>
        <w:ind w:firstLine="708"/>
        <w:jc w:val="both"/>
        <w:rPr>
          <w:rFonts w:ascii="Cambria" w:hAnsi="Cambria"/>
        </w:rPr>
      </w:pPr>
      <w:r w:rsidRPr="007B639C">
        <w:rPr>
          <w:rFonts w:ascii="Cambria" w:hAnsi="Cambria"/>
        </w:rPr>
        <w:t>Jak se změn</w:t>
      </w:r>
      <w:r w:rsidR="008E50F0">
        <w:rPr>
          <w:rFonts w:ascii="Cambria" w:hAnsi="Cambria"/>
        </w:rPr>
        <w:t>il</w:t>
      </w:r>
      <w:r w:rsidRPr="007B639C">
        <w:rPr>
          <w:rFonts w:ascii="Cambria" w:hAnsi="Cambria"/>
        </w:rPr>
        <w:t xml:space="preserve"> život lidí, kteří v mládí propadli drogám? Tuto otázku si </w:t>
      </w:r>
      <w:r w:rsidR="008E50F0">
        <w:rPr>
          <w:rFonts w:ascii="Cambria" w:hAnsi="Cambria"/>
        </w:rPr>
        <w:t xml:space="preserve">kromě Heleny Třeštíkové </w:t>
      </w:r>
      <w:r w:rsidR="00611478" w:rsidRPr="007B639C">
        <w:rPr>
          <w:rFonts w:ascii="Cambria" w:hAnsi="Cambria"/>
        </w:rPr>
        <w:t>kladla také výzkumná studie, která vznikla díky iniciativě</w:t>
      </w:r>
      <w:r w:rsidR="006519AA" w:rsidRPr="007B639C">
        <w:rPr>
          <w:rFonts w:ascii="Cambria" w:hAnsi="Cambria"/>
        </w:rPr>
        <w:t xml:space="preserve"> výzkumníků z</w:t>
      </w:r>
      <w:r w:rsidR="00611478" w:rsidRPr="007B639C">
        <w:rPr>
          <w:rFonts w:ascii="Cambria" w:hAnsi="Cambria"/>
        </w:rPr>
        <w:t xml:space="preserve"> Psychiatrického centra v Praze a Centra adiktologie</w:t>
      </w:r>
      <w:r w:rsidR="007B639C" w:rsidRPr="007B639C">
        <w:rPr>
          <w:rFonts w:ascii="Cambria" w:hAnsi="Cambria"/>
        </w:rPr>
        <w:t>, odborného pracoviště</w:t>
      </w:r>
      <w:r w:rsidR="006519AA" w:rsidRPr="007B639C">
        <w:rPr>
          <w:rFonts w:ascii="Cambria" w:hAnsi="Cambria"/>
        </w:rPr>
        <w:t xml:space="preserve"> 1. </w:t>
      </w:r>
      <w:r w:rsidR="00BE53A9">
        <w:rPr>
          <w:rFonts w:ascii="Cambria" w:hAnsi="Cambria"/>
        </w:rPr>
        <w:t>LF UK</w:t>
      </w:r>
      <w:r w:rsidR="006519AA" w:rsidRPr="007B639C">
        <w:rPr>
          <w:rFonts w:ascii="Cambria" w:hAnsi="Cambria"/>
        </w:rPr>
        <w:t>.</w:t>
      </w:r>
      <w:r w:rsidR="0084208E">
        <w:rPr>
          <w:rFonts w:ascii="Cambria" w:hAnsi="Cambria"/>
        </w:rPr>
        <w:t xml:space="preserve"> Dlouhodobý dopad užívání drog na život jedince byl v minulosti zkoumám několikrát, v České </w:t>
      </w:r>
      <w:r w:rsidR="00BE53A9">
        <w:rPr>
          <w:rFonts w:ascii="Cambria" w:hAnsi="Cambria"/>
        </w:rPr>
        <w:t>r</w:t>
      </w:r>
      <w:r w:rsidR="0084208E">
        <w:rPr>
          <w:rFonts w:ascii="Cambria" w:hAnsi="Cambria"/>
        </w:rPr>
        <w:t>epublice je však tato studie první svého druhu.</w:t>
      </w:r>
      <w:r w:rsidR="00C3298B">
        <w:rPr>
          <w:rFonts w:ascii="Cambria" w:hAnsi="Cambria"/>
        </w:rPr>
        <w:t xml:space="preserve"> </w:t>
      </w:r>
      <w:r w:rsidR="009C179D">
        <w:rPr>
          <w:rFonts w:ascii="Cambria" w:hAnsi="Cambria"/>
        </w:rPr>
        <w:t>Výzkumníci si kladli za cíl zjistit, u jak velké části</w:t>
      </w:r>
      <w:r w:rsidR="00680B7F">
        <w:rPr>
          <w:rFonts w:ascii="Cambria" w:hAnsi="Cambria"/>
        </w:rPr>
        <w:t xml:space="preserve"> zkoumaných osob přetrvávají drogové problémy do věku mladé dospělosti a také zda a v čem se liší ti, u kterých ony problémy přetrvávají, od těch, kteří v dospívání drogám podlehli, ale svoji závislost</w:t>
      </w:r>
      <w:r w:rsidR="00B3062C">
        <w:rPr>
          <w:rFonts w:ascii="Cambria" w:hAnsi="Cambria"/>
        </w:rPr>
        <w:t xml:space="preserve"> dokázali</w:t>
      </w:r>
      <w:r w:rsidR="00680B7F">
        <w:rPr>
          <w:rFonts w:ascii="Cambria" w:hAnsi="Cambria"/>
        </w:rPr>
        <w:t xml:space="preserve"> porazit.</w:t>
      </w:r>
    </w:p>
    <w:p w14:paraId="117A8D6D" w14:textId="77777777" w:rsidR="00BA1BAA" w:rsidRPr="000A171A" w:rsidRDefault="00BA1BAA" w:rsidP="005624A4">
      <w:pPr>
        <w:pStyle w:val="Heading2"/>
        <w:rPr>
          <w:rFonts w:ascii="Cambria" w:hAnsi="Cambria"/>
          <w:color w:val="auto"/>
        </w:rPr>
      </w:pPr>
      <w:r w:rsidRPr="000A171A">
        <w:rPr>
          <w:rFonts w:ascii="Cambria" w:hAnsi="Cambria"/>
          <w:color w:val="auto"/>
        </w:rPr>
        <w:t>Z dospívajících se stali dospělí</w:t>
      </w:r>
    </w:p>
    <w:p w14:paraId="2590485F" w14:textId="77777777" w:rsidR="00680B7F" w:rsidRDefault="00680B7F" w:rsidP="00A82651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Třeštíková </w:t>
      </w:r>
      <w:r w:rsidR="00E32249">
        <w:rPr>
          <w:rFonts w:ascii="Cambria" w:hAnsi="Cambria"/>
        </w:rPr>
        <w:t>mapovala</w:t>
      </w:r>
      <w:r>
        <w:rPr>
          <w:rFonts w:ascii="Cambria" w:hAnsi="Cambria"/>
        </w:rPr>
        <w:t xml:space="preserve"> osud Katky po dobu třinácti let.</w:t>
      </w:r>
      <w:r w:rsidR="00ED1FE6">
        <w:rPr>
          <w:rFonts w:ascii="Cambria" w:hAnsi="Cambria"/>
        </w:rPr>
        <w:t xml:space="preserve"> </w:t>
      </w:r>
      <w:r w:rsidR="00927BC1">
        <w:rPr>
          <w:rFonts w:ascii="Cambria" w:hAnsi="Cambria"/>
        </w:rPr>
        <w:t xml:space="preserve">Studie navazuje na část výzkumného projektu, který se uskutečnil v průběhu let 1996 a 1998, což je zhruba v době, kdy se začal natáčet i dokument Katka. Rozdílem je však to, že studie </w:t>
      </w:r>
      <w:r w:rsidR="00E32249">
        <w:rPr>
          <w:rFonts w:ascii="Cambria" w:hAnsi="Cambria"/>
        </w:rPr>
        <w:t>nesleduje vývoj závislosti osob v průběhu času, ale porovnává data získaná při prvním a následném měření, které se uskutečnilo téměř po čtrnácti letech.</w:t>
      </w:r>
      <w:r w:rsidR="00296250">
        <w:rPr>
          <w:rFonts w:ascii="Cambria" w:hAnsi="Cambria"/>
        </w:rPr>
        <w:t xml:space="preserve"> </w:t>
      </w:r>
      <w:r w:rsidR="00B3062C">
        <w:rPr>
          <w:rFonts w:ascii="Cambria" w:hAnsi="Cambria"/>
        </w:rPr>
        <w:t>Výzkumného projektu, na který studie navazuje, se zúčastnilo 180 drogově závislých osob</w:t>
      </w:r>
      <w:r w:rsidR="00032B8D">
        <w:rPr>
          <w:rFonts w:ascii="Cambria" w:hAnsi="Cambria"/>
        </w:rPr>
        <w:t xml:space="preserve">. </w:t>
      </w:r>
      <w:r w:rsidR="00B3062C">
        <w:rPr>
          <w:rFonts w:ascii="Cambria" w:hAnsi="Cambria"/>
        </w:rPr>
        <w:t>Po téměř 14 letech se</w:t>
      </w:r>
      <w:r w:rsidR="00032B8D">
        <w:rPr>
          <w:rFonts w:ascii="Cambria" w:hAnsi="Cambria"/>
        </w:rPr>
        <w:t xml:space="preserve"> z nich</w:t>
      </w:r>
      <w:r w:rsidR="00B3062C">
        <w:rPr>
          <w:rFonts w:ascii="Cambria" w:hAnsi="Cambria"/>
        </w:rPr>
        <w:t xml:space="preserve"> zúčastnila pouze necelá polovina</w:t>
      </w:r>
      <w:r w:rsidR="00032B8D">
        <w:rPr>
          <w:rFonts w:ascii="Cambria" w:hAnsi="Cambria"/>
        </w:rPr>
        <w:t xml:space="preserve">. </w:t>
      </w:r>
      <w:r w:rsidR="00625A6F">
        <w:rPr>
          <w:rFonts w:ascii="Cambria" w:hAnsi="Cambria"/>
        </w:rPr>
        <w:t xml:space="preserve">Jejich věk se tak v době druhého vyšetření pohyboval okolo 31 let. </w:t>
      </w:r>
      <w:r w:rsidR="00021BC0">
        <w:rPr>
          <w:rFonts w:ascii="Cambria" w:hAnsi="Cambria"/>
        </w:rPr>
        <w:t>Úbytek zkoumaných osob ne</w:t>
      </w:r>
      <w:r w:rsidR="00BE53A9">
        <w:rPr>
          <w:rFonts w:ascii="Cambria" w:hAnsi="Cambria"/>
        </w:rPr>
        <w:t>byl</w:t>
      </w:r>
      <w:r w:rsidR="00021BC0">
        <w:rPr>
          <w:rFonts w:ascii="Cambria" w:hAnsi="Cambria"/>
        </w:rPr>
        <w:t xml:space="preserve"> zanedbatelný, muselo tak být provedeno porovnání charakteristik nevyšetřených osob s těmi, kteří vyšetřeni byli. Z tohoto srovnání vyplynulo, že skupiny se ve větší míře lišily pouze v jedné ze sledovaných charakteristik. Konkrétně v tom, že ve skupině, která </w:t>
      </w:r>
      <w:r w:rsidR="00BE53A9">
        <w:rPr>
          <w:rFonts w:ascii="Cambria" w:hAnsi="Cambria"/>
        </w:rPr>
        <w:t>následně podstoupila</w:t>
      </w:r>
      <w:r w:rsidR="00021BC0">
        <w:rPr>
          <w:rFonts w:ascii="Cambria" w:hAnsi="Cambria"/>
        </w:rPr>
        <w:t xml:space="preserve"> druhé vyšetření, bylo větší zastoupení osob, které uvedly jako primární drogu heroin.</w:t>
      </w:r>
    </w:p>
    <w:p w14:paraId="2B3519B6" w14:textId="77777777" w:rsidR="001043B4" w:rsidRDefault="00021BC0" w:rsidP="00A82651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Měření bylo prováděno pomocí </w:t>
      </w:r>
      <w:r w:rsidR="00BE53A9">
        <w:rPr>
          <w:rFonts w:ascii="Cambria" w:hAnsi="Cambria"/>
        </w:rPr>
        <w:t xml:space="preserve">rozsáhlých dotazníků, psychologických škál a také rozhovoru. </w:t>
      </w:r>
      <w:r w:rsidR="00A91C3C">
        <w:rPr>
          <w:rFonts w:ascii="Cambria" w:hAnsi="Cambria"/>
        </w:rPr>
        <w:t>Pouze č</w:t>
      </w:r>
      <w:r w:rsidR="00263AE5">
        <w:rPr>
          <w:rFonts w:ascii="Cambria" w:hAnsi="Cambria"/>
        </w:rPr>
        <w:t>tvrtina dotázaných měla</w:t>
      </w:r>
      <w:r w:rsidR="00A91C3C">
        <w:rPr>
          <w:rFonts w:ascii="Cambria" w:hAnsi="Cambria"/>
        </w:rPr>
        <w:t xml:space="preserve"> i</w:t>
      </w:r>
      <w:r w:rsidR="00263AE5">
        <w:rPr>
          <w:rFonts w:ascii="Cambria" w:hAnsi="Cambria"/>
        </w:rPr>
        <w:t xml:space="preserve"> v současnosti problém s drogami.</w:t>
      </w:r>
    </w:p>
    <w:p w14:paraId="2F28339C" w14:textId="77777777" w:rsidR="001220B9" w:rsidRPr="000A171A" w:rsidRDefault="007F216A" w:rsidP="007F216A">
      <w:pPr>
        <w:pStyle w:val="Heading2"/>
        <w:rPr>
          <w:rFonts w:ascii="Cambria" w:hAnsi="Cambria"/>
          <w:color w:val="auto"/>
        </w:rPr>
      </w:pPr>
      <w:r w:rsidRPr="000A171A">
        <w:rPr>
          <w:rFonts w:ascii="Cambria" w:hAnsi="Cambria"/>
          <w:color w:val="auto"/>
        </w:rPr>
        <w:t>Je jejich život tak rozdílný?</w:t>
      </w:r>
    </w:p>
    <w:p w14:paraId="3450AF01" w14:textId="77777777" w:rsidR="007C3A5A" w:rsidRDefault="004C6692" w:rsidP="00E11E8E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Obě skupiny se významně liš</w:t>
      </w:r>
      <w:r w:rsidR="00DE24A9">
        <w:rPr>
          <w:rFonts w:ascii="Cambria" w:hAnsi="Cambria"/>
        </w:rPr>
        <w:t>ily</w:t>
      </w:r>
      <w:r>
        <w:rPr>
          <w:rFonts w:ascii="Cambria" w:hAnsi="Cambria"/>
        </w:rPr>
        <w:t xml:space="preserve"> </w:t>
      </w:r>
      <w:r w:rsidR="00BB2780">
        <w:rPr>
          <w:rFonts w:ascii="Cambria" w:hAnsi="Cambria"/>
        </w:rPr>
        <w:t xml:space="preserve">pouze </w:t>
      </w:r>
      <w:r>
        <w:rPr>
          <w:rFonts w:ascii="Cambria" w:hAnsi="Cambria"/>
        </w:rPr>
        <w:t>v počtu detoxifikačních pobytů a v celkovém počtu léčení pro drogové problémy</w:t>
      </w:r>
      <w:r w:rsidR="008A7DDB">
        <w:rPr>
          <w:rFonts w:ascii="Cambria" w:hAnsi="Cambria"/>
        </w:rPr>
        <w:t xml:space="preserve">. Ti, kteří drogy doposud užívají, dosahovali vyšších hodnot. </w:t>
      </w:r>
      <w:r w:rsidR="005624A4">
        <w:rPr>
          <w:rFonts w:ascii="Cambria" w:hAnsi="Cambria"/>
        </w:rPr>
        <w:t xml:space="preserve">U obou skupin byl výskyt psychiatrických poruch stejný. </w:t>
      </w:r>
      <w:r w:rsidR="00E11E8E">
        <w:rPr>
          <w:rFonts w:ascii="Cambria" w:hAnsi="Cambria"/>
        </w:rPr>
        <w:t>V</w:t>
      </w:r>
      <w:r w:rsidR="005624A4">
        <w:rPr>
          <w:rFonts w:ascii="Cambria" w:hAnsi="Cambria"/>
        </w:rPr>
        <w:t>yskytovaly</w:t>
      </w:r>
      <w:r w:rsidR="00E11E8E">
        <w:rPr>
          <w:rFonts w:ascii="Cambria" w:hAnsi="Cambria"/>
        </w:rPr>
        <w:t xml:space="preserve"> se</w:t>
      </w:r>
      <w:r w:rsidR="005624A4">
        <w:rPr>
          <w:rFonts w:ascii="Cambria" w:hAnsi="Cambria"/>
        </w:rPr>
        <w:t xml:space="preserve"> u více než čtvrtiny dotazovaných osob. Nejčastěji se jednalo o depresivní poruchu. </w:t>
      </w:r>
      <w:r w:rsidR="00F663E6">
        <w:rPr>
          <w:rFonts w:ascii="Cambria" w:hAnsi="Cambria"/>
        </w:rPr>
        <w:t>Téměř pětina ze všech dotazovaných osob je v současnosti ve výkonu trestu nebo ve vazbě</w:t>
      </w:r>
      <w:r>
        <w:rPr>
          <w:rFonts w:ascii="Cambria" w:hAnsi="Cambria"/>
        </w:rPr>
        <w:t>.</w:t>
      </w:r>
      <w:r w:rsidR="00082CE1">
        <w:rPr>
          <w:rFonts w:ascii="Cambria" w:hAnsi="Cambria"/>
        </w:rPr>
        <w:t xml:space="preserve"> </w:t>
      </w:r>
      <w:r w:rsidR="00DE24A9">
        <w:rPr>
          <w:rFonts w:ascii="Cambria" w:hAnsi="Cambria"/>
        </w:rPr>
        <w:t>Ti, kteří již drogy neužívají, žily častěji v</w:t>
      </w:r>
      <w:r w:rsidR="003D4314">
        <w:rPr>
          <w:rFonts w:ascii="Cambria" w:hAnsi="Cambria"/>
        </w:rPr>
        <w:t> </w:t>
      </w:r>
      <w:r w:rsidR="00DE24A9">
        <w:rPr>
          <w:rFonts w:ascii="Cambria" w:hAnsi="Cambria"/>
        </w:rPr>
        <w:t>manželství</w:t>
      </w:r>
      <w:r w:rsidR="003D4314">
        <w:rPr>
          <w:rFonts w:ascii="Cambria" w:hAnsi="Cambria"/>
        </w:rPr>
        <w:t>.</w:t>
      </w:r>
      <w:r w:rsidR="00DE24A9">
        <w:rPr>
          <w:rFonts w:ascii="Cambria" w:hAnsi="Cambria"/>
        </w:rPr>
        <w:t xml:space="preserve"> </w:t>
      </w:r>
      <w:r w:rsidR="003D4314">
        <w:rPr>
          <w:rFonts w:ascii="Cambria" w:hAnsi="Cambria"/>
        </w:rPr>
        <w:t>O</w:t>
      </w:r>
      <w:r w:rsidR="00DE24A9">
        <w:rPr>
          <w:rFonts w:ascii="Cambria" w:hAnsi="Cambria"/>
        </w:rPr>
        <w:t>d druhé skupiny se lišily téměř o 15 %.</w:t>
      </w:r>
    </w:p>
    <w:p w14:paraId="16569035" w14:textId="77777777" w:rsidR="00D92B4F" w:rsidRDefault="007B53BF" w:rsidP="00D92B4F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Studie dále předkládá, že existuje úzká provázanost mezi problémy s drogami </w:t>
      </w:r>
      <w:r w:rsidR="00631A09">
        <w:rPr>
          <w:rFonts w:ascii="Cambria" w:hAnsi="Cambria"/>
        </w:rPr>
        <w:t>a</w:t>
      </w:r>
      <w:r>
        <w:rPr>
          <w:rFonts w:ascii="Cambria" w:hAnsi="Cambria"/>
        </w:rPr>
        <w:t xml:space="preserve"> problémy v oblasti zdraví</w:t>
      </w:r>
      <w:r w:rsidR="006B391E">
        <w:rPr>
          <w:rFonts w:ascii="Cambria" w:hAnsi="Cambria"/>
        </w:rPr>
        <w:t>.</w:t>
      </w:r>
      <w:r w:rsidR="00CF097D">
        <w:rPr>
          <w:rFonts w:ascii="Cambria" w:hAnsi="Cambria"/>
        </w:rPr>
        <w:t xml:space="preserve"> Čím byly problémy s drogami výraznější, tím se prohlubovaly problémy v oblasti zdraví a naopak. Tedy pokud člověk dokázal s drogou bojovat a jeho stav v dané oblasti se zlepšil, </w:t>
      </w:r>
      <w:r w:rsidR="00CF097D">
        <w:rPr>
          <w:rFonts w:ascii="Cambria" w:hAnsi="Cambria"/>
        </w:rPr>
        <w:lastRenderedPageBreak/>
        <w:t xml:space="preserve">pak bylo patrné zlepšení i v oblasti s ní provázané. </w:t>
      </w:r>
      <w:r w:rsidR="00D74979">
        <w:rPr>
          <w:rFonts w:ascii="Cambria" w:hAnsi="Cambria"/>
        </w:rPr>
        <w:t>Drogové problémy</w:t>
      </w:r>
      <w:r w:rsidR="006B391E">
        <w:rPr>
          <w:rFonts w:ascii="Cambria" w:hAnsi="Cambria"/>
        </w:rPr>
        <w:t xml:space="preserve"> jdou</w:t>
      </w:r>
      <w:r w:rsidR="00D74979">
        <w:rPr>
          <w:rFonts w:ascii="Cambria" w:hAnsi="Cambria"/>
        </w:rPr>
        <w:t xml:space="preserve"> také</w:t>
      </w:r>
      <w:r w:rsidR="006B391E">
        <w:rPr>
          <w:rFonts w:ascii="Cambria" w:hAnsi="Cambria"/>
        </w:rPr>
        <w:t xml:space="preserve"> ruku v</w:t>
      </w:r>
      <w:r w:rsidR="00E11E8E">
        <w:rPr>
          <w:rFonts w:ascii="Cambria" w:hAnsi="Cambria"/>
        </w:rPr>
        <w:t> </w:t>
      </w:r>
      <w:r w:rsidR="006B391E">
        <w:rPr>
          <w:rFonts w:ascii="Cambria" w:hAnsi="Cambria"/>
        </w:rPr>
        <w:t>ruce</w:t>
      </w:r>
      <w:r w:rsidR="00E11E8E">
        <w:rPr>
          <w:rFonts w:ascii="Cambria" w:hAnsi="Cambria"/>
        </w:rPr>
        <w:t xml:space="preserve"> s problémy se zaměstnáním,</w:t>
      </w:r>
      <w:r w:rsidR="008A7DDB">
        <w:rPr>
          <w:rFonts w:ascii="Cambria" w:hAnsi="Cambria"/>
        </w:rPr>
        <w:t xml:space="preserve"> </w:t>
      </w:r>
      <w:r w:rsidR="00D74979">
        <w:rPr>
          <w:rFonts w:ascii="Cambria" w:hAnsi="Cambria"/>
        </w:rPr>
        <w:t>s</w:t>
      </w:r>
      <w:r w:rsidR="00E11E8E">
        <w:rPr>
          <w:rFonts w:ascii="Cambria" w:hAnsi="Cambria"/>
        </w:rPr>
        <w:t> </w:t>
      </w:r>
      <w:r w:rsidR="006B391E">
        <w:rPr>
          <w:rFonts w:ascii="Cambria" w:hAnsi="Cambria"/>
        </w:rPr>
        <w:t>psychologick</w:t>
      </w:r>
      <w:r w:rsidR="00D74979">
        <w:rPr>
          <w:rFonts w:ascii="Cambria" w:hAnsi="Cambria"/>
        </w:rPr>
        <w:t>ými</w:t>
      </w:r>
      <w:r w:rsidR="00E11E8E">
        <w:rPr>
          <w:rFonts w:ascii="Cambria" w:hAnsi="Cambria"/>
        </w:rPr>
        <w:t xml:space="preserve"> a </w:t>
      </w:r>
      <w:r w:rsidR="00D15A56">
        <w:rPr>
          <w:rFonts w:ascii="Cambria" w:hAnsi="Cambria"/>
        </w:rPr>
        <w:t>rodinnými</w:t>
      </w:r>
      <w:r w:rsidR="00E11E8E">
        <w:rPr>
          <w:rFonts w:ascii="Cambria" w:hAnsi="Cambria"/>
        </w:rPr>
        <w:t xml:space="preserve"> </w:t>
      </w:r>
      <w:r w:rsidR="006B391E">
        <w:rPr>
          <w:rFonts w:ascii="Cambria" w:hAnsi="Cambria"/>
        </w:rPr>
        <w:t>problémy</w:t>
      </w:r>
      <w:r w:rsidR="00E11E8E">
        <w:rPr>
          <w:rFonts w:ascii="Cambria" w:hAnsi="Cambria"/>
        </w:rPr>
        <w:t xml:space="preserve">. </w:t>
      </w:r>
      <w:r w:rsidR="00D74979">
        <w:rPr>
          <w:rFonts w:ascii="Cambria" w:hAnsi="Cambria"/>
        </w:rPr>
        <w:t>Co se týče psychologick</w:t>
      </w:r>
      <w:r w:rsidR="00FD667E">
        <w:rPr>
          <w:rFonts w:ascii="Cambria" w:hAnsi="Cambria"/>
        </w:rPr>
        <w:t>ých</w:t>
      </w:r>
      <w:r w:rsidR="00D74979">
        <w:rPr>
          <w:rFonts w:ascii="Cambria" w:hAnsi="Cambria"/>
        </w:rPr>
        <w:t xml:space="preserve"> </w:t>
      </w:r>
      <w:r w:rsidR="003478D5">
        <w:rPr>
          <w:rFonts w:ascii="Cambria" w:hAnsi="Cambria"/>
        </w:rPr>
        <w:t>charakteristik</w:t>
      </w:r>
      <w:r w:rsidR="00D74979">
        <w:rPr>
          <w:rFonts w:ascii="Cambria" w:hAnsi="Cambria"/>
        </w:rPr>
        <w:t>,</w:t>
      </w:r>
      <w:r w:rsidR="003478D5">
        <w:rPr>
          <w:rFonts w:ascii="Cambria" w:hAnsi="Cambria"/>
        </w:rPr>
        <w:t xml:space="preserve"> </w:t>
      </w:r>
      <w:r w:rsidR="00D74979">
        <w:rPr>
          <w:rFonts w:ascii="Cambria" w:hAnsi="Cambria"/>
        </w:rPr>
        <w:t>z</w:t>
      </w:r>
      <w:r w:rsidR="003478D5">
        <w:rPr>
          <w:rFonts w:ascii="Cambria" w:hAnsi="Cambria"/>
        </w:rPr>
        <w:t xml:space="preserve">a zmínku stojí </w:t>
      </w:r>
      <w:r w:rsidR="000A171A">
        <w:rPr>
          <w:rFonts w:ascii="Cambria" w:hAnsi="Cambria"/>
        </w:rPr>
        <w:t>také</w:t>
      </w:r>
      <w:r w:rsidR="003478D5">
        <w:rPr>
          <w:rFonts w:ascii="Cambria" w:hAnsi="Cambria"/>
        </w:rPr>
        <w:t xml:space="preserve"> to, že u osob, které drogy doposud užívají</w:t>
      </w:r>
      <w:r w:rsidR="00D74979">
        <w:rPr>
          <w:rFonts w:ascii="Cambria" w:hAnsi="Cambria"/>
        </w:rPr>
        <w:t>,</w:t>
      </w:r>
      <w:r w:rsidR="003478D5">
        <w:rPr>
          <w:rFonts w:ascii="Cambria" w:hAnsi="Cambria"/>
        </w:rPr>
        <w:t xml:space="preserve"> je vyšší podíl </w:t>
      </w:r>
      <w:r w:rsidR="000A171A">
        <w:rPr>
          <w:rFonts w:ascii="Cambria" w:hAnsi="Cambria"/>
        </w:rPr>
        <w:t>těch</w:t>
      </w:r>
      <w:r w:rsidR="003478D5">
        <w:rPr>
          <w:rFonts w:ascii="Cambria" w:hAnsi="Cambria"/>
        </w:rPr>
        <w:t>, kte</w:t>
      </w:r>
      <w:r w:rsidR="000A171A">
        <w:rPr>
          <w:rFonts w:ascii="Cambria" w:hAnsi="Cambria"/>
        </w:rPr>
        <w:t>ří</w:t>
      </w:r>
      <w:r w:rsidR="003478D5">
        <w:rPr>
          <w:rFonts w:ascii="Cambria" w:hAnsi="Cambria"/>
        </w:rPr>
        <w:t xml:space="preserve"> trpí psychoticismem či neuroticismem. </w:t>
      </w:r>
      <w:r w:rsidR="00E11E8E">
        <w:rPr>
          <w:rFonts w:ascii="Cambria" w:hAnsi="Cambria"/>
        </w:rPr>
        <w:t>Tyto rozdíly však nejsou statisticky významné.</w:t>
      </w:r>
    </w:p>
    <w:p w14:paraId="11E708BD" w14:textId="77777777" w:rsidR="00D92B4F" w:rsidRDefault="002E3C89" w:rsidP="00D92B4F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D715C03" wp14:editId="60E3C9B6">
            <wp:extent cx="5486400" cy="32004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746F913" w14:textId="77777777" w:rsidR="00A269BA" w:rsidRDefault="00E706C8" w:rsidP="002E3C89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Není se také čemu divit, že lidé, kteří svůj boj s drogami vyhráli, jsou ve svém životě více spokojení. </w:t>
      </w:r>
      <w:r w:rsidR="00AF6CD6">
        <w:rPr>
          <w:rFonts w:ascii="Cambria" w:hAnsi="Cambria"/>
        </w:rPr>
        <w:t xml:space="preserve">V poslední části studie byly skupiny porovnány vzhledem k výsledkům z prvního měření. </w:t>
      </w:r>
      <w:r w:rsidR="00631A09">
        <w:rPr>
          <w:rFonts w:ascii="Cambria" w:hAnsi="Cambria"/>
        </w:rPr>
        <w:t>Z tohoto srovnání vyplynulo, že</w:t>
      </w:r>
      <w:r w:rsidR="00D15A56">
        <w:rPr>
          <w:rFonts w:ascii="Cambria" w:hAnsi="Cambria"/>
        </w:rPr>
        <w:t xml:space="preserve"> </w:t>
      </w:r>
      <w:r w:rsidR="00AF6CD6">
        <w:rPr>
          <w:rFonts w:ascii="Cambria" w:hAnsi="Cambria"/>
        </w:rPr>
        <w:t>4</w:t>
      </w:r>
      <w:r w:rsidR="00F1265E">
        <w:rPr>
          <w:rFonts w:ascii="Cambria" w:hAnsi="Cambria"/>
        </w:rPr>
        <w:t xml:space="preserve"> z 10</w:t>
      </w:r>
      <w:r w:rsidR="00631A09">
        <w:rPr>
          <w:rFonts w:ascii="Cambria" w:hAnsi="Cambria"/>
        </w:rPr>
        <w:t xml:space="preserve"> lidí, kteří mají problémy s drogami i v současnosti, byl</w:t>
      </w:r>
      <w:r w:rsidR="00AF6CD6">
        <w:rPr>
          <w:rFonts w:ascii="Cambria" w:hAnsi="Cambria"/>
        </w:rPr>
        <w:t>i</w:t>
      </w:r>
      <w:r w:rsidR="00631A09">
        <w:rPr>
          <w:rFonts w:ascii="Cambria" w:hAnsi="Cambria"/>
        </w:rPr>
        <w:t xml:space="preserve"> vychováván</w:t>
      </w:r>
      <w:r w:rsidR="00AF6CD6">
        <w:rPr>
          <w:rFonts w:ascii="Cambria" w:hAnsi="Cambria"/>
        </w:rPr>
        <w:t>i</w:t>
      </w:r>
      <w:r w:rsidR="00631A09">
        <w:rPr>
          <w:rFonts w:ascii="Cambria" w:hAnsi="Cambria"/>
        </w:rPr>
        <w:t xml:space="preserve"> matkou, u níž byl patrný nadměrný konzum alkohol</w:t>
      </w:r>
      <w:r w:rsidR="00AF6CD6">
        <w:rPr>
          <w:rFonts w:ascii="Cambria" w:hAnsi="Cambria"/>
        </w:rPr>
        <w:t xml:space="preserve">u. </w:t>
      </w:r>
      <w:r>
        <w:rPr>
          <w:rFonts w:ascii="Cambria" w:hAnsi="Cambria"/>
        </w:rPr>
        <w:t>U druhé skupiny to bylo téměř o 30 % méně.</w:t>
      </w:r>
    </w:p>
    <w:p w14:paraId="28CE3382" w14:textId="77777777" w:rsidR="00565F93" w:rsidRDefault="00D50062" w:rsidP="00565F93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Hlavním přínosem studie je zjištění, že intenzivní užívá drog přetrvává do dospělosti pouze u čtvrtiny následně dotázaných, což </w:t>
      </w:r>
      <w:r w:rsidR="00032B8D">
        <w:rPr>
          <w:rFonts w:ascii="Cambria" w:hAnsi="Cambria"/>
        </w:rPr>
        <w:t>představuje</w:t>
      </w:r>
      <w:r>
        <w:rPr>
          <w:rFonts w:ascii="Cambria" w:hAnsi="Cambria"/>
        </w:rPr>
        <w:t xml:space="preserve"> </w:t>
      </w:r>
      <w:r w:rsidR="00032B8D">
        <w:rPr>
          <w:rFonts w:ascii="Cambria" w:hAnsi="Cambria"/>
        </w:rPr>
        <w:t>v</w:t>
      </w:r>
      <w:r>
        <w:rPr>
          <w:rFonts w:ascii="Cambria" w:hAnsi="Cambria"/>
        </w:rPr>
        <w:t xml:space="preserve"> porovnání s jinými dlouhodobými studiemi výrazně nižší podíl osob. </w:t>
      </w:r>
      <w:r w:rsidR="00032B8D">
        <w:rPr>
          <w:rFonts w:ascii="Cambria" w:hAnsi="Cambria"/>
        </w:rPr>
        <w:t>Dále vyplývá, že skupina, která drogové problémy nepřekonala se hůře adaptuje do společnosti. Tedy že je pro n</w:t>
      </w:r>
      <w:r w:rsidR="00A82651">
        <w:rPr>
          <w:rFonts w:ascii="Cambria" w:hAnsi="Cambria"/>
        </w:rPr>
        <w:t>i</w:t>
      </w:r>
      <w:r w:rsidR="00032B8D">
        <w:rPr>
          <w:rFonts w:ascii="Cambria" w:hAnsi="Cambria"/>
        </w:rPr>
        <w:t xml:space="preserve"> obtížnější získat práci</w:t>
      </w:r>
      <w:r w:rsidR="00C96C90">
        <w:rPr>
          <w:rFonts w:ascii="Cambria" w:hAnsi="Cambria"/>
        </w:rPr>
        <w:t xml:space="preserve"> </w:t>
      </w:r>
      <w:r w:rsidR="00032B8D">
        <w:rPr>
          <w:rFonts w:ascii="Cambria" w:hAnsi="Cambria"/>
        </w:rPr>
        <w:t>nebo mají problém nalézt partnera.</w:t>
      </w:r>
      <w:r w:rsidR="005761EF">
        <w:rPr>
          <w:rFonts w:ascii="Cambria" w:hAnsi="Cambria"/>
        </w:rPr>
        <w:t xml:space="preserve"> </w:t>
      </w:r>
      <w:r w:rsidR="000A171A">
        <w:rPr>
          <w:rFonts w:ascii="Cambria" w:hAnsi="Cambria"/>
        </w:rPr>
        <w:t>J</w:t>
      </w:r>
      <w:r w:rsidR="00B3062C">
        <w:rPr>
          <w:rFonts w:ascii="Cambria" w:hAnsi="Cambria"/>
        </w:rPr>
        <w:t>ak skončil příběh Katky? Zařadila se mezi</w:t>
      </w:r>
      <w:r w:rsidR="00C96C90">
        <w:rPr>
          <w:rFonts w:ascii="Cambria" w:hAnsi="Cambria"/>
        </w:rPr>
        <w:t xml:space="preserve"> skupinu těch, kteří se dokázali drogám postavit čelem a porazit je? </w:t>
      </w:r>
      <w:r w:rsidR="00BB2780">
        <w:rPr>
          <w:rFonts w:ascii="Cambria" w:hAnsi="Cambria"/>
        </w:rPr>
        <w:t xml:space="preserve">V jejím případě se šťastný konec bohužel </w:t>
      </w:r>
      <w:commentRangeStart w:id="0"/>
      <w:r w:rsidR="00BB2780">
        <w:rPr>
          <w:rFonts w:ascii="Cambria" w:hAnsi="Cambria"/>
        </w:rPr>
        <w:t>nekonal</w:t>
      </w:r>
      <w:commentRangeEnd w:id="0"/>
      <w:r w:rsidR="00860369">
        <w:rPr>
          <w:rStyle w:val="CommentReference"/>
        </w:rPr>
        <w:commentReference w:id="0"/>
      </w:r>
      <w:r w:rsidR="00BB2780">
        <w:rPr>
          <w:rFonts w:ascii="Cambria" w:hAnsi="Cambria"/>
        </w:rPr>
        <w:t>.</w:t>
      </w:r>
    </w:p>
    <w:p w14:paraId="099AC165" w14:textId="77777777" w:rsidR="00565F93" w:rsidRDefault="00565F93" w:rsidP="00565F93">
      <w:pPr>
        <w:jc w:val="both"/>
        <w:rPr>
          <w:rFonts w:ascii="Cambria" w:hAnsi="Cambria"/>
        </w:rPr>
      </w:pPr>
    </w:p>
    <w:p w14:paraId="10F9F7E4" w14:textId="77777777" w:rsidR="00565F93" w:rsidRDefault="00565F93" w:rsidP="00565F93">
      <w:pPr>
        <w:jc w:val="both"/>
        <w:rPr>
          <w:rFonts w:ascii="Cambria" w:hAnsi="Cambria"/>
        </w:rPr>
      </w:pPr>
    </w:p>
    <w:p w14:paraId="60A7A225" w14:textId="77777777" w:rsidR="00565F93" w:rsidRDefault="00565F93" w:rsidP="00565F93">
      <w:pPr>
        <w:jc w:val="both"/>
        <w:rPr>
          <w:rFonts w:ascii="Cambria" w:hAnsi="Cambria"/>
        </w:rPr>
      </w:pPr>
    </w:p>
    <w:p w14:paraId="1A0447C0" w14:textId="77777777" w:rsidR="00C7736F" w:rsidRDefault="00C7736F" w:rsidP="00565F93">
      <w:pPr>
        <w:jc w:val="both"/>
        <w:rPr>
          <w:rFonts w:ascii="Cambria" w:hAnsi="Cambria"/>
        </w:rPr>
      </w:pPr>
    </w:p>
    <w:p w14:paraId="31415037" w14:textId="77777777" w:rsidR="00C7736F" w:rsidRDefault="00C7736F" w:rsidP="00565F93">
      <w:pPr>
        <w:jc w:val="both"/>
        <w:rPr>
          <w:rFonts w:ascii="Cambria" w:hAnsi="Cambria"/>
        </w:rPr>
      </w:pPr>
    </w:p>
    <w:p w14:paraId="31AF220D" w14:textId="77777777" w:rsidR="00C7736F" w:rsidRDefault="00C7736F" w:rsidP="00565F93">
      <w:pPr>
        <w:jc w:val="both"/>
        <w:rPr>
          <w:rFonts w:ascii="Cambria" w:hAnsi="Cambria"/>
        </w:rPr>
      </w:pPr>
    </w:p>
    <w:p w14:paraId="26BA1EEC" w14:textId="77777777" w:rsidR="00C7736F" w:rsidRDefault="00C7736F" w:rsidP="00565F93">
      <w:pPr>
        <w:jc w:val="both"/>
        <w:rPr>
          <w:rFonts w:ascii="Cambria" w:hAnsi="Cambria"/>
        </w:rPr>
      </w:pPr>
    </w:p>
    <w:p w14:paraId="4D41012D" w14:textId="77777777" w:rsidR="00565F93" w:rsidRDefault="00565F93" w:rsidP="00565F93">
      <w:pPr>
        <w:jc w:val="both"/>
        <w:rPr>
          <w:rFonts w:ascii="Cambria" w:hAnsi="Cambria"/>
        </w:rPr>
      </w:pPr>
      <w:r>
        <w:rPr>
          <w:rFonts w:ascii="Cambria" w:hAnsi="Cambria"/>
        </w:rPr>
        <w:t>Zdroj:</w:t>
      </w:r>
    </w:p>
    <w:p w14:paraId="51D6F317" w14:textId="77777777" w:rsidR="00565F93" w:rsidRDefault="00565F93" w:rsidP="00565F93">
      <w:pPr>
        <w:rPr>
          <w:rFonts w:ascii="Cambria" w:hAnsi="Cambria"/>
        </w:rPr>
      </w:pPr>
      <w:r w:rsidRPr="00C7736F">
        <w:rPr>
          <w:rFonts w:ascii="Cambria" w:hAnsi="Cambria"/>
        </w:rPr>
        <w:lastRenderedPageBreak/>
        <w:t>Csémy, L., Zábranský, T., Grohmannová, K., Dvořáková, Z., Brenza, J., &amp; Janíková, B. (2012). Dospívající uživatelé heroinu a pervitinu po 14 letech: analýza psychosociálních charakteristik. </w:t>
      </w:r>
      <w:r w:rsidR="00C7736F" w:rsidRPr="00C7736F">
        <w:rPr>
          <w:rFonts w:ascii="Cambria" w:hAnsi="Cambria"/>
          <w:i/>
        </w:rPr>
        <w:t>Č</w:t>
      </w:r>
      <w:r w:rsidRPr="00C7736F">
        <w:rPr>
          <w:rFonts w:ascii="Cambria" w:hAnsi="Cambria"/>
          <w:i/>
        </w:rPr>
        <w:t>eskoslovensk</w:t>
      </w:r>
      <w:r w:rsidR="00C7736F" w:rsidRPr="00C7736F">
        <w:rPr>
          <w:rFonts w:ascii="Cambria" w:hAnsi="Cambria"/>
          <w:i/>
        </w:rPr>
        <w:t>á</w:t>
      </w:r>
      <w:r w:rsidRPr="00C7736F">
        <w:rPr>
          <w:rFonts w:ascii="Cambria" w:hAnsi="Cambria"/>
          <w:i/>
        </w:rPr>
        <w:t xml:space="preserve"> Psychologie</w:t>
      </w:r>
      <w:r w:rsidRPr="00C7736F">
        <w:rPr>
          <w:rFonts w:ascii="Cambria" w:hAnsi="Cambria"/>
        </w:rPr>
        <w:t xml:space="preserve">, 56(6), 505-517. Retrieved from </w:t>
      </w:r>
      <w:hyperlink r:id="rId9" w:history="1">
        <w:r w:rsidR="00844B20" w:rsidRPr="00720228">
          <w:rPr>
            <w:rStyle w:val="Hyperlink"/>
            <w:rFonts w:ascii="Cambria" w:hAnsi="Cambria"/>
          </w:rPr>
          <w:t>https://search.ebscohost.com/login.aspx?direct=true&amp;AuthType=ip,cookie,uid&amp;db=asn&amp;AN=85505618&amp;lang=cs&amp;site=eds-live&amp;scope=site</w:t>
        </w:r>
      </w:hyperlink>
    </w:p>
    <w:p w14:paraId="3E3887BB" w14:textId="77777777" w:rsidR="00844B20" w:rsidRPr="00844B20" w:rsidRDefault="00844B20" w:rsidP="00565F93">
      <w:pPr>
        <w:rPr>
          <w:rFonts w:ascii="Cambria" w:hAnsi="Cambria"/>
          <w:sz w:val="24"/>
        </w:rPr>
      </w:pPr>
      <w:r>
        <w:rPr>
          <w:rFonts w:ascii="Cambria" w:hAnsi="Cambria"/>
        </w:rPr>
        <w:t>Česká televize</w:t>
      </w:r>
      <w:r w:rsidR="00600C01">
        <w:rPr>
          <w:rFonts w:ascii="Cambria" w:hAnsi="Cambria"/>
        </w:rPr>
        <w:t xml:space="preserve"> </w:t>
      </w:r>
      <w:r>
        <w:rPr>
          <w:rFonts w:ascii="Cambria" w:hAnsi="Cambria"/>
          <w:sz w:val="24"/>
        </w:rPr>
        <w:t>(</w:t>
      </w:r>
      <w:r w:rsidR="00600C01">
        <w:rPr>
          <w:rFonts w:ascii="Cambria" w:hAnsi="Cambria"/>
          <w:sz w:val="24"/>
        </w:rPr>
        <w:t>n.d.</w:t>
      </w:r>
      <w:r>
        <w:rPr>
          <w:rFonts w:ascii="Cambria" w:hAnsi="Cambria"/>
          <w:sz w:val="24"/>
        </w:rPr>
        <w:t>)</w:t>
      </w:r>
      <w:r w:rsidR="00600C01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</w:t>
      </w:r>
      <w:r w:rsidRPr="00600C01">
        <w:rPr>
          <w:rFonts w:ascii="Cambria" w:hAnsi="Cambria"/>
          <w:i/>
          <w:sz w:val="24"/>
        </w:rPr>
        <w:t>Pořady: Katka.</w:t>
      </w:r>
      <w:r>
        <w:rPr>
          <w:rFonts w:ascii="Cambria" w:hAnsi="Cambria"/>
          <w:sz w:val="24"/>
        </w:rPr>
        <w:t xml:space="preserve"> Retrieved from </w:t>
      </w:r>
      <w:hyperlink r:id="rId10" w:history="1">
        <w:r>
          <w:rPr>
            <w:rStyle w:val="Hyperlink"/>
          </w:rPr>
          <w:t>https://www.ceskatelevize.cz/porady/10210150777-katka/</w:t>
        </w:r>
      </w:hyperlink>
    </w:p>
    <w:p w14:paraId="19BBEAA0" w14:textId="77777777" w:rsidR="00844B20" w:rsidRPr="00C7736F" w:rsidRDefault="00844B20" w:rsidP="00565F93">
      <w:pPr>
        <w:rPr>
          <w:rFonts w:ascii="Cambria" w:hAnsi="Cambria"/>
        </w:rPr>
      </w:pPr>
    </w:p>
    <w:p w14:paraId="5924BFDC" w14:textId="77777777" w:rsidR="00565F93" w:rsidRDefault="00565F93" w:rsidP="00565F93">
      <w:pPr>
        <w:jc w:val="both"/>
        <w:rPr>
          <w:rFonts w:ascii="Cambria" w:hAnsi="Cambria"/>
        </w:rPr>
      </w:pPr>
    </w:p>
    <w:p w14:paraId="71E13C8D" w14:textId="77777777" w:rsidR="00565F93" w:rsidRDefault="00565F93" w:rsidP="00565F93">
      <w:pPr>
        <w:jc w:val="both"/>
        <w:rPr>
          <w:rFonts w:ascii="Cambria" w:hAnsi="Cambria"/>
        </w:rPr>
      </w:pPr>
    </w:p>
    <w:p w14:paraId="68DCE10F" w14:textId="77777777" w:rsidR="00565F93" w:rsidRDefault="00565F93" w:rsidP="00565F93">
      <w:pPr>
        <w:jc w:val="both"/>
        <w:rPr>
          <w:rFonts w:ascii="Cambria" w:hAnsi="Cambria"/>
        </w:rPr>
      </w:pPr>
    </w:p>
    <w:p w14:paraId="7CB2F5C1" w14:textId="77777777" w:rsidR="00680B7F" w:rsidRDefault="00680B7F" w:rsidP="00037F6C">
      <w:pPr>
        <w:jc w:val="both"/>
        <w:rPr>
          <w:rFonts w:ascii="Cambria" w:hAnsi="Cambria"/>
        </w:rPr>
      </w:pPr>
    </w:p>
    <w:p w14:paraId="788AF03C" w14:textId="77777777" w:rsidR="00680B7F" w:rsidRPr="007B639C" w:rsidRDefault="00680B7F" w:rsidP="00037F6C">
      <w:pPr>
        <w:jc w:val="both"/>
        <w:rPr>
          <w:rFonts w:ascii="Cambria" w:hAnsi="Cambria"/>
        </w:rPr>
      </w:pPr>
    </w:p>
    <w:p w14:paraId="052F2935" w14:textId="77777777" w:rsidR="00CA7222" w:rsidRDefault="00CA7222" w:rsidP="00037F6C">
      <w:pPr>
        <w:jc w:val="both"/>
      </w:pPr>
    </w:p>
    <w:p w14:paraId="7D4C9005" w14:textId="77777777" w:rsidR="00FA17D1" w:rsidRDefault="00FA17D1" w:rsidP="00037F6C">
      <w:pPr>
        <w:jc w:val="both"/>
      </w:pPr>
    </w:p>
    <w:p w14:paraId="7D3E11BD" w14:textId="77777777" w:rsidR="009836B8" w:rsidRDefault="009836B8" w:rsidP="00037F6C">
      <w:pPr>
        <w:jc w:val="both"/>
      </w:pPr>
    </w:p>
    <w:sectPr w:rsidR="0098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01:53:00Z" w:initials="AŤ">
    <w:p w14:paraId="25571D40" w14:textId="77777777" w:rsidR="00860369" w:rsidRDefault="00860369">
      <w:pPr>
        <w:pStyle w:val="CommentText"/>
      </w:pPr>
      <w:r>
        <w:rPr>
          <w:rStyle w:val="CommentReference"/>
        </w:rPr>
        <w:annotationRef/>
      </w:r>
      <w:r>
        <w:t xml:space="preserve">Přijato, 10b.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571D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571D40" w16cid:durableId="20B565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9F"/>
    <w:rsid w:val="00021BC0"/>
    <w:rsid w:val="00032B8D"/>
    <w:rsid w:val="00037F6C"/>
    <w:rsid w:val="00040804"/>
    <w:rsid w:val="00082CE1"/>
    <w:rsid w:val="000A171A"/>
    <w:rsid w:val="001043B4"/>
    <w:rsid w:val="001220B9"/>
    <w:rsid w:val="001526FC"/>
    <w:rsid w:val="00174135"/>
    <w:rsid w:val="001C6816"/>
    <w:rsid w:val="00263AE5"/>
    <w:rsid w:val="002653CA"/>
    <w:rsid w:val="00282624"/>
    <w:rsid w:val="00296250"/>
    <w:rsid w:val="002C6CAF"/>
    <w:rsid w:val="002E3C89"/>
    <w:rsid w:val="003478D5"/>
    <w:rsid w:val="003B54DE"/>
    <w:rsid w:val="003D4314"/>
    <w:rsid w:val="00411D0C"/>
    <w:rsid w:val="00465A77"/>
    <w:rsid w:val="004C6692"/>
    <w:rsid w:val="00500158"/>
    <w:rsid w:val="0052571A"/>
    <w:rsid w:val="005624A4"/>
    <w:rsid w:val="00565F93"/>
    <w:rsid w:val="005761EF"/>
    <w:rsid w:val="00600C01"/>
    <w:rsid w:val="00611478"/>
    <w:rsid w:val="00625A6F"/>
    <w:rsid w:val="00631A09"/>
    <w:rsid w:val="00641DC2"/>
    <w:rsid w:val="006519AA"/>
    <w:rsid w:val="00680B7F"/>
    <w:rsid w:val="006A0E15"/>
    <w:rsid w:val="006B391E"/>
    <w:rsid w:val="007B53BF"/>
    <w:rsid w:val="007B639C"/>
    <w:rsid w:val="007C3A5A"/>
    <w:rsid w:val="007F216A"/>
    <w:rsid w:val="0083566C"/>
    <w:rsid w:val="0084208E"/>
    <w:rsid w:val="00844B20"/>
    <w:rsid w:val="00860369"/>
    <w:rsid w:val="00865B89"/>
    <w:rsid w:val="00893113"/>
    <w:rsid w:val="008A7DDB"/>
    <w:rsid w:val="008B589E"/>
    <w:rsid w:val="008D389A"/>
    <w:rsid w:val="008E50F0"/>
    <w:rsid w:val="00927BC1"/>
    <w:rsid w:val="0096620D"/>
    <w:rsid w:val="009836B8"/>
    <w:rsid w:val="009875DD"/>
    <w:rsid w:val="009A65F6"/>
    <w:rsid w:val="009C179D"/>
    <w:rsid w:val="009C606C"/>
    <w:rsid w:val="00A269BA"/>
    <w:rsid w:val="00A82651"/>
    <w:rsid w:val="00A91C3C"/>
    <w:rsid w:val="00AF6CD6"/>
    <w:rsid w:val="00B3062C"/>
    <w:rsid w:val="00B411C7"/>
    <w:rsid w:val="00B619EA"/>
    <w:rsid w:val="00B92A33"/>
    <w:rsid w:val="00BA1BAA"/>
    <w:rsid w:val="00BB2780"/>
    <w:rsid w:val="00BE53A9"/>
    <w:rsid w:val="00C3298B"/>
    <w:rsid w:val="00C75C9F"/>
    <w:rsid w:val="00C7736F"/>
    <w:rsid w:val="00C96C90"/>
    <w:rsid w:val="00CA7222"/>
    <w:rsid w:val="00CF097D"/>
    <w:rsid w:val="00CF768B"/>
    <w:rsid w:val="00D15A56"/>
    <w:rsid w:val="00D50062"/>
    <w:rsid w:val="00D64227"/>
    <w:rsid w:val="00D74979"/>
    <w:rsid w:val="00D92B4F"/>
    <w:rsid w:val="00D92CD7"/>
    <w:rsid w:val="00DE24A9"/>
    <w:rsid w:val="00E11E8E"/>
    <w:rsid w:val="00E32249"/>
    <w:rsid w:val="00E706C8"/>
    <w:rsid w:val="00E7611B"/>
    <w:rsid w:val="00ED1FE6"/>
    <w:rsid w:val="00F1265E"/>
    <w:rsid w:val="00F663E6"/>
    <w:rsid w:val="00FA17D1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EFFA"/>
  <w15:chartTrackingRefBased/>
  <w15:docId w15:val="{556B2209-6CCA-48C3-8D23-B29B32D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4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4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22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Mkatabulky1">
    <w:name w:val="Mřížka tabulky1"/>
    <w:basedOn w:val="TableNormal"/>
    <w:next w:val="TableGrid"/>
    <w:uiPriority w:val="39"/>
    <w:rsid w:val="000A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4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B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s://www.ceskatelevize.cz/porady/10210150777-katk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earch.ebscohost.com/login.aspx?direct=true&amp;AuthType=ip,cookie,uid&amp;db=asn&amp;AN=85505618&amp;lang=cs&amp;site=eds-live&amp;scope=sit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Eysenckův</a:t>
            </a:r>
            <a:r>
              <a:rPr lang="cs-CZ" baseline="0"/>
              <a:t> o</a:t>
            </a:r>
            <a:r>
              <a:rPr lang="cs-CZ"/>
              <a:t>sobnostní</a:t>
            </a:r>
            <a:r>
              <a:rPr lang="cs-CZ" baseline="0"/>
              <a:t> dotazník</a:t>
            </a:r>
            <a:endParaRPr lang="cs-CZ"/>
          </a:p>
        </c:rich>
      </c:tx>
      <c:layout>
        <c:manualLayout>
          <c:xMode val="edge"/>
          <c:yMode val="edge"/>
          <c:x val="0.3935126859142607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nemá problém s drogami v současnosti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extraverze</c:v>
                </c:pt>
                <c:pt idx="1">
                  <c:v>neuroticismus</c:v>
                </c:pt>
                <c:pt idx="2">
                  <c:v>psychoticismus</c:v>
                </c:pt>
                <c:pt idx="3">
                  <c:v>lež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15.08</c:v>
                </c:pt>
                <c:pt idx="1">
                  <c:v>13.56</c:v>
                </c:pt>
                <c:pt idx="2">
                  <c:v>7.92</c:v>
                </c:pt>
                <c:pt idx="3">
                  <c:v>6.59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A24-AE81-24C87CEF964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má problém s drogami v současnosti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extraverze</c:v>
                </c:pt>
                <c:pt idx="1">
                  <c:v>neuroticismus</c:v>
                </c:pt>
                <c:pt idx="2">
                  <c:v>psychoticismus</c:v>
                </c:pt>
                <c:pt idx="3">
                  <c:v>lež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14.08</c:v>
                </c:pt>
                <c:pt idx="1">
                  <c:v>15.15</c:v>
                </c:pt>
                <c:pt idx="2">
                  <c:v>9.23</c:v>
                </c:pt>
                <c:pt idx="3">
                  <c:v>7.62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72-4A24-AE81-24C87CEF96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1"/>
        <c:overlap val="-14"/>
        <c:axId val="844374111"/>
        <c:axId val="845279007"/>
      </c:barChart>
      <c:catAx>
        <c:axId val="844374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5279007"/>
        <c:crosses val="autoZero"/>
        <c:auto val="1"/>
        <c:lblAlgn val="ctr"/>
        <c:lblOffset val="100"/>
        <c:noMultiLvlLbl val="0"/>
      </c:catAx>
      <c:valAx>
        <c:axId val="845279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Průměrné</a:t>
                </a:r>
                <a:r>
                  <a:rPr lang="cs-CZ" baseline="0"/>
                  <a:t> skóry v dotazníku</a:t>
                </a:r>
              </a:p>
              <a:p>
                <a:pPr>
                  <a:defRPr/>
                </a:pPr>
                <a:r>
                  <a:rPr lang="cs-CZ" baseline="0"/>
                  <a:t>(max 23)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1.8518518518518517E-2"/>
              <c:y val="0.419497250343707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4374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petch</dc:creator>
  <cp:keywords/>
  <dc:description/>
  <cp:lastModifiedBy>Adam Ťápal</cp:lastModifiedBy>
  <cp:revision>18</cp:revision>
  <dcterms:created xsi:type="dcterms:W3CDTF">2019-05-04T11:38:00Z</dcterms:created>
  <dcterms:modified xsi:type="dcterms:W3CDTF">2019-06-19T23:53:00Z</dcterms:modified>
</cp:coreProperties>
</file>