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page" w:tblpXSpec="center" w:tblpY="143"/>
        <w:tblW w:w="10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2736"/>
        <w:gridCol w:w="2252"/>
        <w:gridCol w:w="2414"/>
        <w:gridCol w:w="807"/>
      </w:tblGrid>
      <w:tr w:rsidR="00C92221" w:rsidRPr="00DD75FD" w14:paraId="78B19628" w14:textId="77777777" w:rsidTr="003936A3">
        <w:trPr>
          <w:gridBefore w:val="1"/>
          <w:wBefore w:w="2255" w:type="dxa"/>
          <w:trHeight w:val="345"/>
          <w:jc w:val="center"/>
        </w:trPr>
        <w:tc>
          <w:tcPr>
            <w:tcW w:w="2736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F2B64AD" w14:textId="77777777" w:rsidR="003A3345" w:rsidRPr="0022388E" w:rsidRDefault="00DD75FD" w:rsidP="00E839F6">
            <w:pPr>
              <w:rPr>
                <w:noProof/>
                <w:sz w:val="24"/>
              </w:rPr>
            </w:pPr>
            <w:r w:rsidRPr="0022388E">
              <w:rPr>
                <w:noProof/>
                <w:sz w:val="24"/>
              </w:rPr>
              <w:t>Jméno a příjmení</w:t>
            </w:r>
            <w:r w:rsidR="00C92221" w:rsidRPr="0022388E">
              <w:rPr>
                <w:noProof/>
                <w:sz w:val="24"/>
              </w:rPr>
              <w:t>:</w:t>
            </w:r>
          </w:p>
        </w:tc>
        <w:tc>
          <w:tcPr>
            <w:tcW w:w="5472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7EC2227A" w14:textId="77777777" w:rsidR="003A3345" w:rsidRPr="0022388E" w:rsidRDefault="003221FC" w:rsidP="00E839F6">
            <w:pPr>
              <w:ind w:left="176"/>
              <w:rPr>
                <w:noProof/>
                <w:sz w:val="24"/>
              </w:rPr>
            </w:pPr>
            <w:r w:rsidRPr="0022388E">
              <w:rPr>
                <w:noProof/>
                <w:sz w:val="24"/>
              </w:rPr>
              <w:t>Barbora Doležalová</w:t>
            </w:r>
          </w:p>
        </w:tc>
      </w:tr>
      <w:tr w:rsidR="00C92221" w:rsidRPr="00DD75FD" w14:paraId="71701A69" w14:textId="77777777" w:rsidTr="003936A3">
        <w:trPr>
          <w:gridBefore w:val="1"/>
          <w:wBefore w:w="2255" w:type="dxa"/>
          <w:trHeight w:val="345"/>
          <w:jc w:val="center"/>
        </w:trPr>
        <w:tc>
          <w:tcPr>
            <w:tcW w:w="2736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FDA75D7" w14:textId="77777777" w:rsidR="00DD75FD" w:rsidRPr="0022388E" w:rsidRDefault="00C92221" w:rsidP="00E839F6">
            <w:pPr>
              <w:rPr>
                <w:noProof/>
                <w:sz w:val="24"/>
              </w:rPr>
            </w:pPr>
            <w:r w:rsidRPr="0022388E">
              <w:rPr>
                <w:noProof/>
                <w:sz w:val="24"/>
              </w:rPr>
              <w:t>UČO:</w:t>
            </w:r>
          </w:p>
        </w:tc>
        <w:tc>
          <w:tcPr>
            <w:tcW w:w="5472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0AE795F2" w14:textId="77777777" w:rsidR="00DD75FD" w:rsidRPr="0022388E" w:rsidRDefault="003221FC" w:rsidP="00E839F6">
            <w:pPr>
              <w:ind w:left="176"/>
              <w:rPr>
                <w:noProof/>
                <w:sz w:val="24"/>
              </w:rPr>
            </w:pPr>
            <w:r w:rsidRPr="0022388E">
              <w:rPr>
                <w:noProof/>
                <w:sz w:val="24"/>
              </w:rPr>
              <w:t>481675</w:t>
            </w:r>
          </w:p>
        </w:tc>
      </w:tr>
      <w:tr w:rsidR="00C92221" w14:paraId="43E72AF9" w14:textId="77777777" w:rsidTr="003936A3">
        <w:trPr>
          <w:gridBefore w:val="1"/>
          <w:wBefore w:w="2255" w:type="dxa"/>
          <w:trHeight w:val="345"/>
          <w:jc w:val="center"/>
        </w:trPr>
        <w:tc>
          <w:tcPr>
            <w:tcW w:w="2736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4B22281" w14:textId="77777777" w:rsidR="00C92221" w:rsidRPr="0022388E" w:rsidRDefault="00C92221" w:rsidP="00E839F6">
            <w:pPr>
              <w:rPr>
                <w:noProof/>
                <w:sz w:val="24"/>
              </w:rPr>
            </w:pPr>
            <w:r w:rsidRPr="0022388E">
              <w:rPr>
                <w:noProof/>
                <w:sz w:val="24"/>
              </w:rPr>
              <w:t>Název, kód předmětu:</w:t>
            </w:r>
          </w:p>
        </w:tc>
        <w:tc>
          <w:tcPr>
            <w:tcW w:w="5472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70E2B282" w14:textId="77777777" w:rsidR="00C92221" w:rsidRPr="0022388E" w:rsidRDefault="003233E8" w:rsidP="00E839F6">
            <w:pPr>
              <w:ind w:left="176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Statistická analýza dat</w:t>
            </w:r>
            <w:r w:rsidR="004D0C29">
              <w:rPr>
                <w:noProof/>
                <w:sz w:val="24"/>
              </w:rPr>
              <w:t xml:space="preserve">, </w:t>
            </w:r>
            <w:r>
              <w:rPr>
                <w:noProof/>
                <w:sz w:val="24"/>
              </w:rPr>
              <w:t>PSY117</w:t>
            </w:r>
          </w:p>
        </w:tc>
      </w:tr>
      <w:tr w:rsidR="00C92221" w14:paraId="22EE7FA5" w14:textId="77777777" w:rsidTr="003936A3">
        <w:trPr>
          <w:gridBefore w:val="1"/>
          <w:wBefore w:w="2255" w:type="dxa"/>
          <w:trHeight w:val="345"/>
          <w:jc w:val="center"/>
        </w:trPr>
        <w:tc>
          <w:tcPr>
            <w:tcW w:w="2736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6687524" w14:textId="77777777" w:rsidR="00C92221" w:rsidRPr="0022388E" w:rsidRDefault="00C92221" w:rsidP="00E839F6">
            <w:pPr>
              <w:ind w:left="164" w:hanging="164"/>
              <w:rPr>
                <w:noProof/>
                <w:sz w:val="24"/>
              </w:rPr>
            </w:pPr>
            <w:r w:rsidRPr="0022388E">
              <w:rPr>
                <w:noProof/>
                <w:sz w:val="24"/>
              </w:rPr>
              <w:t>Vyučující:</w:t>
            </w:r>
          </w:p>
        </w:tc>
        <w:tc>
          <w:tcPr>
            <w:tcW w:w="5472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4062A205" w14:textId="77777777" w:rsidR="00C92221" w:rsidRPr="0022388E" w:rsidRDefault="00461A84" w:rsidP="003233E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 </w:t>
            </w:r>
            <w:r w:rsidR="00AC40F3">
              <w:t xml:space="preserve"> </w:t>
            </w:r>
            <w:r w:rsidR="00AC40F3" w:rsidRPr="00AC40F3">
              <w:rPr>
                <w:noProof/>
                <w:sz w:val="24"/>
              </w:rPr>
              <w:t>Mgr. Stanislav Ježek, Ph.D.</w:t>
            </w:r>
          </w:p>
        </w:tc>
      </w:tr>
      <w:tr w:rsidR="00400E3A" w14:paraId="55263891" w14:textId="77777777" w:rsidTr="003936A3">
        <w:trPr>
          <w:gridBefore w:val="1"/>
          <w:wBefore w:w="2255" w:type="dxa"/>
          <w:trHeight w:val="345"/>
          <w:jc w:val="center"/>
        </w:trPr>
        <w:tc>
          <w:tcPr>
            <w:tcW w:w="2736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2A3B103" w14:textId="77777777" w:rsidR="00400E3A" w:rsidRPr="0022388E" w:rsidRDefault="00400E3A" w:rsidP="00E839F6">
            <w:pPr>
              <w:rPr>
                <w:noProof/>
                <w:sz w:val="24"/>
              </w:rPr>
            </w:pPr>
            <w:r w:rsidRPr="0022388E">
              <w:rPr>
                <w:noProof/>
                <w:sz w:val="24"/>
              </w:rPr>
              <w:t>Datum odevzdání:</w:t>
            </w:r>
          </w:p>
        </w:tc>
        <w:tc>
          <w:tcPr>
            <w:tcW w:w="2252" w:type="dxa"/>
            <w:tcBorders>
              <w:left w:val="single" w:sz="4" w:space="0" w:color="BFBFBF" w:themeColor="background1" w:themeShade="BF"/>
            </w:tcBorders>
            <w:vAlign w:val="center"/>
          </w:tcPr>
          <w:p w14:paraId="4CCA9249" w14:textId="77777777" w:rsidR="003221FC" w:rsidRPr="0022388E" w:rsidRDefault="003233E8" w:rsidP="00875C2F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 8</w:t>
            </w:r>
            <w:r w:rsidR="00461A84">
              <w:rPr>
                <w:noProof/>
                <w:sz w:val="24"/>
              </w:rPr>
              <w:t>.</w:t>
            </w:r>
            <w:r>
              <w:rPr>
                <w:noProof/>
                <w:sz w:val="24"/>
              </w:rPr>
              <w:t xml:space="preserve"> 5.</w:t>
            </w:r>
            <w:r w:rsidR="00461A84">
              <w:rPr>
                <w:noProof/>
                <w:sz w:val="24"/>
              </w:rPr>
              <w:t xml:space="preserve"> 2019 </w:t>
            </w:r>
          </w:p>
        </w:tc>
        <w:tc>
          <w:tcPr>
            <w:tcW w:w="2414" w:type="dxa"/>
            <w:vAlign w:val="center"/>
          </w:tcPr>
          <w:p w14:paraId="125ADE54" w14:textId="77777777" w:rsidR="00400E3A" w:rsidRPr="0022388E" w:rsidRDefault="003233E8" w:rsidP="00875C2F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Seminární skupina </w:t>
            </w:r>
          </w:p>
        </w:tc>
        <w:tc>
          <w:tcPr>
            <w:tcW w:w="805" w:type="dxa"/>
            <w:vAlign w:val="center"/>
          </w:tcPr>
          <w:p w14:paraId="430FEDE5" w14:textId="77777777" w:rsidR="00400E3A" w:rsidRPr="0022388E" w:rsidRDefault="003233E8" w:rsidP="00E839F6">
            <w:pPr>
              <w:rPr>
                <w:noProof/>
                <w:sz w:val="24"/>
              </w:rPr>
            </w:pPr>
            <w:r w:rsidRPr="003233E8">
              <w:rPr>
                <w:noProof/>
                <w:sz w:val="24"/>
              </w:rPr>
              <w:t>01</w:t>
            </w:r>
          </w:p>
        </w:tc>
      </w:tr>
      <w:tr w:rsidR="00400E3A" w14:paraId="72FC95E1" w14:textId="77777777" w:rsidTr="003936A3">
        <w:trPr>
          <w:trHeight w:val="345"/>
          <w:jc w:val="center"/>
        </w:trPr>
        <w:tc>
          <w:tcPr>
            <w:tcW w:w="1046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3654EC5E" w14:textId="77777777" w:rsidR="00400E3A" w:rsidRDefault="00400E3A" w:rsidP="00E839F6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5F0EE0BB" w14:textId="77777777" w:rsidR="005F4075" w:rsidRDefault="003A3345" w:rsidP="00804767">
      <w:pPr>
        <w:rPr>
          <w:b/>
          <w:sz w:val="28"/>
        </w:rPr>
      </w:pPr>
      <w:r w:rsidRPr="006859E0">
        <w:rPr>
          <w:noProof/>
          <w:lang w:eastAsia="cs-CZ"/>
        </w:rPr>
        <w:drawing>
          <wp:anchor distT="0" distB="0" distL="114300" distR="114300" simplePos="0" relativeHeight="251658240" behindDoc="1" locked="1" layoutInCell="1" allowOverlap="1" wp14:anchorId="6E49AD7D" wp14:editId="1B91961D">
            <wp:simplePos x="0" y="0"/>
            <wp:positionH relativeFrom="margin">
              <wp:posOffset>-641985</wp:posOffset>
            </wp:positionH>
            <wp:positionV relativeFrom="paragraph">
              <wp:posOffset>12700</wp:posOffset>
            </wp:positionV>
            <wp:extent cx="1598295" cy="1228725"/>
            <wp:effectExtent l="0" t="0" r="0" b="0"/>
            <wp:wrapTight wrapText="bothSides">
              <wp:wrapPolygon edited="0">
                <wp:start x="2317" y="2679"/>
                <wp:lineTo x="2574" y="18753"/>
                <wp:lineTo x="13902" y="18753"/>
                <wp:lineTo x="14932" y="16744"/>
                <wp:lineTo x="14417" y="15070"/>
                <wp:lineTo x="16477" y="13730"/>
                <wp:lineTo x="19309" y="9042"/>
                <wp:lineTo x="19051" y="2679"/>
                <wp:lineTo x="2317" y="2679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059D9" w14:textId="77777777" w:rsidR="005F4075" w:rsidRDefault="005F4075" w:rsidP="00804767">
      <w:pPr>
        <w:rPr>
          <w:b/>
          <w:sz w:val="28"/>
        </w:rPr>
      </w:pPr>
    </w:p>
    <w:p w14:paraId="4C13B399" w14:textId="77777777" w:rsidR="005F4075" w:rsidRPr="005F4075" w:rsidRDefault="005F4075" w:rsidP="005F4075">
      <w:pPr>
        <w:rPr>
          <w:b/>
          <w:noProof/>
          <w:sz w:val="28"/>
        </w:rPr>
      </w:pPr>
      <w:r w:rsidRPr="005F4075">
        <w:rPr>
          <w:b/>
          <w:sz w:val="32"/>
        </w:rPr>
        <w:t xml:space="preserve">Charakteristiky uživatelů heroinu a pervitinu po 14 </w:t>
      </w:r>
      <w:r w:rsidRPr="005F4075">
        <w:rPr>
          <w:b/>
          <w:sz w:val="28"/>
        </w:rPr>
        <w:t xml:space="preserve">letech </w:t>
      </w:r>
      <w:r w:rsidR="00804767">
        <w:rPr>
          <w:b/>
          <w:sz w:val="28"/>
        </w:rPr>
        <w:t xml:space="preserve"> </w:t>
      </w:r>
    </w:p>
    <w:p w14:paraId="2ADDBF4A" w14:textId="77777777" w:rsidR="00EB668A" w:rsidRDefault="00F07BCF" w:rsidP="005B1F50">
      <w:pPr>
        <w:jc w:val="both"/>
        <w:rPr>
          <w:sz w:val="24"/>
        </w:rPr>
      </w:pPr>
      <w:r>
        <w:rPr>
          <w:sz w:val="24"/>
        </w:rPr>
        <w:t>Na počátku devadesátých let minulého století byl v</w:t>
      </w:r>
      <w:r w:rsidR="00FF217E">
        <w:rPr>
          <w:sz w:val="24"/>
        </w:rPr>
        <w:t> České republice</w:t>
      </w:r>
      <w:r>
        <w:rPr>
          <w:sz w:val="24"/>
        </w:rPr>
        <w:t xml:space="preserve"> prudký nárůst drog mezi dospív</w:t>
      </w:r>
      <w:r w:rsidR="00804767">
        <w:rPr>
          <w:sz w:val="24"/>
        </w:rPr>
        <w:t>ajícími a mladými dospělými.  Česká republika</w:t>
      </w:r>
      <w:r>
        <w:rPr>
          <w:sz w:val="24"/>
        </w:rPr>
        <w:t xml:space="preserve"> navíc patří mezi země s vysokou </w:t>
      </w:r>
      <w:r w:rsidR="00C935DC">
        <w:rPr>
          <w:sz w:val="24"/>
        </w:rPr>
        <w:t>prev</w:t>
      </w:r>
      <w:r w:rsidR="00965E7B">
        <w:rPr>
          <w:sz w:val="24"/>
        </w:rPr>
        <w:t>alencí marihuany a dalších drog</w:t>
      </w:r>
      <w:r w:rsidR="00C935DC">
        <w:rPr>
          <w:sz w:val="24"/>
        </w:rPr>
        <w:t xml:space="preserve">. </w:t>
      </w:r>
      <w:r>
        <w:rPr>
          <w:sz w:val="24"/>
        </w:rPr>
        <w:t>Toto j</w:t>
      </w:r>
      <w:r w:rsidR="00EB668A">
        <w:rPr>
          <w:sz w:val="24"/>
        </w:rPr>
        <w:t>e první studie v České republice, která</w:t>
      </w:r>
      <w:r w:rsidR="005B1F50">
        <w:rPr>
          <w:sz w:val="24"/>
        </w:rPr>
        <w:t xml:space="preserve"> se zaměřila </w:t>
      </w:r>
      <w:r w:rsidR="00EB668A">
        <w:rPr>
          <w:sz w:val="24"/>
        </w:rPr>
        <w:t xml:space="preserve">dlouhodobý </w:t>
      </w:r>
      <w:r w:rsidRPr="00F07BCF">
        <w:rPr>
          <w:sz w:val="24"/>
        </w:rPr>
        <w:t>dopad užívání drog na život jedince</w:t>
      </w:r>
      <w:r>
        <w:rPr>
          <w:sz w:val="24"/>
        </w:rPr>
        <w:t xml:space="preserve">. </w:t>
      </w:r>
      <w:r w:rsidR="00A7762D">
        <w:rPr>
          <w:sz w:val="24"/>
        </w:rPr>
        <w:t>Autorem je Csémy a kolektiv.</w:t>
      </w:r>
      <w:r w:rsidR="007C1D13">
        <w:rPr>
          <w:sz w:val="24"/>
        </w:rPr>
        <w:t xml:space="preserve"> Cílem je posoudit </w:t>
      </w:r>
      <w:r w:rsidR="00054CAA">
        <w:rPr>
          <w:sz w:val="24"/>
        </w:rPr>
        <w:t xml:space="preserve">dopad užívání drog v období </w:t>
      </w:r>
      <w:r w:rsidR="00CE77A4">
        <w:rPr>
          <w:sz w:val="24"/>
        </w:rPr>
        <w:t xml:space="preserve">adolescence </w:t>
      </w:r>
      <w:r w:rsidR="00804767">
        <w:rPr>
          <w:sz w:val="24"/>
        </w:rPr>
        <w:t xml:space="preserve">na pozdější </w:t>
      </w:r>
      <w:r w:rsidR="00054CAA">
        <w:rPr>
          <w:sz w:val="24"/>
        </w:rPr>
        <w:t xml:space="preserve">období života. </w:t>
      </w:r>
      <w:r w:rsidR="00CE77A4">
        <w:rPr>
          <w:sz w:val="24"/>
        </w:rPr>
        <w:t xml:space="preserve">Adolescence je vývojové období mezi pubertou a ranou dospělostí. </w:t>
      </w:r>
    </w:p>
    <w:p w14:paraId="18003108" w14:textId="77777777" w:rsidR="00A45793" w:rsidRDefault="009070A3" w:rsidP="005B1F50">
      <w:pPr>
        <w:jc w:val="both"/>
        <w:rPr>
          <w:sz w:val="24"/>
        </w:rPr>
      </w:pPr>
      <w:r>
        <w:rPr>
          <w:sz w:val="24"/>
        </w:rPr>
        <w:t>Průměrný věk dotazovaných při prvních vyšetřen</w:t>
      </w:r>
      <w:r w:rsidR="00DB46CC">
        <w:rPr>
          <w:sz w:val="24"/>
        </w:rPr>
        <w:t xml:space="preserve">ích a rozhovorech byl 17 let a každý </w:t>
      </w:r>
      <w:r w:rsidR="00DB46CC" w:rsidRPr="00DB46CC">
        <w:rPr>
          <w:sz w:val="24"/>
        </w:rPr>
        <w:t>dotázaný</w:t>
      </w:r>
      <w:r w:rsidR="00DB46CC">
        <w:rPr>
          <w:sz w:val="24"/>
        </w:rPr>
        <w:t xml:space="preserve"> užíval pervitin nebo heroin, </w:t>
      </w:r>
      <w:r w:rsidR="00DB46CC" w:rsidRPr="00DB46CC">
        <w:rPr>
          <w:sz w:val="24"/>
        </w:rPr>
        <w:t>většina injekčně</w:t>
      </w:r>
      <w:r w:rsidR="00DB46CC">
        <w:rPr>
          <w:sz w:val="24"/>
        </w:rPr>
        <w:t>.</w:t>
      </w:r>
      <w:r>
        <w:rPr>
          <w:sz w:val="24"/>
        </w:rPr>
        <w:t xml:space="preserve"> Výzkumu se účastnilo přibližně </w:t>
      </w:r>
      <w:r w:rsidR="0042667D">
        <w:rPr>
          <w:sz w:val="24"/>
        </w:rPr>
        <w:t>50</w:t>
      </w:r>
      <w:r>
        <w:rPr>
          <w:sz w:val="24"/>
        </w:rPr>
        <w:t xml:space="preserve"> osob, které se podařilo dohledat </w:t>
      </w:r>
      <w:r w:rsidR="0042667D">
        <w:rPr>
          <w:sz w:val="24"/>
        </w:rPr>
        <w:t>a provést u nich vyšetření po 14 letech od</w:t>
      </w:r>
      <w:r>
        <w:rPr>
          <w:sz w:val="24"/>
        </w:rPr>
        <w:t xml:space="preserve"> prvního výzkumu. </w:t>
      </w:r>
      <w:r w:rsidR="0042667D">
        <w:rPr>
          <w:sz w:val="24"/>
        </w:rPr>
        <w:t xml:space="preserve">Věk dotazovaných při druhém vyšetření byl tedy 31 let. </w:t>
      </w:r>
      <w:r w:rsidR="00767441">
        <w:rPr>
          <w:sz w:val="24"/>
        </w:rPr>
        <w:t>Při prvním vyšetření vyplňovali adolescenti</w:t>
      </w:r>
      <w:r w:rsidR="00A7762D">
        <w:rPr>
          <w:sz w:val="24"/>
        </w:rPr>
        <w:t xml:space="preserve"> </w:t>
      </w:r>
      <w:r w:rsidR="00767441">
        <w:rPr>
          <w:sz w:val="24"/>
        </w:rPr>
        <w:t xml:space="preserve">rozsáhlý dotazník, </w:t>
      </w:r>
      <w:r w:rsidR="00532B68">
        <w:rPr>
          <w:sz w:val="24"/>
        </w:rPr>
        <w:t xml:space="preserve">který se ptal hlavně na </w:t>
      </w:r>
      <w:r w:rsidR="00767441">
        <w:rPr>
          <w:sz w:val="24"/>
        </w:rPr>
        <w:t xml:space="preserve">informace </w:t>
      </w:r>
      <w:r w:rsidR="00532B68">
        <w:rPr>
          <w:sz w:val="24"/>
        </w:rPr>
        <w:t xml:space="preserve">ohledně braní drog a situaci v rodině. </w:t>
      </w:r>
      <w:r w:rsidR="00681CDA">
        <w:rPr>
          <w:sz w:val="24"/>
        </w:rPr>
        <w:t>Druhé vyšetření b</w:t>
      </w:r>
      <w:r w:rsidR="00B142D9">
        <w:rPr>
          <w:sz w:val="24"/>
        </w:rPr>
        <w:t>ylo</w:t>
      </w:r>
      <w:r w:rsidR="00DB46CC">
        <w:rPr>
          <w:sz w:val="24"/>
        </w:rPr>
        <w:t xml:space="preserve"> již složitější a skládalo se z </w:t>
      </w:r>
      <w:r w:rsidR="00681CDA">
        <w:rPr>
          <w:sz w:val="24"/>
        </w:rPr>
        <w:t>3 částí.</w:t>
      </w:r>
      <w:r w:rsidR="00B142D9">
        <w:rPr>
          <w:sz w:val="24"/>
        </w:rPr>
        <w:t xml:space="preserve"> Rozhovor zaměřený na životní momenty, dále dotazník, </w:t>
      </w:r>
      <w:r w:rsidR="00B142D9" w:rsidRPr="00B142D9">
        <w:rPr>
          <w:sz w:val="24"/>
        </w:rPr>
        <w:t>který umožňuje posoudit u oso</w:t>
      </w:r>
      <w:r w:rsidR="00B142D9">
        <w:rPr>
          <w:sz w:val="24"/>
        </w:rPr>
        <w:t>b s návykovými poruchami jejich problémy v různých</w:t>
      </w:r>
      <w:r w:rsidR="00B142D9" w:rsidRPr="00B142D9">
        <w:rPr>
          <w:sz w:val="24"/>
        </w:rPr>
        <w:t xml:space="preserve"> životních oblastech</w:t>
      </w:r>
      <w:r w:rsidR="00B142D9">
        <w:rPr>
          <w:sz w:val="24"/>
        </w:rPr>
        <w:t>,</w:t>
      </w:r>
      <w:r w:rsidR="00532B68">
        <w:rPr>
          <w:sz w:val="24"/>
        </w:rPr>
        <w:t xml:space="preserve"> </w:t>
      </w:r>
      <w:r w:rsidR="00B142D9">
        <w:rPr>
          <w:sz w:val="24"/>
        </w:rPr>
        <w:t xml:space="preserve">a poslední část byly psychologické testy a dotazníky. </w:t>
      </w:r>
    </w:p>
    <w:p w14:paraId="5A65CDC1" w14:textId="77777777" w:rsidR="005F4075" w:rsidRDefault="00DB46CC" w:rsidP="00804767">
      <w:pPr>
        <w:jc w:val="both"/>
        <w:rPr>
          <w:sz w:val="24"/>
        </w:rPr>
      </w:pPr>
      <w:r>
        <w:rPr>
          <w:sz w:val="24"/>
        </w:rPr>
        <w:t>Výsledky ukázaly</w:t>
      </w:r>
      <w:r w:rsidR="00064834">
        <w:rPr>
          <w:sz w:val="24"/>
        </w:rPr>
        <w:t>, že</w:t>
      </w:r>
      <w:r w:rsidR="00804767">
        <w:rPr>
          <w:sz w:val="24"/>
        </w:rPr>
        <w:t xml:space="preserve"> čtvrtina má stále s drogou problémy</w:t>
      </w:r>
      <w:r w:rsidR="00A623D6">
        <w:rPr>
          <w:sz w:val="24"/>
        </w:rPr>
        <w:t>.</w:t>
      </w:r>
      <w:r w:rsidR="00471092">
        <w:rPr>
          <w:sz w:val="24"/>
        </w:rPr>
        <w:t xml:space="preserve"> Z grafu</w:t>
      </w:r>
      <w:r w:rsidR="00FC5CFE">
        <w:rPr>
          <w:sz w:val="24"/>
        </w:rPr>
        <w:t xml:space="preserve"> č. 1 můžeme vyčíst, </w:t>
      </w:r>
      <w:r w:rsidR="00B04290">
        <w:rPr>
          <w:sz w:val="24"/>
        </w:rPr>
        <w:t>že se sku</w:t>
      </w:r>
      <w:r w:rsidR="00804767">
        <w:rPr>
          <w:sz w:val="24"/>
        </w:rPr>
        <w:t>piny, které v současnosti s drogou mají nebo nemají problém</w:t>
      </w:r>
      <w:r w:rsidR="00B04290">
        <w:rPr>
          <w:sz w:val="24"/>
        </w:rPr>
        <w:t xml:space="preserve">, o </w:t>
      </w:r>
      <w:r w:rsidR="00FC5CFE">
        <w:rPr>
          <w:sz w:val="24"/>
        </w:rPr>
        <w:t xml:space="preserve">tolik výrazně nelišily. Největší rozdíl je v nižším dosaženém vzdělání. </w:t>
      </w:r>
      <w:r w:rsidR="00BA6716">
        <w:rPr>
          <w:sz w:val="24"/>
        </w:rPr>
        <w:t>V obou skupinách více jak polovina pracovala, u skupiny s</w:t>
      </w:r>
      <w:r w:rsidR="00A7762D">
        <w:rPr>
          <w:sz w:val="24"/>
        </w:rPr>
        <w:t> převládajícím drogovým problémem</w:t>
      </w:r>
      <w:r w:rsidR="00BA6716">
        <w:rPr>
          <w:sz w:val="24"/>
        </w:rPr>
        <w:t xml:space="preserve"> </w:t>
      </w:r>
      <w:r w:rsidR="00E06A99">
        <w:rPr>
          <w:sz w:val="24"/>
        </w:rPr>
        <w:t xml:space="preserve">převládaly manuální práce. </w:t>
      </w:r>
      <w:r w:rsidR="00965E7B">
        <w:rPr>
          <w:sz w:val="24"/>
        </w:rPr>
        <w:t xml:space="preserve">Výskyt psychiatrické poruchy, </w:t>
      </w:r>
      <w:r w:rsidR="000D1DFE">
        <w:rPr>
          <w:sz w:val="24"/>
        </w:rPr>
        <w:t xml:space="preserve">byl u obou skupin stejný a </w:t>
      </w:r>
      <w:r w:rsidR="000D1DFE" w:rsidRPr="000D1DFE">
        <w:rPr>
          <w:sz w:val="24"/>
        </w:rPr>
        <w:t>nejčastěji šlo o depresivní poruchu</w:t>
      </w:r>
      <w:r w:rsidR="000D1DFE">
        <w:rPr>
          <w:sz w:val="24"/>
        </w:rPr>
        <w:t>.</w:t>
      </w:r>
    </w:p>
    <w:p w14:paraId="0E935AC1" w14:textId="77777777" w:rsidR="005F4075" w:rsidRDefault="005F4075" w:rsidP="00804767">
      <w:pPr>
        <w:jc w:val="both"/>
        <w:rPr>
          <w:sz w:val="24"/>
        </w:rPr>
      </w:pPr>
    </w:p>
    <w:p w14:paraId="460D5855" w14:textId="77777777" w:rsidR="005F4075" w:rsidRDefault="005F4075" w:rsidP="00804767">
      <w:pPr>
        <w:jc w:val="both"/>
        <w:rPr>
          <w:sz w:val="24"/>
        </w:rPr>
      </w:pPr>
    </w:p>
    <w:p w14:paraId="090293E4" w14:textId="77777777" w:rsidR="005F4075" w:rsidRDefault="005F4075" w:rsidP="00804767">
      <w:pPr>
        <w:jc w:val="both"/>
        <w:rPr>
          <w:sz w:val="24"/>
        </w:rPr>
      </w:pPr>
    </w:p>
    <w:p w14:paraId="42F05198" w14:textId="77777777" w:rsidR="005F4075" w:rsidRDefault="005F4075" w:rsidP="00804767">
      <w:pPr>
        <w:jc w:val="both"/>
        <w:rPr>
          <w:sz w:val="24"/>
        </w:rPr>
      </w:pPr>
    </w:p>
    <w:p w14:paraId="1876FDCD" w14:textId="77777777" w:rsidR="005F4075" w:rsidRDefault="005F4075" w:rsidP="00804767">
      <w:pPr>
        <w:jc w:val="both"/>
        <w:rPr>
          <w:sz w:val="24"/>
        </w:rPr>
      </w:pPr>
    </w:p>
    <w:p w14:paraId="27F36330" w14:textId="77777777" w:rsidR="005F4075" w:rsidRDefault="005F4075" w:rsidP="00804767">
      <w:pPr>
        <w:jc w:val="both"/>
        <w:rPr>
          <w:sz w:val="24"/>
        </w:rPr>
      </w:pPr>
    </w:p>
    <w:p w14:paraId="3F30E761" w14:textId="77777777" w:rsidR="005F4075" w:rsidRDefault="005F4075" w:rsidP="00804767">
      <w:pPr>
        <w:jc w:val="both"/>
        <w:rPr>
          <w:sz w:val="24"/>
        </w:rPr>
      </w:pPr>
    </w:p>
    <w:p w14:paraId="52293DE4" w14:textId="77777777" w:rsidR="005F4075" w:rsidRDefault="005F4075" w:rsidP="00804767">
      <w:pPr>
        <w:jc w:val="both"/>
        <w:rPr>
          <w:sz w:val="24"/>
        </w:rPr>
      </w:pPr>
    </w:p>
    <w:p w14:paraId="133842E0" w14:textId="77777777" w:rsidR="00A623D6" w:rsidRPr="00804767" w:rsidRDefault="000D1DFE" w:rsidP="00804767">
      <w:pPr>
        <w:jc w:val="both"/>
        <w:rPr>
          <w:sz w:val="24"/>
        </w:rPr>
      </w:pPr>
      <w:r>
        <w:rPr>
          <w:sz w:val="24"/>
        </w:rPr>
        <w:t xml:space="preserve"> </w:t>
      </w:r>
      <w:r w:rsidR="00DD50E5">
        <w:rPr>
          <w:sz w:val="18"/>
        </w:rPr>
        <w:t xml:space="preserve">Graf </w:t>
      </w:r>
      <w:r w:rsidR="00A623D6" w:rsidRPr="00A623D6">
        <w:rPr>
          <w:sz w:val="18"/>
        </w:rPr>
        <w:t xml:space="preserve">č. 1 </w:t>
      </w:r>
    </w:p>
    <w:p w14:paraId="706A4631" w14:textId="77777777" w:rsidR="00767441" w:rsidRDefault="0034650F" w:rsidP="00A45793">
      <w:pPr>
        <w:rPr>
          <w:sz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3B389A32" wp14:editId="05804AD5">
            <wp:extent cx="5467350" cy="400050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813B632" w14:textId="77777777" w:rsidR="003702D6" w:rsidRPr="00471092" w:rsidRDefault="003702D6" w:rsidP="00A45793">
      <w:pPr>
        <w:rPr>
          <w:sz w:val="28"/>
        </w:rPr>
      </w:pPr>
    </w:p>
    <w:p w14:paraId="67416152" w14:textId="77777777" w:rsidR="00CD15FF" w:rsidRPr="00471092" w:rsidRDefault="00DD50E5" w:rsidP="00965E7B">
      <w:pPr>
        <w:spacing w:after="0"/>
        <w:jc w:val="both"/>
      </w:pPr>
      <w:r w:rsidRPr="00471092">
        <w:t>Graf</w:t>
      </w:r>
      <w:r w:rsidR="00CD15FF" w:rsidRPr="00471092">
        <w:t xml:space="preserve"> č.</w:t>
      </w:r>
      <w:r w:rsidRPr="00471092">
        <w:t xml:space="preserve"> 2</w:t>
      </w:r>
      <w:r w:rsidR="00CD15FF" w:rsidRPr="00471092">
        <w:t xml:space="preserve"> </w:t>
      </w:r>
      <w:r w:rsidR="00980737" w:rsidRPr="00471092">
        <w:t>Srovnání neproblémové a problémové sk</w:t>
      </w:r>
      <w:r w:rsidR="00965E7B">
        <w:t xml:space="preserve">upiny na základě </w:t>
      </w:r>
      <w:r w:rsidR="00980737" w:rsidRPr="00471092">
        <w:t>závažnosti</w:t>
      </w:r>
      <w:r w:rsidR="00965E7B">
        <w:t xml:space="preserve"> návykového </w:t>
      </w:r>
      <w:r w:rsidR="00980737" w:rsidRPr="00471092">
        <w:t>chování</w:t>
      </w:r>
    </w:p>
    <w:p w14:paraId="523F79BA" w14:textId="77777777" w:rsidR="00980737" w:rsidRDefault="00CD15FF" w:rsidP="005B1F50">
      <w:pPr>
        <w:jc w:val="center"/>
        <w:rPr>
          <w:sz w:val="20"/>
        </w:rPr>
      </w:pPr>
      <w:r>
        <w:rPr>
          <w:noProof/>
          <w:sz w:val="20"/>
          <w:lang w:eastAsia="cs-CZ"/>
        </w:rPr>
        <w:drawing>
          <wp:anchor distT="0" distB="0" distL="114300" distR="114300" simplePos="0" relativeHeight="251659264" behindDoc="0" locked="0" layoutInCell="1" allowOverlap="1" wp14:anchorId="25C3789D" wp14:editId="56F6F175">
            <wp:simplePos x="914400" y="5106838"/>
            <wp:positionH relativeFrom="column">
              <wp:align>left</wp:align>
            </wp:positionH>
            <wp:positionV relativeFrom="paragraph">
              <wp:align>top</wp:align>
            </wp:positionV>
            <wp:extent cx="4244196" cy="2538030"/>
            <wp:effectExtent l="19050" t="19050" r="23495" b="1524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196" cy="2538030"/>
                    </a:xfrm>
                    <a:prstGeom prst="rect">
                      <a:avLst/>
                    </a:prstGeom>
                    <a:ln w="3175"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anchor>
        </w:drawing>
      </w:r>
      <w:r w:rsidR="00DD50E5">
        <w:rPr>
          <w:sz w:val="20"/>
        </w:rPr>
        <w:br w:type="textWrapping" w:clear="all"/>
        <w:t>(čím vyšší sk</w:t>
      </w:r>
      <w:r w:rsidR="00DD50E5" w:rsidRPr="00DD50E5">
        <w:rPr>
          <w:sz w:val="20"/>
        </w:rPr>
        <w:t>ó</w:t>
      </w:r>
      <w:r w:rsidR="00DD50E5">
        <w:rPr>
          <w:sz w:val="20"/>
        </w:rPr>
        <w:t>r, tím větší problém)</w:t>
      </w:r>
    </w:p>
    <w:p w14:paraId="682DC6D5" w14:textId="77777777" w:rsidR="00CD15FF" w:rsidRPr="005D26DE" w:rsidRDefault="00CE0501" w:rsidP="005B1F50">
      <w:pPr>
        <w:jc w:val="both"/>
        <w:rPr>
          <w:sz w:val="24"/>
        </w:rPr>
      </w:pPr>
      <w:r>
        <w:rPr>
          <w:sz w:val="24"/>
        </w:rPr>
        <w:t>Výsledky</w:t>
      </w:r>
      <w:r w:rsidR="003702D6">
        <w:rPr>
          <w:sz w:val="24"/>
        </w:rPr>
        <w:t xml:space="preserve"> </w:t>
      </w:r>
      <w:r w:rsidR="00980737" w:rsidRPr="00980737">
        <w:rPr>
          <w:sz w:val="24"/>
        </w:rPr>
        <w:t>pro sedm klíčových životních oblastí ukazují, že mezi</w:t>
      </w:r>
      <w:r w:rsidR="00980737">
        <w:rPr>
          <w:sz w:val="20"/>
        </w:rPr>
        <w:t xml:space="preserve"> </w:t>
      </w:r>
      <w:r w:rsidR="00980737" w:rsidRPr="00980737">
        <w:rPr>
          <w:sz w:val="24"/>
        </w:rPr>
        <w:t>skupinami jsou podstatné rozdíly</w:t>
      </w:r>
      <w:r w:rsidR="00980737">
        <w:rPr>
          <w:sz w:val="24"/>
        </w:rPr>
        <w:t xml:space="preserve"> ve třech oblastech. </w:t>
      </w:r>
      <w:r w:rsidR="00980737" w:rsidRPr="00980737">
        <w:rPr>
          <w:sz w:val="24"/>
        </w:rPr>
        <w:t xml:space="preserve">Skupina s drogovými problémy má výrazně vyšší </w:t>
      </w:r>
      <w:r w:rsidR="00DD50E5">
        <w:rPr>
          <w:sz w:val="24"/>
        </w:rPr>
        <w:t xml:space="preserve">skór v oblasti tělesného zdraví, </w:t>
      </w:r>
      <w:r w:rsidR="00980737" w:rsidRPr="00980737">
        <w:rPr>
          <w:sz w:val="24"/>
        </w:rPr>
        <w:t>za</w:t>
      </w:r>
      <w:r w:rsidR="00DD50E5">
        <w:rPr>
          <w:sz w:val="24"/>
        </w:rPr>
        <w:t xml:space="preserve">městnání a v oblasti </w:t>
      </w:r>
      <w:r w:rsidR="00980737" w:rsidRPr="00980737">
        <w:rPr>
          <w:sz w:val="24"/>
        </w:rPr>
        <w:t>dodržování zákona</w:t>
      </w:r>
      <w:r w:rsidR="00965E7B">
        <w:rPr>
          <w:sz w:val="24"/>
        </w:rPr>
        <w:t>. V</w:t>
      </w:r>
      <w:r w:rsidR="00980737" w:rsidRPr="00980737">
        <w:rPr>
          <w:sz w:val="24"/>
        </w:rPr>
        <w:t xml:space="preserve"> obou skupi</w:t>
      </w:r>
      <w:r w:rsidR="005D26DE" w:rsidRPr="005D26DE">
        <w:rPr>
          <w:sz w:val="24"/>
        </w:rPr>
        <w:t xml:space="preserve">nách </w:t>
      </w:r>
      <w:r w:rsidR="00965E7B">
        <w:rPr>
          <w:sz w:val="24"/>
        </w:rPr>
        <w:t xml:space="preserve">jsou </w:t>
      </w:r>
      <w:r w:rsidR="005D26DE" w:rsidRPr="005D26DE">
        <w:rPr>
          <w:sz w:val="24"/>
        </w:rPr>
        <w:t xml:space="preserve">nejvyšší průměrné skóry v oblasti zaměstnání, což naznačuje obtížnost pracovního uplatnění i pro osoby, </w:t>
      </w:r>
      <w:r w:rsidR="005D26DE">
        <w:rPr>
          <w:sz w:val="24"/>
        </w:rPr>
        <w:t>kterým se problém s drog</w:t>
      </w:r>
      <w:r w:rsidR="005F4075">
        <w:rPr>
          <w:sz w:val="24"/>
        </w:rPr>
        <w:t>ami</w:t>
      </w:r>
      <w:r w:rsidR="005D26DE">
        <w:rPr>
          <w:sz w:val="24"/>
        </w:rPr>
        <w:t xml:space="preserve"> podařilo překonat. Ačkoli by se dalo předpokládat</w:t>
      </w:r>
      <w:r w:rsidR="003702D6">
        <w:rPr>
          <w:sz w:val="24"/>
        </w:rPr>
        <w:t>, že lidé</w:t>
      </w:r>
      <w:r w:rsidR="005D26DE">
        <w:rPr>
          <w:sz w:val="24"/>
        </w:rPr>
        <w:t xml:space="preserve">, které měli nebo mají problémy s drogami, budou mít problém i s alkoholem, není tomu tak. Hodnoty </w:t>
      </w:r>
      <w:r w:rsidR="005D26DE" w:rsidRPr="005D26DE">
        <w:rPr>
          <w:sz w:val="24"/>
        </w:rPr>
        <w:t>u problé</w:t>
      </w:r>
      <w:r w:rsidR="005D26DE">
        <w:rPr>
          <w:sz w:val="24"/>
        </w:rPr>
        <w:t>mů s alkoholem jsou nízké pro obě skupiny.</w:t>
      </w:r>
    </w:p>
    <w:p w14:paraId="3F31D9A8" w14:textId="77777777" w:rsidR="001F7B86" w:rsidRDefault="001F7B86" w:rsidP="005B1F50">
      <w:pPr>
        <w:jc w:val="both"/>
        <w:rPr>
          <w:sz w:val="24"/>
        </w:rPr>
      </w:pPr>
    </w:p>
    <w:p w14:paraId="7677DAAB" w14:textId="77777777" w:rsidR="001F7B86" w:rsidRDefault="001F7B86" w:rsidP="005B1F50">
      <w:pPr>
        <w:jc w:val="both"/>
        <w:rPr>
          <w:sz w:val="24"/>
        </w:rPr>
      </w:pPr>
    </w:p>
    <w:p w14:paraId="6F0CCDC0" w14:textId="77777777" w:rsidR="001F7B86" w:rsidRDefault="001F7B86" w:rsidP="00471092">
      <w:pPr>
        <w:rPr>
          <w:sz w:val="24"/>
        </w:rPr>
      </w:pPr>
      <w:r w:rsidRPr="00471092">
        <w:t xml:space="preserve">Graf č. 3 </w:t>
      </w:r>
      <w:r w:rsidR="00471092" w:rsidRPr="00471092">
        <w:t xml:space="preserve">Individuální a rodinné rizikové faktory </w:t>
      </w:r>
      <w:r w:rsidR="001858E1">
        <w:rPr>
          <w:noProof/>
          <w:sz w:val="24"/>
          <w:lang w:eastAsia="cs-CZ"/>
        </w:rPr>
        <w:drawing>
          <wp:inline distT="0" distB="0" distL="0" distR="0" wp14:anchorId="5A99E7D9" wp14:editId="5D606192">
            <wp:extent cx="5486400" cy="32004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93E33DD" w14:textId="77777777" w:rsidR="00E141F5" w:rsidRDefault="00E141F5" w:rsidP="00804767">
      <w:pPr>
        <w:jc w:val="both"/>
        <w:rPr>
          <w:sz w:val="24"/>
        </w:rPr>
      </w:pPr>
      <w:r>
        <w:rPr>
          <w:sz w:val="24"/>
        </w:rPr>
        <w:t>Jak je vidět z grafu č. 3</w:t>
      </w:r>
      <w:r w:rsidR="00965E7B">
        <w:rPr>
          <w:sz w:val="24"/>
        </w:rPr>
        <w:t>,</w:t>
      </w:r>
      <w:r>
        <w:rPr>
          <w:sz w:val="24"/>
        </w:rPr>
        <w:t xml:space="preserve"> nejvýraznějším rozdílem mezi skupinami je užívání drog denně a nadměrná konzumace alkoholu u rodičů. Výsledky vypadají, jakoby nadměrná konzumace alkoholu u matky částečně podporovala drogovou závislost i v</w:t>
      </w:r>
      <w:r w:rsidR="005F4075">
        <w:rPr>
          <w:sz w:val="24"/>
        </w:rPr>
        <w:t> </w:t>
      </w:r>
      <w:r>
        <w:rPr>
          <w:sz w:val="24"/>
        </w:rPr>
        <w:t>dospělosti</w:t>
      </w:r>
      <w:r w:rsidR="005F4075">
        <w:rPr>
          <w:sz w:val="24"/>
        </w:rPr>
        <w:t>.</w:t>
      </w:r>
    </w:p>
    <w:p w14:paraId="42587B87" w14:textId="77777777" w:rsidR="00D5370A" w:rsidRDefault="00D5370A" w:rsidP="00804767">
      <w:pPr>
        <w:jc w:val="both"/>
        <w:rPr>
          <w:sz w:val="24"/>
        </w:rPr>
      </w:pPr>
      <w:r>
        <w:rPr>
          <w:sz w:val="24"/>
        </w:rPr>
        <w:t>Je třeba zmínit limity studie, které mohly ovlivnit výsledky. Prvním, je již v úvodu zmíněná ztráta</w:t>
      </w:r>
      <w:r w:rsidR="005F4075">
        <w:rPr>
          <w:sz w:val="24"/>
        </w:rPr>
        <w:t xml:space="preserve"> osob</w:t>
      </w:r>
      <w:r>
        <w:rPr>
          <w:sz w:val="24"/>
        </w:rPr>
        <w:t>, kdy došlo ke ztrátě více než poloviny</w:t>
      </w:r>
      <w:r w:rsidR="005F4075">
        <w:rPr>
          <w:sz w:val="24"/>
        </w:rPr>
        <w:t xml:space="preserve"> osob, kteří se účastnili prvního výzkumu.</w:t>
      </w:r>
      <w:r>
        <w:rPr>
          <w:sz w:val="24"/>
        </w:rPr>
        <w:t xml:space="preserve"> Druhým limitem je, že studie byla provedena pouze v Praze. </w:t>
      </w:r>
      <w:r w:rsidR="00551317">
        <w:rPr>
          <w:sz w:val="24"/>
        </w:rPr>
        <w:t>Poznatky této studie je možné zobecnit pouze na populaci z velkoměst, rozhodně nelze říci, že bychom měla stejné výsledky, pokud bychom provedly studii s obyvateli z</w:t>
      </w:r>
      <w:r w:rsidR="000B4C79">
        <w:rPr>
          <w:sz w:val="24"/>
        </w:rPr>
        <w:t> malého města nebo vesnice.</w:t>
      </w:r>
    </w:p>
    <w:p w14:paraId="5787C681" w14:textId="77777777" w:rsidR="004C6B46" w:rsidRPr="004C6B46" w:rsidRDefault="00A00B5F" w:rsidP="004C6B46">
      <w:pPr>
        <w:jc w:val="both"/>
        <w:rPr>
          <w:sz w:val="24"/>
        </w:rPr>
      </w:pPr>
      <w:r>
        <w:rPr>
          <w:sz w:val="24"/>
        </w:rPr>
        <w:t xml:space="preserve">Jak se dalo očekávat, </w:t>
      </w:r>
      <w:r w:rsidR="00CE77A4">
        <w:rPr>
          <w:sz w:val="24"/>
        </w:rPr>
        <w:t xml:space="preserve">intenzivní </w:t>
      </w:r>
      <w:r>
        <w:rPr>
          <w:sz w:val="24"/>
        </w:rPr>
        <w:t>užíván</w:t>
      </w:r>
      <w:r w:rsidR="00A02BBF">
        <w:rPr>
          <w:sz w:val="24"/>
        </w:rPr>
        <w:t>í drog v adolescenci má nepříznivý</w:t>
      </w:r>
      <w:r>
        <w:rPr>
          <w:sz w:val="24"/>
        </w:rPr>
        <w:t xml:space="preserve"> dopad v mnoha </w:t>
      </w:r>
      <w:r w:rsidR="004017E9">
        <w:rPr>
          <w:sz w:val="24"/>
        </w:rPr>
        <w:t xml:space="preserve">životních </w:t>
      </w:r>
      <w:r>
        <w:rPr>
          <w:sz w:val="24"/>
        </w:rPr>
        <w:t>oblastech jako je zdraví a sociální fungování</w:t>
      </w:r>
      <w:r w:rsidR="004017E9">
        <w:rPr>
          <w:sz w:val="24"/>
        </w:rPr>
        <w:t xml:space="preserve"> v dospělosti</w:t>
      </w:r>
      <w:r>
        <w:rPr>
          <w:sz w:val="24"/>
        </w:rPr>
        <w:t xml:space="preserve">. Užívání drog limituje dosažení vyššího vzdělání, se kterým souvisí následné pracovní uplatnění. </w:t>
      </w:r>
      <w:r w:rsidR="00A9127E">
        <w:rPr>
          <w:sz w:val="24"/>
        </w:rPr>
        <w:t>Přesto však tři čtvrtiny osob</w:t>
      </w:r>
      <w:r w:rsidR="0085022D">
        <w:rPr>
          <w:sz w:val="24"/>
        </w:rPr>
        <w:t xml:space="preserve"> se zkušeností s intenzivním užíváním drog jsou v současné </w:t>
      </w:r>
      <w:r w:rsidR="002A34FD">
        <w:rPr>
          <w:sz w:val="24"/>
        </w:rPr>
        <w:t>dob</w:t>
      </w:r>
      <w:r w:rsidR="000B4C79">
        <w:rPr>
          <w:sz w:val="24"/>
        </w:rPr>
        <w:t>ě</w:t>
      </w:r>
      <w:r w:rsidR="0085022D">
        <w:rPr>
          <w:sz w:val="24"/>
        </w:rPr>
        <w:t xml:space="preserve"> </w:t>
      </w:r>
      <w:r w:rsidR="005F4075">
        <w:rPr>
          <w:sz w:val="24"/>
        </w:rPr>
        <w:t>s</w:t>
      </w:r>
      <w:r w:rsidR="004C6B46">
        <w:rPr>
          <w:sz w:val="24"/>
        </w:rPr>
        <w:t xml:space="preserve">ociálně adaptovaní </w:t>
      </w:r>
      <w:r w:rsidR="004C6B46" w:rsidRPr="004C6B46">
        <w:rPr>
          <w:sz w:val="24"/>
        </w:rPr>
        <w:t xml:space="preserve">a drogy již dlouhodobě neužívají. </w:t>
      </w:r>
    </w:p>
    <w:p w14:paraId="0ED72240" w14:textId="77777777" w:rsidR="003702D6" w:rsidRPr="00A45793" w:rsidRDefault="004C6B46" w:rsidP="004C6B46">
      <w:pPr>
        <w:jc w:val="both"/>
        <w:rPr>
          <w:sz w:val="24"/>
        </w:rPr>
      </w:pPr>
      <w:r w:rsidRPr="004C6B46">
        <w:rPr>
          <w:sz w:val="24"/>
        </w:rPr>
        <w:t xml:space="preserve">Kdyby tato zjištění byla pravdivá, tak čtvrtina adolescentů, která intenzivně užívala drogy, se bude s drogovou závislostí potýkat i v dospělosti. </w:t>
      </w:r>
      <w:r>
        <w:rPr>
          <w:sz w:val="24"/>
        </w:rPr>
        <w:t xml:space="preserve">Největší </w:t>
      </w:r>
      <w:r w:rsidRPr="004C6B46">
        <w:rPr>
          <w:sz w:val="24"/>
        </w:rPr>
        <w:t>dopad</w:t>
      </w:r>
      <w:r>
        <w:rPr>
          <w:sz w:val="24"/>
        </w:rPr>
        <w:t xml:space="preserve"> to bude mít</w:t>
      </w:r>
      <w:r w:rsidRPr="004C6B46">
        <w:rPr>
          <w:sz w:val="24"/>
        </w:rPr>
        <w:t xml:space="preserve"> na jejich fyzické zdraví, nižší dosažené vzdělaní a následné problémy se zaměstnáním.  Tři čtvrtiny adolescentů s intenzivním užíváním drog by neměla mít v dospělosti</w:t>
      </w:r>
      <w:r>
        <w:rPr>
          <w:sz w:val="24"/>
        </w:rPr>
        <w:t xml:space="preserve"> problémy s drogovou závislostí. Ačkoli nebudou bojovat s drogovou závislostí, budou se </w:t>
      </w:r>
      <w:r w:rsidR="00A02BBF">
        <w:rPr>
          <w:sz w:val="24"/>
        </w:rPr>
        <w:t xml:space="preserve">nejvíce </w:t>
      </w:r>
      <w:r>
        <w:rPr>
          <w:sz w:val="24"/>
        </w:rPr>
        <w:t xml:space="preserve">potýkat s problémy se </w:t>
      </w:r>
      <w:commentRangeStart w:id="0"/>
      <w:r>
        <w:rPr>
          <w:sz w:val="24"/>
        </w:rPr>
        <w:t>zaměstnáním</w:t>
      </w:r>
      <w:commentRangeEnd w:id="0"/>
      <w:r w:rsidR="007B3323">
        <w:rPr>
          <w:rStyle w:val="CommentReference"/>
        </w:rPr>
        <w:commentReference w:id="0"/>
      </w:r>
      <w:r>
        <w:rPr>
          <w:sz w:val="24"/>
        </w:rPr>
        <w:t xml:space="preserve">. </w:t>
      </w:r>
    </w:p>
    <w:sectPr w:rsidR="003702D6" w:rsidRPr="00A45793" w:rsidSect="00D15255">
      <w:footerReference w:type="default" r:id="rId15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79E4540A" w14:textId="50E83E9F" w:rsidR="007B3323" w:rsidRDefault="007B3323">
      <w:pPr>
        <w:pStyle w:val="CommentText"/>
      </w:pPr>
      <w:r>
        <w:rPr>
          <w:rStyle w:val="CommentReference"/>
        </w:rPr>
        <w:annotationRef/>
      </w:r>
      <w:r w:rsidR="00366B60">
        <w:t xml:space="preserve">Váš text mi připomíná spíše zhuštěné shrnutí / report článku, méně už popularizaci. Zkuste předávat méně informací, zato se zaměřte na to, aby jste skutečně naplnila žánr (inspirujte se třeba příklady popularizací uvedenými v zadání SP). 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E454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4540A" w16cid:durableId="20B566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EEE3C" w14:textId="77777777" w:rsidR="00C66909" w:rsidRDefault="00C66909" w:rsidP="009B72D4">
      <w:pPr>
        <w:spacing w:after="0" w:line="240" w:lineRule="auto"/>
      </w:pPr>
      <w:r>
        <w:separator/>
      </w:r>
    </w:p>
  </w:endnote>
  <w:endnote w:type="continuationSeparator" w:id="0">
    <w:p w14:paraId="230EDEB0" w14:textId="77777777" w:rsidR="00C66909" w:rsidRDefault="00C66909" w:rsidP="009B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5609554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0D84BF3C" w14:textId="77777777" w:rsidR="0039420B" w:rsidRPr="007814F6" w:rsidRDefault="0039420B">
        <w:pPr>
          <w:pStyle w:val="Footer"/>
          <w:jc w:val="right"/>
          <w:rPr>
            <w:sz w:val="18"/>
          </w:rPr>
        </w:pPr>
        <w:r w:rsidRPr="007814F6">
          <w:rPr>
            <w:sz w:val="18"/>
          </w:rPr>
          <w:fldChar w:fldCharType="begin"/>
        </w:r>
        <w:r w:rsidRPr="007814F6">
          <w:rPr>
            <w:sz w:val="18"/>
          </w:rPr>
          <w:instrText>PAGE   \* MERGEFORMAT</w:instrText>
        </w:r>
        <w:r w:rsidRPr="007814F6">
          <w:rPr>
            <w:sz w:val="18"/>
          </w:rPr>
          <w:fldChar w:fldCharType="separate"/>
        </w:r>
        <w:r w:rsidR="00A02BBF">
          <w:rPr>
            <w:noProof/>
            <w:sz w:val="18"/>
          </w:rPr>
          <w:t>3</w:t>
        </w:r>
        <w:r w:rsidRPr="007814F6">
          <w:rPr>
            <w:sz w:val="18"/>
          </w:rPr>
          <w:fldChar w:fldCharType="end"/>
        </w:r>
      </w:p>
    </w:sdtContent>
  </w:sdt>
  <w:p w14:paraId="38A92BA7" w14:textId="77777777" w:rsidR="0039420B" w:rsidRDefault="00394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3A37C" w14:textId="77777777" w:rsidR="00C66909" w:rsidRDefault="00C66909" w:rsidP="009B72D4">
      <w:pPr>
        <w:spacing w:after="0" w:line="240" w:lineRule="auto"/>
      </w:pPr>
      <w:r>
        <w:separator/>
      </w:r>
    </w:p>
  </w:footnote>
  <w:footnote w:type="continuationSeparator" w:id="0">
    <w:p w14:paraId="414DB484" w14:textId="77777777" w:rsidR="00C66909" w:rsidRDefault="00C66909" w:rsidP="009B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65608"/>
    <w:multiLevelType w:val="hybridMultilevel"/>
    <w:tmpl w:val="E1BC670A"/>
    <w:lvl w:ilvl="0" w:tplc="46B88E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85924"/>
    <w:multiLevelType w:val="hybridMultilevel"/>
    <w:tmpl w:val="60AC1B38"/>
    <w:lvl w:ilvl="0" w:tplc="257682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DD128C"/>
    <w:multiLevelType w:val="hybridMultilevel"/>
    <w:tmpl w:val="F31E4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863B9"/>
    <w:multiLevelType w:val="hybridMultilevel"/>
    <w:tmpl w:val="AB627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12AA"/>
    <w:multiLevelType w:val="hybridMultilevel"/>
    <w:tmpl w:val="82F69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4D85"/>
    <w:multiLevelType w:val="hybridMultilevel"/>
    <w:tmpl w:val="3794A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0E34"/>
    <w:multiLevelType w:val="hybridMultilevel"/>
    <w:tmpl w:val="34AAE1BC"/>
    <w:lvl w:ilvl="0" w:tplc="5CC8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7250FD1"/>
    <w:multiLevelType w:val="hybridMultilevel"/>
    <w:tmpl w:val="5692AFB8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FB6D2E"/>
    <w:multiLevelType w:val="hybridMultilevel"/>
    <w:tmpl w:val="AEBAB49E"/>
    <w:lvl w:ilvl="0" w:tplc="2D3CC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D13AA"/>
    <w:multiLevelType w:val="hybridMultilevel"/>
    <w:tmpl w:val="B95EFC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B3DEC"/>
    <w:multiLevelType w:val="hybridMultilevel"/>
    <w:tmpl w:val="4860F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345"/>
    <w:rsid w:val="00022415"/>
    <w:rsid w:val="00054CAA"/>
    <w:rsid w:val="000570CA"/>
    <w:rsid w:val="00064834"/>
    <w:rsid w:val="00065792"/>
    <w:rsid w:val="0007026B"/>
    <w:rsid w:val="000821EF"/>
    <w:rsid w:val="00087200"/>
    <w:rsid w:val="000910CB"/>
    <w:rsid w:val="00093914"/>
    <w:rsid w:val="00096F61"/>
    <w:rsid w:val="000A4E05"/>
    <w:rsid w:val="000B3505"/>
    <w:rsid w:val="000B4C79"/>
    <w:rsid w:val="000B61E5"/>
    <w:rsid w:val="000D1DFE"/>
    <w:rsid w:val="000D227D"/>
    <w:rsid w:val="000E0FEA"/>
    <w:rsid w:val="000E31C6"/>
    <w:rsid w:val="000F7882"/>
    <w:rsid w:val="000F7F3C"/>
    <w:rsid w:val="00101FB5"/>
    <w:rsid w:val="001109C3"/>
    <w:rsid w:val="001112B4"/>
    <w:rsid w:val="0011222E"/>
    <w:rsid w:val="00124F4C"/>
    <w:rsid w:val="00130A6C"/>
    <w:rsid w:val="00132FA7"/>
    <w:rsid w:val="00135296"/>
    <w:rsid w:val="0013626D"/>
    <w:rsid w:val="00155B05"/>
    <w:rsid w:val="00162D7F"/>
    <w:rsid w:val="0016678A"/>
    <w:rsid w:val="001858E1"/>
    <w:rsid w:val="00192D93"/>
    <w:rsid w:val="00197801"/>
    <w:rsid w:val="001A141A"/>
    <w:rsid w:val="001B6CE1"/>
    <w:rsid w:val="001D0299"/>
    <w:rsid w:val="001D211D"/>
    <w:rsid w:val="001D4025"/>
    <w:rsid w:val="001D754A"/>
    <w:rsid w:val="001F7B86"/>
    <w:rsid w:val="00207E0A"/>
    <w:rsid w:val="00217E06"/>
    <w:rsid w:val="0022388E"/>
    <w:rsid w:val="00227C85"/>
    <w:rsid w:val="0024014B"/>
    <w:rsid w:val="00244493"/>
    <w:rsid w:val="00250777"/>
    <w:rsid w:val="00257218"/>
    <w:rsid w:val="002708EB"/>
    <w:rsid w:val="00272446"/>
    <w:rsid w:val="00272CBB"/>
    <w:rsid w:val="00280F57"/>
    <w:rsid w:val="002A34FD"/>
    <w:rsid w:val="002A6687"/>
    <w:rsid w:val="002B71D3"/>
    <w:rsid w:val="002C0474"/>
    <w:rsid w:val="002C3C31"/>
    <w:rsid w:val="002C4CA0"/>
    <w:rsid w:val="002C548D"/>
    <w:rsid w:val="002E08D2"/>
    <w:rsid w:val="002E4301"/>
    <w:rsid w:val="002E683D"/>
    <w:rsid w:val="003221FC"/>
    <w:rsid w:val="003233E8"/>
    <w:rsid w:val="00326F3F"/>
    <w:rsid w:val="0033528C"/>
    <w:rsid w:val="0034283E"/>
    <w:rsid w:val="00342A45"/>
    <w:rsid w:val="0034451E"/>
    <w:rsid w:val="003464A5"/>
    <w:rsid w:val="0034650F"/>
    <w:rsid w:val="00365914"/>
    <w:rsid w:val="00366B60"/>
    <w:rsid w:val="003675E7"/>
    <w:rsid w:val="003702D6"/>
    <w:rsid w:val="003936A3"/>
    <w:rsid w:val="0039420B"/>
    <w:rsid w:val="003A3345"/>
    <w:rsid w:val="003B04AE"/>
    <w:rsid w:val="003C3623"/>
    <w:rsid w:val="003D54BB"/>
    <w:rsid w:val="003D5A57"/>
    <w:rsid w:val="003E1CEC"/>
    <w:rsid w:val="003E26EF"/>
    <w:rsid w:val="003E589D"/>
    <w:rsid w:val="00400E3A"/>
    <w:rsid w:val="004017E9"/>
    <w:rsid w:val="00405AD3"/>
    <w:rsid w:val="004139B1"/>
    <w:rsid w:val="00422CD4"/>
    <w:rsid w:val="0042667D"/>
    <w:rsid w:val="004310C3"/>
    <w:rsid w:val="00433026"/>
    <w:rsid w:val="00433866"/>
    <w:rsid w:val="0043652C"/>
    <w:rsid w:val="00437970"/>
    <w:rsid w:val="00453385"/>
    <w:rsid w:val="00456D0F"/>
    <w:rsid w:val="00461A84"/>
    <w:rsid w:val="00471092"/>
    <w:rsid w:val="00474564"/>
    <w:rsid w:val="00475D86"/>
    <w:rsid w:val="00491815"/>
    <w:rsid w:val="004A4959"/>
    <w:rsid w:val="004A542F"/>
    <w:rsid w:val="004B5204"/>
    <w:rsid w:val="004C238D"/>
    <w:rsid w:val="004C2F98"/>
    <w:rsid w:val="004C6B46"/>
    <w:rsid w:val="004D01A8"/>
    <w:rsid w:val="004D0C29"/>
    <w:rsid w:val="004D1DEC"/>
    <w:rsid w:val="004D3161"/>
    <w:rsid w:val="004D7224"/>
    <w:rsid w:val="004E1B2C"/>
    <w:rsid w:val="004F21A1"/>
    <w:rsid w:val="004F4B87"/>
    <w:rsid w:val="004F6302"/>
    <w:rsid w:val="00511A06"/>
    <w:rsid w:val="005303D9"/>
    <w:rsid w:val="00532B68"/>
    <w:rsid w:val="005378F5"/>
    <w:rsid w:val="00542FB0"/>
    <w:rsid w:val="00543724"/>
    <w:rsid w:val="00543833"/>
    <w:rsid w:val="00543EF8"/>
    <w:rsid w:val="00551317"/>
    <w:rsid w:val="005514F2"/>
    <w:rsid w:val="00566D18"/>
    <w:rsid w:val="005A3E13"/>
    <w:rsid w:val="005A430A"/>
    <w:rsid w:val="005B1F50"/>
    <w:rsid w:val="005B6F1D"/>
    <w:rsid w:val="005B78F0"/>
    <w:rsid w:val="005C3A2B"/>
    <w:rsid w:val="005D26DE"/>
    <w:rsid w:val="005D2A73"/>
    <w:rsid w:val="005E5874"/>
    <w:rsid w:val="005F0F28"/>
    <w:rsid w:val="005F3F9A"/>
    <w:rsid w:val="005F4075"/>
    <w:rsid w:val="00605B25"/>
    <w:rsid w:val="006128D9"/>
    <w:rsid w:val="006144C4"/>
    <w:rsid w:val="006230BD"/>
    <w:rsid w:val="00635239"/>
    <w:rsid w:val="00635597"/>
    <w:rsid w:val="00637F50"/>
    <w:rsid w:val="006428EE"/>
    <w:rsid w:val="006503DC"/>
    <w:rsid w:val="006509C9"/>
    <w:rsid w:val="00650F9C"/>
    <w:rsid w:val="0066087D"/>
    <w:rsid w:val="006620F0"/>
    <w:rsid w:val="00681CDA"/>
    <w:rsid w:val="006859E0"/>
    <w:rsid w:val="006909B0"/>
    <w:rsid w:val="006B13DE"/>
    <w:rsid w:val="006B7384"/>
    <w:rsid w:val="006C1860"/>
    <w:rsid w:val="006D3CF2"/>
    <w:rsid w:val="006F3BCB"/>
    <w:rsid w:val="00703129"/>
    <w:rsid w:val="00715DA9"/>
    <w:rsid w:val="007176F0"/>
    <w:rsid w:val="00733A40"/>
    <w:rsid w:val="00741A24"/>
    <w:rsid w:val="00744AF8"/>
    <w:rsid w:val="00755460"/>
    <w:rsid w:val="007646A2"/>
    <w:rsid w:val="00767441"/>
    <w:rsid w:val="007756CF"/>
    <w:rsid w:val="007814F6"/>
    <w:rsid w:val="00785744"/>
    <w:rsid w:val="007A1966"/>
    <w:rsid w:val="007A484A"/>
    <w:rsid w:val="007B21A0"/>
    <w:rsid w:val="007B2938"/>
    <w:rsid w:val="007B3323"/>
    <w:rsid w:val="007C1D13"/>
    <w:rsid w:val="007E6EFD"/>
    <w:rsid w:val="007F27F0"/>
    <w:rsid w:val="007F4ACC"/>
    <w:rsid w:val="00804767"/>
    <w:rsid w:val="008125C7"/>
    <w:rsid w:val="00812B4D"/>
    <w:rsid w:val="00817DFB"/>
    <w:rsid w:val="00821DAE"/>
    <w:rsid w:val="008234CD"/>
    <w:rsid w:val="008324DE"/>
    <w:rsid w:val="008335A1"/>
    <w:rsid w:val="00834F93"/>
    <w:rsid w:val="00847811"/>
    <w:rsid w:val="0085022D"/>
    <w:rsid w:val="0085511F"/>
    <w:rsid w:val="00867857"/>
    <w:rsid w:val="00875C2F"/>
    <w:rsid w:val="008814D1"/>
    <w:rsid w:val="0088275A"/>
    <w:rsid w:val="00886B30"/>
    <w:rsid w:val="008A54C6"/>
    <w:rsid w:val="008A7C7B"/>
    <w:rsid w:val="008B0607"/>
    <w:rsid w:val="008B43B6"/>
    <w:rsid w:val="008C1E49"/>
    <w:rsid w:val="008C27E7"/>
    <w:rsid w:val="008C3FE1"/>
    <w:rsid w:val="009003C4"/>
    <w:rsid w:val="00901F5A"/>
    <w:rsid w:val="009070A3"/>
    <w:rsid w:val="009108DD"/>
    <w:rsid w:val="0091198C"/>
    <w:rsid w:val="00927ECE"/>
    <w:rsid w:val="0093086C"/>
    <w:rsid w:val="0093128F"/>
    <w:rsid w:val="00947DEF"/>
    <w:rsid w:val="00951F46"/>
    <w:rsid w:val="00961623"/>
    <w:rsid w:val="0096327D"/>
    <w:rsid w:val="00965E7B"/>
    <w:rsid w:val="00971FEB"/>
    <w:rsid w:val="00977BBC"/>
    <w:rsid w:val="00977D1E"/>
    <w:rsid w:val="00980251"/>
    <w:rsid w:val="00980737"/>
    <w:rsid w:val="00987159"/>
    <w:rsid w:val="00991ADC"/>
    <w:rsid w:val="009B1938"/>
    <w:rsid w:val="009B72D4"/>
    <w:rsid w:val="009C5C49"/>
    <w:rsid w:val="009D1A7E"/>
    <w:rsid w:val="009D5CC8"/>
    <w:rsid w:val="009D7A72"/>
    <w:rsid w:val="009D7A9F"/>
    <w:rsid w:val="009F2252"/>
    <w:rsid w:val="00A00B5F"/>
    <w:rsid w:val="00A02BBF"/>
    <w:rsid w:val="00A03A7C"/>
    <w:rsid w:val="00A12C46"/>
    <w:rsid w:val="00A30EB0"/>
    <w:rsid w:val="00A35E97"/>
    <w:rsid w:val="00A4044E"/>
    <w:rsid w:val="00A44FC0"/>
    <w:rsid w:val="00A45793"/>
    <w:rsid w:val="00A56CE4"/>
    <w:rsid w:val="00A6064B"/>
    <w:rsid w:val="00A623D6"/>
    <w:rsid w:val="00A7067B"/>
    <w:rsid w:val="00A7762D"/>
    <w:rsid w:val="00A838CB"/>
    <w:rsid w:val="00A9127E"/>
    <w:rsid w:val="00A979FF"/>
    <w:rsid w:val="00AA0562"/>
    <w:rsid w:val="00AC11B8"/>
    <w:rsid w:val="00AC40F3"/>
    <w:rsid w:val="00AC4E4E"/>
    <w:rsid w:val="00AC5EB9"/>
    <w:rsid w:val="00AD4CAC"/>
    <w:rsid w:val="00AE1103"/>
    <w:rsid w:val="00AE6ED1"/>
    <w:rsid w:val="00AF417A"/>
    <w:rsid w:val="00B04290"/>
    <w:rsid w:val="00B11606"/>
    <w:rsid w:val="00B142D9"/>
    <w:rsid w:val="00B26E68"/>
    <w:rsid w:val="00B3358C"/>
    <w:rsid w:val="00B356EC"/>
    <w:rsid w:val="00B4139C"/>
    <w:rsid w:val="00B41D68"/>
    <w:rsid w:val="00B427FA"/>
    <w:rsid w:val="00B43A37"/>
    <w:rsid w:val="00B52CD3"/>
    <w:rsid w:val="00B56DA9"/>
    <w:rsid w:val="00B67082"/>
    <w:rsid w:val="00B746AF"/>
    <w:rsid w:val="00B802E4"/>
    <w:rsid w:val="00BA0719"/>
    <w:rsid w:val="00BA1745"/>
    <w:rsid w:val="00BA6716"/>
    <w:rsid w:val="00BB0457"/>
    <w:rsid w:val="00BB2D1E"/>
    <w:rsid w:val="00BC0E6D"/>
    <w:rsid w:val="00BD23DF"/>
    <w:rsid w:val="00BD5937"/>
    <w:rsid w:val="00BD59BC"/>
    <w:rsid w:val="00BE0B6A"/>
    <w:rsid w:val="00C21487"/>
    <w:rsid w:val="00C23E62"/>
    <w:rsid w:val="00C27A98"/>
    <w:rsid w:val="00C41917"/>
    <w:rsid w:val="00C532D1"/>
    <w:rsid w:val="00C549CB"/>
    <w:rsid w:val="00C56F39"/>
    <w:rsid w:val="00C608F9"/>
    <w:rsid w:val="00C62E99"/>
    <w:rsid w:val="00C66909"/>
    <w:rsid w:val="00C92221"/>
    <w:rsid w:val="00C935DC"/>
    <w:rsid w:val="00CA145F"/>
    <w:rsid w:val="00CB4CAE"/>
    <w:rsid w:val="00CD15FF"/>
    <w:rsid w:val="00CD2BB6"/>
    <w:rsid w:val="00CE0501"/>
    <w:rsid w:val="00CE16E8"/>
    <w:rsid w:val="00CE650D"/>
    <w:rsid w:val="00CE67C6"/>
    <w:rsid w:val="00CE77A4"/>
    <w:rsid w:val="00CF505F"/>
    <w:rsid w:val="00D03A57"/>
    <w:rsid w:val="00D05387"/>
    <w:rsid w:val="00D15255"/>
    <w:rsid w:val="00D26CA4"/>
    <w:rsid w:val="00D4087D"/>
    <w:rsid w:val="00D42743"/>
    <w:rsid w:val="00D46350"/>
    <w:rsid w:val="00D47EEB"/>
    <w:rsid w:val="00D5370A"/>
    <w:rsid w:val="00D60DF2"/>
    <w:rsid w:val="00D90E78"/>
    <w:rsid w:val="00D91580"/>
    <w:rsid w:val="00D91AC0"/>
    <w:rsid w:val="00D93949"/>
    <w:rsid w:val="00D95F91"/>
    <w:rsid w:val="00D9746A"/>
    <w:rsid w:val="00DB2A7B"/>
    <w:rsid w:val="00DB46CC"/>
    <w:rsid w:val="00DC09D1"/>
    <w:rsid w:val="00DC658F"/>
    <w:rsid w:val="00DC7B7D"/>
    <w:rsid w:val="00DD50E5"/>
    <w:rsid w:val="00DD75FD"/>
    <w:rsid w:val="00DD7AFF"/>
    <w:rsid w:val="00DF1683"/>
    <w:rsid w:val="00DF6738"/>
    <w:rsid w:val="00E01339"/>
    <w:rsid w:val="00E0400E"/>
    <w:rsid w:val="00E06A99"/>
    <w:rsid w:val="00E141F5"/>
    <w:rsid w:val="00E2226D"/>
    <w:rsid w:val="00E40A28"/>
    <w:rsid w:val="00E503C9"/>
    <w:rsid w:val="00E61377"/>
    <w:rsid w:val="00E70D9E"/>
    <w:rsid w:val="00E7295A"/>
    <w:rsid w:val="00E756EA"/>
    <w:rsid w:val="00E76753"/>
    <w:rsid w:val="00E839F6"/>
    <w:rsid w:val="00EA1BEB"/>
    <w:rsid w:val="00EB13F3"/>
    <w:rsid w:val="00EB668A"/>
    <w:rsid w:val="00ED4FFD"/>
    <w:rsid w:val="00EF5947"/>
    <w:rsid w:val="00F07325"/>
    <w:rsid w:val="00F07BCF"/>
    <w:rsid w:val="00F15EF2"/>
    <w:rsid w:val="00F17C6B"/>
    <w:rsid w:val="00F2021A"/>
    <w:rsid w:val="00F34792"/>
    <w:rsid w:val="00F41355"/>
    <w:rsid w:val="00F43F8E"/>
    <w:rsid w:val="00F53C2F"/>
    <w:rsid w:val="00F77CBA"/>
    <w:rsid w:val="00F834D3"/>
    <w:rsid w:val="00F94F1F"/>
    <w:rsid w:val="00FA219A"/>
    <w:rsid w:val="00FA5EAF"/>
    <w:rsid w:val="00FB5931"/>
    <w:rsid w:val="00FC5CFE"/>
    <w:rsid w:val="00FC77C1"/>
    <w:rsid w:val="00FC7867"/>
    <w:rsid w:val="00FC79FA"/>
    <w:rsid w:val="00FE4EB3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C80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39C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5E7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5E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5E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5E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1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021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675E7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75E7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5E7"/>
    <w:rPr>
      <w:rFonts w:ascii="Garamond" w:eastAsiaTheme="majorEastAsia" w:hAnsi="Garamond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75E7"/>
    <w:rPr>
      <w:rFonts w:ascii="Garamond" w:eastAsiaTheme="majorEastAsia" w:hAnsi="Garamond" w:cstheme="majorBidi"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2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2D4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72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345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345"/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E83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9F6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9F6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59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39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54C6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1A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8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7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5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22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16/09/relationships/commentsIds" Target="commentsId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842993584135311E-2"/>
          <c:y val="0.11343925759280089"/>
          <c:w val="0.90415700641586472"/>
          <c:h val="0.413453943257092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Nemá problémy s drogami v současnosti ( 39 osob)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List1!$A$2:$A$10</c:f>
              <c:strCache>
                <c:ptCount val="9"/>
                <c:pt idx="0">
                  <c:v>Pohlaví (ženy)</c:v>
                </c:pt>
                <c:pt idx="1">
                  <c:v>Zaměstnání (plný nebo částečný úvazek)</c:v>
                </c:pt>
                <c:pt idx="2">
                  <c:v>Manuální profese</c:v>
                </c:pt>
                <c:pt idx="3">
                  <c:v>Žije v manželství</c:v>
                </c:pt>
                <c:pt idx="4">
                  <c:v>Lečení s psychiatrickou poruchou</c:v>
                </c:pt>
                <c:pt idx="5">
                  <c:v>Vězení nebo vazba v současné době </c:v>
                </c:pt>
                <c:pt idx="6">
                  <c:v>Ústavní nebo ambulantní léčení pro drogové problémy</c:v>
                </c:pt>
                <c:pt idx="7">
                  <c:v>Vzdělání (ŽŠ nebo SOU)</c:v>
                </c:pt>
                <c:pt idx="8">
                  <c:v>Virová hepatitida C</c:v>
                </c:pt>
              </c:strCache>
            </c:strRef>
          </c:cat>
          <c:val>
            <c:numRef>
              <c:f>List1!$B$2:$B$10</c:f>
              <c:numCache>
                <c:formatCode>0%</c:formatCode>
                <c:ptCount val="9"/>
                <c:pt idx="0">
                  <c:v>0.7</c:v>
                </c:pt>
                <c:pt idx="1">
                  <c:v>0.6</c:v>
                </c:pt>
                <c:pt idx="2">
                  <c:v>0.38</c:v>
                </c:pt>
                <c:pt idx="3">
                  <c:v>0.36</c:v>
                </c:pt>
                <c:pt idx="4">
                  <c:v>0.3</c:v>
                </c:pt>
                <c:pt idx="5">
                  <c:v>0.18</c:v>
                </c:pt>
                <c:pt idx="6">
                  <c:v>0.03</c:v>
                </c:pt>
                <c:pt idx="7">
                  <c:v>0.55000000000000004</c:v>
                </c:pt>
                <c:pt idx="8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54-4C5C-9A64-DA6C3E31E10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Má problémy s drogami v současnosti (13 osob)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List1!$A$2:$A$10</c:f>
              <c:strCache>
                <c:ptCount val="9"/>
                <c:pt idx="0">
                  <c:v>Pohlaví (ženy)</c:v>
                </c:pt>
                <c:pt idx="1">
                  <c:v>Zaměstnání (plný nebo částečný úvazek)</c:v>
                </c:pt>
                <c:pt idx="2">
                  <c:v>Manuální profese</c:v>
                </c:pt>
                <c:pt idx="3">
                  <c:v>Žije v manželství</c:v>
                </c:pt>
                <c:pt idx="4">
                  <c:v>Lečení s psychiatrickou poruchou</c:v>
                </c:pt>
                <c:pt idx="5">
                  <c:v>Vězení nebo vazba v současné době </c:v>
                </c:pt>
                <c:pt idx="6">
                  <c:v>Ústavní nebo ambulantní léčení pro drogové problémy</c:v>
                </c:pt>
                <c:pt idx="7">
                  <c:v>Vzdělání (ŽŠ nebo SOU)</c:v>
                </c:pt>
                <c:pt idx="8">
                  <c:v>Virová hepatitida C</c:v>
                </c:pt>
              </c:strCache>
            </c:strRef>
          </c:cat>
          <c:val>
            <c:numRef>
              <c:f>List1!$C$2:$C$10</c:f>
              <c:numCache>
                <c:formatCode>0%</c:formatCode>
                <c:ptCount val="9"/>
                <c:pt idx="0">
                  <c:v>0.6</c:v>
                </c:pt>
                <c:pt idx="1">
                  <c:v>0.5</c:v>
                </c:pt>
                <c:pt idx="2">
                  <c:v>0.52</c:v>
                </c:pt>
                <c:pt idx="3">
                  <c:v>0.23</c:v>
                </c:pt>
                <c:pt idx="4">
                  <c:v>0.3</c:v>
                </c:pt>
                <c:pt idx="5">
                  <c:v>0.23</c:v>
                </c:pt>
                <c:pt idx="6">
                  <c:v>7.0000000000000007E-2</c:v>
                </c:pt>
                <c:pt idx="7">
                  <c:v>0.77</c:v>
                </c:pt>
                <c:pt idx="8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54-4C5C-9A64-DA6C3E31E1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7519448"/>
        <c:axId val="507522192"/>
      </c:barChart>
      <c:catAx>
        <c:axId val="507519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7522192"/>
        <c:crosses val="autoZero"/>
        <c:auto val="1"/>
        <c:lblAlgn val="ctr"/>
        <c:lblOffset val="100"/>
        <c:noMultiLvlLbl val="0"/>
      </c:catAx>
      <c:valAx>
        <c:axId val="507522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7519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Nemá problémy s drogami v současnosti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List1!$A$2:$A$9</c:f>
              <c:strCache>
                <c:ptCount val="8"/>
                <c:pt idx="0">
                  <c:v>Užívání drogy denně</c:v>
                </c:pt>
                <c:pt idx="1">
                  <c:v>Promiskuitní chování v dospívání </c:v>
                </c:pt>
                <c:pt idx="2">
                  <c:v>Snížená známka z chování </c:v>
                </c:pt>
                <c:pt idx="3">
                  <c:v>Vývoj v úplné rodině do 15 let</c:v>
                </c:pt>
                <c:pt idx="4">
                  <c:v>Dobré vztahy v rodině </c:v>
                </c:pt>
                <c:pt idx="5">
                  <c:v>Nadměrná konzumace alkoholu u matky</c:v>
                </c:pt>
                <c:pt idx="6">
                  <c:v>Nadměrná konzumace alkoholu u otce</c:v>
                </c:pt>
                <c:pt idx="7">
                  <c:v>Nejlepší kamarád/ka užívá drogy</c:v>
                </c:pt>
              </c:strCache>
            </c:strRef>
          </c:cat>
          <c:val>
            <c:numRef>
              <c:f>List1!$B$2:$B$9</c:f>
              <c:numCache>
                <c:formatCode>0%</c:formatCode>
                <c:ptCount val="8"/>
                <c:pt idx="0">
                  <c:v>0.3</c:v>
                </c:pt>
                <c:pt idx="1">
                  <c:v>0.8</c:v>
                </c:pt>
                <c:pt idx="2">
                  <c:v>0.8</c:v>
                </c:pt>
                <c:pt idx="3">
                  <c:v>0.5</c:v>
                </c:pt>
                <c:pt idx="4">
                  <c:v>0.5</c:v>
                </c:pt>
                <c:pt idx="5">
                  <c:v>0.1</c:v>
                </c:pt>
                <c:pt idx="6">
                  <c:v>0.4</c:v>
                </c:pt>
                <c:pt idx="7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83-4220-8B92-6837B5278C14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Má problémy s drogami v současnosti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List1!$A$2:$A$9</c:f>
              <c:strCache>
                <c:ptCount val="8"/>
                <c:pt idx="0">
                  <c:v>Užívání drogy denně</c:v>
                </c:pt>
                <c:pt idx="1">
                  <c:v>Promiskuitní chování v dospívání </c:v>
                </c:pt>
                <c:pt idx="2">
                  <c:v>Snížená známka z chování </c:v>
                </c:pt>
                <c:pt idx="3">
                  <c:v>Vývoj v úplné rodině do 15 let</c:v>
                </c:pt>
                <c:pt idx="4">
                  <c:v>Dobré vztahy v rodině </c:v>
                </c:pt>
                <c:pt idx="5">
                  <c:v>Nadměrná konzumace alkoholu u matky</c:v>
                </c:pt>
                <c:pt idx="6">
                  <c:v>Nadměrná konzumace alkoholu u otce</c:v>
                </c:pt>
                <c:pt idx="7">
                  <c:v>Nejlepší kamarád/ka užívá drogy</c:v>
                </c:pt>
              </c:strCache>
            </c:strRef>
          </c:cat>
          <c:val>
            <c:numRef>
              <c:f>List1!$C$2:$C$9</c:f>
              <c:numCache>
                <c:formatCode>0%</c:formatCode>
                <c:ptCount val="8"/>
                <c:pt idx="0">
                  <c:v>0.8</c:v>
                </c:pt>
                <c:pt idx="1">
                  <c:v>0.9</c:v>
                </c:pt>
                <c:pt idx="2">
                  <c:v>0.8</c:v>
                </c:pt>
                <c:pt idx="3">
                  <c:v>0.45</c:v>
                </c:pt>
                <c:pt idx="4">
                  <c:v>0.3</c:v>
                </c:pt>
                <c:pt idx="5">
                  <c:v>0.4</c:v>
                </c:pt>
                <c:pt idx="6">
                  <c:v>0.2</c:v>
                </c:pt>
                <c:pt idx="7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83-4220-8B92-6837B5278C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7515528"/>
        <c:axId val="507514352"/>
      </c:barChart>
      <c:catAx>
        <c:axId val="507515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7514352"/>
        <c:crosses val="autoZero"/>
        <c:auto val="1"/>
        <c:lblAlgn val="ctr"/>
        <c:lblOffset val="100"/>
        <c:noMultiLvlLbl val="0"/>
      </c:catAx>
      <c:valAx>
        <c:axId val="507514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7515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93DE5-ECA9-4363-B36F-CB2174BE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2019-05-07T08:39:00Z</dcterms:created>
  <dcterms:modified xsi:type="dcterms:W3CDTF">2019-06-20T23:06:00Z</dcterms:modified>
</cp:coreProperties>
</file>