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C92221" w:rsidRPr="00DD75FD" w14:paraId="0AED06E4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3CB1A28" w14:textId="77777777" w:rsidR="003A3345" w:rsidRPr="00AC11B8" w:rsidRDefault="00DD75FD" w:rsidP="00E839F6">
            <w:pPr>
              <w:rPr>
                <w:noProof/>
              </w:rPr>
            </w:pPr>
            <w:r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21B72AAE" w14:textId="77777777" w:rsidR="003A3345" w:rsidRPr="00AC11B8" w:rsidRDefault="00D12FDD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Barbora Dohnalová</w:t>
            </w:r>
          </w:p>
        </w:tc>
      </w:tr>
      <w:tr w:rsidR="00C92221" w:rsidRPr="00DD75FD" w14:paraId="5580622C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22E1CB7" w14:textId="77777777"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7E1061AF" w14:textId="77777777" w:rsidR="00DD75FD" w:rsidRPr="00AC11B8" w:rsidRDefault="00D12FDD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483684</w:t>
            </w:r>
          </w:p>
        </w:tc>
      </w:tr>
      <w:tr w:rsidR="00C92221" w14:paraId="0D85DDBB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9430588" w14:textId="77777777"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5B37FA30" w14:textId="77777777" w:rsidR="00C92221" w:rsidRPr="00AC11B8" w:rsidRDefault="00880A55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Statistická analýza dat, PSY117</w:t>
            </w:r>
          </w:p>
        </w:tc>
      </w:tr>
      <w:tr w:rsidR="00C92221" w14:paraId="77F8E733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397FDB0" w14:textId="77777777"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58EC2FF6" w14:textId="77777777" w:rsidR="00C92221" w:rsidRPr="00AC11B8" w:rsidRDefault="00D12FDD" w:rsidP="00880A55">
            <w:pPr>
              <w:ind w:left="176"/>
              <w:rPr>
                <w:noProof/>
              </w:rPr>
            </w:pPr>
            <w:r>
              <w:rPr>
                <w:noProof/>
              </w:rPr>
              <w:t xml:space="preserve">Mgr. </w:t>
            </w:r>
            <w:r w:rsidR="00880A55">
              <w:rPr>
                <w:noProof/>
              </w:rPr>
              <w:t>Stanislav Ježek, Ph.D.</w:t>
            </w:r>
          </w:p>
        </w:tc>
      </w:tr>
      <w:tr w:rsidR="00400E3A" w14:paraId="7E178910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2CA92E1" w14:textId="77777777"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5071853F" w14:textId="77777777" w:rsidR="00400E3A" w:rsidRPr="00AC11B8" w:rsidRDefault="00880A55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8</w:t>
            </w:r>
            <w:r w:rsidR="009268F2">
              <w:rPr>
                <w:noProof/>
              </w:rPr>
              <w:t>. 5</w:t>
            </w:r>
            <w:r w:rsidR="00400E3A" w:rsidRPr="00AC11B8">
              <w:rPr>
                <w:noProof/>
              </w:rPr>
              <w:t>. 20</w:t>
            </w:r>
            <w:r w:rsidR="009268F2">
              <w:rPr>
                <w:noProof/>
              </w:rPr>
              <w:t>19</w:t>
            </w:r>
          </w:p>
        </w:tc>
        <w:tc>
          <w:tcPr>
            <w:tcW w:w="2126" w:type="dxa"/>
            <w:vAlign w:val="center"/>
          </w:tcPr>
          <w:p w14:paraId="2E11B4FA" w14:textId="77777777"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Seminární skupina:</w:t>
            </w:r>
          </w:p>
        </w:tc>
        <w:tc>
          <w:tcPr>
            <w:tcW w:w="709" w:type="dxa"/>
            <w:vAlign w:val="center"/>
          </w:tcPr>
          <w:p w14:paraId="7858B4A8" w14:textId="77777777" w:rsidR="00400E3A" w:rsidRPr="00AC11B8" w:rsidRDefault="008F0D35" w:rsidP="00E839F6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400E3A" w14:paraId="505D8AB7" w14:textId="77777777" w:rsidTr="00AD4CA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67F22AB7" w14:textId="77777777" w:rsidR="00400E3A" w:rsidRDefault="00400E3A" w:rsidP="00E839F6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2F9F7F53" w14:textId="77777777" w:rsidR="00880A55" w:rsidRDefault="003A3345" w:rsidP="00880A55">
      <w:pPr>
        <w:spacing w:line="360" w:lineRule="auto"/>
        <w:rPr>
          <w:noProof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 wp14:anchorId="385F26EC" wp14:editId="3564FAA3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345">
        <w:rPr>
          <w:noProof/>
        </w:rPr>
        <w:t xml:space="preserve"> </w:t>
      </w:r>
    </w:p>
    <w:p w14:paraId="14E45BC3" w14:textId="77777777" w:rsidR="00880A55" w:rsidRPr="000B41D3" w:rsidRDefault="00880A55" w:rsidP="00880A55">
      <w:pPr>
        <w:spacing w:line="360" w:lineRule="auto"/>
        <w:rPr>
          <w:b/>
        </w:rPr>
      </w:pPr>
      <w:r>
        <w:rPr>
          <w:b/>
        </w:rPr>
        <w:t>Užívání drog v adolescenci a jejich dopad na život jedinců v dospělosti</w:t>
      </w:r>
    </w:p>
    <w:p w14:paraId="17A0FBB1" w14:textId="77777777" w:rsidR="00880A55" w:rsidRDefault="00880A55" w:rsidP="00880A55">
      <w:pPr>
        <w:spacing w:line="360" w:lineRule="auto"/>
        <w:jc w:val="both"/>
      </w:pPr>
      <w:r>
        <w:t>Jsou mladí, celý život před sebou a přece sklouznou k extrémnímu řešení svých problémů. Takto asi o 17 letých adolescentech, kteří berou drogy, uvažuje jejich okolí. Jaké je reálné pozadí této problematiky a jak ovlivní rané užívání drog budoucnost těchto adolescentů? Odpovědi najdeme ve studii uveřejněné v Československé psychologii roku 2012, jejímiž autory jsou L. Csémy, T. Zábranský, K. Grohmanonová, Z. Dvořáková, J. Brenza a B. Janíková.</w:t>
      </w:r>
    </w:p>
    <w:p w14:paraId="15E48374" w14:textId="77777777" w:rsidR="00880A55" w:rsidRDefault="00880A55" w:rsidP="00880A55">
      <w:pPr>
        <w:spacing w:line="360" w:lineRule="auto"/>
        <w:ind w:firstLine="284"/>
        <w:jc w:val="both"/>
      </w:pPr>
      <w:r>
        <w:t>V České republice se počet uživatelů drog odhaduje na 35 až 37 tisíc lidí. Do této studie byla nasbírána data od 52 jedinců, kteří v adolescenci (přibližně ve svých 17 letech) brali tvrdé drogy (42% z nich pervitin a 58% heroin). Výzkumníci tyto jedince po asi 14 letech vyhledali, aby zjistili, jaký vedou život. Měření s adolescenty proběhlo v letech 1996 až 1998 a měření dospělých osob v letech 2010 a 2011. Výzkumníci se zabývali nejen tím, kolik a jaký typ lidí drogy stále užívá, ale také tím, jak jsou momentálně spokojeni se svým životem, zda mají zaměstnání či rodinu. K měření byly použity nejprve dotazníky např. o životní historii, rodinném zázemí, nebo ke zjištění osobnostních charakteristik. Dále se studie opírala o rozhovory a různé škály (životní spokojenosti, sebehodnocení, duševního zdraví, depresivity).</w:t>
      </w:r>
    </w:p>
    <w:p w14:paraId="7A93BDEC" w14:textId="77777777" w:rsidR="00880A55" w:rsidRDefault="00880A55" w:rsidP="00880A55">
      <w:pPr>
        <w:spacing w:line="360" w:lineRule="auto"/>
        <w:ind w:firstLine="284"/>
        <w:jc w:val="both"/>
      </w:pPr>
      <w:r>
        <w:t>Čtvrtina z účastníků výzkumu měla v dospělosti stále problémy s drogami, stále tedy užívali heroin nebo jiné opiáty, pervitin, kokain nebo podstupovali léčbu pomocí substituční látky. Zaměřme se teď na těchto 13 lidí a na jejich životní historii. Téměř 77% z nich dosáhlo pouze základního vzdělání nebo vyučení. Porovnáme-li tento údaj s údajem Českého statistického úřadu z roku 2011, zjistíme, že je toto číslo 27% vyšší než v běžné populaci.</w:t>
      </w:r>
    </w:p>
    <w:p w14:paraId="10E9FD33" w14:textId="77777777" w:rsidR="00880A55" w:rsidRDefault="00880A55" w:rsidP="00880A55">
      <w:pPr>
        <w:spacing w:line="360" w:lineRule="auto"/>
        <w:rPr>
          <w:noProof/>
          <w:lang w:eastAsia="cs-CZ"/>
        </w:rPr>
      </w:pPr>
      <w:r w:rsidRPr="000B41D3">
        <w:rPr>
          <w:noProof/>
          <w:lang w:eastAsia="cs-CZ"/>
        </w:rPr>
        <w:t xml:space="preserve"> </w:t>
      </w:r>
    </w:p>
    <w:p w14:paraId="7BA347BE" w14:textId="77777777" w:rsidR="00880A55" w:rsidRDefault="00880A55" w:rsidP="00880A55">
      <w:pPr>
        <w:spacing w:line="360" w:lineRule="auto"/>
        <w:rPr>
          <w:noProof/>
          <w:lang w:eastAsia="cs-CZ"/>
        </w:rPr>
      </w:pPr>
    </w:p>
    <w:p w14:paraId="42044965" w14:textId="77777777" w:rsidR="00880A55" w:rsidRDefault="00880A55" w:rsidP="00880A55">
      <w:pPr>
        <w:spacing w:line="360" w:lineRule="auto"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7DEFFCF4" wp14:editId="7AC81040">
            <wp:extent cx="4648200" cy="3107055"/>
            <wp:effectExtent l="0" t="0" r="0" b="1714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808DD2" w14:textId="77777777" w:rsidR="00880A55" w:rsidRDefault="00880A55" w:rsidP="00880A55">
      <w:pPr>
        <w:spacing w:line="360" w:lineRule="auto"/>
        <w:ind w:firstLine="284"/>
        <w:jc w:val="both"/>
      </w:pPr>
      <w:r>
        <w:t>Rizikové faktory, které tyto 17 leté adolescenty mohly dovést k užívání drog, jsou u všech velmi podobné. U velkého procenta z celkového počtu 52 zkoumaných lidí se objevovalo promiskuitní chování v dospívání, raná alkoholová intoxikace do 12 let věku nebo psychické problémy matky. Často se vyskytovala nadměrná konzumace alkoholu u otce i u matky. Zajímavé je, že malý počet abstinujících zažil nadměrnou konzumaci alkoholu u matky, zatímco u těch, co u drog zůstali, se tento rizikový faktor vyskytl v 39%. Z toho můžeme vyvodit, že toto chování má u matky na dítě zásadně negativní dopad. Za zmínku stojí i vliv vrstevníků. Výzkumníci zjistili, že velké množství jedinců mělo nejlepší kamarády mezi lidmi, kteří také užívali drogy. Dobré vztahy v rodině zažívalo pouhých 31% z těch, co stále užívají drogy, ale 53% z těch, kteří drogy v současné době již neužívají.</w:t>
      </w:r>
    </w:p>
    <w:p w14:paraId="13CD7ADF" w14:textId="77777777" w:rsidR="00880A55" w:rsidRDefault="00880A55" w:rsidP="00880A55">
      <w:pPr>
        <w:spacing w:line="360" w:lineRule="auto"/>
        <w:ind w:firstLine="284"/>
        <w:jc w:val="both"/>
      </w:pPr>
      <w:r>
        <w:t>Zaměstnání na plný nebo částečný úvazek má z abstinujících 64%, zatímco z těch, co mají stále problémy s drogami 54%. V současnosti žije v manželství 36% abstinentů, zatímco jen 23% uživatelů drog. Co se týče životní spokojenosti, je v obou skupinách poměrně nízká, avšak předvídatelně je vyšší u abstinentů. I depresivita je pro obě skupiny velmi podobná, ale o něco nižší u abstinentů. Při zjišťování osobnostních rysů došli autoři pro obě skupiny ke srovnatelným výsledkům.</w:t>
      </w:r>
    </w:p>
    <w:p w14:paraId="4CEF7EB9" w14:textId="77777777" w:rsidR="00880A55" w:rsidRDefault="00880A55" w:rsidP="00880A55">
      <w:pPr>
        <w:spacing w:line="360" w:lineRule="auto"/>
        <w:ind w:firstLine="284"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682471F1" wp14:editId="59340CC8">
            <wp:extent cx="5143500" cy="2564130"/>
            <wp:effectExtent l="0" t="0" r="0" b="762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DD6483" w14:textId="77777777" w:rsidR="00880A55" w:rsidRDefault="00880A55" w:rsidP="00880A55">
      <w:pPr>
        <w:spacing w:line="360" w:lineRule="auto"/>
        <w:ind w:firstLine="284"/>
        <w:jc w:val="both"/>
      </w:pPr>
      <w:r>
        <w:t xml:space="preserve">Graf nám ukazuje, nakolik užívání drog souvisí s dalšími </w:t>
      </w:r>
      <w:r w:rsidR="002E78E6">
        <w:t>aspekty života dospělého člověka</w:t>
      </w:r>
      <w:r>
        <w:t xml:space="preserve">. Maximum tohoto vztahu je 1. </w:t>
      </w:r>
      <w:bookmarkStart w:id="0" w:name="_GoBack"/>
      <w:r>
        <w:t>Čím více</w:t>
      </w:r>
      <w:r w:rsidR="000A249B">
        <w:t xml:space="preserve"> se hodnota blíží k 1, tím užší je vztah mezi užíváním drog a </w:t>
      </w:r>
      <w:r>
        <w:t>danou oblast</w:t>
      </w:r>
      <w:r w:rsidR="000A249B">
        <w:t>í</w:t>
      </w:r>
      <w:r>
        <w:t xml:space="preserve"> života.</w:t>
      </w:r>
      <w:bookmarkEnd w:id="0"/>
    </w:p>
    <w:p w14:paraId="3A65BF3F" w14:textId="77777777" w:rsidR="00880A55" w:rsidRDefault="00880A55" w:rsidP="00880A55">
      <w:pPr>
        <w:spacing w:line="360" w:lineRule="auto"/>
        <w:ind w:firstLine="284"/>
        <w:jc w:val="both"/>
      </w:pPr>
      <w:r>
        <w:t>Co tedy souvisí s užíváním drog? Zásadní vztah můžeme najít mezi užíváním drog a problémy v oblasti zdraví. Ty zase vykazují poměrně těsný vztah s psychologickými problémy a problémy v rodině (čím větší jsou problémy v oblasti zdraví u daného jedince, tím vyšší můžeme předpovídat i problémy v rodině a psychologické problémy). Co může někoho zarazit je to, že výzkumníci našli jen zanedbatelný vztah mezi užíváním drog a problémy s alkoholem.</w:t>
      </w:r>
    </w:p>
    <w:p w14:paraId="6C669C91" w14:textId="77777777" w:rsidR="00880A55" w:rsidRDefault="00880A55" w:rsidP="00880A55">
      <w:pPr>
        <w:spacing w:line="360" w:lineRule="auto"/>
        <w:ind w:firstLine="284"/>
      </w:pPr>
      <w:r>
        <w:t>Co z dané studie vyplývá? Mezi hlavní faktory, které mohou způsobit užívání drog v adolescenci, patří rodinné prostředí, ať už úplnost rodiny či nadměrná konzumace alkoholu rodičů. Velký vliv na adolescenty mají také vrstevníci. Užívání drog má velký dopad na budoucí zaměstnání a rodinný život v </w:t>
      </w:r>
      <w:commentRangeStart w:id="1"/>
      <w:r>
        <w:t>dospělosti</w:t>
      </w:r>
      <w:commentRangeEnd w:id="1"/>
      <w:r w:rsidR="00454CDE">
        <w:rPr>
          <w:rStyle w:val="CommentReference"/>
        </w:rPr>
        <w:commentReference w:id="1"/>
      </w:r>
      <w:r>
        <w:t>.</w:t>
      </w:r>
    </w:p>
    <w:p w14:paraId="379147DC" w14:textId="77777777" w:rsidR="00880A55" w:rsidRDefault="00880A55" w:rsidP="00880A55">
      <w:pPr>
        <w:spacing w:line="360" w:lineRule="auto"/>
        <w:ind w:firstLine="284"/>
      </w:pPr>
    </w:p>
    <w:p w14:paraId="5B7E8D06" w14:textId="77777777" w:rsidR="00880A55" w:rsidRDefault="00880A55" w:rsidP="00880A55">
      <w:pPr>
        <w:spacing w:line="360" w:lineRule="auto"/>
        <w:ind w:firstLine="284"/>
        <w:jc w:val="both"/>
      </w:pPr>
    </w:p>
    <w:p w14:paraId="20F511AC" w14:textId="77777777" w:rsidR="00880A55" w:rsidRDefault="00880A55" w:rsidP="00880A55">
      <w:pPr>
        <w:autoSpaceDE w:val="0"/>
        <w:autoSpaceDN w:val="0"/>
        <w:adjustRightInd w:val="0"/>
        <w:spacing w:after="0" w:line="360" w:lineRule="auto"/>
        <w:jc w:val="both"/>
      </w:pPr>
    </w:p>
    <w:p w14:paraId="74B3BBF0" w14:textId="77777777" w:rsidR="00880A55" w:rsidRDefault="00880A55" w:rsidP="00880A55">
      <w:pPr>
        <w:autoSpaceDE w:val="0"/>
        <w:autoSpaceDN w:val="0"/>
        <w:adjustRightInd w:val="0"/>
        <w:spacing w:after="0" w:line="360" w:lineRule="auto"/>
      </w:pPr>
      <w:r>
        <w:t xml:space="preserve">Csémy, L., Zábranský, T., Grohmannová, K., Dvořáková, Z., Brenza, J., &amp; Janíková, B. (2012). </w:t>
      </w:r>
      <w:r w:rsidRPr="00FB53D5">
        <w:t>D</w:t>
      </w:r>
      <w:r>
        <w:t xml:space="preserve">ospívající uživatelé heroinu a pervitinu po 14 letech: Analýza psychosociálních charakteristik. </w:t>
      </w:r>
      <w:r w:rsidRPr="00FB53D5">
        <w:rPr>
          <w:i/>
        </w:rPr>
        <w:t>Československá psychologie, 56</w:t>
      </w:r>
      <w:r>
        <w:t>(6), 505-517.</w:t>
      </w:r>
    </w:p>
    <w:p w14:paraId="2E3DD8D4" w14:textId="77777777" w:rsidR="00880A55" w:rsidRDefault="00880A55" w:rsidP="00BA604D">
      <w:pPr>
        <w:autoSpaceDE w:val="0"/>
        <w:autoSpaceDN w:val="0"/>
        <w:adjustRightInd w:val="0"/>
        <w:spacing w:after="0" w:line="360" w:lineRule="auto"/>
      </w:pPr>
      <w:r>
        <w:t xml:space="preserve">Český statistický úřad (2014). Úroveň vzdělání obyvatelstva podle výsledků sčítání lidu 2011. Retrieved from </w:t>
      </w:r>
      <w:r w:rsidRPr="00880A55">
        <w:t>https://www.czso.cz/csu/czso/uroven-vzdelani-obyvatelstva-podle-vysledku-scitani-lidu-2011-xllg5xjb8q</w:t>
      </w:r>
    </w:p>
    <w:p w14:paraId="15B41390" w14:textId="77777777" w:rsidR="00400E3A" w:rsidRPr="00A35E97" w:rsidRDefault="00400E3A" w:rsidP="00880A55">
      <w:pPr>
        <w:spacing w:line="360" w:lineRule="auto"/>
        <w:jc w:val="both"/>
        <w:rPr>
          <w:noProof/>
        </w:rPr>
      </w:pPr>
    </w:p>
    <w:sectPr w:rsidR="00400E3A" w:rsidRPr="00A35E97" w:rsidSect="001F414C">
      <w:footerReference w:type="default" r:id="rId13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40542725" w14:textId="5F92DDA6" w:rsidR="00454CDE" w:rsidRDefault="00454CDE">
      <w:pPr>
        <w:pStyle w:val="CommentText"/>
      </w:pPr>
      <w:r>
        <w:rPr>
          <w:rStyle w:val="CommentReference"/>
        </w:rPr>
        <w:annotationRef/>
      </w:r>
      <w:r w:rsidR="00A95E3B">
        <w:t xml:space="preserve">Přijato, 10b. 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5427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542725" w16cid:durableId="20B659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2B4DA" w14:textId="77777777" w:rsidR="008601DD" w:rsidRDefault="008601DD" w:rsidP="009B72D4">
      <w:pPr>
        <w:spacing w:after="0" w:line="240" w:lineRule="auto"/>
      </w:pPr>
      <w:r>
        <w:separator/>
      </w:r>
    </w:p>
  </w:endnote>
  <w:endnote w:type="continuationSeparator" w:id="0">
    <w:p w14:paraId="5333FCBB" w14:textId="77777777" w:rsidR="008601DD" w:rsidRDefault="008601DD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6AAF9541" w14:textId="77777777" w:rsidR="00637F50" w:rsidRPr="007814F6" w:rsidRDefault="00637F50">
        <w:pPr>
          <w:pStyle w:val="Footer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="002E78E6">
          <w:rPr>
            <w:noProof/>
            <w:sz w:val="18"/>
          </w:rPr>
          <w:t>3</w:t>
        </w:r>
        <w:r w:rsidRPr="007814F6">
          <w:rPr>
            <w:sz w:val="18"/>
          </w:rPr>
          <w:fldChar w:fldCharType="end"/>
        </w:r>
      </w:p>
    </w:sdtContent>
  </w:sdt>
  <w:p w14:paraId="6CFDC56A" w14:textId="77777777" w:rsidR="00637F50" w:rsidRDefault="00637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D4761" w14:textId="77777777" w:rsidR="008601DD" w:rsidRDefault="008601DD" w:rsidP="009B72D4">
      <w:pPr>
        <w:spacing w:after="0" w:line="240" w:lineRule="auto"/>
      </w:pPr>
      <w:r>
        <w:separator/>
      </w:r>
    </w:p>
  </w:footnote>
  <w:footnote w:type="continuationSeparator" w:id="0">
    <w:p w14:paraId="6165E130" w14:textId="77777777" w:rsidR="008601DD" w:rsidRDefault="008601DD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45"/>
    <w:rsid w:val="0002185A"/>
    <w:rsid w:val="00034F15"/>
    <w:rsid w:val="00053243"/>
    <w:rsid w:val="000870B3"/>
    <w:rsid w:val="000A249B"/>
    <w:rsid w:val="000C517C"/>
    <w:rsid w:val="000E0FEA"/>
    <w:rsid w:val="00123AA4"/>
    <w:rsid w:val="00141D10"/>
    <w:rsid w:val="001B3EF9"/>
    <w:rsid w:val="001E7BDA"/>
    <w:rsid w:val="001F414C"/>
    <w:rsid w:val="00273D78"/>
    <w:rsid w:val="00274733"/>
    <w:rsid w:val="002E78E6"/>
    <w:rsid w:val="00326F3F"/>
    <w:rsid w:val="0033528C"/>
    <w:rsid w:val="0034451E"/>
    <w:rsid w:val="0035502B"/>
    <w:rsid w:val="003675E7"/>
    <w:rsid w:val="00381ED2"/>
    <w:rsid w:val="00397822"/>
    <w:rsid w:val="003A0329"/>
    <w:rsid w:val="003A3345"/>
    <w:rsid w:val="003A4980"/>
    <w:rsid w:val="003B6F2C"/>
    <w:rsid w:val="003E35D1"/>
    <w:rsid w:val="00400E3A"/>
    <w:rsid w:val="004139B1"/>
    <w:rsid w:val="00416868"/>
    <w:rsid w:val="00422CD4"/>
    <w:rsid w:val="00441616"/>
    <w:rsid w:val="004440A8"/>
    <w:rsid w:val="00454CDE"/>
    <w:rsid w:val="00456D0F"/>
    <w:rsid w:val="00474564"/>
    <w:rsid w:val="004A5BEF"/>
    <w:rsid w:val="004C4B12"/>
    <w:rsid w:val="00543833"/>
    <w:rsid w:val="005854D5"/>
    <w:rsid w:val="00593913"/>
    <w:rsid w:val="005B16BA"/>
    <w:rsid w:val="005E3D2B"/>
    <w:rsid w:val="00617796"/>
    <w:rsid w:val="00637F50"/>
    <w:rsid w:val="006859E0"/>
    <w:rsid w:val="006B7384"/>
    <w:rsid w:val="006D0021"/>
    <w:rsid w:val="006F1961"/>
    <w:rsid w:val="007409C4"/>
    <w:rsid w:val="007814F6"/>
    <w:rsid w:val="007C0B42"/>
    <w:rsid w:val="008601DD"/>
    <w:rsid w:val="00880A55"/>
    <w:rsid w:val="008814D1"/>
    <w:rsid w:val="00894A88"/>
    <w:rsid w:val="008A7C7B"/>
    <w:rsid w:val="008E2B02"/>
    <w:rsid w:val="008F0D35"/>
    <w:rsid w:val="00912265"/>
    <w:rsid w:val="009268F2"/>
    <w:rsid w:val="00942CDD"/>
    <w:rsid w:val="0096327D"/>
    <w:rsid w:val="00977D1E"/>
    <w:rsid w:val="009B44A9"/>
    <w:rsid w:val="009B72D4"/>
    <w:rsid w:val="00A35E97"/>
    <w:rsid w:val="00A95E3B"/>
    <w:rsid w:val="00AB7B5D"/>
    <w:rsid w:val="00AC11B8"/>
    <w:rsid w:val="00AC4E4E"/>
    <w:rsid w:val="00AD4CAC"/>
    <w:rsid w:val="00AE6ED1"/>
    <w:rsid w:val="00AF5F6B"/>
    <w:rsid w:val="00B03494"/>
    <w:rsid w:val="00B3358C"/>
    <w:rsid w:val="00B356EC"/>
    <w:rsid w:val="00B4139C"/>
    <w:rsid w:val="00B4148B"/>
    <w:rsid w:val="00B65D1D"/>
    <w:rsid w:val="00B746AF"/>
    <w:rsid w:val="00BA604D"/>
    <w:rsid w:val="00BD1FC1"/>
    <w:rsid w:val="00BF69E2"/>
    <w:rsid w:val="00C10D12"/>
    <w:rsid w:val="00C1759C"/>
    <w:rsid w:val="00C244EE"/>
    <w:rsid w:val="00C7186D"/>
    <w:rsid w:val="00C92221"/>
    <w:rsid w:val="00CE1C13"/>
    <w:rsid w:val="00D06B1B"/>
    <w:rsid w:val="00D12FDD"/>
    <w:rsid w:val="00D15255"/>
    <w:rsid w:val="00D30DC8"/>
    <w:rsid w:val="00D77598"/>
    <w:rsid w:val="00D81D43"/>
    <w:rsid w:val="00DD75FD"/>
    <w:rsid w:val="00DF0D71"/>
    <w:rsid w:val="00E01792"/>
    <w:rsid w:val="00E256B0"/>
    <w:rsid w:val="00E756EA"/>
    <w:rsid w:val="00E839F6"/>
    <w:rsid w:val="00E91E54"/>
    <w:rsid w:val="00EF5947"/>
    <w:rsid w:val="00F2021A"/>
    <w:rsid w:val="00F34792"/>
    <w:rsid w:val="00F41355"/>
    <w:rsid w:val="00F53C2F"/>
    <w:rsid w:val="00F62DE4"/>
    <w:rsid w:val="00F63BAB"/>
    <w:rsid w:val="00F7604F"/>
    <w:rsid w:val="00FA5EAF"/>
    <w:rsid w:val="00FB5931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872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9C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021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2D4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2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345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345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E83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F6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593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7473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0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arca\Desktop\Muni\2.%20semestr%20-%20jaro%202019\Statistick&#225;%20anal&#253;za%20dat\grafy%20k%20semin&#225;rc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cs-CZ" sz="1600"/>
              <a:t>Faktory ovlivňující užívání drog v adolescenci v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List1!$B$9</c:f>
              <c:strCache>
                <c:ptCount val="1"/>
                <c:pt idx="0">
                  <c:v>Lidé bez problémů s drogami v současnosti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List1!$C$8:$G$8</c:f>
              <c:strCache>
                <c:ptCount val="5"/>
                <c:pt idx="0">
                  <c:v>Psychické problémy matky</c:v>
                </c:pt>
                <c:pt idx="1">
                  <c:v>Nadměrná konzumace alkoholu u otce</c:v>
                </c:pt>
                <c:pt idx="2">
                  <c:v>Nadměrná konzumace alkoholu u matky</c:v>
                </c:pt>
                <c:pt idx="3">
                  <c:v>Nejlepší kamarád/ka užívající drogy</c:v>
                </c:pt>
                <c:pt idx="4">
                  <c:v>Dobré vztahy v rodině</c:v>
                </c:pt>
              </c:strCache>
            </c:strRef>
          </c:cat>
          <c:val>
            <c:numRef>
              <c:f>List1!$C$9:$G$9</c:f>
              <c:numCache>
                <c:formatCode>General</c:formatCode>
                <c:ptCount val="5"/>
                <c:pt idx="0">
                  <c:v>32</c:v>
                </c:pt>
                <c:pt idx="1">
                  <c:v>38</c:v>
                </c:pt>
                <c:pt idx="2">
                  <c:v>9</c:v>
                </c:pt>
                <c:pt idx="3">
                  <c:v>60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B5-4540-A0CE-DF31563D448C}"/>
            </c:ext>
          </c:extLst>
        </c:ser>
        <c:ser>
          <c:idx val="1"/>
          <c:order val="1"/>
          <c:tx>
            <c:strRef>
              <c:f>List1!$B$10</c:f>
              <c:strCache>
                <c:ptCount val="1"/>
                <c:pt idx="0">
                  <c:v>Lidé s problémy s drogami v současnosti</c:v>
                </c:pt>
              </c:strCache>
            </c:strRef>
          </c:tx>
          <c:spPr>
            <a:solidFill>
              <a:srgbClr val="FF5B5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List1!$C$8:$G$8</c:f>
              <c:strCache>
                <c:ptCount val="5"/>
                <c:pt idx="0">
                  <c:v>Psychické problémy matky</c:v>
                </c:pt>
                <c:pt idx="1">
                  <c:v>Nadměrná konzumace alkoholu u otce</c:v>
                </c:pt>
                <c:pt idx="2">
                  <c:v>Nadměrná konzumace alkoholu u matky</c:v>
                </c:pt>
                <c:pt idx="3">
                  <c:v>Nejlepší kamarád/ka užívající drogy</c:v>
                </c:pt>
                <c:pt idx="4">
                  <c:v>Dobré vztahy v rodině</c:v>
                </c:pt>
              </c:strCache>
            </c:strRef>
          </c:cat>
          <c:val>
            <c:numRef>
              <c:f>List1!$C$10:$G$10</c:f>
              <c:numCache>
                <c:formatCode>General</c:formatCode>
                <c:ptCount val="5"/>
                <c:pt idx="0">
                  <c:v>39</c:v>
                </c:pt>
                <c:pt idx="1">
                  <c:v>18</c:v>
                </c:pt>
                <c:pt idx="2">
                  <c:v>39</c:v>
                </c:pt>
                <c:pt idx="3">
                  <c:v>70</c:v>
                </c:pt>
                <c:pt idx="4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B5-4540-A0CE-DF31563D448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877432368"/>
        <c:axId val="877436176"/>
      </c:barChart>
      <c:catAx>
        <c:axId val="8774323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Jednotlivé rizikové faktory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7436176"/>
        <c:crosses val="autoZero"/>
        <c:auto val="1"/>
        <c:lblAlgn val="ctr"/>
        <c:lblOffset val="100"/>
        <c:noMultiLvlLbl val="0"/>
      </c:catAx>
      <c:valAx>
        <c:axId val="87743617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Výskyt</a:t>
                </a:r>
              </a:p>
              <a:p>
                <a:pPr>
                  <a:defRPr/>
                </a:pPr>
                <a:r>
                  <a:rPr lang="cs-CZ"/>
                  <a:t>faktoru</a:t>
                </a:r>
              </a:p>
              <a:p>
                <a:pPr>
                  <a:defRPr/>
                </a:pPr>
                <a:r>
                  <a:rPr lang="cs-CZ"/>
                  <a:t>v %</a:t>
                </a:r>
              </a:p>
            </c:rich>
          </c:tx>
          <c:layout>
            <c:manualLayout>
              <c:xMode val="edge"/>
              <c:yMode val="edge"/>
              <c:x val="1.5760441292356184E-2"/>
              <c:y val="0.454139126769737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743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 b="1"/>
              <a:t>Síla vztahu mezi užíváním drog a dalšími psychosociálními</a:t>
            </a:r>
            <a:r>
              <a:rPr lang="cs-CZ" sz="1200" b="1" baseline="0"/>
              <a:t> aspekty života v dospělosti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triangle"/>
            <c:size val="7"/>
            <c:spPr>
              <a:solidFill>
                <a:schemeClr val="accent6">
                  <a:lumMod val="75000"/>
                </a:schemeClr>
              </a:solidFill>
              <a:ln w="9525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List1!$A$17:$A$22</c:f>
              <c:strCache>
                <c:ptCount val="6"/>
                <c:pt idx="0">
                  <c:v>Problémy v oblasti zdraví</c:v>
                </c:pt>
                <c:pt idx="1">
                  <c:v>Problémy s dodržováním zákona</c:v>
                </c:pt>
                <c:pt idx="2">
                  <c:v>Problémy v rodině</c:v>
                </c:pt>
                <c:pt idx="3">
                  <c:v>Psychologické problémy</c:v>
                </c:pt>
                <c:pt idx="4">
                  <c:v>Problémy se zaměstnáním</c:v>
                </c:pt>
                <c:pt idx="5">
                  <c:v>Problémy s alkoholem</c:v>
                </c:pt>
              </c:strCache>
            </c:strRef>
          </c:cat>
          <c:val>
            <c:numRef>
              <c:f>List1!$B$17:$B$22</c:f>
              <c:numCache>
                <c:formatCode>General</c:formatCode>
                <c:ptCount val="6"/>
                <c:pt idx="0">
                  <c:v>0.59799999999999998</c:v>
                </c:pt>
                <c:pt idx="1">
                  <c:v>0.316</c:v>
                </c:pt>
                <c:pt idx="2">
                  <c:v>0.40100000000000002</c:v>
                </c:pt>
                <c:pt idx="3">
                  <c:v>0.38100000000000001</c:v>
                </c:pt>
                <c:pt idx="4">
                  <c:v>0.312</c:v>
                </c:pt>
                <c:pt idx="5">
                  <c:v>0.16800000000000001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0E9-4673-8B04-8469A2A5691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77445968"/>
        <c:axId val="877446512"/>
      </c:lineChart>
      <c:catAx>
        <c:axId val="8774459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Aspekty života v dospělosti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7446512"/>
        <c:crosses val="autoZero"/>
        <c:auto val="1"/>
        <c:lblAlgn val="ctr"/>
        <c:lblOffset val="100"/>
        <c:noMultiLvlLbl val="0"/>
      </c:catAx>
      <c:valAx>
        <c:axId val="87744651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Síla vztahu</a:t>
                </a:r>
              </a:p>
              <a:p>
                <a:pPr>
                  <a:defRPr/>
                </a:pPr>
                <a:r>
                  <a:rPr lang="cs-CZ" baseline="0"/>
                  <a:t>(max 1)</a:t>
                </a: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7445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2019-05-06T18:26:00Z</dcterms:created>
  <dcterms:modified xsi:type="dcterms:W3CDTF">2019-06-20T23:17:00Z</dcterms:modified>
</cp:coreProperties>
</file>