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DD246" w14:textId="77777777" w:rsidR="0049194E" w:rsidRDefault="0049194E" w:rsidP="00FD22F6">
      <w:pPr>
        <w:spacing w:line="360" w:lineRule="auto"/>
        <w:ind w:firstLine="0"/>
        <w:rPr>
          <w:rStyle w:val="Heading3Char"/>
        </w:rPr>
      </w:pPr>
      <w:r>
        <w:rPr>
          <w:rFonts w:ascii="Arial" w:eastAsiaTheme="majorEastAsia" w:hAnsi="Arial" w:cstheme="majorBidi"/>
          <w:b/>
          <w:i/>
          <w:noProof/>
          <w:sz w:val="28"/>
          <w:szCs w:val="24"/>
          <w:lang w:eastAsia="cs-CZ"/>
        </w:rPr>
        <w:drawing>
          <wp:inline distT="0" distB="0" distL="0" distR="0" wp14:anchorId="4D8E7AAA" wp14:editId="6E04AFC9">
            <wp:extent cx="5760720" cy="17322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19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88099" w14:textId="77777777" w:rsidR="00445F36" w:rsidRDefault="00AC6278" w:rsidP="00FD22F6">
      <w:pPr>
        <w:spacing w:line="360" w:lineRule="auto"/>
        <w:ind w:firstLine="0"/>
        <w:rPr>
          <w:shd w:val="clear" w:color="auto" w:fill="FFFFFF"/>
        </w:rPr>
      </w:pPr>
      <w:r>
        <w:rPr>
          <w:rStyle w:val="Heading3Char"/>
        </w:rPr>
        <w:t>Vliv užívání drog v adolescenci na život v dospělosti</w:t>
      </w:r>
    </w:p>
    <w:p w14:paraId="1DBA5E20" w14:textId="77777777" w:rsidR="007C7DFF" w:rsidRDefault="00564D76" w:rsidP="00FD22F6">
      <w:pPr>
        <w:spacing w:line="360" w:lineRule="auto"/>
        <w:ind w:firstLine="0"/>
      </w:pPr>
      <w:r>
        <w:t xml:space="preserve">Od začátku devadesátých let minulého století se v České republice velice rozmohlo užívání drog. </w:t>
      </w:r>
      <w:r w:rsidR="006B49AD">
        <w:t xml:space="preserve">Toto téma </w:t>
      </w:r>
      <w:r>
        <w:t xml:space="preserve">poutá pozornost jak odborníků, tak široké veřejnosti. Jaký dopad má užívání drog v adolescenci na život v dospělosti? Jak velká část uživatelů ani v dospělosti s užíváním nepřestala? Jak se liší skupiny, co přestaly a nepřestaly? </w:t>
      </w:r>
    </w:p>
    <w:p w14:paraId="11B9C4B9" w14:textId="523B88BA" w:rsidR="00564D76" w:rsidRDefault="00564D76" w:rsidP="00FD22F6">
      <w:pPr>
        <w:spacing w:line="360" w:lineRule="auto"/>
      </w:pPr>
      <w:r>
        <w:t>Na tyto otázky se zaměřil výzkum Ladislava Csémy a jeho kolektivu</w:t>
      </w:r>
      <w:r w:rsidR="00F20FAB">
        <w:t xml:space="preserve"> z roku 2011</w:t>
      </w:r>
      <w:r>
        <w:t xml:space="preserve">. Studie se stejným zaměřením a strukturou </w:t>
      </w:r>
      <w:r w:rsidR="006B49AD">
        <w:t>najdeme</w:t>
      </w:r>
      <w:r>
        <w:t xml:space="preserve"> po celém světě. Tato studie je však první svého typu v České republice. Byl sledován vývoj uživatelů po 14 letech a zohledněny </w:t>
      </w:r>
      <w:r w:rsidR="00F20FAB">
        <w:t xml:space="preserve">byly </w:t>
      </w:r>
      <w:r>
        <w:t>i psychologické souvislosti.</w:t>
      </w:r>
    </w:p>
    <w:p w14:paraId="1EBCB18B" w14:textId="6AFFAD02" w:rsidR="00564D76" w:rsidRDefault="00F20FAB" w:rsidP="00C336BB">
      <w:pPr>
        <w:spacing w:line="360" w:lineRule="auto"/>
      </w:pPr>
      <w:r>
        <w:t xml:space="preserve">V první fázi výzkumu bylo 150 zúčastněným adolescentním </w:t>
      </w:r>
      <w:r w:rsidR="00C336BB">
        <w:t xml:space="preserve">uživatelům drog </w:t>
      </w:r>
      <w:r>
        <w:t>průměrně 17,5 let. P</w:t>
      </w:r>
      <w:r w:rsidR="005149B1">
        <w:t xml:space="preserve">ři </w:t>
      </w:r>
      <w:r>
        <w:t xml:space="preserve">druhém </w:t>
      </w:r>
      <w:r w:rsidR="005149B1">
        <w:t>sběru dat po 14 letech,</w:t>
      </w:r>
      <w:r w:rsidR="006B49AD">
        <w:t xml:space="preserve"> </w:t>
      </w:r>
      <w:r w:rsidR="00C336BB">
        <w:t xml:space="preserve">a to </w:t>
      </w:r>
      <w:r w:rsidR="005149B1">
        <w:t xml:space="preserve">v roce 2010, došlo k velkému úbytku vzorku a výzkumu se již účastnilo pouze 52 osob s průměrným věkem 31 let. </w:t>
      </w:r>
      <w:r w:rsidR="00F94A6B">
        <w:t xml:space="preserve">Tento úbytek vzorku by </w:t>
      </w:r>
      <w:r w:rsidR="0070519B">
        <w:t xml:space="preserve">přesto neměl </w:t>
      </w:r>
      <w:r>
        <w:t>způsobit</w:t>
      </w:r>
      <w:r w:rsidR="0070519B">
        <w:t xml:space="preserve"> negativní dopad na objektivitu</w:t>
      </w:r>
      <w:r>
        <w:t xml:space="preserve"> výzkumu.</w:t>
      </w:r>
      <w:r w:rsidR="0070519B">
        <w:t xml:space="preserve"> </w:t>
      </w:r>
    </w:p>
    <w:p w14:paraId="47F3EE26" w14:textId="7B5FD92D" w:rsidR="00F94A6B" w:rsidRDefault="00F94A6B" w:rsidP="00FD22F6">
      <w:pPr>
        <w:spacing w:line="360" w:lineRule="auto"/>
      </w:pPr>
      <w:r>
        <w:t xml:space="preserve">Informace od uživatelů byly získávány pomocí rozsáhlých dotazníků. V adolescenci byly zaměřeny </w:t>
      </w:r>
      <w:r w:rsidR="00F20FAB">
        <w:t xml:space="preserve">mimo jiné </w:t>
      </w:r>
      <w:r w:rsidR="006B49AD">
        <w:t>n</w:t>
      </w:r>
      <w:r>
        <w:t xml:space="preserve">a problémové chování a subjektivně pociťovanou sílu návyku. V dospělosti </w:t>
      </w:r>
      <w:r w:rsidR="00F20FAB">
        <w:t>k získání dat docházelo</w:t>
      </w:r>
      <w:r w:rsidR="00C336BB">
        <w:t xml:space="preserve"> </w:t>
      </w:r>
      <w:r>
        <w:t xml:space="preserve">pomocí rozhovoru o životní historii a dotazníku ASI-Lite, který zkoumal dopad vlivu drog na různé oblasti života uživatelů. Uživatelé vyplnili také další dotazníky zaměřené na </w:t>
      </w:r>
      <w:r w:rsidR="0070519B">
        <w:t xml:space="preserve">výzkum jejich </w:t>
      </w:r>
      <w:r>
        <w:t>osobnost</w:t>
      </w:r>
      <w:r w:rsidR="0070519B">
        <w:t>i</w:t>
      </w:r>
      <w:r>
        <w:t>, životní spokojenost</w:t>
      </w:r>
      <w:r w:rsidR="0070519B">
        <w:t>i</w:t>
      </w:r>
      <w:r>
        <w:t xml:space="preserve">, </w:t>
      </w:r>
      <w:r w:rsidR="00F20FAB">
        <w:t xml:space="preserve">jejich </w:t>
      </w:r>
      <w:r>
        <w:t xml:space="preserve">sebehodnocení, </w:t>
      </w:r>
      <w:r w:rsidR="00C336BB">
        <w:t xml:space="preserve">míry </w:t>
      </w:r>
      <w:r>
        <w:t xml:space="preserve">deprese a </w:t>
      </w:r>
      <w:r w:rsidR="00F20FAB">
        <w:t>stav jejich</w:t>
      </w:r>
      <w:r w:rsidR="0070519B">
        <w:t xml:space="preserve"> </w:t>
      </w:r>
      <w:r>
        <w:t>duševní</w:t>
      </w:r>
      <w:r w:rsidR="00F20FAB">
        <w:t>ho</w:t>
      </w:r>
      <w:r>
        <w:t xml:space="preserve"> </w:t>
      </w:r>
      <w:r w:rsidR="0070519B">
        <w:t>z</w:t>
      </w:r>
      <w:r>
        <w:t>draví.</w:t>
      </w:r>
    </w:p>
    <w:p w14:paraId="7403FAAC" w14:textId="4EE4F90D" w:rsidR="00D25415" w:rsidRDefault="006B49AD" w:rsidP="00FD22F6">
      <w:pPr>
        <w:spacing w:line="360" w:lineRule="auto"/>
      </w:pPr>
      <w:r>
        <w:t>Bylo zjištěno, že p</w:t>
      </w:r>
      <w:r w:rsidR="00F94A6B">
        <w:t xml:space="preserve">ouze jedna čtvrtina dotazovaných měla v dospělosti stále problémy s drogami. </w:t>
      </w:r>
      <w:r w:rsidR="009D7F4E">
        <w:t xml:space="preserve">Do této skupiny nebyly řazeny </w:t>
      </w:r>
      <w:r w:rsidR="00F94A6B">
        <w:t xml:space="preserve">osoby užívající marihuanu </w:t>
      </w:r>
      <w:r w:rsidR="009D7F4E">
        <w:t>nebo</w:t>
      </w:r>
      <w:r w:rsidR="00F94A6B">
        <w:t xml:space="preserve"> extázi, ale pouze uživatelé silnějších drog. Pro </w:t>
      </w:r>
      <w:r w:rsidR="009D7F4E">
        <w:t>tyto uživatele</w:t>
      </w:r>
      <w:r w:rsidR="00C336BB">
        <w:t xml:space="preserve"> </w:t>
      </w:r>
      <w:r w:rsidR="00F94A6B">
        <w:t>bylo charakteristické nižší vzdělání, nezaměstnanost či zaměstnání manuální</w:t>
      </w:r>
      <w:r w:rsidR="009D7F4E">
        <w:t>.</w:t>
      </w:r>
      <w:r w:rsidR="00F94A6B">
        <w:t xml:space="preserve"> </w:t>
      </w:r>
      <w:r w:rsidR="009D7F4E">
        <w:t>Dále s větší pravděpodobností</w:t>
      </w:r>
      <w:r w:rsidR="00F94A6B">
        <w:t xml:space="preserve"> nežili v manželství, léčili se s hepatitidou C </w:t>
      </w:r>
      <w:r w:rsidR="009D7F4E">
        <w:t>nebo</w:t>
      </w:r>
      <w:r w:rsidR="00F94A6B">
        <w:t xml:space="preserve"> byli</w:t>
      </w:r>
      <w:r w:rsidR="00C336BB">
        <w:t xml:space="preserve"> v minulosti</w:t>
      </w:r>
      <w:r w:rsidR="00F94A6B">
        <w:t xml:space="preserve"> ve vězení. </w:t>
      </w:r>
      <w:r w:rsidR="00D25415">
        <w:t xml:space="preserve">Tito uživatelé také </w:t>
      </w:r>
      <w:r w:rsidR="009D7F4E">
        <w:t>ve větším počtu prošli</w:t>
      </w:r>
      <w:r w:rsidR="00D25415">
        <w:t xml:space="preserve"> detoxikačním pobytem </w:t>
      </w:r>
      <w:r w:rsidR="009D7F4E">
        <w:t xml:space="preserve">nebo dokonce </w:t>
      </w:r>
      <w:r w:rsidR="00D25415">
        <w:t xml:space="preserve">léčením s drogovými problémy. Zbylé tři čtvrtiny </w:t>
      </w:r>
      <w:r w:rsidR="007D31F8">
        <w:t xml:space="preserve">účastníků </w:t>
      </w:r>
      <w:r w:rsidR="00D25415">
        <w:t>vykazují stabilní abstinenci od</w:t>
      </w:r>
      <w:r w:rsidR="00C336BB">
        <w:t xml:space="preserve"> </w:t>
      </w:r>
      <w:r w:rsidR="007D31F8">
        <w:t>tvrdých drog</w:t>
      </w:r>
      <w:r w:rsidR="00C336BB">
        <w:t>,</w:t>
      </w:r>
      <w:r>
        <w:t xml:space="preserve"> </w:t>
      </w:r>
      <w:r w:rsidR="007D31F8">
        <w:t xml:space="preserve">přičemž </w:t>
      </w:r>
      <w:r>
        <w:t xml:space="preserve">tito </w:t>
      </w:r>
      <w:r w:rsidR="007D31F8">
        <w:t xml:space="preserve">jedinci </w:t>
      </w:r>
      <w:r w:rsidR="00D25415">
        <w:t xml:space="preserve">nevykazují </w:t>
      </w:r>
      <w:r w:rsidR="007D31F8">
        <w:t xml:space="preserve">žádné výrazné </w:t>
      </w:r>
      <w:r w:rsidR="00D25415">
        <w:t xml:space="preserve">problémy v sociálním životě. </w:t>
      </w:r>
    </w:p>
    <w:p w14:paraId="57B494A4" w14:textId="4E8F468B" w:rsidR="00AB01E5" w:rsidRDefault="007D31F8" w:rsidP="00FD22F6">
      <w:pPr>
        <w:spacing w:line="360" w:lineRule="auto"/>
      </w:pPr>
      <w:r>
        <w:lastRenderedPageBreak/>
        <w:t>Studie se dále zaměřila na problematiku</w:t>
      </w:r>
      <w:r w:rsidR="00D25415">
        <w:t xml:space="preserve"> oblast</w:t>
      </w:r>
      <w:r>
        <w:t>í</w:t>
      </w:r>
      <w:r w:rsidR="00D25415">
        <w:t xml:space="preserve"> života</w:t>
      </w:r>
      <w:r w:rsidR="004C60DB">
        <w:t>,</w:t>
      </w:r>
      <w:r w:rsidR="00D25415">
        <w:t xml:space="preserve"> </w:t>
      </w:r>
      <w:r>
        <w:t>ve kterých se</w:t>
      </w:r>
      <w:r w:rsidR="004C60DB">
        <w:t xml:space="preserve"> </w:t>
      </w:r>
      <w:r w:rsidR="00D25415">
        <w:t xml:space="preserve">adolescentní uživatelé </w:t>
      </w:r>
      <w:r>
        <w:t xml:space="preserve"> po dosažení </w:t>
      </w:r>
      <w:r w:rsidR="00D25415">
        <w:t xml:space="preserve">dospělosti </w:t>
      </w:r>
      <w:r>
        <w:t xml:space="preserve">nejčastěji setkávají s </w:t>
      </w:r>
      <w:r w:rsidR="00D25415">
        <w:t>problémy. Škála měření se zde pohybuje mezi 0 a 1, kdy 1 značí</w:t>
      </w:r>
      <w:r w:rsidR="004C60DB">
        <w:t xml:space="preserve"> </w:t>
      </w:r>
      <w:r>
        <w:t xml:space="preserve">nejvýraznější problematické </w:t>
      </w:r>
      <w:r w:rsidR="004C60DB">
        <w:t>oblasti.</w:t>
      </w:r>
      <w:r w:rsidR="00D25415">
        <w:t xml:space="preserve"> Podrobně si výsledky můžete prohlédnout v přiloženém grafu. U obou skupin jsou však zjevné problémy se zaměstnáním. Tento problém je pravděpodobně spojen s nižším vzděláním adolescentů</w:t>
      </w:r>
      <w:r w:rsidR="006B49AD">
        <w:t xml:space="preserve"> kvůli drogové závislosti</w:t>
      </w:r>
      <w:r w:rsidR="00D25415">
        <w:t xml:space="preserve">, kdy 54% abstinentů a 77% závislých má pouze </w:t>
      </w:r>
      <w:r w:rsidR="005D5B4B">
        <w:t>základní vzdělání</w:t>
      </w:r>
      <w:r w:rsidR="006B49AD">
        <w:t>.</w:t>
      </w:r>
    </w:p>
    <w:p w14:paraId="45B730AB" w14:textId="77777777" w:rsidR="00F94A6B" w:rsidRPr="00AB01E5" w:rsidRDefault="00F94A6B" w:rsidP="00AB01E5"/>
    <w:p w14:paraId="1FD2E8D7" w14:textId="77777777" w:rsidR="00FD22F6" w:rsidRDefault="00AB01E5" w:rsidP="00FD22F6">
      <w:pPr>
        <w:spacing w:line="360" w:lineRule="auto"/>
        <w:ind w:firstLine="0"/>
      </w:pPr>
      <w:r>
        <w:rPr>
          <w:noProof/>
          <w:lang w:eastAsia="cs-CZ"/>
        </w:rPr>
        <w:drawing>
          <wp:inline distT="0" distB="0" distL="0" distR="0" wp14:anchorId="44D89EAA" wp14:editId="454BC848">
            <wp:extent cx="5486400" cy="3200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93B35FA" w14:textId="3C3921E9" w:rsidR="00DE32ED" w:rsidRDefault="00DE32ED" w:rsidP="00FD22F6">
      <w:pPr>
        <w:spacing w:line="360" w:lineRule="auto"/>
      </w:pPr>
      <w:r>
        <w:t>Čím více měli jedinci, závislí i v dospělosti, problémy s drogami, tím více je měli také v oblasti zdraví, zaměstnání, dodržování zákona, rodiny a</w:t>
      </w:r>
      <w:r w:rsidR="00B0688A">
        <w:t xml:space="preserve"> tím více trpěli</w:t>
      </w:r>
      <w:r>
        <w:t xml:space="preserve"> </w:t>
      </w:r>
      <w:r w:rsidR="00B0688A">
        <w:t>psychologickými problémy. V otázce souvislosti alkoholu se sociálními problémy docházelo k významné korelaci pouze v jedné oblasti. Čím</w:t>
      </w:r>
      <w:r>
        <w:t xml:space="preserve"> více měli problémů s alkoholem, tím více jich měli i psychologických. </w:t>
      </w:r>
    </w:p>
    <w:p w14:paraId="685D4A83" w14:textId="12DD4E76" w:rsidR="00D1446F" w:rsidRDefault="00B0688A" w:rsidP="00FD22F6">
      <w:pPr>
        <w:spacing w:line="360" w:lineRule="auto"/>
      </w:pPr>
      <w:r>
        <w:t>Studie dál</w:t>
      </w:r>
      <w:r w:rsidR="004C60DB">
        <w:t>e</w:t>
      </w:r>
      <w:r>
        <w:t xml:space="preserve"> ukázala</w:t>
      </w:r>
      <w:r w:rsidR="00DE32ED">
        <w:t>, že 90% v dospělosti závislých uvádí jako nejčastěji užívanou drogu heroin a navíc více než 80% z nich většinou</w:t>
      </w:r>
      <w:r>
        <w:t xml:space="preserve"> uvádí užívání na denní bázi</w:t>
      </w:r>
      <w:r w:rsidR="00DE32ED">
        <w:t>.</w:t>
      </w:r>
    </w:p>
    <w:p w14:paraId="5E006BD0" w14:textId="77777777" w:rsidR="005149B1" w:rsidRDefault="00DE32ED" w:rsidP="00FD22F6">
      <w:pPr>
        <w:spacing w:line="360" w:lineRule="auto"/>
      </w:pPr>
      <w:r>
        <w:t>Zajímavý je</w:t>
      </w:r>
      <w:r w:rsidR="00FD22F6">
        <w:t xml:space="preserve"> také</w:t>
      </w:r>
      <w:r>
        <w:t xml:space="preserve"> vliv rizikových rodinných faktorů na užívání drog, který je zobrazen na grafu níže. Jsou matky skutečně o tolik důležitější osobou v životě adolescenta?</w:t>
      </w:r>
    </w:p>
    <w:p w14:paraId="5134FDCD" w14:textId="77777777" w:rsidR="00FD22F6" w:rsidRDefault="00FD22F6" w:rsidP="00FD22F6">
      <w:pPr>
        <w:spacing w:line="360" w:lineRule="auto"/>
      </w:pPr>
      <w:r>
        <w:rPr>
          <w:noProof/>
          <w:lang w:eastAsia="cs-CZ"/>
        </w:rPr>
        <w:lastRenderedPageBreak/>
        <w:drawing>
          <wp:inline distT="0" distB="0" distL="0" distR="0" wp14:anchorId="074F5AE9" wp14:editId="0A5F4D94">
            <wp:extent cx="5486400" cy="32004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F9893F" w14:textId="69E45892" w:rsidR="00FD22F6" w:rsidRDefault="00FD22F6" w:rsidP="00FD22F6">
      <w:pPr>
        <w:spacing w:line="360" w:lineRule="auto"/>
      </w:pPr>
      <w:r>
        <w:t>Adolescence bývá považována za období, které je specifické vlivem vrstevníků na jedince a potřebou zapadnout. To potvrzují i zjištění tohoto výzkumu, kde nejlepší kamarád byl velmi často</w:t>
      </w:r>
      <w:r w:rsidR="004C60DB">
        <w:t>,</w:t>
      </w:r>
      <w:r>
        <w:t xml:space="preserve"> </w:t>
      </w:r>
      <w:r w:rsidR="00D1446F">
        <w:t>stejně jako dotazovaný subjekt</w:t>
      </w:r>
      <w:r w:rsidR="004C60DB">
        <w:t>,</w:t>
      </w:r>
      <w:r w:rsidR="00D1446F">
        <w:t xml:space="preserve"> </w:t>
      </w:r>
      <w:r>
        <w:t>uživatel</w:t>
      </w:r>
      <w:r w:rsidR="00D1446F">
        <w:t>em</w:t>
      </w:r>
      <w:r>
        <w:t xml:space="preserve"> drog</w:t>
      </w:r>
      <w:r w:rsidR="00D1446F">
        <w:t>, a</w:t>
      </w:r>
      <w:r>
        <w:t xml:space="preserve"> to u 77% uživatelů.</w:t>
      </w:r>
    </w:p>
    <w:p w14:paraId="31995E5A" w14:textId="1CBC762A" w:rsidR="00FD22F6" w:rsidRDefault="00AB01E5" w:rsidP="00FD22F6">
      <w:pPr>
        <w:spacing w:line="360" w:lineRule="auto"/>
      </w:pPr>
      <w:r>
        <w:t xml:space="preserve">Skupiny se ve svých současných charakteristikách příliš neliší, což může být způsobeno </w:t>
      </w:r>
      <w:r w:rsidR="00D1446F">
        <w:t xml:space="preserve">působením </w:t>
      </w:r>
      <w:r>
        <w:t>podobn</w:t>
      </w:r>
      <w:r w:rsidR="00D1446F">
        <w:t>ých</w:t>
      </w:r>
      <w:r>
        <w:t xml:space="preserve"> rizikový</w:t>
      </w:r>
      <w:r w:rsidR="00D1446F">
        <w:t>ch</w:t>
      </w:r>
      <w:r>
        <w:t xml:space="preserve"> faktor</w:t>
      </w:r>
      <w:r w:rsidR="00D1446F">
        <w:t>ů</w:t>
      </w:r>
      <w:r w:rsidR="004C60DB">
        <w:t xml:space="preserve"> </w:t>
      </w:r>
      <w:r w:rsidR="00D1446F">
        <w:t>na dotazovan</w:t>
      </w:r>
      <w:r w:rsidR="004C60DB">
        <w:t>é</w:t>
      </w:r>
      <w:r w:rsidR="00D1446F">
        <w:t xml:space="preserve"> subjekty </w:t>
      </w:r>
      <w:r>
        <w:t>v</w:t>
      </w:r>
      <w:r w:rsidR="00D1446F">
        <w:t> </w:t>
      </w:r>
      <w:r>
        <w:t>adolescenci</w:t>
      </w:r>
      <w:r w:rsidR="00D1446F">
        <w:t>.</w:t>
      </w:r>
      <w:r>
        <w:t xml:space="preserve"> </w:t>
      </w:r>
      <w:r w:rsidR="00FD22F6" w:rsidRPr="00FD22F6">
        <w:t>Výsledky studie jsou</w:t>
      </w:r>
      <w:r w:rsidR="00617BA0">
        <w:t xml:space="preserve"> ve srovnání se</w:t>
      </w:r>
      <w:r w:rsidR="00FD22F6" w:rsidRPr="00FD22F6">
        <w:t xml:space="preserve"> zahraniční</w:t>
      </w:r>
      <w:r w:rsidR="00617BA0">
        <w:t>mi</w:t>
      </w:r>
      <w:r w:rsidR="00FD22F6" w:rsidRPr="00FD22F6">
        <w:t xml:space="preserve"> poměry </w:t>
      </w:r>
      <w:r w:rsidR="00FD22F6">
        <w:t>poměrně</w:t>
      </w:r>
      <w:r w:rsidR="00FD22F6" w:rsidRPr="00FD22F6">
        <w:t xml:space="preserve"> příznivé, může to však být způsobeno nižším věkem účastníků a tím, že se nejednalo o klienty léčeben, ale nízkoprahových zařízení.</w:t>
      </w:r>
      <w:r w:rsidR="00FD22F6">
        <w:t xml:space="preserve"> I přesto, že pouze 25% adolescentů zůstalo závislých i v dospělosti, je důležité neopomíjet fakt, že drogová závislost má </w:t>
      </w:r>
      <w:r>
        <w:t xml:space="preserve">negativní </w:t>
      </w:r>
      <w:r w:rsidR="00FD22F6">
        <w:t xml:space="preserve">dopad na zaměstnání, zdraví a sociální život dospělého </w:t>
      </w:r>
      <w:commentRangeStart w:id="0"/>
      <w:r w:rsidR="00FD22F6">
        <w:t>jedince</w:t>
      </w:r>
      <w:commentRangeEnd w:id="0"/>
      <w:r w:rsidR="005C4F12">
        <w:rPr>
          <w:rStyle w:val="CommentReference"/>
        </w:rPr>
        <w:commentReference w:id="0"/>
      </w:r>
      <w:r w:rsidR="00FD22F6">
        <w:t>.</w:t>
      </w:r>
    </w:p>
    <w:p w14:paraId="63C569E0" w14:textId="77777777" w:rsidR="00B6202D" w:rsidRDefault="00B6202D" w:rsidP="00FD22F6">
      <w:pPr>
        <w:spacing w:line="360" w:lineRule="auto"/>
      </w:pPr>
    </w:p>
    <w:p w14:paraId="277BA5A5" w14:textId="77777777" w:rsidR="00897012" w:rsidRDefault="00897012" w:rsidP="00897012">
      <w:r>
        <w:rPr>
          <w:shd w:val="clear" w:color="auto" w:fill="FFFFFF"/>
        </w:rPr>
        <w:t>Csémy, L., Zábranský, T., Grohmannová, K., Dvořáková, Z., Brenza, J., &amp; Janíková, B. (2012). Dospívající uživatelé her</w:t>
      </w:r>
      <w:r w:rsidR="00BD7A88">
        <w:rPr>
          <w:shd w:val="clear" w:color="auto" w:fill="FFFFFF"/>
        </w:rPr>
        <w:t>oinu a pervitinu po 14 letech: A</w:t>
      </w:r>
      <w:r>
        <w:rPr>
          <w:shd w:val="clear" w:color="auto" w:fill="FFFFFF"/>
        </w:rPr>
        <w:t xml:space="preserve">nalýza </w:t>
      </w:r>
      <w:r w:rsidR="00BD7A88">
        <w:rPr>
          <w:shd w:val="clear" w:color="auto" w:fill="FFFFFF"/>
        </w:rPr>
        <w:t xml:space="preserve">psychosociálních charakteristik. </w:t>
      </w:r>
      <w:r>
        <w:rPr>
          <w:i/>
          <w:iCs/>
        </w:rPr>
        <w:t>Československá Psychologie</w:t>
      </w:r>
      <w:r>
        <w:rPr>
          <w:shd w:val="clear" w:color="auto" w:fill="FFFFFF"/>
        </w:rPr>
        <w:t>, </w:t>
      </w:r>
      <w:r>
        <w:rPr>
          <w:i/>
          <w:iCs/>
        </w:rPr>
        <w:t>56</w:t>
      </w:r>
      <w:r>
        <w:rPr>
          <w:shd w:val="clear" w:color="auto" w:fill="FFFFFF"/>
        </w:rPr>
        <w:t>(6), 505-517.</w:t>
      </w:r>
    </w:p>
    <w:sectPr w:rsidR="0089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20T19:18:00Z" w:initials="AŤ">
    <w:p w14:paraId="08815821" w14:textId="0A645237" w:rsidR="005C4F12" w:rsidRDefault="005C4F12">
      <w:pPr>
        <w:pStyle w:val="CommentText"/>
      </w:pPr>
      <w:r>
        <w:rPr>
          <w:rStyle w:val="CommentReference"/>
        </w:rPr>
        <w:annotationRef/>
      </w:r>
      <w:r>
        <w:t>Přijato, 10b.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8158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815821" w16cid:durableId="20B65A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30E50"/>
    <w:multiLevelType w:val="multilevel"/>
    <w:tmpl w:val="41141F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76"/>
    <w:rsid w:val="001066D7"/>
    <w:rsid w:val="001A425C"/>
    <w:rsid w:val="00363A58"/>
    <w:rsid w:val="00445F36"/>
    <w:rsid w:val="0049194E"/>
    <w:rsid w:val="004C60DB"/>
    <w:rsid w:val="005149B1"/>
    <w:rsid w:val="00564D76"/>
    <w:rsid w:val="005C4F12"/>
    <w:rsid w:val="005D5B4B"/>
    <w:rsid w:val="00617BA0"/>
    <w:rsid w:val="006B49AD"/>
    <w:rsid w:val="0070519B"/>
    <w:rsid w:val="007D31F8"/>
    <w:rsid w:val="00867E96"/>
    <w:rsid w:val="00897012"/>
    <w:rsid w:val="009D7F4E"/>
    <w:rsid w:val="00AB01E5"/>
    <w:rsid w:val="00AC6278"/>
    <w:rsid w:val="00B0688A"/>
    <w:rsid w:val="00B6202D"/>
    <w:rsid w:val="00BD6C22"/>
    <w:rsid w:val="00BD7A88"/>
    <w:rsid w:val="00C336BB"/>
    <w:rsid w:val="00D1446F"/>
    <w:rsid w:val="00D25415"/>
    <w:rsid w:val="00DE32ED"/>
    <w:rsid w:val="00E8666E"/>
    <w:rsid w:val="00F20FAB"/>
    <w:rsid w:val="00F94A6B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9383"/>
  <w15:chartTrackingRefBased/>
  <w15:docId w15:val="{E828674B-6E63-4F58-A071-A49CCB54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25C"/>
    <w:pPr>
      <w:spacing w:after="0" w:line="276" w:lineRule="auto"/>
      <w:ind w:firstLine="34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25C"/>
    <w:pPr>
      <w:numPr>
        <w:numId w:val="1"/>
      </w:numPr>
      <w:spacing w:before="120"/>
      <w:ind w:left="431" w:hanging="431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5C"/>
    <w:pPr>
      <w:keepNext/>
      <w:keepLines/>
      <w:spacing w:before="200"/>
      <w:ind w:firstLine="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25C"/>
    <w:pPr>
      <w:keepNext/>
      <w:keepLines/>
      <w:spacing w:before="120"/>
      <w:ind w:firstLine="0"/>
      <w:outlineLvl w:val="2"/>
    </w:pPr>
    <w:rPr>
      <w:rFonts w:ascii="Arial" w:eastAsiaTheme="majorEastAsia" w:hAnsi="Arial" w:cstheme="majorBidi"/>
      <w:b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5C"/>
    <w:rPr>
      <w:rFonts w:ascii="Arial" w:hAnsi="Arial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A425C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25C"/>
    <w:rPr>
      <w:rFonts w:ascii="Arial" w:eastAsiaTheme="majorEastAsia" w:hAnsi="Arial" w:cstheme="majorBidi"/>
      <w:b/>
      <w:i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5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19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19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Problémy dospělých</a:t>
            </a:r>
            <a:r>
              <a:rPr lang="cs-CZ" baseline="0"/>
              <a:t> uživatelů a neuživatelů v různých oblastech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Neuživatelé drog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Tělesné zdraví</c:v>
                </c:pt>
                <c:pt idx="1">
                  <c:v>Zaměstnání</c:v>
                </c:pt>
                <c:pt idx="2">
                  <c:v>Dodržování zákona</c:v>
                </c:pt>
                <c:pt idx="3">
                  <c:v>Alkohol</c:v>
                </c:pt>
                <c:pt idx="4">
                  <c:v>Drogy</c:v>
                </c:pt>
                <c:pt idx="5">
                  <c:v>Rodina</c:v>
                </c:pt>
                <c:pt idx="6">
                  <c:v>Psychologické problémy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0.12</c:v>
                </c:pt>
                <c:pt idx="1">
                  <c:v>0.39</c:v>
                </c:pt>
                <c:pt idx="2">
                  <c:v>0.04</c:v>
                </c:pt>
                <c:pt idx="3">
                  <c:v>0.05</c:v>
                </c:pt>
                <c:pt idx="4">
                  <c:v>0.02</c:v>
                </c:pt>
                <c:pt idx="5">
                  <c:v>0.13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7A-472C-87B0-9BF654CCE84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Uživatelé drog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Tělesné zdraví</c:v>
                </c:pt>
                <c:pt idx="1">
                  <c:v>Zaměstnání</c:v>
                </c:pt>
                <c:pt idx="2">
                  <c:v>Dodržování zákona</c:v>
                </c:pt>
                <c:pt idx="3">
                  <c:v>Alkohol</c:v>
                </c:pt>
                <c:pt idx="4">
                  <c:v>Drogy</c:v>
                </c:pt>
                <c:pt idx="5">
                  <c:v>Rodina</c:v>
                </c:pt>
                <c:pt idx="6">
                  <c:v>Psychologické problémy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0.38</c:v>
                </c:pt>
                <c:pt idx="1">
                  <c:v>0.7</c:v>
                </c:pt>
                <c:pt idx="2">
                  <c:v>0.16</c:v>
                </c:pt>
                <c:pt idx="3">
                  <c:v>0.05</c:v>
                </c:pt>
                <c:pt idx="4">
                  <c:v>0.19</c:v>
                </c:pt>
                <c:pt idx="5">
                  <c:v>0.28000000000000003</c:v>
                </c:pt>
                <c:pt idx="6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7A-472C-87B0-9BF654CCE8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5370680"/>
        <c:axId val="315366760"/>
      </c:barChart>
      <c:catAx>
        <c:axId val="315370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366760"/>
        <c:crosses val="autoZero"/>
        <c:auto val="1"/>
        <c:lblAlgn val="ctr"/>
        <c:lblOffset val="100"/>
        <c:noMultiLvlLbl val="0"/>
      </c:catAx>
      <c:valAx>
        <c:axId val="315366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370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Vliv</a:t>
            </a:r>
            <a:r>
              <a:rPr lang="cs-CZ" baseline="0"/>
              <a:t> rodinných r</a:t>
            </a:r>
            <a:r>
              <a:rPr lang="cs-CZ"/>
              <a:t>izikové faktorů</a:t>
            </a:r>
            <a:r>
              <a:rPr lang="cs-CZ" baseline="0"/>
              <a:t> na uživání drog v dospělosti</a:t>
            </a:r>
            <a:r>
              <a:rPr lang="cs-CZ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Neuživatelé drog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Nadměrná konzumace alkoholu otcem</c:v>
                </c:pt>
                <c:pt idx="1">
                  <c:v>Nadměrná konzumace alkoholu matkou</c:v>
                </c:pt>
              </c:strCache>
            </c:strRef>
          </c:cat>
          <c:val>
            <c:numRef>
              <c:f>List1!$B$2:$B$3</c:f>
              <c:numCache>
                <c:formatCode>0.00%</c:formatCode>
                <c:ptCount val="2"/>
                <c:pt idx="0">
                  <c:v>0.379</c:v>
                </c:pt>
                <c:pt idx="1">
                  <c:v>8.7999999999999995E-2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07-495E-AC73-4D67A6E004A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Uživatelé drog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Nadměrná konzumace alkoholu otcem</c:v>
                </c:pt>
                <c:pt idx="1">
                  <c:v>Nadměrná konzumace alkoholu matkou</c:v>
                </c:pt>
              </c:strCache>
            </c:strRef>
          </c:cat>
          <c:val>
            <c:numRef>
              <c:f>List1!$C$2:$C$3</c:f>
              <c:numCache>
                <c:formatCode>0.00%</c:formatCode>
                <c:ptCount val="2"/>
                <c:pt idx="0">
                  <c:v>0.182</c:v>
                </c:pt>
                <c:pt idx="1">
                  <c:v>0.38500000000000001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07-495E-AC73-4D67A6E004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5372640"/>
        <c:axId val="315371856"/>
      </c:barChart>
      <c:catAx>
        <c:axId val="31537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371856"/>
        <c:crosses val="autoZero"/>
        <c:auto val="1"/>
        <c:lblAlgn val="ctr"/>
        <c:lblOffset val="100"/>
        <c:noMultiLvlLbl val="0"/>
      </c:catAx>
      <c:valAx>
        <c:axId val="31537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37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</dc:creator>
  <cp:keywords/>
  <dc:description/>
  <cp:lastModifiedBy>Adam Ťápal</cp:lastModifiedBy>
  <cp:revision>4</cp:revision>
  <dcterms:created xsi:type="dcterms:W3CDTF">2019-05-08T19:26:00Z</dcterms:created>
  <dcterms:modified xsi:type="dcterms:W3CDTF">2019-06-20T17:18:00Z</dcterms:modified>
</cp:coreProperties>
</file>