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C289" w14:textId="77777777" w:rsidR="00414BF8" w:rsidRDefault="00414BF8" w:rsidP="006255C9">
      <w:pPr>
        <w:pStyle w:val="Heading1"/>
        <w:jc w:val="both"/>
      </w:pPr>
    </w:p>
    <w:p w14:paraId="6D2CCA39" w14:textId="77777777" w:rsidR="00414BF8" w:rsidRDefault="00414BF8" w:rsidP="006255C9">
      <w:pPr>
        <w:pStyle w:val="Heading1"/>
        <w:jc w:val="both"/>
      </w:pPr>
    </w:p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835"/>
      </w:tblGrid>
      <w:tr w:rsidR="00414BF8" w:rsidRPr="00414BF8" w14:paraId="58107658" w14:textId="77777777" w:rsidTr="00324B62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A56DF58" w14:textId="77777777" w:rsidR="00414BF8" w:rsidRPr="00414BF8" w:rsidRDefault="00414BF8" w:rsidP="00324B6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BF8">
              <w:rPr>
                <w:rFonts w:ascii="Times New Roman" w:hAnsi="Times New Roman" w:cs="Times New Roman"/>
                <w:noProof/>
                <w:sz w:val="24"/>
                <w:szCs w:val="24"/>
              </w:rPr>
              <w:t>Jméno a příjmení: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1C32FE0" w14:textId="77777777" w:rsidR="00414BF8" w:rsidRPr="00414BF8" w:rsidRDefault="00414BF8" w:rsidP="00324B62">
            <w:pPr>
              <w:ind w:left="17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BF8">
              <w:rPr>
                <w:rFonts w:ascii="Times New Roman" w:hAnsi="Times New Roman" w:cs="Times New Roman"/>
                <w:noProof/>
                <w:sz w:val="24"/>
                <w:szCs w:val="24"/>
              </w:rPr>
              <w:t>Kristýna Pokorná</w:t>
            </w:r>
          </w:p>
        </w:tc>
      </w:tr>
      <w:tr w:rsidR="00414BF8" w:rsidRPr="00414BF8" w14:paraId="3222C563" w14:textId="77777777" w:rsidTr="00324B62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A99033C" w14:textId="77777777" w:rsidR="00414BF8" w:rsidRPr="00414BF8" w:rsidRDefault="00414BF8" w:rsidP="00324B6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BF8">
              <w:rPr>
                <w:rFonts w:ascii="Times New Roman" w:hAnsi="Times New Roman" w:cs="Times New Roman"/>
                <w:noProof/>
                <w:sz w:val="24"/>
                <w:szCs w:val="24"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B1DD28A" w14:textId="77777777" w:rsidR="00414BF8" w:rsidRPr="00414BF8" w:rsidRDefault="00414BF8" w:rsidP="00324B62">
            <w:pPr>
              <w:ind w:left="17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BF8">
              <w:rPr>
                <w:rFonts w:ascii="Times New Roman" w:hAnsi="Times New Roman" w:cs="Times New Roman"/>
                <w:noProof/>
                <w:sz w:val="24"/>
                <w:szCs w:val="24"/>
              </w:rPr>
              <w:t>483770</w:t>
            </w:r>
          </w:p>
        </w:tc>
      </w:tr>
      <w:tr w:rsidR="00414BF8" w:rsidRPr="00414BF8" w14:paraId="170C3B7A" w14:textId="77777777" w:rsidTr="00324B62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AFB24DA" w14:textId="77777777" w:rsidR="00414BF8" w:rsidRPr="00414BF8" w:rsidRDefault="00414BF8" w:rsidP="00324B6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BF8">
              <w:rPr>
                <w:rFonts w:ascii="Times New Roman" w:hAnsi="Times New Roman" w:cs="Times New Roman"/>
                <w:noProof/>
                <w:sz w:val="24"/>
                <w:szCs w:val="24"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0FC1C0C0" w14:textId="77777777" w:rsidR="00414BF8" w:rsidRPr="00414BF8" w:rsidRDefault="00414BF8" w:rsidP="00324B62">
            <w:pPr>
              <w:ind w:left="17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Statistická analýza dat, PSY117</w:t>
            </w:r>
          </w:p>
        </w:tc>
      </w:tr>
      <w:tr w:rsidR="00414BF8" w:rsidRPr="00414BF8" w14:paraId="1BDF0FD2" w14:textId="77777777" w:rsidTr="00324B62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B5273DD" w14:textId="77777777" w:rsidR="00414BF8" w:rsidRPr="00414BF8" w:rsidRDefault="00414BF8" w:rsidP="00324B62">
            <w:pPr>
              <w:ind w:left="164" w:hanging="16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BF8">
              <w:rPr>
                <w:rFonts w:ascii="Times New Roman" w:hAnsi="Times New Roman" w:cs="Times New Roman"/>
                <w:noProof/>
                <w:sz w:val="24"/>
                <w:szCs w:val="24"/>
              </w:rPr>
              <w:t>Vyučující: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533B622" w14:textId="77777777" w:rsidR="00414BF8" w:rsidRPr="00414BF8" w:rsidRDefault="00414BF8" w:rsidP="00324B62">
            <w:pPr>
              <w:ind w:left="17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BF8">
              <w:rPr>
                <w:rFonts w:ascii="Times New Roman" w:hAnsi="Times New Roman" w:cs="Times New Roman"/>
                <w:noProof/>
                <w:sz w:val="24"/>
                <w:szCs w:val="24"/>
              </w:rPr>
              <w:t>Mgr. Stanislav Ježek, Ph.D.</w:t>
            </w:r>
          </w:p>
        </w:tc>
      </w:tr>
      <w:tr w:rsidR="00414BF8" w:rsidRPr="00414BF8" w14:paraId="3A14438B" w14:textId="77777777" w:rsidTr="00324B62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76E9A1E" w14:textId="77777777" w:rsidR="00414BF8" w:rsidRPr="00414BF8" w:rsidRDefault="00414BF8" w:rsidP="00324B6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4BF8">
              <w:rPr>
                <w:rFonts w:ascii="Times New Roman" w:hAnsi="Times New Roman" w:cs="Times New Roman"/>
                <w:noProof/>
                <w:sz w:val="24"/>
                <w:szCs w:val="24"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491B5EE5" w14:textId="77777777" w:rsidR="00414BF8" w:rsidRPr="00414BF8" w:rsidRDefault="00414BF8" w:rsidP="00324B62">
            <w:pPr>
              <w:ind w:left="17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7.5</w:t>
            </w:r>
            <w:r w:rsidRPr="00414BF8">
              <w:rPr>
                <w:rFonts w:ascii="Times New Roman" w:hAnsi="Times New Roman" w:cs="Times New Roman"/>
                <w:noProof/>
                <w:sz w:val="24"/>
                <w:szCs w:val="24"/>
              </w:rPr>
              <w:t>.2019</w:t>
            </w:r>
          </w:p>
        </w:tc>
      </w:tr>
      <w:tr w:rsidR="00414BF8" w:rsidRPr="00414BF8" w14:paraId="03109FD7" w14:textId="77777777" w:rsidTr="00324B62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67008DC" w14:textId="77777777" w:rsidR="00414BF8" w:rsidRPr="00414BF8" w:rsidRDefault="00414BF8" w:rsidP="00324B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FD0AC42" w14:textId="77777777" w:rsidR="00414BF8" w:rsidRDefault="00414BF8" w:rsidP="00414BF8">
      <w:bookmarkStart w:id="0" w:name="_Toc4162543"/>
    </w:p>
    <w:p w14:paraId="736D3FCF" w14:textId="77777777" w:rsidR="00414BF8" w:rsidRDefault="00414BF8" w:rsidP="00414BF8">
      <w:r w:rsidRPr="006859E0">
        <w:rPr>
          <w:noProof/>
        </w:rPr>
        <w:drawing>
          <wp:anchor distT="0" distB="0" distL="114300" distR="114300" simplePos="0" relativeHeight="251659264" behindDoc="1" locked="1" layoutInCell="1" allowOverlap="1" wp14:anchorId="743505E3" wp14:editId="312FD777">
            <wp:simplePos x="0" y="0"/>
            <wp:positionH relativeFrom="margin">
              <wp:posOffset>-44450</wp:posOffset>
            </wp:positionH>
            <wp:positionV relativeFrom="margin">
              <wp:posOffset>204470</wp:posOffset>
            </wp:positionV>
            <wp:extent cx="1090295" cy="838200"/>
            <wp:effectExtent l="0" t="0" r="0" b="0"/>
            <wp:wrapSquare wrapText="bothSides"/>
            <wp:docPr id="4" name="Obrázek 4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135E541" w14:textId="77777777" w:rsidR="00932B50" w:rsidRPr="00414BF8" w:rsidRDefault="00414BF8" w:rsidP="00414BF8">
      <w:pPr>
        <w:pStyle w:val="Heading1"/>
        <w:spacing w:before="240" w:line="240" w:lineRule="auto"/>
        <w:jc w:val="both"/>
      </w:pPr>
      <w:r>
        <w:br w:type="page"/>
      </w:r>
      <w:r w:rsidR="00A23090" w:rsidRPr="006255C9">
        <w:lastRenderedPageBreak/>
        <w:t xml:space="preserve">Analýza psychosociálních charakteristik </w:t>
      </w:r>
      <w:r w:rsidR="00C03FD6" w:rsidRPr="006255C9">
        <w:t>dospívajících drogově závislých na</w:t>
      </w:r>
      <w:r w:rsidR="00A23090" w:rsidRPr="006255C9">
        <w:t xml:space="preserve"> heroinu a pervitinu po 14 letech</w:t>
      </w:r>
    </w:p>
    <w:p w14:paraId="4BA8CE99" w14:textId="77777777" w:rsidR="006255C9" w:rsidRPr="006255C9" w:rsidRDefault="006255C9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A9136" w14:textId="77777777" w:rsidR="00A23090" w:rsidRDefault="00C03FD6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5C9">
        <w:rPr>
          <w:rFonts w:ascii="Times New Roman" w:hAnsi="Times New Roman" w:cs="Times New Roman"/>
          <w:sz w:val="24"/>
          <w:szCs w:val="24"/>
        </w:rPr>
        <w:t xml:space="preserve">Po revoluci </w:t>
      </w:r>
      <w:r w:rsidR="00057351" w:rsidRPr="006255C9">
        <w:rPr>
          <w:rFonts w:ascii="Times New Roman" w:hAnsi="Times New Roman" w:cs="Times New Roman"/>
          <w:sz w:val="24"/>
          <w:szCs w:val="24"/>
        </w:rPr>
        <w:t>došlo v</w:t>
      </w:r>
      <w:r w:rsidR="006255C9" w:rsidRPr="006255C9">
        <w:rPr>
          <w:rFonts w:ascii="Times New Roman" w:hAnsi="Times New Roman" w:cs="Times New Roman"/>
          <w:sz w:val="24"/>
          <w:szCs w:val="24"/>
        </w:rPr>
        <w:t> </w:t>
      </w:r>
      <w:r w:rsidR="00057351" w:rsidRPr="006255C9">
        <w:rPr>
          <w:rFonts w:ascii="Times New Roman" w:hAnsi="Times New Roman" w:cs="Times New Roman"/>
          <w:sz w:val="24"/>
          <w:szCs w:val="24"/>
        </w:rPr>
        <w:t>Československu</w:t>
      </w:r>
      <w:r w:rsidR="00291597">
        <w:rPr>
          <w:rFonts w:ascii="Times New Roman" w:hAnsi="Times New Roman" w:cs="Times New Roman"/>
          <w:sz w:val="24"/>
          <w:szCs w:val="24"/>
        </w:rPr>
        <w:t xml:space="preserve"> k pádu komunistického režimu a k souvisejícím velkým společenským </w:t>
      </w:r>
      <w:r w:rsidR="006255C9" w:rsidRPr="006255C9">
        <w:rPr>
          <w:rFonts w:ascii="Times New Roman" w:hAnsi="Times New Roman" w:cs="Times New Roman"/>
          <w:sz w:val="24"/>
          <w:szCs w:val="24"/>
        </w:rPr>
        <w:t xml:space="preserve">změnám. Jednou z nich je bohužel i nárůst užívání drog u dospívajících a mladých </w:t>
      </w:r>
      <w:r w:rsidR="007628AE">
        <w:rPr>
          <w:rFonts w:ascii="Times New Roman" w:hAnsi="Times New Roman" w:cs="Times New Roman"/>
          <w:sz w:val="24"/>
          <w:szCs w:val="24"/>
        </w:rPr>
        <w:t>dospělých. S</w:t>
      </w:r>
      <w:r w:rsidR="006255C9" w:rsidRPr="006255C9">
        <w:rPr>
          <w:rFonts w:ascii="Times New Roman" w:hAnsi="Times New Roman" w:cs="Times New Roman"/>
          <w:sz w:val="24"/>
          <w:szCs w:val="24"/>
        </w:rPr>
        <w:t xml:space="preserve">tudie </w:t>
      </w:r>
      <w:sdt>
        <w:sdtPr>
          <w:rPr>
            <w:rFonts w:ascii="Times New Roman" w:hAnsi="Times New Roman" w:cs="Times New Roman"/>
            <w:sz w:val="24"/>
            <w:szCs w:val="24"/>
          </w:rPr>
          <w:id w:val="267111675"/>
          <w:citation/>
        </w:sdtPr>
        <w:sdtEndPr/>
        <w:sdtContent>
          <w:r w:rsidR="0006039D" w:rsidRPr="006255C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255C9" w:rsidRPr="006255C9">
            <w:rPr>
              <w:rFonts w:ascii="Times New Roman" w:hAnsi="Times New Roman" w:cs="Times New Roman"/>
              <w:sz w:val="24"/>
              <w:szCs w:val="24"/>
            </w:rPr>
            <w:instrText xml:space="preserve"> CITATION Csé11 \l 1029 </w:instrText>
          </w:r>
          <w:r w:rsidR="0006039D" w:rsidRPr="006255C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55C9" w:rsidRPr="006255C9">
            <w:rPr>
              <w:rFonts w:ascii="Times New Roman" w:hAnsi="Times New Roman" w:cs="Times New Roman"/>
              <w:noProof/>
              <w:sz w:val="24"/>
              <w:szCs w:val="24"/>
            </w:rPr>
            <w:t>(Csémy, a další, 2011)</w:t>
          </w:r>
          <w:r w:rsidR="0006039D" w:rsidRPr="006255C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628AE">
        <w:rPr>
          <w:rFonts w:ascii="Times New Roman" w:hAnsi="Times New Roman" w:cs="Times New Roman"/>
          <w:sz w:val="24"/>
          <w:szCs w:val="24"/>
        </w:rPr>
        <w:t xml:space="preserve"> </w:t>
      </w:r>
      <w:r w:rsidR="006255C9" w:rsidRPr="006255C9">
        <w:rPr>
          <w:rFonts w:ascii="Times New Roman" w:hAnsi="Times New Roman" w:cs="Times New Roman"/>
          <w:sz w:val="24"/>
          <w:szCs w:val="24"/>
        </w:rPr>
        <w:t xml:space="preserve">zkoumala po 14 letech dospívající uživatele heroinu a pervitinu. </w:t>
      </w:r>
    </w:p>
    <w:p w14:paraId="7E717EFC" w14:textId="77777777" w:rsidR="006255C9" w:rsidRDefault="006255C9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21767E" w14:textId="77777777" w:rsidR="002472EE" w:rsidRDefault="002472EE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Studie </w:t>
      </w:r>
      <w:sdt>
        <w:sdtPr>
          <w:rPr>
            <w:rFonts w:ascii="Times New Roman" w:hAnsi="Times New Roman" w:cs="Times New Roman"/>
            <w:sz w:val="24"/>
            <w:szCs w:val="24"/>
          </w:rPr>
          <w:id w:val="267111692"/>
          <w:citation/>
        </w:sdtPr>
        <w:sdtEndPr/>
        <w:sdtContent>
          <w:r w:rsidR="0006039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Csé11 \l 1029 </w:instrText>
          </w:r>
          <w:r w:rsidR="0006039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472EE">
            <w:rPr>
              <w:rFonts w:ascii="Times New Roman" w:hAnsi="Times New Roman" w:cs="Times New Roman"/>
              <w:noProof/>
              <w:sz w:val="24"/>
              <w:szCs w:val="24"/>
            </w:rPr>
            <w:t>(Csémy, a další, 2011)</w:t>
          </w:r>
          <w:r w:rsidR="0006039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8436C">
        <w:rPr>
          <w:rFonts w:ascii="Times New Roman" w:hAnsi="Times New Roman" w:cs="Times New Roman"/>
          <w:sz w:val="24"/>
          <w:szCs w:val="24"/>
        </w:rPr>
        <w:t xml:space="preserve"> se zúčastnilo 124 drogově závislých v letech 1996-1998, vyšetřovaným osobám bylo v průměru kolem 17,5 let. Z tohoto původního počtu se násl</w:t>
      </w:r>
      <w:r w:rsidR="00291597">
        <w:rPr>
          <w:rFonts w:ascii="Times New Roman" w:hAnsi="Times New Roman" w:cs="Times New Roman"/>
          <w:sz w:val="24"/>
          <w:szCs w:val="24"/>
        </w:rPr>
        <w:t>edného zkoumání probíhajícího v období od</w:t>
      </w:r>
      <w:r w:rsidR="0078436C">
        <w:rPr>
          <w:rFonts w:ascii="Times New Roman" w:hAnsi="Times New Roman" w:cs="Times New Roman"/>
          <w:sz w:val="24"/>
          <w:szCs w:val="24"/>
        </w:rPr>
        <w:t xml:space="preserve"> 2010-2011 zúčastnilo 52 osob z původního souboru, kterým v této době bylo už v průměru 31 let. Osoby byly dotazovány na informace o jejich rodině</w:t>
      </w:r>
      <w:r w:rsidR="00291597">
        <w:rPr>
          <w:rFonts w:ascii="Times New Roman" w:hAnsi="Times New Roman" w:cs="Times New Roman"/>
          <w:sz w:val="24"/>
          <w:szCs w:val="24"/>
        </w:rPr>
        <w:t xml:space="preserve"> a rodinných vztazích, o okolnostech užívání drog, různých poruchách chování a </w:t>
      </w:r>
      <w:r w:rsidR="0078436C">
        <w:rPr>
          <w:rFonts w:ascii="Times New Roman" w:hAnsi="Times New Roman" w:cs="Times New Roman"/>
          <w:sz w:val="24"/>
          <w:szCs w:val="24"/>
        </w:rPr>
        <w:t>ohodnocení síly návyku podle škály síly závislosti. V další části pak byli dotazováni na okamžiky z jejich životní historie, na problémy v 7 oblastech (zaměstnání</w:t>
      </w:r>
      <w:r w:rsidR="00291597">
        <w:rPr>
          <w:rFonts w:ascii="Times New Roman" w:hAnsi="Times New Roman" w:cs="Times New Roman"/>
          <w:sz w:val="24"/>
          <w:szCs w:val="24"/>
        </w:rPr>
        <w:t>,</w:t>
      </w:r>
      <w:r w:rsidR="0078436C">
        <w:rPr>
          <w:rFonts w:ascii="Times New Roman" w:hAnsi="Times New Roman" w:cs="Times New Roman"/>
          <w:sz w:val="24"/>
          <w:szCs w:val="24"/>
        </w:rPr>
        <w:t xml:space="preserve"> užívání alkoholu, zdraví, dodržování zákona, užívání drog, psychické zdraví a rodina) a v neposlední řadě i dotazníky na vybrané psychické aspekty, jako sebehodnocení, apod. </w:t>
      </w:r>
    </w:p>
    <w:p w14:paraId="15CB9DD0" w14:textId="77777777" w:rsidR="0078436C" w:rsidRDefault="0078436C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1E677" w14:textId="77777777" w:rsidR="0078436C" w:rsidRDefault="00B22F0F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52 osob, které se po 14 letech zúčastnily následného šetření</w:t>
      </w:r>
      <w:r w:rsidR="00735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mělo problémy s drogami </w:t>
      </w:r>
      <w:r w:rsidR="007357EF">
        <w:rPr>
          <w:rFonts w:ascii="Times New Roman" w:hAnsi="Times New Roman" w:cs="Times New Roman"/>
          <w:sz w:val="24"/>
          <w:szCs w:val="24"/>
        </w:rPr>
        <w:t xml:space="preserve">13 z těchto </w:t>
      </w:r>
      <w:r w:rsidR="00AF4088">
        <w:rPr>
          <w:rFonts w:ascii="Times New Roman" w:hAnsi="Times New Roman" w:cs="Times New Roman"/>
          <w:sz w:val="24"/>
          <w:szCs w:val="24"/>
        </w:rPr>
        <w:t>52 osob, což je 25 %. Mezi skupinami problémových a neproblémových nebyly významné rozdíly</w:t>
      </w:r>
      <w:r w:rsidR="00620AAA">
        <w:rPr>
          <w:rFonts w:ascii="Times New Roman" w:hAnsi="Times New Roman" w:cs="Times New Roman"/>
          <w:sz w:val="24"/>
          <w:szCs w:val="24"/>
        </w:rPr>
        <w:t>,</w:t>
      </w:r>
      <w:r w:rsidR="00AF4088">
        <w:rPr>
          <w:rFonts w:ascii="Times New Roman" w:hAnsi="Times New Roman" w:cs="Times New Roman"/>
          <w:sz w:val="24"/>
          <w:szCs w:val="24"/>
        </w:rPr>
        <w:t xml:space="preserve"> co se týče pohlaví, vzdělání, věku a zaměstnání. Co se týče profesního postavení, ve skupině s drogovými problémy mělo 52 % subjektů práci manuální povahy, zatímco ve skupině bez drogových problémů to bylo 38 %. Další rozdíly mezi skupinami představovaly nap</w:t>
      </w:r>
      <w:r w:rsidR="007628AE">
        <w:rPr>
          <w:rFonts w:ascii="Times New Roman" w:hAnsi="Times New Roman" w:cs="Times New Roman"/>
          <w:sz w:val="24"/>
          <w:szCs w:val="24"/>
        </w:rPr>
        <w:t>říklad soužití v manželství (ne</w:t>
      </w:r>
      <w:r w:rsidR="00AF4088">
        <w:rPr>
          <w:rFonts w:ascii="Times New Roman" w:hAnsi="Times New Roman" w:cs="Times New Roman"/>
          <w:sz w:val="24"/>
          <w:szCs w:val="24"/>
        </w:rPr>
        <w:t xml:space="preserve">problémoví žili v manželství ve 36 %, problémoví ve 23 %), </w:t>
      </w:r>
      <w:r w:rsidR="00620AAA">
        <w:rPr>
          <w:rFonts w:ascii="Times New Roman" w:hAnsi="Times New Roman" w:cs="Times New Roman"/>
          <w:sz w:val="24"/>
          <w:szCs w:val="24"/>
        </w:rPr>
        <w:t xml:space="preserve">dále zastoupení uživatelů </w:t>
      </w:r>
      <w:r w:rsidR="007628AE">
        <w:rPr>
          <w:rFonts w:ascii="Times New Roman" w:hAnsi="Times New Roman" w:cs="Times New Roman"/>
          <w:sz w:val="24"/>
          <w:szCs w:val="24"/>
        </w:rPr>
        <w:t>heroinu jako primární drogy (ne</w:t>
      </w:r>
      <w:r w:rsidR="00620AAA">
        <w:rPr>
          <w:rFonts w:ascii="Times New Roman" w:hAnsi="Times New Roman" w:cs="Times New Roman"/>
          <w:sz w:val="24"/>
          <w:szCs w:val="24"/>
        </w:rPr>
        <w:t>problémoví v 46 %, problémoví v</w:t>
      </w:r>
      <w:r w:rsidR="007628AE">
        <w:rPr>
          <w:rFonts w:ascii="Times New Roman" w:hAnsi="Times New Roman" w:cs="Times New Roman"/>
          <w:sz w:val="24"/>
          <w:szCs w:val="24"/>
        </w:rPr>
        <w:t> 92 %), denní užívání drogy (ne</w:t>
      </w:r>
      <w:r w:rsidR="00620AAA">
        <w:rPr>
          <w:rFonts w:ascii="Times New Roman" w:hAnsi="Times New Roman" w:cs="Times New Roman"/>
          <w:sz w:val="24"/>
          <w:szCs w:val="24"/>
        </w:rPr>
        <w:t>problémoví v 34 %, problémoví v 85 %). Co se týče charakteristik z oblasti rodiny, nebyly mezi skupinami zjištěny významné rozdíly, kromě nadměrného užívání alkoholu u matky v problémové skupině, v 38 % měly matky těchto osob problémy s alkoholem v době jejich dospívání.</w:t>
      </w:r>
      <w:r w:rsidR="00122A76">
        <w:rPr>
          <w:rFonts w:ascii="Times New Roman" w:hAnsi="Times New Roman" w:cs="Times New Roman"/>
          <w:sz w:val="24"/>
          <w:szCs w:val="24"/>
        </w:rPr>
        <w:t xml:space="preserve"> Srovnání charakteristik obou skupin zobrazuje následující Graf 1.</w:t>
      </w:r>
    </w:p>
    <w:p w14:paraId="0FA33C06" w14:textId="77777777" w:rsidR="00620AAA" w:rsidRDefault="00620AAA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426F07" w14:textId="77777777" w:rsidR="00122A76" w:rsidRPr="00122A76" w:rsidRDefault="00122A76" w:rsidP="00122A76">
      <w:pPr>
        <w:pStyle w:val="Caption"/>
        <w:keepNext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2A7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Graf </w:t>
      </w:r>
      <w:r w:rsidR="0006039D" w:rsidRPr="00122A76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122A76">
        <w:rPr>
          <w:rFonts w:ascii="Times New Roman" w:hAnsi="Times New Roman" w:cs="Times New Roman"/>
          <w:color w:val="auto"/>
          <w:sz w:val="20"/>
          <w:szCs w:val="20"/>
        </w:rPr>
        <w:instrText xml:space="preserve"> SEQ Obrázek \* ARABIC </w:instrText>
      </w:r>
      <w:r w:rsidR="0006039D" w:rsidRPr="00122A76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122A76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="0006039D" w:rsidRPr="00122A76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</w:p>
    <w:p w14:paraId="03A9FF8B" w14:textId="77777777" w:rsidR="00122A76" w:rsidRDefault="006F71F2" w:rsidP="00122A76">
      <w:pPr>
        <w:keepNext/>
        <w:spacing w:after="0" w:line="360" w:lineRule="auto"/>
        <w:contextualSpacing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369CFC4" wp14:editId="5D545C61">
            <wp:extent cx="5591175" cy="4591050"/>
            <wp:effectExtent l="19050" t="0" r="952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BBD1A1D" w14:textId="77777777" w:rsidR="00F42288" w:rsidRPr="006255C9" w:rsidRDefault="00F42288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9FA13B" w14:textId="77777777" w:rsidR="00291597" w:rsidRDefault="00E81818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Zjištěno bylo také to, že pokud měl subjekt více problémů s drogami, souviselo to s problémy v oblasti zdraví, dodržování zákona, zaměstnání a psychologickými a rodinnými problémy. </w:t>
      </w:r>
      <w:r w:rsidR="00291597">
        <w:rPr>
          <w:rFonts w:ascii="Times New Roman" w:hAnsi="Times New Roman" w:cs="Times New Roman"/>
          <w:sz w:val="24"/>
          <w:szCs w:val="24"/>
        </w:rPr>
        <w:t>Problémová skupina osob měla celkově v životě nižší spokojenost než neproblémová skupina. Neproblémová skupina, což byly tři čtvrtiny po letech zkoumaných osob, byly sociálně adaptované a dlouhodobě stab</w:t>
      </w:r>
      <w:r w:rsidR="00FF0D11">
        <w:rPr>
          <w:rFonts w:ascii="Times New Roman" w:hAnsi="Times New Roman" w:cs="Times New Roman"/>
          <w:sz w:val="24"/>
          <w:szCs w:val="24"/>
        </w:rPr>
        <w:t>ilizované</w:t>
      </w:r>
      <w:r w:rsidR="00291597">
        <w:rPr>
          <w:rFonts w:ascii="Times New Roman" w:hAnsi="Times New Roman" w:cs="Times New Roman"/>
          <w:sz w:val="24"/>
          <w:szCs w:val="24"/>
        </w:rPr>
        <w:t>. Lze nicméně konstatovat, že užívání drog v období adolescence má nepříznivý dopad na dosaž</w:t>
      </w:r>
      <w:r w:rsidR="00FF0D11">
        <w:rPr>
          <w:rFonts w:ascii="Times New Roman" w:hAnsi="Times New Roman" w:cs="Times New Roman"/>
          <w:sz w:val="24"/>
          <w:szCs w:val="24"/>
        </w:rPr>
        <w:t>e</w:t>
      </w:r>
      <w:r w:rsidR="00291597">
        <w:rPr>
          <w:rFonts w:ascii="Times New Roman" w:hAnsi="Times New Roman" w:cs="Times New Roman"/>
          <w:sz w:val="24"/>
          <w:szCs w:val="24"/>
        </w:rPr>
        <w:t>né vzdělání a výrazně zhoršuje možnosti budoucího uplatnění na trhu práce.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90DFA" w14:textId="77777777" w:rsidR="00291597" w:rsidRDefault="00291597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9A1CD8" w14:textId="77777777" w:rsidR="006255C9" w:rsidRDefault="00C03FD6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5C9">
        <w:rPr>
          <w:rFonts w:ascii="Times New Roman" w:hAnsi="Times New Roman" w:cs="Times New Roman"/>
          <w:sz w:val="24"/>
          <w:szCs w:val="24"/>
        </w:rPr>
        <w:t>V reálném živ</w:t>
      </w:r>
      <w:r w:rsidR="00420B7A">
        <w:rPr>
          <w:rFonts w:ascii="Times New Roman" w:hAnsi="Times New Roman" w:cs="Times New Roman"/>
          <w:sz w:val="24"/>
          <w:szCs w:val="24"/>
        </w:rPr>
        <w:t xml:space="preserve">otě mají bývalí drogově závislí </w:t>
      </w:r>
      <w:r w:rsidRPr="006255C9">
        <w:rPr>
          <w:rFonts w:ascii="Times New Roman" w:hAnsi="Times New Roman" w:cs="Times New Roman"/>
          <w:sz w:val="24"/>
          <w:szCs w:val="24"/>
        </w:rPr>
        <w:t>na základě svých tvrzení problémy najít si zaměstnání a uplatnit se na pracovním trhu. Pokud budeme vycházet z toho, že tohle tvrzení je pravdivé, musíme se zamyslet nad tím, jak sp</w:t>
      </w:r>
      <w:r w:rsidR="007628AE">
        <w:rPr>
          <w:rFonts w:ascii="Times New Roman" w:hAnsi="Times New Roman" w:cs="Times New Roman"/>
          <w:sz w:val="24"/>
          <w:szCs w:val="24"/>
        </w:rPr>
        <w:t xml:space="preserve">olečnost přistupuje k </w:t>
      </w:r>
      <w:r w:rsidRPr="006255C9">
        <w:rPr>
          <w:rFonts w:ascii="Times New Roman" w:hAnsi="Times New Roman" w:cs="Times New Roman"/>
          <w:sz w:val="24"/>
          <w:szCs w:val="24"/>
        </w:rPr>
        <w:t xml:space="preserve">začlenění těchto osob </w:t>
      </w:r>
      <w:r w:rsidR="007628AE">
        <w:rPr>
          <w:rFonts w:ascii="Times New Roman" w:hAnsi="Times New Roman" w:cs="Times New Roman"/>
          <w:sz w:val="24"/>
          <w:szCs w:val="24"/>
        </w:rPr>
        <w:t xml:space="preserve">zpět </w:t>
      </w:r>
      <w:r w:rsidRPr="006255C9">
        <w:rPr>
          <w:rFonts w:ascii="Times New Roman" w:hAnsi="Times New Roman" w:cs="Times New Roman"/>
          <w:sz w:val="24"/>
          <w:szCs w:val="24"/>
        </w:rPr>
        <w:t xml:space="preserve">do společnosti. </w:t>
      </w:r>
      <w:r w:rsidR="00273242" w:rsidRPr="006255C9">
        <w:rPr>
          <w:rFonts w:ascii="Times New Roman" w:hAnsi="Times New Roman" w:cs="Times New Roman"/>
          <w:sz w:val="24"/>
          <w:szCs w:val="24"/>
        </w:rPr>
        <w:t xml:space="preserve">Problémy, na které mohou dle pracovní agentury Sananim podporované </w:t>
      </w:r>
      <w:r w:rsidR="00057351" w:rsidRPr="006255C9">
        <w:rPr>
          <w:rFonts w:ascii="Times New Roman" w:hAnsi="Times New Roman" w:cs="Times New Roman"/>
          <w:sz w:val="24"/>
          <w:szCs w:val="24"/>
        </w:rPr>
        <w:t>Evrops</w:t>
      </w:r>
      <w:r w:rsidR="00273242" w:rsidRPr="006255C9">
        <w:rPr>
          <w:rFonts w:ascii="Times New Roman" w:hAnsi="Times New Roman" w:cs="Times New Roman"/>
          <w:sz w:val="24"/>
          <w:szCs w:val="24"/>
        </w:rPr>
        <w:t>kým sociál</w:t>
      </w:r>
      <w:r w:rsidR="00FF0D11">
        <w:rPr>
          <w:rFonts w:ascii="Times New Roman" w:hAnsi="Times New Roman" w:cs="Times New Roman"/>
          <w:sz w:val="24"/>
          <w:szCs w:val="24"/>
        </w:rPr>
        <w:t>ním fondem v ČR</w:t>
      </w:r>
      <w:r w:rsidR="00273242" w:rsidRPr="006255C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67111674"/>
          <w:citation/>
        </w:sdtPr>
        <w:sdtEndPr/>
        <w:sdtContent>
          <w:r w:rsidR="0006039D" w:rsidRPr="006255C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57351" w:rsidRPr="006255C9">
            <w:rPr>
              <w:rFonts w:ascii="Times New Roman" w:hAnsi="Times New Roman" w:cs="Times New Roman"/>
              <w:sz w:val="24"/>
              <w:szCs w:val="24"/>
            </w:rPr>
            <w:instrText xml:space="preserve"> CITATION SAN07 \l 1029 </w:instrText>
          </w:r>
          <w:r w:rsidR="0006039D" w:rsidRPr="006255C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7351" w:rsidRPr="006255C9">
            <w:rPr>
              <w:rFonts w:ascii="Times New Roman" w:hAnsi="Times New Roman" w:cs="Times New Roman"/>
              <w:noProof/>
              <w:sz w:val="24"/>
              <w:szCs w:val="24"/>
            </w:rPr>
            <w:t>(SANANIM, POMÁHÁME ZAMĚSTNAT TY, KTEŘÍ SE KVŮLI DROGOVÉ MINULOSTI HŮŘE UPLATŇUJÍ NA TRHU PRÁCE., 2007)</w:t>
          </w:r>
          <w:r w:rsidR="0006039D" w:rsidRPr="006255C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57351" w:rsidRPr="006255C9">
        <w:rPr>
          <w:rFonts w:ascii="Times New Roman" w:hAnsi="Times New Roman" w:cs="Times New Roman"/>
          <w:sz w:val="24"/>
          <w:szCs w:val="24"/>
        </w:rPr>
        <w:t xml:space="preserve"> </w:t>
      </w:r>
      <w:r w:rsidR="00273242" w:rsidRPr="006255C9">
        <w:rPr>
          <w:rFonts w:ascii="Times New Roman" w:hAnsi="Times New Roman" w:cs="Times New Roman"/>
          <w:sz w:val="24"/>
          <w:szCs w:val="24"/>
        </w:rPr>
        <w:lastRenderedPageBreak/>
        <w:t>narážet bývalí drogově</w:t>
      </w:r>
      <w:r w:rsidR="00FF0D11">
        <w:rPr>
          <w:rFonts w:ascii="Times New Roman" w:hAnsi="Times New Roman" w:cs="Times New Roman"/>
          <w:sz w:val="24"/>
          <w:szCs w:val="24"/>
        </w:rPr>
        <w:t xml:space="preserve"> závislí, jsou takové, </w:t>
      </w:r>
      <w:r w:rsidR="00057351" w:rsidRPr="006255C9">
        <w:rPr>
          <w:rFonts w:ascii="Times New Roman" w:hAnsi="Times New Roman" w:cs="Times New Roman"/>
          <w:sz w:val="24"/>
          <w:szCs w:val="24"/>
        </w:rPr>
        <w:t>že jim často schází dostatečná odbornost či praxe v oboru, mívají problémy s vysvětlením mezer v</w:t>
      </w:r>
      <w:r w:rsidR="00FF0D11">
        <w:rPr>
          <w:rFonts w:ascii="Times New Roman" w:hAnsi="Times New Roman" w:cs="Times New Roman"/>
          <w:sz w:val="24"/>
          <w:szCs w:val="24"/>
        </w:rPr>
        <w:t> </w:t>
      </w:r>
      <w:r w:rsidR="00057351" w:rsidRPr="006255C9">
        <w:rPr>
          <w:rFonts w:ascii="Times New Roman" w:hAnsi="Times New Roman" w:cs="Times New Roman"/>
          <w:sz w:val="24"/>
          <w:szCs w:val="24"/>
        </w:rPr>
        <w:t>ž</w:t>
      </w:r>
      <w:r w:rsidR="00FF0D11">
        <w:rPr>
          <w:rFonts w:ascii="Times New Roman" w:hAnsi="Times New Roman" w:cs="Times New Roman"/>
          <w:sz w:val="24"/>
          <w:szCs w:val="24"/>
        </w:rPr>
        <w:t xml:space="preserve">ivotopisech </w:t>
      </w:r>
      <w:r w:rsidR="00057351" w:rsidRPr="006255C9">
        <w:rPr>
          <w:rFonts w:ascii="Times New Roman" w:hAnsi="Times New Roman" w:cs="Times New Roman"/>
          <w:sz w:val="24"/>
          <w:szCs w:val="24"/>
        </w:rPr>
        <w:t xml:space="preserve">a v mnoha případech mají také záznam v rejstříku trestů, který vznikl v době, kdy užívali návykové látky. </w:t>
      </w:r>
    </w:p>
    <w:p w14:paraId="525148F5" w14:textId="77777777" w:rsidR="00291597" w:rsidRDefault="00291597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68CB94" w14:textId="77777777" w:rsidR="00A23090" w:rsidRDefault="00057351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5C9">
        <w:rPr>
          <w:rFonts w:ascii="Times New Roman" w:hAnsi="Times New Roman" w:cs="Times New Roman"/>
          <w:sz w:val="24"/>
          <w:szCs w:val="24"/>
        </w:rPr>
        <w:t xml:space="preserve">Na základě zkušeností pracovní agentury </w:t>
      </w:r>
      <w:sdt>
        <w:sdtPr>
          <w:rPr>
            <w:rFonts w:ascii="Times New Roman" w:hAnsi="Times New Roman" w:cs="Times New Roman"/>
            <w:sz w:val="24"/>
            <w:szCs w:val="24"/>
          </w:rPr>
          <w:id w:val="272604447"/>
          <w:citation/>
        </w:sdtPr>
        <w:sdtEndPr/>
        <w:sdtContent>
          <w:r w:rsidR="0006039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F0D11">
            <w:rPr>
              <w:rFonts w:ascii="Times New Roman" w:hAnsi="Times New Roman" w:cs="Times New Roman"/>
              <w:sz w:val="24"/>
              <w:szCs w:val="24"/>
            </w:rPr>
            <w:instrText xml:space="preserve"> CITATION SAN07 \l 1029 </w:instrText>
          </w:r>
          <w:r w:rsidR="0006039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0D11" w:rsidRPr="00FF0D11">
            <w:rPr>
              <w:rFonts w:ascii="Times New Roman" w:hAnsi="Times New Roman" w:cs="Times New Roman"/>
              <w:noProof/>
              <w:sz w:val="24"/>
              <w:szCs w:val="24"/>
            </w:rPr>
            <w:t>(SANANIM, POMÁHÁME ZAMĚSTNAT TY, KTEŘÍ SE KVŮLI DROGOVÉ MINULOSTI HŮŘE UPLATŇUJÍ NA TRHU PRÁCE., 2007)</w:t>
          </w:r>
          <w:r w:rsidR="0006039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F0D11">
        <w:rPr>
          <w:rFonts w:ascii="Times New Roman" w:hAnsi="Times New Roman" w:cs="Times New Roman"/>
          <w:sz w:val="24"/>
          <w:szCs w:val="24"/>
        </w:rPr>
        <w:t xml:space="preserve"> </w:t>
      </w:r>
      <w:r w:rsidRPr="006255C9">
        <w:rPr>
          <w:rFonts w:ascii="Times New Roman" w:hAnsi="Times New Roman" w:cs="Times New Roman"/>
          <w:sz w:val="24"/>
          <w:szCs w:val="24"/>
        </w:rPr>
        <w:t xml:space="preserve">rozhodně pomáhá transparentní, otevřený pracovní vztah, kdy je zaměstnavatel informován o </w:t>
      </w:r>
      <w:r w:rsidR="00FF0D11">
        <w:rPr>
          <w:rFonts w:ascii="Times New Roman" w:hAnsi="Times New Roman" w:cs="Times New Roman"/>
          <w:sz w:val="24"/>
          <w:szCs w:val="24"/>
        </w:rPr>
        <w:t xml:space="preserve">životních osudech zaměstnance. Následně zaměstnavatel </w:t>
      </w:r>
      <w:r w:rsidRPr="006255C9">
        <w:rPr>
          <w:rFonts w:ascii="Times New Roman" w:hAnsi="Times New Roman" w:cs="Times New Roman"/>
          <w:sz w:val="24"/>
          <w:szCs w:val="24"/>
        </w:rPr>
        <w:t xml:space="preserve">získá loajálního zaměstnance a zaměstnanec dostane </w:t>
      </w:r>
      <w:r w:rsidR="00FF0D11">
        <w:rPr>
          <w:rFonts w:ascii="Times New Roman" w:hAnsi="Times New Roman" w:cs="Times New Roman"/>
          <w:sz w:val="24"/>
          <w:szCs w:val="24"/>
        </w:rPr>
        <w:t>šanci se začlenit do pracovního prostředí</w:t>
      </w:r>
      <w:r w:rsidRPr="006255C9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267111673"/>
          <w:citation/>
        </w:sdtPr>
        <w:sdtEndPr/>
        <w:sdtContent>
          <w:r w:rsidR="0006039D" w:rsidRPr="006255C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255C9">
            <w:rPr>
              <w:rFonts w:ascii="Times New Roman" w:hAnsi="Times New Roman" w:cs="Times New Roman"/>
              <w:sz w:val="24"/>
              <w:szCs w:val="24"/>
            </w:rPr>
            <w:instrText xml:space="preserve"> CITATION SAN071 \l 1029 </w:instrText>
          </w:r>
          <w:r w:rsidR="0006039D" w:rsidRPr="006255C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6255C9">
            <w:rPr>
              <w:rFonts w:ascii="Times New Roman" w:hAnsi="Times New Roman" w:cs="Times New Roman"/>
              <w:noProof/>
              <w:sz w:val="24"/>
              <w:szCs w:val="24"/>
            </w:rPr>
            <w:t>(SANANIM, KLIENTI / UCHAZEČI O ZAMĚSTNÁNÍ , 2007)</w:t>
          </w:r>
          <w:r w:rsidR="0006039D" w:rsidRPr="006255C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6255C9">
        <w:rPr>
          <w:rFonts w:ascii="Times New Roman" w:hAnsi="Times New Roman" w:cs="Times New Roman"/>
          <w:sz w:val="24"/>
          <w:szCs w:val="24"/>
        </w:rPr>
        <w:t xml:space="preserve"> dále uvádí, že v jejich programu jsou zejména stabilizovaní a dlouhodobě abstinující, tj. jedná se o abstinenci v délce 6-12 měsíců. Záleží tedy i na nás, většinové spol</w:t>
      </w:r>
      <w:r w:rsidR="006255C9" w:rsidRPr="006255C9">
        <w:rPr>
          <w:rFonts w:ascii="Times New Roman" w:hAnsi="Times New Roman" w:cs="Times New Roman"/>
          <w:sz w:val="24"/>
          <w:szCs w:val="24"/>
        </w:rPr>
        <w:t>e</w:t>
      </w:r>
      <w:r w:rsidRPr="006255C9">
        <w:rPr>
          <w:rFonts w:ascii="Times New Roman" w:hAnsi="Times New Roman" w:cs="Times New Roman"/>
          <w:sz w:val="24"/>
          <w:szCs w:val="24"/>
        </w:rPr>
        <w:t>čnosti, jakým způsobem a s jakým přístupem se postavíme k tomuto problému a k lidem, kteří mají vůli</w:t>
      </w:r>
      <w:r w:rsidR="006255C9" w:rsidRPr="006255C9">
        <w:rPr>
          <w:rFonts w:ascii="Times New Roman" w:hAnsi="Times New Roman" w:cs="Times New Roman"/>
          <w:sz w:val="24"/>
          <w:szCs w:val="24"/>
        </w:rPr>
        <w:t xml:space="preserve"> </w:t>
      </w:r>
      <w:r w:rsidRPr="006255C9">
        <w:rPr>
          <w:rFonts w:ascii="Times New Roman" w:hAnsi="Times New Roman" w:cs="Times New Roman"/>
          <w:sz w:val="24"/>
          <w:szCs w:val="24"/>
        </w:rPr>
        <w:t xml:space="preserve">navzdory své problematické minulosti, se zařadit zpět do společnosti a do pracovního </w:t>
      </w:r>
      <w:commentRangeStart w:id="1"/>
      <w:r w:rsidRPr="006255C9">
        <w:rPr>
          <w:rFonts w:ascii="Times New Roman" w:hAnsi="Times New Roman" w:cs="Times New Roman"/>
          <w:sz w:val="24"/>
          <w:szCs w:val="24"/>
        </w:rPr>
        <w:t>života</w:t>
      </w:r>
      <w:commentRangeEnd w:id="1"/>
      <w:r w:rsidR="002D2396">
        <w:rPr>
          <w:rStyle w:val="CommentReference"/>
        </w:rPr>
        <w:commentReference w:id="1"/>
      </w:r>
      <w:r w:rsidRPr="006255C9">
        <w:rPr>
          <w:rFonts w:ascii="Times New Roman" w:hAnsi="Times New Roman" w:cs="Times New Roman"/>
          <w:sz w:val="24"/>
          <w:szCs w:val="24"/>
        </w:rPr>
        <w:t>.</w:t>
      </w:r>
    </w:p>
    <w:p w14:paraId="3656A7CF" w14:textId="77777777" w:rsidR="0004210C" w:rsidRDefault="0004210C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708F22" w14:textId="77777777" w:rsidR="0004210C" w:rsidRPr="0004210C" w:rsidRDefault="0004210C" w:rsidP="006255C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0C">
        <w:rPr>
          <w:rFonts w:ascii="Times New Roman" w:hAnsi="Times New Roman" w:cs="Times New Roman"/>
          <w:b/>
          <w:sz w:val="28"/>
          <w:szCs w:val="28"/>
        </w:rPr>
        <w:t>Použité zdroje:</w:t>
      </w:r>
    </w:p>
    <w:p w14:paraId="3A2FEA83" w14:textId="77777777" w:rsidR="0004210C" w:rsidRPr="0004210C" w:rsidRDefault="0006039D" w:rsidP="0004210C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210C">
        <w:rPr>
          <w:rFonts w:ascii="Times New Roman" w:hAnsi="Times New Roman" w:cs="Times New Roman"/>
          <w:sz w:val="24"/>
          <w:szCs w:val="24"/>
        </w:rPr>
        <w:fldChar w:fldCharType="begin"/>
      </w:r>
      <w:r w:rsidR="0004210C" w:rsidRPr="0004210C">
        <w:rPr>
          <w:rFonts w:ascii="Times New Roman" w:hAnsi="Times New Roman" w:cs="Times New Roman"/>
          <w:sz w:val="24"/>
          <w:szCs w:val="24"/>
        </w:rPr>
        <w:instrText xml:space="preserve"> BIBLIOGRAPHY  \l 1029 </w:instrText>
      </w:r>
      <w:r w:rsidRPr="0004210C">
        <w:rPr>
          <w:rFonts w:ascii="Times New Roman" w:hAnsi="Times New Roman" w:cs="Times New Roman"/>
          <w:sz w:val="24"/>
          <w:szCs w:val="24"/>
        </w:rPr>
        <w:fldChar w:fldCharType="separate"/>
      </w:r>
      <w:r w:rsidR="0004210C" w:rsidRPr="0004210C">
        <w:rPr>
          <w:rFonts w:ascii="Times New Roman" w:hAnsi="Times New Roman" w:cs="Times New Roman"/>
          <w:noProof/>
          <w:sz w:val="24"/>
          <w:szCs w:val="24"/>
        </w:rPr>
        <w:t xml:space="preserve">Csémy, L., Zábranský, T., Grohmannová, K., Dvořáková, Z., Brenza, J., &amp; Janíková, B. (10. Říjen 2011). DOSPÍVAJÍCÍ UŽIVATELÉ HEROINU A PERVITINU PO 14 LETECH: ANALÝZA PSYCHOSOCIÁLNÍCH CHARAKTERISTIK. </w:t>
      </w:r>
      <w:r w:rsidR="0004210C" w:rsidRPr="0004210C">
        <w:rPr>
          <w:rFonts w:ascii="Times New Roman" w:hAnsi="Times New Roman" w:cs="Times New Roman"/>
          <w:i/>
          <w:iCs/>
          <w:noProof/>
          <w:sz w:val="24"/>
          <w:szCs w:val="24"/>
        </w:rPr>
        <w:t>Československá psychologie 2012 / ročník LVI / číslo 6</w:t>
      </w:r>
      <w:r w:rsidR="0004210C" w:rsidRPr="0004210C">
        <w:rPr>
          <w:rFonts w:ascii="Times New Roman" w:hAnsi="Times New Roman" w:cs="Times New Roman"/>
          <w:noProof/>
          <w:sz w:val="24"/>
          <w:szCs w:val="24"/>
        </w:rPr>
        <w:t>, stránky 505-518.</w:t>
      </w:r>
    </w:p>
    <w:p w14:paraId="5B44714A" w14:textId="77777777" w:rsidR="0004210C" w:rsidRPr="0004210C" w:rsidRDefault="0004210C" w:rsidP="0004210C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210C">
        <w:rPr>
          <w:rFonts w:ascii="Times New Roman" w:hAnsi="Times New Roman" w:cs="Times New Roman"/>
          <w:noProof/>
          <w:sz w:val="24"/>
          <w:szCs w:val="24"/>
        </w:rPr>
        <w:t xml:space="preserve">SANANIM, </w:t>
      </w:r>
      <w:r w:rsidR="001A4ADF">
        <w:rPr>
          <w:rFonts w:ascii="Times New Roman" w:hAnsi="Times New Roman" w:cs="Times New Roman"/>
          <w:noProof/>
          <w:sz w:val="24"/>
          <w:szCs w:val="24"/>
        </w:rPr>
        <w:t xml:space="preserve">z. </w:t>
      </w:r>
      <w:r w:rsidRPr="0004210C">
        <w:rPr>
          <w:rFonts w:ascii="Times New Roman" w:hAnsi="Times New Roman" w:cs="Times New Roman"/>
          <w:noProof/>
          <w:sz w:val="24"/>
          <w:szCs w:val="24"/>
        </w:rPr>
        <w:t xml:space="preserve">ú. (2007). </w:t>
      </w:r>
      <w:r w:rsidRPr="0004210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KLIENTI / UCHAZEČI O ZAMĚSTNÁNÍ </w:t>
      </w:r>
      <w:r w:rsidRPr="0004210C">
        <w:rPr>
          <w:rFonts w:ascii="Times New Roman" w:hAnsi="Times New Roman" w:cs="Times New Roman"/>
          <w:noProof/>
          <w:sz w:val="24"/>
          <w:szCs w:val="24"/>
        </w:rPr>
        <w:t>. Načteno z SANANIM: http://www.sananim.cz/psa/pro-zamestnavatele/zakladni-informace.html</w:t>
      </w:r>
    </w:p>
    <w:p w14:paraId="6BBB0B95" w14:textId="77777777" w:rsidR="0004210C" w:rsidRPr="0004210C" w:rsidRDefault="0004210C" w:rsidP="0004210C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210C">
        <w:rPr>
          <w:rFonts w:ascii="Times New Roman" w:hAnsi="Times New Roman" w:cs="Times New Roman"/>
          <w:noProof/>
          <w:sz w:val="24"/>
          <w:szCs w:val="24"/>
        </w:rPr>
        <w:t xml:space="preserve">SANANIM, </w:t>
      </w:r>
      <w:r w:rsidR="001A4ADF">
        <w:rPr>
          <w:rFonts w:ascii="Times New Roman" w:hAnsi="Times New Roman" w:cs="Times New Roman"/>
          <w:noProof/>
          <w:sz w:val="24"/>
          <w:szCs w:val="24"/>
        </w:rPr>
        <w:t xml:space="preserve">z. </w:t>
      </w:r>
      <w:r w:rsidRPr="0004210C">
        <w:rPr>
          <w:rFonts w:ascii="Times New Roman" w:hAnsi="Times New Roman" w:cs="Times New Roman"/>
          <w:noProof/>
          <w:sz w:val="24"/>
          <w:szCs w:val="24"/>
        </w:rPr>
        <w:t xml:space="preserve">ú. (2007). </w:t>
      </w:r>
      <w:r w:rsidRPr="0004210C">
        <w:rPr>
          <w:rFonts w:ascii="Times New Roman" w:hAnsi="Times New Roman" w:cs="Times New Roman"/>
          <w:i/>
          <w:iCs/>
          <w:noProof/>
          <w:sz w:val="24"/>
          <w:szCs w:val="24"/>
        </w:rPr>
        <w:t>POMÁHÁME ZAMĚSTNAT TY, KTEŘÍ SE KVŮLI DROGOVÉ MINULOSTI HŮŘE UPLATŇUJÍ NA TRHU PRÁCE.</w:t>
      </w:r>
      <w:r w:rsidRPr="0004210C">
        <w:rPr>
          <w:rFonts w:ascii="Times New Roman" w:hAnsi="Times New Roman" w:cs="Times New Roman"/>
          <w:noProof/>
          <w:sz w:val="24"/>
          <w:szCs w:val="24"/>
        </w:rPr>
        <w:t xml:space="preserve"> Načteno z SANANIM z. ú.: http://www.sananim.cz</w:t>
      </w:r>
      <w:r w:rsidR="001A4ADF">
        <w:rPr>
          <w:rFonts w:ascii="Times New Roman" w:hAnsi="Times New Roman" w:cs="Times New Roman"/>
          <w:noProof/>
          <w:sz w:val="24"/>
          <w:szCs w:val="24"/>
        </w:rPr>
        <w:t>/psa</w:t>
      </w:r>
    </w:p>
    <w:p w14:paraId="01B83BF5" w14:textId="77777777" w:rsidR="0004210C" w:rsidRPr="006255C9" w:rsidRDefault="0006039D" w:rsidP="000421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10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3E0DDFA" w14:textId="77777777" w:rsidR="00057351" w:rsidRDefault="00057351"/>
    <w:p w14:paraId="34B08D99" w14:textId="77777777" w:rsidR="00A23090" w:rsidRDefault="00A23090"/>
    <w:sectPr w:rsidR="00A23090" w:rsidSect="0093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dam Ťápal" w:date="2019-06-20T19:30:00Z" w:initials="AŤ">
    <w:p w14:paraId="3C9A0D5D" w14:textId="77777777" w:rsidR="002D2396" w:rsidRDefault="002D2396">
      <w:pPr>
        <w:pStyle w:val="CommentText"/>
      </w:pPr>
      <w:r>
        <w:rPr>
          <w:rStyle w:val="CommentReference"/>
        </w:rPr>
        <w:annotationRef/>
      </w:r>
      <w:r>
        <w:t>Přijato</w:t>
      </w:r>
      <w:bookmarkStart w:id="2" w:name="_GoBack"/>
      <w:bookmarkEnd w:id="2"/>
      <w:r>
        <w:t>, 10b.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9A0D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9A0D5D" w16cid:durableId="20B65D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67BEE"/>
    <w:multiLevelType w:val="hybridMultilevel"/>
    <w:tmpl w:val="989E785E"/>
    <w:lvl w:ilvl="0" w:tplc="1AEAD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090"/>
    <w:rsid w:val="0004210C"/>
    <w:rsid w:val="00057351"/>
    <w:rsid w:val="0006039D"/>
    <w:rsid w:val="000612D9"/>
    <w:rsid w:val="00122A76"/>
    <w:rsid w:val="001A4ADF"/>
    <w:rsid w:val="002472EE"/>
    <w:rsid w:val="00273242"/>
    <w:rsid w:val="00291597"/>
    <w:rsid w:val="002A55F3"/>
    <w:rsid w:val="002D2396"/>
    <w:rsid w:val="00414BF8"/>
    <w:rsid w:val="00420B7A"/>
    <w:rsid w:val="00620AAA"/>
    <w:rsid w:val="006255C9"/>
    <w:rsid w:val="006377E0"/>
    <w:rsid w:val="006854A7"/>
    <w:rsid w:val="006F71F2"/>
    <w:rsid w:val="007357EF"/>
    <w:rsid w:val="007628AE"/>
    <w:rsid w:val="0078436C"/>
    <w:rsid w:val="00890C63"/>
    <w:rsid w:val="00932B50"/>
    <w:rsid w:val="009479A4"/>
    <w:rsid w:val="009F4409"/>
    <w:rsid w:val="00A23090"/>
    <w:rsid w:val="00A36CE1"/>
    <w:rsid w:val="00AF4088"/>
    <w:rsid w:val="00B22F0F"/>
    <w:rsid w:val="00C03FD6"/>
    <w:rsid w:val="00CA4C76"/>
    <w:rsid w:val="00CA522C"/>
    <w:rsid w:val="00E81818"/>
    <w:rsid w:val="00EA1A34"/>
    <w:rsid w:val="00F10FEB"/>
    <w:rsid w:val="00F42288"/>
    <w:rsid w:val="00FE1E65"/>
    <w:rsid w:val="00FE1F8D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F607"/>
  <w15:docId w15:val="{3EBB3D2B-33D8-4376-AFEF-1041BFC2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B50"/>
  </w:style>
  <w:style w:type="paragraph" w:styleId="Heading1">
    <w:name w:val="heading 1"/>
    <w:basedOn w:val="Normal"/>
    <w:next w:val="Normal"/>
    <w:link w:val="Heading1Char"/>
    <w:uiPriority w:val="9"/>
    <w:qFormat/>
    <w:rsid w:val="006255C9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573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5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573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6255C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04210C"/>
  </w:style>
  <w:style w:type="paragraph" w:styleId="Caption">
    <w:name w:val="caption"/>
    <w:basedOn w:val="Normal"/>
    <w:next w:val="Normal"/>
    <w:uiPriority w:val="35"/>
    <w:unhideWhenUsed/>
    <w:qFormat/>
    <w:rsid w:val="00122A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41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B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Light1">
    <w:name w:val="Table Grid Light1"/>
    <w:basedOn w:val="TableNormal"/>
    <w:uiPriority w:val="40"/>
    <w:rsid w:val="00414BF8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2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Srovnání</a:t>
            </a:r>
            <a:r>
              <a:rPr lang="cs-CZ" baseline="0"/>
              <a:t> charakteristik neproblémové a problémové skupiny (údaje v %)</a:t>
            </a:r>
            <a:endParaRPr lang="cs-CZ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neprobl.</c:v>
                </c:pt>
              </c:strCache>
            </c:strRef>
          </c:tx>
          <c:invertIfNegative val="0"/>
          <c:cat>
            <c:strRef>
              <c:f>List1!$A$2:$A$19</c:f>
              <c:strCache>
                <c:ptCount val="18"/>
                <c:pt idx="0">
                  <c:v>Opilost do 12 let věku</c:v>
                </c:pt>
                <c:pt idx="1">
                  <c:v>Raný počátek pohlavního života</c:v>
                </c:pt>
                <c:pt idx="2">
                  <c:v>Promiskuita v dospívání</c:v>
                </c:pt>
                <c:pt idx="3">
                  <c:v>Snížená známka z chování</c:v>
                </c:pt>
                <c:pt idx="4">
                  <c:v>Vysoké skóre v poruchách chování</c:v>
                </c:pt>
                <c:pt idx="5">
                  <c:v>Heroin jako primární droga</c:v>
                </c:pt>
                <c:pt idx="6">
                  <c:v>Užívání primární drogy injekčně</c:v>
                </c:pt>
                <c:pt idx="7">
                  <c:v>Denní užívání primární drogy</c:v>
                </c:pt>
                <c:pt idx="8">
                  <c:v>Síla návyku (subj. pociťovaná)</c:v>
                </c:pt>
                <c:pt idx="9">
                  <c:v>Vzdělání rodiů (ZŠ či UŠ)-otec</c:v>
                </c:pt>
                <c:pt idx="10">
                  <c:v>Vzdělání rodiů (ZŠ či UŠ)-matka</c:v>
                </c:pt>
                <c:pt idx="11">
                  <c:v>Život v úplné rodině do 15 let</c:v>
                </c:pt>
                <c:pt idx="12">
                  <c:v>Dobré rodinné vztahy</c:v>
                </c:pt>
                <c:pt idx="13">
                  <c:v>Nadměrný alkoholismus otce</c:v>
                </c:pt>
                <c:pt idx="14">
                  <c:v>Nadměrný alkoholismus matky</c:v>
                </c:pt>
                <c:pt idx="15">
                  <c:v>Psychické problémy matky</c:v>
                </c:pt>
                <c:pt idx="16">
                  <c:v>Užívání drog nejlepšího kamaráda</c:v>
                </c:pt>
                <c:pt idx="17">
                  <c:v>Užívání drog nejlepší kamarádky</c:v>
                </c:pt>
              </c:strCache>
            </c:strRef>
          </c:cat>
          <c:val>
            <c:numRef>
              <c:f>List1!$B$2:$B$19</c:f>
              <c:numCache>
                <c:formatCode>General</c:formatCode>
                <c:ptCount val="18"/>
                <c:pt idx="0">
                  <c:v>32.4</c:v>
                </c:pt>
                <c:pt idx="1">
                  <c:v>47.1</c:v>
                </c:pt>
                <c:pt idx="2">
                  <c:v>80</c:v>
                </c:pt>
                <c:pt idx="3">
                  <c:v>77.400000000000006</c:v>
                </c:pt>
                <c:pt idx="4">
                  <c:v>50</c:v>
                </c:pt>
                <c:pt idx="5">
                  <c:v>45.7</c:v>
                </c:pt>
                <c:pt idx="6">
                  <c:v>94.3</c:v>
                </c:pt>
                <c:pt idx="7">
                  <c:v>34.300000000000004</c:v>
                </c:pt>
                <c:pt idx="8">
                  <c:v>12.7</c:v>
                </c:pt>
                <c:pt idx="9">
                  <c:v>60.6</c:v>
                </c:pt>
                <c:pt idx="10">
                  <c:v>44.1</c:v>
                </c:pt>
                <c:pt idx="11">
                  <c:v>52.9</c:v>
                </c:pt>
                <c:pt idx="12">
                  <c:v>53.1</c:v>
                </c:pt>
                <c:pt idx="13">
                  <c:v>37.9</c:v>
                </c:pt>
                <c:pt idx="14">
                  <c:v>8.8000000000000007</c:v>
                </c:pt>
                <c:pt idx="15">
                  <c:v>32.4</c:v>
                </c:pt>
                <c:pt idx="16">
                  <c:v>60</c:v>
                </c:pt>
                <c:pt idx="17">
                  <c:v>57.6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B0-4C22-968F-EB20B705EDE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problem.</c:v>
                </c:pt>
              </c:strCache>
            </c:strRef>
          </c:tx>
          <c:invertIfNegative val="0"/>
          <c:cat>
            <c:strRef>
              <c:f>List1!$A$2:$A$19</c:f>
              <c:strCache>
                <c:ptCount val="18"/>
                <c:pt idx="0">
                  <c:v>Opilost do 12 let věku</c:v>
                </c:pt>
                <c:pt idx="1">
                  <c:v>Raný počátek pohlavního života</c:v>
                </c:pt>
                <c:pt idx="2">
                  <c:v>Promiskuita v dospívání</c:v>
                </c:pt>
                <c:pt idx="3">
                  <c:v>Snížená známka z chování</c:v>
                </c:pt>
                <c:pt idx="4">
                  <c:v>Vysoké skóre v poruchách chování</c:v>
                </c:pt>
                <c:pt idx="5">
                  <c:v>Heroin jako primární droga</c:v>
                </c:pt>
                <c:pt idx="6">
                  <c:v>Užívání primární drogy injekčně</c:v>
                </c:pt>
                <c:pt idx="7">
                  <c:v>Denní užívání primární drogy</c:v>
                </c:pt>
                <c:pt idx="8">
                  <c:v>Síla návyku (subj. pociťovaná)</c:v>
                </c:pt>
                <c:pt idx="9">
                  <c:v>Vzdělání rodiů (ZŠ či UŠ)-otec</c:v>
                </c:pt>
                <c:pt idx="10">
                  <c:v>Vzdělání rodiů (ZŠ či UŠ)-matka</c:v>
                </c:pt>
                <c:pt idx="11">
                  <c:v>Život v úplné rodině do 15 let</c:v>
                </c:pt>
                <c:pt idx="12">
                  <c:v>Dobré rodinné vztahy</c:v>
                </c:pt>
                <c:pt idx="13">
                  <c:v>Nadměrný alkoholismus otce</c:v>
                </c:pt>
                <c:pt idx="14">
                  <c:v>Nadměrný alkoholismus matky</c:v>
                </c:pt>
                <c:pt idx="15">
                  <c:v>Psychické problémy matky</c:v>
                </c:pt>
                <c:pt idx="16">
                  <c:v>Užívání drog nejlepšího kamaráda</c:v>
                </c:pt>
                <c:pt idx="17">
                  <c:v>Užívání drog nejlepší kamarádky</c:v>
                </c:pt>
              </c:strCache>
            </c:strRef>
          </c:cat>
          <c:val>
            <c:numRef>
              <c:f>List1!$C$2:$C$19</c:f>
              <c:numCache>
                <c:formatCode>General</c:formatCode>
                <c:ptCount val="18"/>
                <c:pt idx="0">
                  <c:v>30.8</c:v>
                </c:pt>
                <c:pt idx="1">
                  <c:v>53.8</c:v>
                </c:pt>
                <c:pt idx="2">
                  <c:v>92.3</c:v>
                </c:pt>
                <c:pt idx="3">
                  <c:v>81.8</c:v>
                </c:pt>
                <c:pt idx="4">
                  <c:v>46.2</c:v>
                </c:pt>
                <c:pt idx="5">
                  <c:v>92.3</c:v>
                </c:pt>
                <c:pt idx="6">
                  <c:v>92.3</c:v>
                </c:pt>
                <c:pt idx="7">
                  <c:v>84.6</c:v>
                </c:pt>
                <c:pt idx="8">
                  <c:v>13.6</c:v>
                </c:pt>
                <c:pt idx="9">
                  <c:v>53.8</c:v>
                </c:pt>
                <c:pt idx="10">
                  <c:v>53.8</c:v>
                </c:pt>
                <c:pt idx="11">
                  <c:v>46.2</c:v>
                </c:pt>
                <c:pt idx="12">
                  <c:v>30.8</c:v>
                </c:pt>
                <c:pt idx="13">
                  <c:v>18.2</c:v>
                </c:pt>
                <c:pt idx="14">
                  <c:v>38.5</c:v>
                </c:pt>
                <c:pt idx="15">
                  <c:v>38.5</c:v>
                </c:pt>
                <c:pt idx="16">
                  <c:v>76.900000000000006</c:v>
                </c:pt>
                <c:pt idx="17">
                  <c:v>63.6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B0-4C22-968F-EB20B705E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016832"/>
        <c:axId val="73018368"/>
        <c:axId val="0"/>
      </c:bar3DChart>
      <c:catAx>
        <c:axId val="7301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018368"/>
        <c:crosses val="autoZero"/>
        <c:auto val="1"/>
        <c:lblAlgn val="ctr"/>
        <c:lblOffset val="100"/>
        <c:noMultiLvlLbl val="0"/>
      </c:catAx>
      <c:valAx>
        <c:axId val="7301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01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07563258170233"/>
          <c:y val="0.17941490720739608"/>
          <c:w val="0.1669722374992737"/>
          <c:h val="0.310712842310641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Csé11</b:Tag>
    <b:SourceType>ArticleInAPeriodical</b:SourceType>
    <b:Guid>{A3DF1CF8-DA23-4F64-B43B-D4D62C97A98B}</b:Guid>
    <b:Author>
      <b:Author>
        <b:NameList>
          <b:Person>
            <b:Last>Csémy</b:Last>
            <b:First>L.</b:First>
          </b:Person>
          <b:Person>
            <b:Last>Zábranský</b:Last>
            <b:First>T.</b:First>
          </b:Person>
          <b:Person>
            <b:Last>Grohmannová</b:Last>
            <b:First>K.</b:First>
          </b:Person>
          <b:Person>
            <b:Last>Dvořáková</b:Last>
            <b:First>Z.</b:First>
          </b:Person>
          <b:Person>
            <b:Last>Brenza</b:Last>
            <b:First>J.</b:First>
          </b:Person>
          <b:Person>
            <b:Last>Janíková</b:Last>
            <b:First>B.</b:First>
          </b:Person>
        </b:NameList>
      </b:Author>
    </b:Author>
    <b:Title>DOSPÍVAJÍCÍ UŽIVATELÉ HEROINU A PERVITINU PO 14 LETECH: ANALÝZA PSYCHOSOCIÁLNÍCH CHARAKTERISTIK</b:Title>
    <b:Year>2011</b:Year>
    <b:Month>Říjen</b:Month>
    <b:Day>10</b:Day>
    <b:PeriodicalTitle>Československá psychologie 2012 / ročník LVI / číslo 6</b:PeriodicalTitle>
    <b:Pages>505-518</b:Pages>
    <b:RefOrder>1</b:RefOrder>
  </b:Source>
  <b:Source>
    <b:Tag>SAN07</b:Tag>
    <b:SourceType>InternetSite</b:SourceType>
    <b:Guid>{3E631B4C-3134-47ED-BC86-92AA7A510780}</b:Guid>
    <b:Author>
      <b:Author>
        <b:NameList>
          <b:Person>
            <b:Last>SANANIM</b:Last>
            <b:First>ú.z.</b:First>
          </b:Person>
        </b:NameList>
      </b:Author>
    </b:Author>
    <b:Title>POMÁHÁME ZAMĚSTNAT TY, KTEŘÍ SE KVŮLI DROGOVÉ MINULOSTI HŮŘE UPLATŇUJÍ NA TRHU PRÁCE.</b:Title>
    <b:InternetSiteTitle>SANANIM z. ú.</b:InternetSiteTitle>
    <b:Year>2007</b:Year>
    <b:URL>http://www.sananim.cz</b:URL>
    <b:RefOrder>2</b:RefOrder>
  </b:Source>
  <b:Source>
    <b:Tag>SAN071</b:Tag>
    <b:SourceType>InternetSite</b:SourceType>
    <b:Guid>{9E173826-DBFC-4AAC-8383-FF0C49422D13}</b:Guid>
    <b:Author>
      <b:Author>
        <b:NameList>
          <b:Person>
            <b:Last>SANANIM</b:Last>
            <b:First>ú.z.</b:First>
          </b:Person>
        </b:NameList>
      </b:Author>
    </b:Author>
    <b:Title>KLIENTI / UCHAZEČI O ZAMĚSTNÁNÍ </b:Title>
    <b:Year>2007</b:Year>
    <b:InternetSiteTitle>SANANIM</b:InternetSiteTitle>
    <b:URL>http://www.sananim.cz/psa/pro-zamestnavatele/zakladni-informace.html</b:URL>
    <b:RefOrder>3</b:RefOrder>
  </b:Source>
  <b:Source>
    <b:Tag>Nem19</b:Tag>
    <b:SourceType>InternetSite</b:SourceType>
    <b:Guid>{89185C9F-5121-4925-8337-4C492638CDE6}</b:Guid>
    <b:Author>
      <b:Author>
        <b:NameList>
          <b:Person>
            <b:Last>Nemade</b:Last>
            <b:First>Rashmi</b:First>
          </b:Person>
          <b:Person>
            <b:Last>Patricelli</b:Last>
            <b:First>Kathryn</b:First>
          </b:Person>
        </b:NameList>
      </b:Author>
    </b:Author>
    <b:Title>DEPRESSION: DEPRESSION &amp; RELATED CONDITIONS. HISTORICAL UNDERSTANDINGS OF DEPRESSION</b:Title>
    <b:Year>2019</b:Year>
    <b:InternetSiteTitle>Gulf Bend Center</b:InternetSiteTitle>
    <b:URL>https://www.gulfbend.org/poc/view_doc.php?type=doc&amp;id=12995&amp;cn=5</b:URL>
    <b:RefOrder>1</b:RefOrder>
  </b:Source>
  <b:Source>
    <b:Tag>Hor16</b:Tag>
    <b:SourceType>InternetSite</b:SourceType>
    <b:Guid>{AA9CC1D3-5C70-441C-AE0A-FC4F24C524A4}</b:Guid>
    <b:Author>
      <b:Author>
        <b:NameList>
          <b:Person>
            <b:Last>Horwitz</b:Last>
            <b:First>Allan</b:First>
            <b:Middle>V.</b:Middle>
          </b:Person>
          <b:Person>
            <b:Last>Wakefield</b:Last>
            <b:First>Jerome</b:First>
            <b:Middle>C.</b:Middle>
          </b:Person>
          <b:Person>
            <b:Last>Lorenzo-Luaces</b:Last>
            <b:First>Lorenzo</b:First>
          </b:Person>
        </b:NameList>
      </b:Author>
    </b:Author>
    <b:Title>History of Depression</b:Title>
    <b:InternetSiteTitle>Oxford Handbooks Online. Scholarly Research Reviews</b:InternetSiteTitle>
    <b:Year>2016</b:Year>
    <b:Month>Duben</b:Month>
    <b:URL>http://www.oxfordhandbooks.com/view/10.1093/oxfordhb/9780199973965.001.0001/oxfordhb-9780199973965-e-2</b:URL>
    <b:RefOrder>2</b:RefOrder>
  </b:Source>
  <b:Source>
    <b:Tag>Sch19</b:Tag>
    <b:SourceType>InternetSite</b:SourceType>
    <b:Guid>{602A5FE2-B337-4EB8-B97E-C6E5CCBA5A97}</b:Guid>
    <b:Author>
      <b:Author>
        <b:NameList>
          <b:Person>
            <b:Last>Schimelpfening</b:Last>
            <b:First>Nancy</b:First>
          </b:Person>
        </b:NameList>
      </b:Author>
    </b:Author>
    <b:Title>The History of Depression. Accounts, treatments, and beliefs through the ages</b:Title>
    <b:InternetSiteTitle>verywell mind</b:InternetSiteTitle>
    <b:Year>2019</b:Year>
    <b:Month>Březen</b:Month>
    <b:Day>20</b:Day>
    <b:URL>https://www.verywellmind.com/who-discovered-depression-1066770</b:URL>
    <b:RefOrder>3</b:RefOrder>
  </b:Source>
  <b:Source>
    <b:Tag>Ehr10</b:Tag>
    <b:SourceType>Book</b:SourceType>
    <b:Guid>{ADC5554A-483E-42DA-9177-C81B9A71328F}</b:Guid>
    <b:Author>
      <b:Author>
        <b:NameList>
          <b:Person>
            <b:Last>Ehrenberg</b:Last>
            <b:First>Alain</b:First>
          </b:Person>
        </b:NameList>
      </b:Author>
    </b:Author>
    <b:Title>Weariness of the Self : Diagnosing the History of Depression in the Contemporary Age</b:Title>
    <b:Year>2010</b:Year>
    <b:City>Montreal</b:City>
    <b:Publisher>eBook Collection (EBSCOhost)</b:Publisher>
    <b:RefOrder>4</b:RefOrder>
  </b:Source>
  <b:Source>
    <b:Tag>Eli13</b:Tag>
    <b:SourceType>InternetSite</b:SourceType>
    <b:Guid>{79AAAF1F-8DDC-4878-93E1-180361A55A9F}</b:Guid>
    <b:Author>
      <b:Author>
        <b:NameList>
          <b:Person>
            <b:Last>Eli</b:Last>
          </b:Person>
        </b:NameList>
      </b:Author>
    </b:Author>
    <b:Title>Freud on Mourning and Melancholia-(1917)</b:Title>
    <b:InternetSiteTitle>THOUGHTS. Thoughts on Psychoanalysis</b:InternetSiteTitle>
    <b:Year>2013</b:Year>
    <b:Month>Květen</b:Month>
    <b:Day>13</b:Day>
    <b:URL>https://thinkingthoughtsdotorg.wordpress.com/2013/05/13/freud-on-mourning-and-melancholia/</b:URL>
    <b:RefOrder>5</b:RefOrder>
  </b:Source>
  <b:Source>
    <b:Tag>Eys70</b:Tag>
    <b:SourceType>ArticleInAPeriodical</b:SourceType>
    <b:Guid>{65B8F254-59E8-4D1F-ABAF-3D815C767D92}</b:Guid>
    <b:Author>
      <b:Author>
        <b:NameList>
          <b:Person>
            <b:Last>Eysenck</b:Last>
            <b:First>H.</b:First>
            <b:Middle>J.</b:Middle>
          </b:Person>
        </b:NameList>
      </b:Author>
    </b:Author>
    <b:Title>The classification of depressive illness</b:Title>
    <b:Year>1970</b:Year>
    <b:PeriodicalTitle>British Journal of Psychiatry, 117</b:PeriodicalTitle>
    <b:Pages>241–250</b:Pages>
    <b:RefOrder>6</b:RefOrder>
  </b:Source>
  <b:Source>
    <b:Tag>Fei72</b:Tag>
    <b:SourceType>ArticleInAPeriodical</b:SourceType>
    <b:Guid>{5C53EFE9-2EB9-4645-8BBE-93AD01FA572E}</b:Guid>
    <b:Author>
      <b:Author>
        <b:NameList>
          <b:Person>
            <b:Last>Feighner</b:Last>
            <b:First>J.</b:First>
            <b:Middle>P., Robins, E., Guze, S. B., Woodruff, R. A., Winokur, G., &amp; Munoz, R.</b:Middle>
          </b:Person>
        </b:NameList>
      </b:Author>
    </b:Author>
    <b:Title>Diagnostic criteria for use in psychiatric research</b:Title>
    <b:PeriodicalTitle>Archives of General Psychiatry, 26</b:PeriodicalTitle>
    <b:Year>1972</b:Year>
    <b:Pages>57-63</b:Pages>
    <b:RefOrder>7</b:RefOrder>
  </b:Source>
  <b:Source>
    <b:Tag>Zim73</b:Tag>
    <b:SourceType>Book</b:SourceType>
    <b:Guid>{572E6B51-AF43-4D3F-A321-51359DA4B9DE}</b:Guid>
    <b:Author>
      <b:Author>
        <b:NameList>
          <b:Person>
            <b:Last>Zimbardo</b:Last>
            <b:First>Philip</b:First>
          </b:Person>
          <b:Person>
            <b:Last>Banks</b:Last>
            <b:First>Curtis</b:First>
          </b:Person>
          <b:Person>
            <b:Last>Haney</b:Last>
            <b:First>Craig</b:First>
          </b:Person>
        </b:NameList>
      </b:Author>
    </b:Author>
    <b:Title>A Study of Prisoners and Guards in a Simulated Prison</b:Title>
    <b:Year>1973</b:Year>
    <b:City>Stanford</b:City>
    <b:Publisher>Stanford University</b:Publisher>
    <b:RefOrder>8</b:RefOrder>
  </b:Source>
  <b:Source>
    <b:Tag>Per18</b:Tag>
    <b:SourceType>ArticleInAPeriodical</b:SourceType>
    <b:Guid>{03DA696F-5532-47AD-8E90-2A2C9B1EA9D0}</b:Guid>
    <b:Author>
      <b:Author>
        <b:NameList>
          <b:Person>
            <b:Last>Perry</b:Last>
            <b:First>Gina</b:First>
          </b:Person>
        </b:NameList>
      </b:Author>
    </b:Author>
    <b:Title>The evil inside us all.</b:Title>
    <b:Year>2018</b:Year>
    <b:PeriodicalTitle>New Scientist 240 (3199)</b:PeriodicalTitle>
    <b:Month>Říjen</b:Month>
    <b:Day>13</b:Day>
    <b:Pages>39-41</b:Pages>
    <b:RefOrder>9</b:RefOrder>
  </b:Source>
  <b:Source>
    <b:Tag>LeT18</b:Tag>
    <b:SourceType>Book</b:SourceType>
    <b:Guid>{DB00AA34-EF44-48F8-A7F5-CFE87D54ED5E}</b:Guid>
    <b:Author>
      <b:Author>
        <b:NameList>
          <b:Person>
            <b:Last>Le Texier</b:Last>
            <b:First>Thibault</b:First>
          </b:Person>
        </b:NameList>
      </b:Author>
    </b:Author>
    <b:Title>Historie lži</b:Title>
    <b:Year>2018</b:Year>
    <b:City>Paříž</b:City>
    <b:Publisher>Éditions La Découverte</b:Publisher>
    <b:RefOrder>10</b:RefOrder>
  </b:Source>
  <b:Source>
    <b:Tag>Lay17</b:Tag>
    <b:SourceType>ArticleInAPeriodical</b:SourceType>
    <b:Guid>{43A9EC36-4D4E-4FAB-A0CF-2FBFE97F0747}</b:Guid>
    <b:Author>
      <b:Author>
        <b:NameList>
          <b:Person>
            <b:Last>Laycock</b:Last>
            <b:First>Joseph</b:First>
          </b:Person>
        </b:NameList>
      </b:Author>
    </b:Author>
    <b:Title>The Stanford Prison Experiment</b:Title>
    <b:Year>2017</b:Year>
    <b:PeriodicalTitle>Nova religio 20 (4)</b:PeriodicalTitle>
    <b:Month>Květen</b:Month>
    <b:Day>4</b:Day>
    <b:Pages>145-146</b:Pages>
    <b:RefOrder>11</b:RefOrder>
  </b:Source>
  <b:Source>
    <b:Tag>Bar19</b:Tag>
    <b:SourceType>ArticleInAPeriodical</b:SourceType>
    <b:Guid>{289191D8-1346-421F-826E-862F0E626E37}</b:Guid>
    <b:Author>
      <b:Author>
        <b:NameList>
          <b:Person>
            <b:Last>Bartels</b:Last>
            <b:First>Jared</b:First>
          </b:Person>
        </b:NameList>
      </b:Author>
    </b:Author>
    <b:Title>Revisiting the stanford prison experiment, again: Examining demand characteristics in the guard orientation.</b:Title>
    <b:PeriodicalTitle>The Journal of Social Psychology</b:PeriodicalTitle>
    <b:Year>2019</b:Year>
    <b:Month>Duben</b:Month>
    <b:Day>10</b:Day>
    <b:RefOrder>12</b:RefOrder>
  </b:Source>
  <b:Source>
    <b:Tag>Zim14</b:Tag>
    <b:SourceType>Book</b:SourceType>
    <b:Guid>{6FE803D6-6FD4-42BF-97FB-2D1B70F38808}</b:Guid>
    <b:Author>
      <b:Author>
        <b:NameList>
          <b:Person>
            <b:Last>Zimbardo</b:Last>
            <b:First>Philip</b:First>
          </b:Person>
        </b:NameList>
      </b:Author>
    </b:Author>
    <b:Title>Luciferův efekt</b:Title>
    <b:Year>2014</b:Year>
    <b:City>Praha</b:City>
    <b:Publisher>Academia</b:Publisher>
    <b:RefOrder>13</b:RefOrder>
  </b:Source>
</b:Sources>
</file>

<file path=customXml/itemProps1.xml><?xml version="1.0" encoding="utf-8"?>
<ds:datastoreItem xmlns:ds="http://schemas.openxmlformats.org/officeDocument/2006/customXml" ds:itemID="{3F814470-9F79-4B49-A102-A210501E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</dc:creator>
  <cp:lastModifiedBy>Adam Ťápal</cp:lastModifiedBy>
  <cp:revision>45</cp:revision>
  <dcterms:created xsi:type="dcterms:W3CDTF">2019-05-01T07:35:00Z</dcterms:created>
  <dcterms:modified xsi:type="dcterms:W3CDTF">2019-06-20T17:31:00Z</dcterms:modified>
</cp:coreProperties>
</file>