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pPr w:leftFromText="141" w:rightFromText="141" w:vertAnchor="text" w:horzAnchor="page" w:tblpXSpec="center" w:tblpY="143"/>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2410"/>
        <w:gridCol w:w="1984"/>
        <w:gridCol w:w="2835"/>
      </w:tblGrid>
      <w:tr w:rsidR="00C92221" w:rsidRPr="00DD75FD" w:rsidTr="00AD4CAC">
        <w:trPr>
          <w:gridBefore w:val="1"/>
          <w:wBefore w:w="1985" w:type="dxa"/>
          <w:trHeight w:val="341"/>
          <w:jc w:val="center"/>
        </w:trPr>
        <w:tc>
          <w:tcPr>
            <w:tcW w:w="2410" w:type="dxa"/>
            <w:tcBorders>
              <w:right w:val="single" w:sz="4" w:space="0" w:color="BFBFBF" w:themeColor="background1" w:themeShade="BF"/>
            </w:tcBorders>
            <w:vAlign w:val="center"/>
          </w:tcPr>
          <w:p w:rsidR="003A3345" w:rsidRPr="00AC11B8" w:rsidRDefault="00DD75FD" w:rsidP="00E839F6">
            <w:pPr>
              <w:rPr>
                <w:noProof/>
              </w:rPr>
            </w:pPr>
            <w:r w:rsidRPr="00AC11B8">
              <w:rPr>
                <w:noProof/>
              </w:rPr>
              <w:t>Jméno a příjmení</w:t>
            </w:r>
            <w:r w:rsidR="00C92221" w:rsidRPr="00AC11B8">
              <w:rPr>
                <w:noProof/>
              </w:rPr>
              <w:t>:</w:t>
            </w:r>
          </w:p>
        </w:tc>
        <w:tc>
          <w:tcPr>
            <w:tcW w:w="4819" w:type="dxa"/>
            <w:gridSpan w:val="2"/>
            <w:tcBorders>
              <w:left w:val="single" w:sz="4" w:space="0" w:color="BFBFBF" w:themeColor="background1" w:themeShade="BF"/>
            </w:tcBorders>
            <w:vAlign w:val="center"/>
          </w:tcPr>
          <w:p w:rsidR="003A3345" w:rsidRPr="00AC11B8" w:rsidRDefault="00D86E00" w:rsidP="00E839F6">
            <w:pPr>
              <w:ind w:left="176"/>
              <w:rPr>
                <w:noProof/>
              </w:rPr>
            </w:pPr>
            <w:r>
              <w:rPr>
                <w:noProof/>
              </w:rPr>
              <w:t>Bc. Michaela Mikutová</w:t>
            </w:r>
          </w:p>
        </w:tc>
      </w:tr>
      <w:tr w:rsidR="00C92221" w:rsidRPr="00DD75FD" w:rsidTr="00AD4CAC">
        <w:trPr>
          <w:gridBefore w:val="1"/>
          <w:wBefore w:w="1985" w:type="dxa"/>
          <w:trHeight w:val="341"/>
          <w:jc w:val="center"/>
        </w:trPr>
        <w:tc>
          <w:tcPr>
            <w:tcW w:w="2410" w:type="dxa"/>
            <w:tcBorders>
              <w:right w:val="single" w:sz="4" w:space="0" w:color="BFBFBF" w:themeColor="background1" w:themeShade="BF"/>
            </w:tcBorders>
            <w:vAlign w:val="center"/>
          </w:tcPr>
          <w:p w:rsidR="00DD75FD" w:rsidRPr="00AC11B8" w:rsidRDefault="00C92221" w:rsidP="00E839F6">
            <w:pPr>
              <w:rPr>
                <w:noProof/>
              </w:rPr>
            </w:pPr>
            <w:r w:rsidRPr="00AC11B8">
              <w:rPr>
                <w:noProof/>
              </w:rPr>
              <w:t>UČO:</w:t>
            </w:r>
          </w:p>
        </w:tc>
        <w:tc>
          <w:tcPr>
            <w:tcW w:w="4819" w:type="dxa"/>
            <w:gridSpan w:val="2"/>
            <w:tcBorders>
              <w:left w:val="single" w:sz="4" w:space="0" w:color="BFBFBF" w:themeColor="background1" w:themeShade="BF"/>
            </w:tcBorders>
            <w:vAlign w:val="center"/>
          </w:tcPr>
          <w:p w:rsidR="00DD75FD" w:rsidRPr="00AC11B8" w:rsidRDefault="00D86E00" w:rsidP="00E839F6">
            <w:pPr>
              <w:ind w:left="176"/>
              <w:rPr>
                <w:noProof/>
              </w:rPr>
            </w:pPr>
            <w:r>
              <w:rPr>
                <w:noProof/>
              </w:rPr>
              <w:t>450711</w:t>
            </w:r>
          </w:p>
        </w:tc>
      </w:tr>
      <w:tr w:rsidR="00C92221" w:rsidTr="00AD4CAC">
        <w:trPr>
          <w:gridBefore w:val="1"/>
          <w:wBefore w:w="1985" w:type="dxa"/>
          <w:trHeight w:val="341"/>
          <w:jc w:val="center"/>
        </w:trPr>
        <w:tc>
          <w:tcPr>
            <w:tcW w:w="2410" w:type="dxa"/>
            <w:tcBorders>
              <w:right w:val="single" w:sz="4" w:space="0" w:color="BFBFBF" w:themeColor="background1" w:themeShade="BF"/>
            </w:tcBorders>
            <w:vAlign w:val="center"/>
          </w:tcPr>
          <w:p w:rsidR="00C92221" w:rsidRPr="00AC11B8" w:rsidRDefault="00C92221" w:rsidP="00E839F6">
            <w:pPr>
              <w:rPr>
                <w:noProof/>
              </w:rPr>
            </w:pPr>
            <w:r w:rsidRPr="00AC11B8">
              <w:rPr>
                <w:noProof/>
              </w:rPr>
              <w:t>Název, kód předmětu:</w:t>
            </w:r>
          </w:p>
        </w:tc>
        <w:tc>
          <w:tcPr>
            <w:tcW w:w="4819" w:type="dxa"/>
            <w:gridSpan w:val="2"/>
            <w:tcBorders>
              <w:left w:val="single" w:sz="4" w:space="0" w:color="BFBFBF" w:themeColor="background1" w:themeShade="BF"/>
            </w:tcBorders>
            <w:vAlign w:val="center"/>
          </w:tcPr>
          <w:p w:rsidR="00C92221" w:rsidRPr="00AC11B8" w:rsidRDefault="00D86E00" w:rsidP="00E839F6">
            <w:pPr>
              <w:ind w:left="176"/>
              <w:rPr>
                <w:noProof/>
              </w:rPr>
            </w:pPr>
            <w:r w:rsidRPr="00D86E00">
              <w:rPr>
                <w:noProof/>
              </w:rPr>
              <w:t>Psychologie leadershipu</w:t>
            </w:r>
            <w:r>
              <w:rPr>
                <w:noProof/>
              </w:rPr>
              <w:t xml:space="preserve">, </w:t>
            </w:r>
            <w:r w:rsidRPr="00D86E00">
              <w:rPr>
                <w:noProof/>
              </w:rPr>
              <w:t>PSY525</w:t>
            </w:r>
          </w:p>
        </w:tc>
      </w:tr>
      <w:tr w:rsidR="00C92221" w:rsidTr="00AD4CAC">
        <w:trPr>
          <w:gridBefore w:val="1"/>
          <w:wBefore w:w="1985" w:type="dxa"/>
          <w:trHeight w:val="341"/>
          <w:jc w:val="center"/>
        </w:trPr>
        <w:tc>
          <w:tcPr>
            <w:tcW w:w="2410" w:type="dxa"/>
            <w:tcBorders>
              <w:right w:val="single" w:sz="4" w:space="0" w:color="BFBFBF" w:themeColor="background1" w:themeShade="BF"/>
            </w:tcBorders>
            <w:vAlign w:val="center"/>
          </w:tcPr>
          <w:p w:rsidR="00C92221" w:rsidRPr="00AC11B8" w:rsidRDefault="00C92221" w:rsidP="00E839F6">
            <w:pPr>
              <w:ind w:left="164" w:hanging="164"/>
              <w:rPr>
                <w:noProof/>
              </w:rPr>
            </w:pPr>
            <w:r w:rsidRPr="00AC11B8">
              <w:rPr>
                <w:noProof/>
              </w:rPr>
              <w:t>Vyučující:</w:t>
            </w:r>
          </w:p>
        </w:tc>
        <w:tc>
          <w:tcPr>
            <w:tcW w:w="4819" w:type="dxa"/>
            <w:gridSpan w:val="2"/>
            <w:tcBorders>
              <w:left w:val="single" w:sz="4" w:space="0" w:color="BFBFBF" w:themeColor="background1" w:themeShade="BF"/>
            </w:tcBorders>
            <w:vAlign w:val="center"/>
          </w:tcPr>
          <w:p w:rsidR="00C92221" w:rsidRPr="00AC11B8" w:rsidRDefault="00D86E00" w:rsidP="00E839F6">
            <w:pPr>
              <w:ind w:left="176"/>
              <w:rPr>
                <w:noProof/>
              </w:rPr>
            </w:pPr>
            <w:r w:rsidRPr="00D86E00">
              <w:rPr>
                <w:noProof/>
              </w:rPr>
              <w:t>Ing. Mgr. Jakub Procházka, Ph.D.</w:t>
            </w:r>
          </w:p>
        </w:tc>
      </w:tr>
      <w:tr w:rsidR="00D86E00" w:rsidTr="00AD4CAC">
        <w:trPr>
          <w:gridBefore w:val="1"/>
          <w:gridAfter w:val="1"/>
          <w:wBefore w:w="1985" w:type="dxa"/>
          <w:wAfter w:w="2835" w:type="dxa"/>
          <w:trHeight w:val="341"/>
          <w:jc w:val="center"/>
        </w:trPr>
        <w:tc>
          <w:tcPr>
            <w:tcW w:w="2410" w:type="dxa"/>
            <w:tcBorders>
              <w:right w:val="single" w:sz="4" w:space="0" w:color="BFBFBF" w:themeColor="background1" w:themeShade="BF"/>
            </w:tcBorders>
            <w:vAlign w:val="center"/>
          </w:tcPr>
          <w:p w:rsidR="00D86E00" w:rsidRPr="00AC11B8" w:rsidRDefault="00D86E00" w:rsidP="00E839F6">
            <w:pPr>
              <w:rPr>
                <w:noProof/>
              </w:rPr>
            </w:pPr>
            <w:r w:rsidRPr="00AC11B8">
              <w:rPr>
                <w:noProof/>
              </w:rPr>
              <w:t>Datum odevzdání:</w:t>
            </w:r>
          </w:p>
        </w:tc>
        <w:tc>
          <w:tcPr>
            <w:tcW w:w="1984" w:type="dxa"/>
            <w:tcBorders>
              <w:left w:val="single" w:sz="4" w:space="0" w:color="BFBFBF" w:themeColor="background1" w:themeShade="BF"/>
            </w:tcBorders>
            <w:vAlign w:val="center"/>
          </w:tcPr>
          <w:p w:rsidR="00D86E00" w:rsidRPr="00AC11B8" w:rsidRDefault="00D86E00" w:rsidP="00E839F6">
            <w:pPr>
              <w:ind w:left="176"/>
              <w:rPr>
                <w:noProof/>
              </w:rPr>
            </w:pPr>
            <w:r>
              <w:rPr>
                <w:noProof/>
              </w:rPr>
              <w:t>26.3.2019</w:t>
            </w:r>
          </w:p>
        </w:tc>
      </w:tr>
      <w:tr w:rsidR="00400E3A" w:rsidTr="00AD4CAC">
        <w:trPr>
          <w:trHeight w:val="341"/>
          <w:jc w:val="center"/>
        </w:trPr>
        <w:tc>
          <w:tcPr>
            <w:tcW w:w="9214" w:type="dxa"/>
            <w:gridSpan w:val="4"/>
            <w:tcBorders>
              <w:bottom w:val="single" w:sz="4" w:space="0" w:color="BFBFBF" w:themeColor="background1" w:themeShade="BF"/>
            </w:tcBorders>
            <w:vAlign w:val="center"/>
          </w:tcPr>
          <w:p w:rsidR="00400E3A" w:rsidRDefault="00400E3A" w:rsidP="00E839F6">
            <w:pPr>
              <w:jc w:val="center"/>
              <w:rPr>
                <w:noProof/>
                <w:sz w:val="24"/>
                <w:szCs w:val="24"/>
              </w:rPr>
            </w:pPr>
          </w:p>
        </w:tc>
      </w:tr>
    </w:tbl>
    <w:p w:rsidR="000A7215" w:rsidRDefault="003A3345" w:rsidP="000A7215">
      <w:pPr>
        <w:rPr>
          <w:rStyle w:val="Nadpis1Char"/>
        </w:rPr>
      </w:pPr>
      <w:r w:rsidRPr="006859E0">
        <w:rPr>
          <w:noProof/>
          <w:lang w:eastAsia="cs-CZ"/>
        </w:rPr>
        <w:drawing>
          <wp:anchor distT="0" distB="0" distL="114300" distR="114300" simplePos="0" relativeHeight="251658240" behindDoc="1" locked="1" layoutInCell="1" allowOverlap="1">
            <wp:simplePos x="0" y="0"/>
            <wp:positionH relativeFrom="margin">
              <wp:posOffset>-136280</wp:posOffset>
            </wp:positionH>
            <wp:positionV relativeFrom="paragraph">
              <wp:posOffset>9525</wp:posOffset>
            </wp:positionV>
            <wp:extent cx="1090800" cy="838800"/>
            <wp:effectExtent l="0" t="0" r="0" b="0"/>
            <wp:wrapTight wrapText="bothSides">
              <wp:wrapPolygon edited="0">
                <wp:start x="1887" y="2455"/>
                <wp:lineTo x="1887" y="9327"/>
                <wp:lineTo x="4151" y="11291"/>
                <wp:lineTo x="3019" y="11291"/>
                <wp:lineTo x="2264" y="11782"/>
                <wp:lineTo x="2264" y="18655"/>
                <wp:lineTo x="14341" y="18655"/>
                <wp:lineTo x="15474" y="13745"/>
                <wp:lineTo x="13964" y="11291"/>
                <wp:lineTo x="16983" y="11291"/>
                <wp:lineTo x="19625" y="8836"/>
                <wp:lineTo x="19248" y="2455"/>
                <wp:lineTo x="1887" y="2455"/>
              </wp:wrapPolygon>
            </wp:wrapTight>
            <wp:docPr id="1" name="Obrázek 1" descr="C:\Users\Hynek\Downloads\soc-lg-cz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nek\Downloads\soc-lg-cze-rgb.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0800" cy="838800"/>
                    </a:xfrm>
                    <a:prstGeom prst="rect">
                      <a:avLst/>
                    </a:prstGeom>
                    <a:noFill/>
                    <a:ln>
                      <a:noFill/>
                    </a:ln>
                  </pic:spPr>
                </pic:pic>
              </a:graphicData>
            </a:graphic>
          </wp:anchor>
        </w:drawing>
      </w:r>
      <w:r w:rsidRPr="003A3345">
        <w:rPr>
          <w:noProof/>
        </w:rPr>
        <w:t xml:space="preserve"> </w:t>
      </w:r>
      <w:r w:rsidR="00400E3A" w:rsidRPr="00400E3A">
        <w:rPr>
          <w:b/>
          <w:noProof/>
          <w:sz w:val="26"/>
          <w:szCs w:val="26"/>
        </w:rPr>
        <w:br/>
      </w:r>
      <w:r w:rsidR="000A7215" w:rsidRPr="000A7215">
        <w:rPr>
          <w:rStyle w:val="Nadpis1Char"/>
        </w:rPr>
        <w:t>Písemná příprava na diskusi</w:t>
      </w:r>
    </w:p>
    <w:p w:rsidR="00D86E00" w:rsidRPr="000A7215" w:rsidRDefault="00AC11B8" w:rsidP="000A7215">
      <w:pPr>
        <w:rPr>
          <w:rFonts w:eastAsiaTheme="majorEastAsia" w:cstheme="majorBidi"/>
          <w:b/>
          <w:sz w:val="28"/>
          <w:szCs w:val="32"/>
        </w:rPr>
      </w:pPr>
      <w:r>
        <w:rPr>
          <w:b/>
          <w:noProof/>
          <w:sz w:val="26"/>
          <w:szCs w:val="26"/>
        </w:rPr>
        <w:br/>
      </w:r>
      <w:r w:rsidR="00D86E00">
        <w:rPr>
          <w:noProof/>
        </w:rPr>
        <w:t>a)</w:t>
      </w:r>
      <w:r w:rsidR="00D86E00">
        <w:rPr>
          <w:noProof/>
        </w:rPr>
        <w:tab/>
      </w:r>
      <w:r w:rsidR="00D86E00" w:rsidRPr="000A7215">
        <w:rPr>
          <w:rStyle w:val="Nadpis2Char"/>
        </w:rPr>
        <w:t>Může být leader zároveň transakčním a transformačním leaderem?</w:t>
      </w:r>
    </w:p>
    <w:p w:rsidR="00D86E00" w:rsidRDefault="00D86E00" w:rsidP="00D86E00">
      <w:pPr>
        <w:jc w:val="both"/>
        <w:rPr>
          <w:noProof/>
        </w:rPr>
      </w:pPr>
      <w:r>
        <w:rPr>
          <w:noProof/>
        </w:rPr>
        <w:t>Burns (</w:t>
      </w:r>
      <w:commentRangeStart w:id="0"/>
      <w:r>
        <w:rPr>
          <w:noProof/>
        </w:rPr>
        <w:t xml:space="preserve">cit. </w:t>
      </w:r>
      <w:r w:rsidR="00C52A6F">
        <w:rPr>
          <w:noProof/>
        </w:rPr>
        <w:t>po</w:t>
      </w:r>
      <w:r>
        <w:rPr>
          <w:noProof/>
        </w:rPr>
        <w:t>dle Awamleh, Evans a Mahate, 2005</w:t>
      </w:r>
      <w:commentRangeEnd w:id="0"/>
      <w:r w:rsidR="0029045B">
        <w:rPr>
          <w:rStyle w:val="Odkaznakoment"/>
        </w:rPr>
        <w:commentReference w:id="0"/>
      </w:r>
      <w:r>
        <w:rPr>
          <w:noProof/>
        </w:rPr>
        <w:t>) chápe transformační a transakční leadership jako opačné konce jednoho kontinua. Bass (</w:t>
      </w:r>
      <w:commentRangeStart w:id="1"/>
      <w:r>
        <w:rPr>
          <w:noProof/>
        </w:rPr>
        <w:t xml:space="preserve">cit. </w:t>
      </w:r>
      <w:r w:rsidR="00C52A6F">
        <w:rPr>
          <w:noProof/>
        </w:rPr>
        <w:t>po</w:t>
      </w:r>
      <w:r>
        <w:rPr>
          <w:noProof/>
        </w:rPr>
        <w:t>dle Aw</w:t>
      </w:r>
      <w:bookmarkStart w:id="2" w:name="_GoBack"/>
      <w:bookmarkEnd w:id="2"/>
      <w:r>
        <w:rPr>
          <w:noProof/>
        </w:rPr>
        <w:t>amleh</w:t>
      </w:r>
      <w:r w:rsidR="00C52A6F">
        <w:rPr>
          <w:noProof/>
        </w:rPr>
        <w:t xml:space="preserve"> a kol.</w:t>
      </w:r>
      <w:r>
        <w:rPr>
          <w:noProof/>
        </w:rPr>
        <w:t>, 2005</w:t>
      </w:r>
      <w:commentRangeEnd w:id="1"/>
      <w:r w:rsidR="0029045B">
        <w:rPr>
          <w:rStyle w:val="Odkaznakoment"/>
        </w:rPr>
        <w:commentReference w:id="1"/>
      </w:r>
      <w:r>
        <w:rPr>
          <w:noProof/>
        </w:rPr>
        <w:t xml:space="preserve">) naopak tvrdí, že jsou si tyto styly leadershipu vzájemně blízké a že efektivní leader by měl uplatňoval oba. Dle Basse a Avolia </w:t>
      </w:r>
      <w:r w:rsidR="00C52A6F" w:rsidRPr="00C52A6F">
        <w:rPr>
          <w:noProof/>
        </w:rPr>
        <w:t>(cit. podle Awamleh a kol., 2005)</w:t>
      </w:r>
      <w:r w:rsidR="00C52A6F">
        <w:rPr>
          <w:noProof/>
        </w:rPr>
        <w:t xml:space="preserve"> </w:t>
      </w:r>
      <w:r>
        <w:rPr>
          <w:noProof/>
        </w:rPr>
        <w:t xml:space="preserve">se transformační leadership soustředí na rozvinutí plného potenciálu následovníka, zatímco cílem transakčního leadershipu je uspokojení jeho základních potřeb. Dle těchto výzkumů je uplatňování obou stylů leadershipu nejen možné, ale pro efektivitu leadershipu i </w:t>
      </w:r>
      <w:commentRangeStart w:id="3"/>
      <w:r>
        <w:rPr>
          <w:noProof/>
        </w:rPr>
        <w:t>žádoucí</w:t>
      </w:r>
      <w:commentRangeEnd w:id="3"/>
      <w:r w:rsidR="0029045B">
        <w:rPr>
          <w:rStyle w:val="Odkaznakoment"/>
        </w:rPr>
        <w:commentReference w:id="3"/>
      </w:r>
      <w:r>
        <w:rPr>
          <w:noProof/>
        </w:rPr>
        <w:t xml:space="preserve">. </w:t>
      </w:r>
    </w:p>
    <w:p w:rsidR="00D86E00" w:rsidRPr="000A7215" w:rsidRDefault="00D86E00" w:rsidP="00D86E00">
      <w:pPr>
        <w:spacing w:before="240"/>
        <w:jc w:val="both"/>
        <w:rPr>
          <w:rStyle w:val="Nadpis2Char"/>
        </w:rPr>
      </w:pPr>
      <w:r>
        <w:rPr>
          <w:noProof/>
        </w:rPr>
        <w:t>b)</w:t>
      </w:r>
      <w:r>
        <w:rPr>
          <w:noProof/>
        </w:rPr>
        <w:tab/>
      </w:r>
      <w:r w:rsidRPr="000A7215">
        <w:rPr>
          <w:rStyle w:val="Nadpis2Char"/>
        </w:rPr>
        <w:t>Jak působí transakční a transformační leadership na efektivitu leadera?</w:t>
      </w:r>
    </w:p>
    <w:p w:rsidR="00D86E00" w:rsidRDefault="00D86E00" w:rsidP="00D86E00">
      <w:pPr>
        <w:jc w:val="both"/>
        <w:rPr>
          <w:noProof/>
        </w:rPr>
      </w:pPr>
      <w:r>
        <w:rPr>
          <w:noProof/>
        </w:rPr>
        <w:t>Judge a Piccolo (2004) provedli metaanalýzu, kterou zjišťovali, do jaké míry predikuje styl leadershipu efektivitu leadera. Transformační leadership predikoval efektivitu leadera silně (</w:t>
      </w:r>
      <w:commentRangeStart w:id="4"/>
      <w:r>
        <w:rPr>
          <w:noProof/>
        </w:rPr>
        <w:t>β = .</w:t>
      </w:r>
      <w:proofErr w:type="gramStart"/>
      <w:r>
        <w:rPr>
          <w:noProof/>
        </w:rPr>
        <w:t>37,</w:t>
      </w:r>
      <w:commentRangeEnd w:id="4"/>
      <w:r w:rsidR="0029045B">
        <w:rPr>
          <w:rStyle w:val="Odkaznakoment"/>
        </w:rPr>
        <w:commentReference w:id="4"/>
      </w:r>
      <w:r>
        <w:rPr>
          <w:noProof/>
        </w:rPr>
        <w:t xml:space="preserve"> p &lt;.01</w:t>
      </w:r>
      <w:proofErr w:type="gramEnd"/>
      <w:r>
        <w:rPr>
          <w:noProof/>
        </w:rPr>
        <w:t>). Transakční leadership také predikoval efektivitu leadera, signifikance nízkých regresních koeficientů však mohla být způsobena velkým výzkumným vzorkem. Transakční leadership byl rozdělen následovně:</w:t>
      </w:r>
    </w:p>
    <w:p w:rsidR="00D86E00" w:rsidRDefault="00D86E00" w:rsidP="00D86E00">
      <w:pPr>
        <w:jc w:val="both"/>
        <w:rPr>
          <w:noProof/>
        </w:rPr>
      </w:pPr>
      <w:r>
        <w:rPr>
          <w:noProof/>
        </w:rPr>
        <w:t>- podmíněné odměňování, při kterém jsou jasně definována očekávání i odměny za jejich naplnění (β = .15, p &lt;.01)</w:t>
      </w:r>
    </w:p>
    <w:p w:rsidR="00D86E00" w:rsidRDefault="00D86E00" w:rsidP="00D86E00">
      <w:pPr>
        <w:jc w:val="both"/>
        <w:rPr>
          <w:noProof/>
        </w:rPr>
      </w:pPr>
      <w:r>
        <w:rPr>
          <w:noProof/>
        </w:rPr>
        <w:t>- aktivní řízení podle odchylek, jehož cílem je předcházení chybám (β = .04, p &lt;.05)</w:t>
      </w:r>
    </w:p>
    <w:p w:rsidR="00D86E00" w:rsidRDefault="00D86E00" w:rsidP="00D86E00">
      <w:pPr>
        <w:jc w:val="both"/>
        <w:rPr>
          <w:noProof/>
        </w:rPr>
      </w:pPr>
      <w:r>
        <w:rPr>
          <w:noProof/>
        </w:rPr>
        <w:t xml:space="preserve">- pasivní řízení podle odchylek, kdy jsou problémy řešeny až potom, co se objeví (β = -.06, p &lt;.01) </w:t>
      </w:r>
    </w:p>
    <w:p w:rsidR="00D86E00" w:rsidRPr="000A7215" w:rsidRDefault="00D86E00" w:rsidP="00D86E00">
      <w:pPr>
        <w:spacing w:before="240"/>
        <w:jc w:val="both"/>
        <w:rPr>
          <w:rStyle w:val="Nadpis2Char"/>
        </w:rPr>
      </w:pPr>
      <w:r>
        <w:rPr>
          <w:noProof/>
        </w:rPr>
        <w:t>c)</w:t>
      </w:r>
      <w:r>
        <w:rPr>
          <w:noProof/>
        </w:rPr>
        <w:tab/>
      </w:r>
      <w:r w:rsidRPr="000A7215">
        <w:rPr>
          <w:rStyle w:val="Nadpis2Char"/>
        </w:rPr>
        <w:t>Co jsou podmínky efektivity transakčního a transformačního leadershipu?</w:t>
      </w:r>
    </w:p>
    <w:p w:rsidR="00D86E00" w:rsidRDefault="00D86E00" w:rsidP="00D86E00">
      <w:pPr>
        <w:jc w:val="both"/>
        <w:rPr>
          <w:noProof/>
        </w:rPr>
      </w:pPr>
      <w:commentRangeStart w:id="5"/>
      <w:r>
        <w:rPr>
          <w:noProof/>
        </w:rPr>
        <w:t xml:space="preserve">Dle Basse </w:t>
      </w:r>
      <w:r w:rsidR="00C52A6F" w:rsidRPr="00C52A6F">
        <w:rPr>
          <w:noProof/>
        </w:rPr>
        <w:t>(cit. podle Awamleh a kol., 2005)</w:t>
      </w:r>
      <w:r>
        <w:rPr>
          <w:noProof/>
        </w:rPr>
        <w:t xml:space="preserve"> je transformační leadership založen na charismatu leadera (operacionalizováno jako schopnost získat si respekt a důvěru následovníků), jeho schopnosti inspirovat (definována jako schopnost komunikovat své vize jasně a optimisticky), osobním přístupu a intelektuální stimulaci jeho následovníků. </w:t>
      </w:r>
      <w:commentRangeEnd w:id="5"/>
      <w:r w:rsidR="0029045B">
        <w:rPr>
          <w:rStyle w:val="Odkaznakoment"/>
        </w:rPr>
        <w:commentReference w:id="5"/>
      </w:r>
    </w:p>
    <w:p w:rsidR="00D86E00" w:rsidRDefault="00D86E00" w:rsidP="00D86E00">
      <w:pPr>
        <w:jc w:val="both"/>
        <w:rPr>
          <w:noProof/>
        </w:rPr>
      </w:pPr>
      <w:commentRangeStart w:id="6"/>
      <w:r>
        <w:rPr>
          <w:noProof/>
        </w:rPr>
        <w:t>Dle Kellera (2006) spočívá transakční leadership v kontrole chování následovníků a odměňování žádoucí</w:t>
      </w:r>
      <w:r w:rsidR="00C52A6F">
        <w:rPr>
          <w:noProof/>
        </w:rPr>
        <w:t>ho</w:t>
      </w:r>
      <w:r>
        <w:rPr>
          <w:noProof/>
        </w:rPr>
        <w:t xml:space="preserve"> chování (=podmíněné odměňování). Dle Thépota (cit. </w:t>
      </w:r>
      <w:r w:rsidR="00C52A6F">
        <w:rPr>
          <w:noProof/>
        </w:rPr>
        <w:t>po</w:t>
      </w:r>
      <w:r>
        <w:rPr>
          <w:noProof/>
        </w:rPr>
        <w:t>dle Procházky, Vaculíka a Smutného, 2014) by měl leader při podmíněném odměňování být schopen jasně stanovit svá očekávání a to, jak bude odměňovat jejich naplňování.</w:t>
      </w:r>
      <w:commentRangeEnd w:id="6"/>
      <w:r w:rsidR="0029045B">
        <w:rPr>
          <w:rStyle w:val="Odkaznakoment"/>
        </w:rPr>
        <w:commentReference w:id="6"/>
      </w:r>
      <w:r>
        <w:rPr>
          <w:noProof/>
        </w:rPr>
        <w:t xml:space="preserve"> </w:t>
      </w:r>
      <w:commentRangeStart w:id="7"/>
      <w:r>
        <w:rPr>
          <w:noProof/>
        </w:rPr>
        <w:t xml:space="preserve">Pokud toho leader není schopen, popř. nedá zaměstnancům slíbenou odměnu, transakční vedení nebude efektivní, jelikož bude porušen základní mechanismus transakčního leadershipu. </w:t>
      </w:r>
      <w:commentRangeEnd w:id="7"/>
      <w:r w:rsidR="0029045B">
        <w:rPr>
          <w:rStyle w:val="Odkaznakoment"/>
        </w:rPr>
        <w:commentReference w:id="7"/>
      </w:r>
    </w:p>
    <w:p w:rsidR="00D86E00" w:rsidRDefault="00D86E00" w:rsidP="00D86E00">
      <w:pPr>
        <w:spacing w:before="240"/>
        <w:jc w:val="both"/>
        <w:rPr>
          <w:noProof/>
        </w:rPr>
      </w:pPr>
      <w:r>
        <w:rPr>
          <w:noProof/>
        </w:rPr>
        <w:t>e)</w:t>
      </w:r>
      <w:r>
        <w:rPr>
          <w:noProof/>
        </w:rPr>
        <w:tab/>
      </w:r>
      <w:r w:rsidRPr="000A7215">
        <w:rPr>
          <w:rStyle w:val="Nadpis2Char"/>
        </w:rPr>
        <w:t>S jakými transakčními/transformačními leadery jste se v životě potkali a co si z toho odnášíte?</w:t>
      </w:r>
    </w:p>
    <w:p w:rsidR="00D86E00" w:rsidRDefault="00D86E00" w:rsidP="00D86E00">
      <w:pPr>
        <w:jc w:val="both"/>
        <w:rPr>
          <w:noProof/>
        </w:rPr>
      </w:pPr>
      <w:r>
        <w:rPr>
          <w:noProof/>
        </w:rPr>
        <w:lastRenderedPageBreak/>
        <w:t>Většina leaderů, se kterými jsem se potkala, byli transakční</w:t>
      </w:r>
      <w:r w:rsidR="00C52A6F">
        <w:rPr>
          <w:noProof/>
        </w:rPr>
        <w:t>. J</w:t>
      </w:r>
      <w:r>
        <w:rPr>
          <w:noProof/>
        </w:rPr>
        <w:t xml:space="preserve">ednalo </w:t>
      </w:r>
      <w:r w:rsidR="00C52A6F">
        <w:rPr>
          <w:noProof/>
        </w:rPr>
        <w:t xml:space="preserve">se </w:t>
      </w:r>
      <w:r>
        <w:rPr>
          <w:noProof/>
        </w:rPr>
        <w:t xml:space="preserve">o mé zaměstnavatele. Jako svůj hlavní poznatek vnímám důležitost nastavených pravidel a jejich dodržování. Když jsem pracovala v personální agentuře, nastavila leaderka týmu velmi nízké finanční bonusy s </w:t>
      </w:r>
      <w:commentRangeStart w:id="8"/>
      <w:r>
        <w:rPr>
          <w:noProof/>
        </w:rPr>
        <w:t>nejasnými pravidly, jak jich dosáhnout</w:t>
      </w:r>
      <w:commentRangeEnd w:id="8"/>
      <w:r w:rsidR="00B72B38">
        <w:rPr>
          <w:rStyle w:val="Odkaznakoment"/>
        </w:rPr>
        <w:commentReference w:id="8"/>
      </w:r>
      <w:r>
        <w:rPr>
          <w:noProof/>
        </w:rPr>
        <w:t xml:space="preserve">. O jejich dosažení se proto nikdo nesnažil a celý tým se snažil naplnit spíše minimální požadavky zaměstnavatele. </w:t>
      </w:r>
      <w:commentRangeStart w:id="9"/>
      <w:r>
        <w:rPr>
          <w:noProof/>
        </w:rPr>
        <w:t xml:space="preserve">Z této pracovní pozice navíc zaměstnanci často odcházeli, přičemž nejasně definovaná očekávání často uváděli jako jeden z důvodů. </w:t>
      </w:r>
      <w:commentRangeEnd w:id="9"/>
      <w:r w:rsidR="00B72B38">
        <w:rPr>
          <w:rStyle w:val="Odkaznakoment"/>
        </w:rPr>
        <w:commentReference w:id="9"/>
      </w:r>
    </w:p>
    <w:p w:rsidR="00D86E00" w:rsidRDefault="00D86E00" w:rsidP="00D86E00">
      <w:pPr>
        <w:jc w:val="both"/>
        <w:rPr>
          <w:noProof/>
        </w:rPr>
      </w:pPr>
      <w:r>
        <w:rPr>
          <w:noProof/>
        </w:rPr>
        <w:t xml:space="preserve">Za transformačního leadera bych označila mou kamarádku, která vedla malý marketingový tým, jehož jsem byla součástí. Uměla dobře komunikovat svou vizi i intelektuálně stimulovat tým – některé úkolu vyžadovaly samostatné vzdělávání. Tým však nepracovat příliš </w:t>
      </w:r>
      <w:r w:rsidR="00C52A6F">
        <w:rPr>
          <w:noProof/>
        </w:rPr>
        <w:t>dobře v době</w:t>
      </w:r>
      <w:r>
        <w:rPr>
          <w:noProof/>
        </w:rPr>
        <w:t xml:space="preserve">, kdy nebyly </w:t>
      </w:r>
      <w:r w:rsidR="0024134F">
        <w:rPr>
          <w:noProof/>
        </w:rPr>
        <w:t>jasně</w:t>
      </w:r>
      <w:r>
        <w:rPr>
          <w:noProof/>
        </w:rPr>
        <w:t xml:space="preserve"> rozděleny role a </w:t>
      </w:r>
      <w:r w:rsidR="0024134F">
        <w:rPr>
          <w:noProof/>
        </w:rPr>
        <w:t xml:space="preserve">zřetelně </w:t>
      </w:r>
      <w:r>
        <w:rPr>
          <w:noProof/>
        </w:rPr>
        <w:t xml:space="preserve">komunikovány požadované výsledky, což vedlo ke ztrátě důvěryhodnosti leaderky. Domnívám se, že jelikož v této situaci selhal transakční leadership, nefungoval ani ten transformační, což je v souladu s Bassovou </w:t>
      </w:r>
      <w:commentRangeStart w:id="10"/>
      <w:r w:rsidR="0024134F">
        <w:rPr>
          <w:noProof/>
        </w:rPr>
        <w:t>teorií</w:t>
      </w:r>
      <w:commentRangeEnd w:id="10"/>
      <w:r w:rsidR="00B72B38">
        <w:rPr>
          <w:rStyle w:val="Odkaznakoment"/>
        </w:rPr>
        <w:commentReference w:id="10"/>
      </w:r>
      <w:r w:rsidR="0024134F">
        <w:rPr>
          <w:noProof/>
        </w:rPr>
        <w:t xml:space="preserve"> </w:t>
      </w:r>
      <w:r w:rsidR="00C52A6F" w:rsidRPr="00C52A6F">
        <w:rPr>
          <w:noProof/>
        </w:rPr>
        <w:t xml:space="preserve">(cit. podle Awamleh a kol., </w:t>
      </w:r>
      <w:commentRangeStart w:id="11"/>
      <w:r w:rsidR="00C52A6F" w:rsidRPr="00C52A6F">
        <w:rPr>
          <w:noProof/>
        </w:rPr>
        <w:t>2005</w:t>
      </w:r>
      <w:commentRangeEnd w:id="11"/>
      <w:r w:rsidR="00B72B38">
        <w:rPr>
          <w:rStyle w:val="Odkaznakoment"/>
        </w:rPr>
        <w:commentReference w:id="11"/>
      </w:r>
      <w:r w:rsidR="00C52A6F" w:rsidRPr="00C52A6F">
        <w:rPr>
          <w:noProof/>
        </w:rPr>
        <w:t>)</w:t>
      </w:r>
      <w:r w:rsidR="0024134F">
        <w:rPr>
          <w:noProof/>
        </w:rPr>
        <w:t>.</w:t>
      </w:r>
    </w:p>
    <w:p w:rsidR="000A7215" w:rsidRPr="000A7215" w:rsidRDefault="00D86E00" w:rsidP="000A7215">
      <w:pPr>
        <w:pStyle w:val="Nadpis1"/>
        <w:rPr>
          <w:rFonts w:ascii="Cambria" w:hAnsi="Cambria"/>
        </w:rPr>
      </w:pPr>
      <w:r w:rsidRPr="000A7215">
        <w:rPr>
          <w:rFonts w:ascii="Cambria" w:hAnsi="Cambria"/>
        </w:rPr>
        <w:t>Literatura</w:t>
      </w:r>
    </w:p>
    <w:p w:rsidR="00D86E00" w:rsidRDefault="00D86E00" w:rsidP="00D86E00">
      <w:proofErr w:type="spellStart"/>
      <w:r>
        <w:t>Awamleh</w:t>
      </w:r>
      <w:proofErr w:type="spellEnd"/>
      <w:r>
        <w:t xml:space="preserve">, R., </w:t>
      </w:r>
      <w:proofErr w:type="spellStart"/>
      <w:r>
        <w:t>Evans</w:t>
      </w:r>
      <w:proofErr w:type="spellEnd"/>
      <w:r>
        <w:t xml:space="preserve">, J., </w:t>
      </w:r>
      <w:proofErr w:type="spellStart"/>
      <w:r>
        <w:t>Mahate</w:t>
      </w:r>
      <w:proofErr w:type="spellEnd"/>
      <w:r>
        <w:t xml:space="preserve">, A. (2005). A Test </w:t>
      </w:r>
      <w:proofErr w:type="spellStart"/>
      <w:r>
        <w:t>of</w:t>
      </w:r>
      <w:proofErr w:type="spellEnd"/>
      <w:r>
        <w:t xml:space="preserve"> </w:t>
      </w:r>
      <w:proofErr w:type="spellStart"/>
      <w:r>
        <w:t>Transformational</w:t>
      </w:r>
      <w:proofErr w:type="spellEnd"/>
      <w:r>
        <w:t xml:space="preserve"> </w:t>
      </w:r>
      <w:proofErr w:type="spellStart"/>
      <w:r>
        <w:t>and</w:t>
      </w:r>
      <w:proofErr w:type="spellEnd"/>
      <w:r>
        <w:t xml:space="preserve"> </w:t>
      </w:r>
      <w:proofErr w:type="spellStart"/>
      <w:r>
        <w:t>Transactional</w:t>
      </w:r>
      <w:proofErr w:type="spellEnd"/>
      <w:r>
        <w:t xml:space="preserve"> Leadership </w:t>
      </w:r>
      <w:proofErr w:type="spellStart"/>
      <w:r>
        <w:t>Styles</w:t>
      </w:r>
      <w:proofErr w:type="spellEnd"/>
      <w:r>
        <w:t xml:space="preserve"> on </w:t>
      </w:r>
      <w:proofErr w:type="spellStart"/>
      <w:r>
        <w:t>Employees’</w:t>
      </w:r>
      <w:proofErr w:type="spellEnd"/>
      <w:r>
        <w:t xml:space="preserve"> </w:t>
      </w:r>
      <w:proofErr w:type="spellStart"/>
      <w:r>
        <w:t>Satisfaction</w:t>
      </w:r>
      <w:proofErr w:type="spellEnd"/>
      <w:r>
        <w:t xml:space="preserve"> </w:t>
      </w:r>
      <w:proofErr w:type="spellStart"/>
      <w:r>
        <w:t>and</w:t>
      </w:r>
      <w:proofErr w:type="spellEnd"/>
      <w:r>
        <w:t xml:space="preserve"> Performance in </w:t>
      </w:r>
      <w:proofErr w:type="spellStart"/>
      <w:r>
        <w:t>the</w:t>
      </w:r>
      <w:proofErr w:type="spellEnd"/>
      <w:r>
        <w:t xml:space="preserve"> UAE </w:t>
      </w:r>
      <w:proofErr w:type="spellStart"/>
      <w:r>
        <w:t>Banking</w:t>
      </w:r>
      <w:proofErr w:type="spellEnd"/>
      <w:r>
        <w:t xml:space="preserve"> </w:t>
      </w:r>
      <w:proofErr w:type="spellStart"/>
      <w:r>
        <w:t>Sector</w:t>
      </w:r>
      <w:proofErr w:type="spellEnd"/>
      <w:r>
        <w:t xml:space="preserve">. </w:t>
      </w:r>
      <w:proofErr w:type="spellStart"/>
      <w:r w:rsidRPr="00D86E00">
        <w:rPr>
          <w:i/>
        </w:rPr>
        <w:t>Journal</w:t>
      </w:r>
      <w:proofErr w:type="spellEnd"/>
      <w:r w:rsidRPr="00D86E00">
        <w:rPr>
          <w:i/>
        </w:rPr>
        <w:t xml:space="preserve"> </w:t>
      </w:r>
      <w:proofErr w:type="spellStart"/>
      <w:r w:rsidRPr="00D86E00">
        <w:rPr>
          <w:i/>
        </w:rPr>
        <w:t>of</w:t>
      </w:r>
      <w:proofErr w:type="spellEnd"/>
      <w:r w:rsidRPr="00D86E00">
        <w:rPr>
          <w:i/>
        </w:rPr>
        <w:t xml:space="preserve"> </w:t>
      </w:r>
      <w:proofErr w:type="spellStart"/>
      <w:r w:rsidRPr="00D86E00">
        <w:rPr>
          <w:i/>
        </w:rPr>
        <w:t>Comparative</w:t>
      </w:r>
      <w:proofErr w:type="spellEnd"/>
      <w:r w:rsidRPr="00D86E00">
        <w:rPr>
          <w:i/>
        </w:rPr>
        <w:t xml:space="preserve"> </w:t>
      </w:r>
      <w:proofErr w:type="spellStart"/>
      <w:r w:rsidRPr="00D86E00">
        <w:rPr>
          <w:i/>
        </w:rPr>
        <w:t>International</w:t>
      </w:r>
      <w:proofErr w:type="spellEnd"/>
      <w:r w:rsidRPr="00D86E00">
        <w:rPr>
          <w:i/>
        </w:rPr>
        <w:t xml:space="preserve"> Management, 8</w:t>
      </w:r>
      <w:r>
        <w:t xml:space="preserve">(1), 3-19. </w:t>
      </w:r>
    </w:p>
    <w:p w:rsidR="00D86E00" w:rsidRDefault="00D86E00" w:rsidP="00D86E00">
      <w:proofErr w:type="spellStart"/>
      <w:r w:rsidRPr="00D86E00">
        <w:t>Judge</w:t>
      </w:r>
      <w:proofErr w:type="spellEnd"/>
      <w:r w:rsidRPr="00D86E00">
        <w:t xml:space="preserve">, T. A., &amp; </w:t>
      </w:r>
      <w:proofErr w:type="spellStart"/>
      <w:r w:rsidRPr="00D86E00">
        <w:t>Piccolo</w:t>
      </w:r>
      <w:proofErr w:type="spellEnd"/>
      <w:r w:rsidRPr="00D86E00">
        <w:t xml:space="preserve">, R. F. (2004). </w:t>
      </w:r>
      <w:proofErr w:type="spellStart"/>
      <w:r w:rsidRPr="00D86E00">
        <w:t>Transformational</w:t>
      </w:r>
      <w:proofErr w:type="spellEnd"/>
      <w:r w:rsidRPr="00D86E00">
        <w:t xml:space="preserve"> </w:t>
      </w:r>
      <w:proofErr w:type="spellStart"/>
      <w:r w:rsidRPr="00D86E00">
        <w:t>and</w:t>
      </w:r>
      <w:proofErr w:type="spellEnd"/>
      <w:r w:rsidRPr="00D86E00">
        <w:t xml:space="preserve"> </w:t>
      </w:r>
      <w:proofErr w:type="spellStart"/>
      <w:r w:rsidRPr="00D86E00">
        <w:t>Transactional</w:t>
      </w:r>
      <w:proofErr w:type="spellEnd"/>
      <w:r w:rsidRPr="00D86E00">
        <w:t xml:space="preserve"> Leadership: A Meta-</w:t>
      </w:r>
      <w:proofErr w:type="spellStart"/>
      <w:r w:rsidRPr="00D86E00">
        <w:t>Analytic</w:t>
      </w:r>
      <w:proofErr w:type="spellEnd"/>
      <w:r w:rsidRPr="00D86E00">
        <w:t xml:space="preserve"> Test </w:t>
      </w:r>
      <w:proofErr w:type="spellStart"/>
      <w:r w:rsidRPr="00D86E00">
        <w:t>of</w:t>
      </w:r>
      <w:proofErr w:type="spellEnd"/>
      <w:r w:rsidRPr="00D86E00">
        <w:t xml:space="preserve"> </w:t>
      </w:r>
      <w:proofErr w:type="spellStart"/>
      <w:r w:rsidRPr="00D86E00">
        <w:t>Their</w:t>
      </w:r>
      <w:proofErr w:type="spellEnd"/>
      <w:r w:rsidRPr="00D86E00">
        <w:t xml:space="preserve"> </w:t>
      </w:r>
      <w:proofErr w:type="spellStart"/>
      <w:r w:rsidRPr="00D86E00">
        <w:t>Relative</w:t>
      </w:r>
      <w:proofErr w:type="spellEnd"/>
      <w:r w:rsidRPr="00D86E00">
        <w:t xml:space="preserve"> Validity. </w:t>
      </w:r>
      <w:proofErr w:type="spellStart"/>
      <w:r w:rsidRPr="00D86E00">
        <w:rPr>
          <w:i/>
        </w:rPr>
        <w:t>Journal</w:t>
      </w:r>
      <w:proofErr w:type="spellEnd"/>
      <w:r w:rsidRPr="00D86E00">
        <w:rPr>
          <w:i/>
        </w:rPr>
        <w:t xml:space="preserve"> </w:t>
      </w:r>
      <w:proofErr w:type="spellStart"/>
      <w:r w:rsidRPr="00D86E00">
        <w:rPr>
          <w:i/>
        </w:rPr>
        <w:t>Of</w:t>
      </w:r>
      <w:proofErr w:type="spellEnd"/>
      <w:r w:rsidRPr="00D86E00">
        <w:rPr>
          <w:i/>
        </w:rPr>
        <w:t xml:space="preserve"> </w:t>
      </w:r>
      <w:proofErr w:type="spellStart"/>
      <w:r w:rsidRPr="00D86E00">
        <w:rPr>
          <w:i/>
        </w:rPr>
        <w:t>Applied</w:t>
      </w:r>
      <w:proofErr w:type="spellEnd"/>
      <w:r w:rsidRPr="00D86E00">
        <w:rPr>
          <w:i/>
        </w:rPr>
        <w:t xml:space="preserve"> Psychology, 89</w:t>
      </w:r>
      <w:r w:rsidRPr="00D86E00">
        <w:t xml:space="preserve">(5), 755-768. </w:t>
      </w:r>
      <w:r w:rsidR="00150B15">
        <w:t xml:space="preserve"> DOI: </w:t>
      </w:r>
      <w:r w:rsidR="00150B15" w:rsidRPr="00150B15">
        <w:t>10.1037/0021-9010.89.5.755</w:t>
      </w:r>
    </w:p>
    <w:p w:rsidR="00D86E00" w:rsidRDefault="00D86E00" w:rsidP="00D86E00">
      <w:r w:rsidRPr="00D86E00">
        <w:t xml:space="preserve">Keller, R. T. (2006). </w:t>
      </w:r>
      <w:proofErr w:type="spellStart"/>
      <w:r w:rsidRPr="00D86E00">
        <w:t>Transformational</w:t>
      </w:r>
      <w:proofErr w:type="spellEnd"/>
      <w:r w:rsidRPr="00D86E00">
        <w:t xml:space="preserve"> leadership, </w:t>
      </w:r>
      <w:proofErr w:type="spellStart"/>
      <w:r w:rsidRPr="00D86E00">
        <w:t>initiating</w:t>
      </w:r>
      <w:proofErr w:type="spellEnd"/>
      <w:r w:rsidRPr="00D86E00">
        <w:t xml:space="preserve"> </w:t>
      </w:r>
      <w:proofErr w:type="spellStart"/>
      <w:r w:rsidRPr="00D86E00">
        <w:t>structure</w:t>
      </w:r>
      <w:proofErr w:type="spellEnd"/>
      <w:r w:rsidRPr="00D86E00">
        <w:t xml:space="preserve">, </w:t>
      </w:r>
      <w:proofErr w:type="spellStart"/>
      <w:r w:rsidRPr="00D86E00">
        <w:t>and</w:t>
      </w:r>
      <w:proofErr w:type="spellEnd"/>
      <w:r w:rsidRPr="00D86E00">
        <w:t xml:space="preserve"> </w:t>
      </w:r>
      <w:proofErr w:type="spellStart"/>
      <w:r w:rsidRPr="00D86E00">
        <w:t>substitutes</w:t>
      </w:r>
      <w:proofErr w:type="spellEnd"/>
      <w:r w:rsidRPr="00D86E00">
        <w:t xml:space="preserve"> </w:t>
      </w:r>
      <w:proofErr w:type="spellStart"/>
      <w:r w:rsidRPr="00D86E00">
        <w:t>for</w:t>
      </w:r>
      <w:proofErr w:type="spellEnd"/>
      <w:r w:rsidRPr="00D86E00">
        <w:t xml:space="preserve"> leadership: A </w:t>
      </w:r>
      <w:proofErr w:type="spellStart"/>
      <w:r w:rsidRPr="00D86E00">
        <w:t>longitudinal</w:t>
      </w:r>
      <w:proofErr w:type="spellEnd"/>
      <w:r w:rsidRPr="00D86E00">
        <w:t xml:space="preserve"> study </w:t>
      </w:r>
      <w:proofErr w:type="spellStart"/>
      <w:r w:rsidRPr="00D86E00">
        <w:t>of</w:t>
      </w:r>
      <w:proofErr w:type="spellEnd"/>
      <w:r w:rsidRPr="00D86E00">
        <w:t xml:space="preserve"> </w:t>
      </w:r>
      <w:proofErr w:type="spellStart"/>
      <w:r w:rsidRPr="00D86E00">
        <w:t>research</w:t>
      </w:r>
      <w:proofErr w:type="spellEnd"/>
      <w:r w:rsidRPr="00D86E00">
        <w:t xml:space="preserve"> </w:t>
      </w:r>
      <w:proofErr w:type="spellStart"/>
      <w:r w:rsidRPr="00D86E00">
        <w:t>and</w:t>
      </w:r>
      <w:proofErr w:type="spellEnd"/>
      <w:r w:rsidRPr="00D86E00">
        <w:t xml:space="preserve"> development </w:t>
      </w:r>
      <w:proofErr w:type="spellStart"/>
      <w:r w:rsidRPr="00D86E00">
        <w:t>project</w:t>
      </w:r>
      <w:proofErr w:type="spellEnd"/>
      <w:r w:rsidRPr="00D86E00">
        <w:t xml:space="preserve"> team performance. </w:t>
      </w:r>
      <w:proofErr w:type="spellStart"/>
      <w:r w:rsidRPr="00D86E00">
        <w:rPr>
          <w:i/>
        </w:rPr>
        <w:t>Journal</w:t>
      </w:r>
      <w:proofErr w:type="spellEnd"/>
      <w:r w:rsidRPr="00D86E00">
        <w:rPr>
          <w:i/>
        </w:rPr>
        <w:t xml:space="preserve"> </w:t>
      </w:r>
      <w:proofErr w:type="spellStart"/>
      <w:r w:rsidRPr="00D86E00">
        <w:rPr>
          <w:i/>
        </w:rPr>
        <w:t>Of</w:t>
      </w:r>
      <w:proofErr w:type="spellEnd"/>
      <w:r w:rsidRPr="00D86E00">
        <w:rPr>
          <w:i/>
        </w:rPr>
        <w:t xml:space="preserve"> </w:t>
      </w:r>
      <w:proofErr w:type="spellStart"/>
      <w:r w:rsidRPr="00D86E00">
        <w:rPr>
          <w:i/>
        </w:rPr>
        <w:t>Applied</w:t>
      </w:r>
      <w:proofErr w:type="spellEnd"/>
      <w:r w:rsidRPr="00D86E00">
        <w:rPr>
          <w:i/>
        </w:rPr>
        <w:t xml:space="preserve"> Psychology, 91</w:t>
      </w:r>
      <w:r w:rsidRPr="00D86E00">
        <w:t xml:space="preserve">(1), 202-210. </w:t>
      </w:r>
      <w:r w:rsidR="00150B15">
        <w:t xml:space="preserve">DOI: </w:t>
      </w:r>
      <w:r w:rsidR="00150B15" w:rsidRPr="00150B15">
        <w:t>10.1037/0021-9010.91.1.202</w:t>
      </w:r>
    </w:p>
    <w:p w:rsidR="00150B15" w:rsidRPr="00150B15" w:rsidRDefault="00D86E00" w:rsidP="00150B15">
      <w:pPr>
        <w:spacing w:after="0"/>
      </w:pPr>
      <w:r w:rsidRPr="00150B15">
        <w:t>Procházka, J., Vaculík, M., Smutný, P</w:t>
      </w:r>
      <w:r w:rsidR="00150B15" w:rsidRPr="00150B15">
        <w:t>. (2014). Vztah efektivity leadera, transakčního a</w:t>
      </w:r>
    </w:p>
    <w:p w:rsidR="00150B15" w:rsidRPr="00150B15" w:rsidRDefault="00150B15" w:rsidP="00150B15">
      <w:pPr>
        <w:spacing w:after="0"/>
      </w:pPr>
      <w:r w:rsidRPr="00150B15">
        <w:t>transformačního leadershipu: Jak působí posilující efekt?</w:t>
      </w:r>
      <w:r w:rsidRPr="00150B15">
        <w:rPr>
          <w:i/>
        </w:rPr>
        <w:t xml:space="preserve"> Psychologie pro praxi, 19</w:t>
      </w:r>
      <w:r w:rsidRPr="00150B15">
        <w:t>(3-4),</w:t>
      </w:r>
    </w:p>
    <w:p w:rsidR="00D86E00" w:rsidRPr="00150B15" w:rsidRDefault="00150B15" w:rsidP="00150B15">
      <w:pPr>
        <w:spacing w:after="0"/>
      </w:pPr>
      <w:r w:rsidRPr="00150B15">
        <w:t>ISSN 1803-8670</w:t>
      </w:r>
      <w:r>
        <w:t>.</w:t>
      </w:r>
    </w:p>
    <w:sectPr w:rsidR="00D86E00" w:rsidRPr="00150B15" w:rsidSect="00D15255">
      <w:footerReference w:type="default" r:id="rId9"/>
      <w:pgSz w:w="11906" w:h="16838"/>
      <w:pgMar w:top="1134" w:right="1416" w:bottom="1134"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or" w:initials="A">
    <w:p w:rsidR="0029045B" w:rsidRDefault="0029045B">
      <w:pPr>
        <w:pStyle w:val="Textkomente"/>
      </w:pPr>
      <w:r>
        <w:rPr>
          <w:rStyle w:val="Odkaznakoment"/>
        </w:rPr>
        <w:annotationRef/>
      </w:r>
      <w:r>
        <w:t xml:space="preserve">pokud se jedná o sekundární citaci, měl by být nejprve uveden rok vydání primárního zdroje a až pak sekundární zdroj. </w:t>
      </w:r>
      <w:proofErr w:type="gramStart"/>
      <w:r>
        <w:t>zde</w:t>
      </w:r>
      <w:proofErr w:type="gramEnd"/>
      <w:r>
        <w:t xml:space="preserve"> tedy chybí jeden letopočet).</w:t>
      </w:r>
    </w:p>
  </w:comment>
  <w:comment w:id="1" w:author="Autor" w:initials="A">
    <w:p w:rsidR="0029045B" w:rsidRDefault="0029045B">
      <w:pPr>
        <w:pStyle w:val="Textkomente"/>
      </w:pPr>
      <w:r>
        <w:rPr>
          <w:rStyle w:val="Odkaznakoment"/>
        </w:rPr>
        <w:annotationRef/>
      </w:r>
      <w:r>
        <w:t>dtto</w:t>
      </w:r>
    </w:p>
  </w:comment>
  <w:comment w:id="3" w:author="Autor" w:initials="A">
    <w:p w:rsidR="0029045B" w:rsidRDefault="0029045B">
      <w:pPr>
        <w:pStyle w:val="Textkomente"/>
      </w:pPr>
      <w:r>
        <w:rPr>
          <w:rStyle w:val="Odkaznakoment"/>
        </w:rPr>
        <w:annotationRef/>
      </w:r>
      <w:r>
        <w:t>Ok, to je korektní odpověď.</w:t>
      </w:r>
    </w:p>
  </w:comment>
  <w:comment w:id="4" w:author="Autor" w:initials="A">
    <w:p w:rsidR="0029045B" w:rsidRDefault="0029045B">
      <w:pPr>
        <w:pStyle w:val="Textkomente"/>
      </w:pPr>
      <w:r>
        <w:rPr>
          <w:rStyle w:val="Odkaznakoment"/>
        </w:rPr>
        <w:annotationRef/>
      </w:r>
      <w:r>
        <w:t>0,37 není silný vztah</w:t>
      </w:r>
    </w:p>
  </w:comment>
  <w:comment w:id="5" w:author="Autor" w:initials="A">
    <w:p w:rsidR="0029045B" w:rsidRDefault="0029045B">
      <w:pPr>
        <w:pStyle w:val="Textkomente"/>
      </w:pPr>
      <w:r>
        <w:rPr>
          <w:rStyle w:val="Odkaznakoment"/>
        </w:rPr>
        <w:annotationRef/>
      </w:r>
      <w:r>
        <w:t>Tady nepopisuješ podmínky efektivity, ale jednotlivé součásti TFL.</w:t>
      </w:r>
    </w:p>
    <w:p w:rsidR="0029045B" w:rsidRDefault="0029045B">
      <w:pPr>
        <w:pStyle w:val="Textkomente"/>
      </w:pPr>
    </w:p>
  </w:comment>
  <w:comment w:id="6" w:author="Autor" w:initials="A">
    <w:p w:rsidR="0029045B" w:rsidRDefault="0029045B">
      <w:pPr>
        <w:pStyle w:val="Textkomente"/>
      </w:pPr>
      <w:r>
        <w:rPr>
          <w:rStyle w:val="Odkaznakoment"/>
        </w:rPr>
        <w:annotationRef/>
      </w:r>
      <w:r>
        <w:t>Opět zde definuješ transakční leadership místo uvedení podmínek jeho efektivity.</w:t>
      </w:r>
    </w:p>
    <w:p w:rsidR="0029045B" w:rsidRDefault="0029045B">
      <w:pPr>
        <w:pStyle w:val="Textkomente"/>
      </w:pPr>
    </w:p>
    <w:p w:rsidR="0029045B" w:rsidRDefault="0029045B">
      <w:pPr>
        <w:pStyle w:val="Textkomente"/>
      </w:pPr>
      <w:r>
        <w:t xml:space="preserve">Je </w:t>
      </w:r>
      <w:proofErr w:type="gramStart"/>
      <w:r>
        <w:t>to jako</w:t>
      </w:r>
      <w:proofErr w:type="gramEnd"/>
      <w:r>
        <w:t xml:space="preserve"> bych položil otázku: „Jaké jsou podmínky pro úspěšný výcvik psa“ a dostal odpověď, že „pes je savec živící se masem a jeho výcvik slouží k tomu, aby byl poslušný.“</w:t>
      </w:r>
    </w:p>
  </w:comment>
  <w:comment w:id="7" w:author="Autor" w:initials="A">
    <w:p w:rsidR="0029045B" w:rsidRDefault="0029045B">
      <w:pPr>
        <w:pStyle w:val="Textkomente"/>
      </w:pPr>
      <w:r>
        <w:rPr>
          <w:rStyle w:val="Odkaznakoment"/>
        </w:rPr>
        <w:annotationRef/>
      </w:r>
      <w:r>
        <w:t>Zde už píšeš o podmínce, nicméně informace o takové podmínce není moc užitečná. Je zřejmé, že pokud se leader nechová transakčně, nemůže jeho transakční leadership působit na efektivitu.</w:t>
      </w:r>
    </w:p>
    <w:p w:rsidR="0029045B" w:rsidRDefault="0029045B">
      <w:pPr>
        <w:pStyle w:val="Textkomente"/>
      </w:pPr>
    </w:p>
    <w:p w:rsidR="0029045B" w:rsidRDefault="0029045B">
      <w:pPr>
        <w:pStyle w:val="Textkomente"/>
      </w:pPr>
      <w:r>
        <w:t>Je to jako bych se zeptal, co je podmínkou pro to, aby to, že běhám, působilo pozitivně na mé zdraví. A dostal bych odpověď, že podmínkou je, že musím běhat.</w:t>
      </w:r>
    </w:p>
  </w:comment>
  <w:comment w:id="8" w:author="Autor" w:initials="A">
    <w:p w:rsidR="00B72B38" w:rsidRDefault="00B72B38">
      <w:pPr>
        <w:pStyle w:val="Textkomente"/>
      </w:pPr>
      <w:r>
        <w:rPr>
          <w:rStyle w:val="Odkaznakoment"/>
        </w:rPr>
        <w:annotationRef/>
      </w:r>
      <w:r>
        <w:t>To není vhodný příklad transakčního leadershipu. TAL spočívá v jasném nastavení očekávání.</w:t>
      </w:r>
    </w:p>
  </w:comment>
  <w:comment w:id="9" w:author="Autor" w:initials="A">
    <w:p w:rsidR="00B72B38" w:rsidRDefault="00B72B38">
      <w:pPr>
        <w:pStyle w:val="Textkomente"/>
      </w:pPr>
      <w:r>
        <w:rPr>
          <w:rStyle w:val="Odkaznakoment"/>
        </w:rPr>
        <w:annotationRef/>
      </w:r>
      <w:r>
        <w:t>Nejednalo se tedy o transakční vedoucí, ale patrně spíše o laissez-faire vedoucí.</w:t>
      </w:r>
    </w:p>
  </w:comment>
  <w:comment w:id="10" w:author="Autor" w:initials="A">
    <w:p w:rsidR="00B72B38" w:rsidRDefault="00B72B38">
      <w:pPr>
        <w:pStyle w:val="Textkomente"/>
      </w:pPr>
      <w:r>
        <w:rPr>
          <w:rStyle w:val="Odkaznakoment"/>
        </w:rPr>
        <w:annotationRef/>
      </w:r>
      <w:r>
        <w:t>Ano, toto je vhodný příklad.</w:t>
      </w:r>
    </w:p>
  </w:comment>
  <w:comment w:id="11" w:author="Autor" w:initials="A">
    <w:p w:rsidR="00B72B38" w:rsidRDefault="00B72B38">
      <w:pPr>
        <w:pStyle w:val="Textkomente"/>
      </w:pPr>
      <w:r>
        <w:rPr>
          <w:rStyle w:val="Odkaznakoment"/>
        </w:rPr>
        <w:annotationRef/>
      </w:r>
      <w:r>
        <w:t>Text je srozumitelný a opírá se o kvalitní zdroje. Odpověď na první dvě otázky je trefná.</w:t>
      </w:r>
    </w:p>
    <w:p w:rsidR="00B72B38" w:rsidRDefault="00B72B38">
      <w:pPr>
        <w:pStyle w:val="Textkomente"/>
      </w:pPr>
      <w:r>
        <w:t>Odpověď na třetí otázku nedává mnoho informací o relevantních podmínkách pro působení TAL a TFL a příklad u čtvrté otázky mě vede k úvaze, zda jste správně pochopila rozdíl mezi TAL a L-F leadershipem.</w:t>
      </w:r>
    </w:p>
    <w:p w:rsidR="00B72B38" w:rsidRDefault="00B72B38">
      <w:pPr>
        <w:pStyle w:val="Textkomente"/>
      </w:pPr>
      <w:r>
        <w:t xml:space="preserve">Pozor na správné sekundární </w:t>
      </w:r>
      <w:r>
        <w:t>citace.</w:t>
      </w:r>
    </w:p>
    <w:p w:rsidR="00B72B38" w:rsidRDefault="00B72B38">
      <w:pPr>
        <w:pStyle w:val="Textkomente"/>
      </w:pPr>
    </w:p>
    <w:p w:rsidR="00B72B38" w:rsidRDefault="00B72B38">
      <w:pPr>
        <w:pStyle w:val="Textkomente"/>
      </w:pPr>
      <w:r>
        <w:t>Hodnocení: 5 bodů</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ACB" w:rsidRDefault="00502ACB" w:rsidP="009B72D4">
      <w:pPr>
        <w:spacing w:after="0" w:line="240" w:lineRule="auto"/>
      </w:pPr>
      <w:r>
        <w:separator/>
      </w:r>
    </w:p>
  </w:endnote>
  <w:endnote w:type="continuationSeparator" w:id="0">
    <w:p w:rsidR="00502ACB" w:rsidRDefault="00502ACB" w:rsidP="009B7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609554"/>
      <w:docPartObj>
        <w:docPartGallery w:val="Page Numbers (Bottom of Page)"/>
        <w:docPartUnique/>
      </w:docPartObj>
    </w:sdtPr>
    <w:sdtEndPr>
      <w:rPr>
        <w:sz w:val="18"/>
      </w:rPr>
    </w:sdtEndPr>
    <w:sdtContent>
      <w:p w:rsidR="00637F50" w:rsidRPr="007814F6" w:rsidRDefault="00722E88">
        <w:pPr>
          <w:pStyle w:val="Zpat"/>
          <w:jc w:val="right"/>
          <w:rPr>
            <w:sz w:val="18"/>
          </w:rPr>
        </w:pPr>
        <w:r w:rsidRPr="007814F6">
          <w:rPr>
            <w:sz w:val="18"/>
          </w:rPr>
          <w:fldChar w:fldCharType="begin"/>
        </w:r>
        <w:r w:rsidR="00637F50" w:rsidRPr="007814F6">
          <w:rPr>
            <w:sz w:val="18"/>
          </w:rPr>
          <w:instrText>PAGE   \* MERGEFORMAT</w:instrText>
        </w:r>
        <w:r w:rsidRPr="007814F6">
          <w:rPr>
            <w:sz w:val="18"/>
          </w:rPr>
          <w:fldChar w:fldCharType="separate"/>
        </w:r>
        <w:r w:rsidR="00B72B38">
          <w:rPr>
            <w:noProof/>
            <w:sz w:val="18"/>
          </w:rPr>
          <w:t>2</w:t>
        </w:r>
        <w:r w:rsidRPr="007814F6">
          <w:rPr>
            <w:sz w:val="18"/>
          </w:rPr>
          <w:fldChar w:fldCharType="end"/>
        </w:r>
      </w:p>
    </w:sdtContent>
  </w:sdt>
  <w:p w:rsidR="00637F50" w:rsidRDefault="00637F5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ACB" w:rsidRDefault="00502ACB" w:rsidP="009B72D4">
      <w:pPr>
        <w:spacing w:after="0" w:line="240" w:lineRule="auto"/>
      </w:pPr>
      <w:r>
        <w:separator/>
      </w:r>
    </w:p>
  </w:footnote>
  <w:footnote w:type="continuationSeparator" w:id="0">
    <w:p w:rsidR="00502ACB" w:rsidRDefault="00502ACB" w:rsidP="009B72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40E34"/>
    <w:multiLevelType w:val="hybridMultilevel"/>
    <w:tmpl w:val="34AAE1BC"/>
    <w:lvl w:ilvl="0" w:tplc="5CC8BEE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A3345"/>
    <w:rsid w:val="000A7215"/>
    <w:rsid w:val="000E0FEA"/>
    <w:rsid w:val="00150B15"/>
    <w:rsid w:val="0024134F"/>
    <w:rsid w:val="0029045B"/>
    <w:rsid w:val="00326F3F"/>
    <w:rsid w:val="0033528C"/>
    <w:rsid w:val="0034451E"/>
    <w:rsid w:val="003675E7"/>
    <w:rsid w:val="003A3345"/>
    <w:rsid w:val="00400E3A"/>
    <w:rsid w:val="004139B1"/>
    <w:rsid w:val="00422CD4"/>
    <w:rsid w:val="00456D0F"/>
    <w:rsid w:val="00474564"/>
    <w:rsid w:val="00502ACB"/>
    <w:rsid w:val="00543833"/>
    <w:rsid w:val="00637F50"/>
    <w:rsid w:val="006859E0"/>
    <w:rsid w:val="006B7384"/>
    <w:rsid w:val="00722E88"/>
    <w:rsid w:val="007814F6"/>
    <w:rsid w:val="00785B58"/>
    <w:rsid w:val="0081115E"/>
    <w:rsid w:val="008814D1"/>
    <w:rsid w:val="008A7C7B"/>
    <w:rsid w:val="00957AFD"/>
    <w:rsid w:val="0096327D"/>
    <w:rsid w:val="00977D1E"/>
    <w:rsid w:val="009B72D4"/>
    <w:rsid w:val="00A35E97"/>
    <w:rsid w:val="00AC11B8"/>
    <w:rsid w:val="00AC4E4E"/>
    <w:rsid w:val="00AD4CAC"/>
    <w:rsid w:val="00AE6ED1"/>
    <w:rsid w:val="00B3358C"/>
    <w:rsid w:val="00B356EC"/>
    <w:rsid w:val="00B4139C"/>
    <w:rsid w:val="00B72B38"/>
    <w:rsid w:val="00B746AF"/>
    <w:rsid w:val="00C52A6F"/>
    <w:rsid w:val="00C92221"/>
    <w:rsid w:val="00D15255"/>
    <w:rsid w:val="00D86E00"/>
    <w:rsid w:val="00DB2D0B"/>
    <w:rsid w:val="00DD75FD"/>
    <w:rsid w:val="00E756EA"/>
    <w:rsid w:val="00E839F6"/>
    <w:rsid w:val="00EF5947"/>
    <w:rsid w:val="00F2021A"/>
    <w:rsid w:val="00F34792"/>
    <w:rsid w:val="00F41355"/>
    <w:rsid w:val="00F53C2F"/>
    <w:rsid w:val="00FA5EAF"/>
    <w:rsid w:val="00FB59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139C"/>
    <w:rPr>
      <w:rFonts w:ascii="Cambria" w:hAnsi="Cambria"/>
    </w:rPr>
  </w:style>
  <w:style w:type="paragraph" w:styleId="Nadpis1">
    <w:name w:val="heading 1"/>
    <w:basedOn w:val="Normln"/>
    <w:next w:val="Normln"/>
    <w:link w:val="Nadpis1Char"/>
    <w:uiPriority w:val="9"/>
    <w:qFormat/>
    <w:rsid w:val="003675E7"/>
    <w:pPr>
      <w:keepNext/>
      <w:keepLines/>
      <w:spacing w:before="240" w:after="0"/>
      <w:outlineLvl w:val="0"/>
    </w:pPr>
    <w:rPr>
      <w:rFonts w:asciiTheme="minorHAnsi" w:eastAsiaTheme="majorEastAsia" w:hAnsiTheme="minorHAnsi" w:cstheme="majorBidi"/>
      <w:b/>
      <w:sz w:val="28"/>
      <w:szCs w:val="32"/>
    </w:rPr>
  </w:style>
  <w:style w:type="paragraph" w:styleId="Nadpis2">
    <w:name w:val="heading 2"/>
    <w:basedOn w:val="Normln"/>
    <w:next w:val="Normln"/>
    <w:link w:val="Nadpis2Char"/>
    <w:uiPriority w:val="9"/>
    <w:unhideWhenUsed/>
    <w:qFormat/>
    <w:rsid w:val="003675E7"/>
    <w:pPr>
      <w:keepNext/>
      <w:keepLines/>
      <w:spacing w:before="40" w:after="0"/>
      <w:outlineLvl w:val="1"/>
    </w:pPr>
    <w:rPr>
      <w:rFonts w:asciiTheme="minorHAnsi" w:eastAsiaTheme="majorEastAsia" w:hAnsiTheme="minorHAnsi" w:cstheme="majorBidi"/>
      <w:b/>
      <w:sz w:val="24"/>
      <w:szCs w:val="26"/>
    </w:rPr>
  </w:style>
  <w:style w:type="paragraph" w:styleId="Nadpis3">
    <w:name w:val="heading 3"/>
    <w:basedOn w:val="Normln"/>
    <w:next w:val="Normln"/>
    <w:link w:val="Nadpis3Char"/>
    <w:uiPriority w:val="9"/>
    <w:unhideWhenUsed/>
    <w:qFormat/>
    <w:rsid w:val="003675E7"/>
    <w:pPr>
      <w:keepNext/>
      <w:keepLines/>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3675E7"/>
    <w:pPr>
      <w:keepNext/>
      <w:keepLines/>
      <w:spacing w:before="40" w:after="0"/>
      <w:outlineLvl w:val="3"/>
    </w:pPr>
    <w:rPr>
      <w:rFonts w:eastAsiaTheme="majorEastAsia"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85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F2021A"/>
    <w:rPr>
      <w:color w:val="808080"/>
    </w:rPr>
  </w:style>
  <w:style w:type="character" w:customStyle="1" w:styleId="Nadpis1Char">
    <w:name w:val="Nadpis 1 Char"/>
    <w:basedOn w:val="Standardnpsmoodstavce"/>
    <w:link w:val="Nadpis1"/>
    <w:uiPriority w:val="9"/>
    <w:rsid w:val="003675E7"/>
    <w:rPr>
      <w:rFonts w:eastAsiaTheme="majorEastAsia" w:cstheme="majorBidi"/>
      <w:b/>
      <w:sz w:val="28"/>
      <w:szCs w:val="32"/>
    </w:rPr>
  </w:style>
  <w:style w:type="character" w:customStyle="1" w:styleId="Nadpis2Char">
    <w:name w:val="Nadpis 2 Char"/>
    <w:basedOn w:val="Standardnpsmoodstavce"/>
    <w:link w:val="Nadpis2"/>
    <w:uiPriority w:val="9"/>
    <w:rsid w:val="003675E7"/>
    <w:rPr>
      <w:rFonts w:eastAsiaTheme="majorEastAsia" w:cstheme="majorBidi"/>
      <w:b/>
      <w:sz w:val="24"/>
      <w:szCs w:val="26"/>
    </w:rPr>
  </w:style>
  <w:style w:type="character" w:customStyle="1" w:styleId="Nadpis3Char">
    <w:name w:val="Nadpis 3 Char"/>
    <w:basedOn w:val="Standardnpsmoodstavce"/>
    <w:link w:val="Nadpis3"/>
    <w:uiPriority w:val="9"/>
    <w:rsid w:val="003675E7"/>
    <w:rPr>
      <w:rFonts w:ascii="Garamond" w:eastAsiaTheme="majorEastAsia" w:hAnsi="Garamond" w:cstheme="majorBidi"/>
      <w:b/>
      <w:szCs w:val="24"/>
    </w:rPr>
  </w:style>
  <w:style w:type="character" w:customStyle="1" w:styleId="Nadpis4Char">
    <w:name w:val="Nadpis 4 Char"/>
    <w:basedOn w:val="Standardnpsmoodstavce"/>
    <w:link w:val="Nadpis4"/>
    <w:uiPriority w:val="9"/>
    <w:rsid w:val="003675E7"/>
    <w:rPr>
      <w:rFonts w:ascii="Garamond" w:eastAsiaTheme="majorEastAsia" w:hAnsi="Garamond" w:cstheme="majorBidi"/>
      <w:i/>
      <w:iCs/>
    </w:rPr>
  </w:style>
  <w:style w:type="paragraph" w:styleId="Textpoznpodarou">
    <w:name w:val="footnote text"/>
    <w:basedOn w:val="Normln"/>
    <w:link w:val="TextpoznpodarouChar"/>
    <w:uiPriority w:val="99"/>
    <w:semiHidden/>
    <w:unhideWhenUsed/>
    <w:rsid w:val="009B72D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B72D4"/>
    <w:rPr>
      <w:rFonts w:ascii="Garamond" w:hAnsi="Garamond"/>
      <w:sz w:val="20"/>
      <w:szCs w:val="20"/>
    </w:rPr>
  </w:style>
  <w:style w:type="character" w:styleId="Znakapoznpodarou">
    <w:name w:val="footnote reference"/>
    <w:basedOn w:val="Standardnpsmoodstavce"/>
    <w:uiPriority w:val="99"/>
    <w:semiHidden/>
    <w:unhideWhenUsed/>
    <w:rsid w:val="009B72D4"/>
    <w:rPr>
      <w:vertAlign w:val="superscript"/>
    </w:rPr>
  </w:style>
  <w:style w:type="paragraph" w:styleId="Zhlav">
    <w:name w:val="header"/>
    <w:basedOn w:val="Normln"/>
    <w:link w:val="ZhlavChar"/>
    <w:uiPriority w:val="99"/>
    <w:unhideWhenUsed/>
    <w:rsid w:val="003A33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3345"/>
    <w:rPr>
      <w:rFonts w:ascii="Cambria" w:hAnsi="Cambria"/>
    </w:rPr>
  </w:style>
  <w:style w:type="paragraph" w:styleId="Zpat">
    <w:name w:val="footer"/>
    <w:basedOn w:val="Normln"/>
    <w:link w:val="ZpatChar"/>
    <w:uiPriority w:val="99"/>
    <w:unhideWhenUsed/>
    <w:rsid w:val="003A3345"/>
    <w:pPr>
      <w:tabs>
        <w:tab w:val="center" w:pos="4536"/>
        <w:tab w:val="right" w:pos="9072"/>
      </w:tabs>
      <w:spacing w:after="0" w:line="240" w:lineRule="auto"/>
    </w:pPr>
  </w:style>
  <w:style w:type="character" w:customStyle="1" w:styleId="ZpatChar">
    <w:name w:val="Zápatí Char"/>
    <w:basedOn w:val="Standardnpsmoodstavce"/>
    <w:link w:val="Zpat"/>
    <w:uiPriority w:val="99"/>
    <w:rsid w:val="003A3345"/>
    <w:rPr>
      <w:rFonts w:ascii="Cambria" w:hAnsi="Cambria"/>
    </w:rPr>
  </w:style>
  <w:style w:type="character" w:styleId="Odkaznakoment">
    <w:name w:val="annotation reference"/>
    <w:basedOn w:val="Standardnpsmoodstavce"/>
    <w:uiPriority w:val="99"/>
    <w:semiHidden/>
    <w:unhideWhenUsed/>
    <w:rsid w:val="00E839F6"/>
    <w:rPr>
      <w:sz w:val="16"/>
      <w:szCs w:val="16"/>
    </w:rPr>
  </w:style>
  <w:style w:type="paragraph" w:styleId="Textkomente">
    <w:name w:val="annotation text"/>
    <w:basedOn w:val="Normln"/>
    <w:link w:val="TextkomenteChar"/>
    <w:uiPriority w:val="99"/>
    <w:semiHidden/>
    <w:unhideWhenUsed/>
    <w:rsid w:val="00E839F6"/>
    <w:pPr>
      <w:spacing w:line="240" w:lineRule="auto"/>
    </w:pPr>
    <w:rPr>
      <w:sz w:val="20"/>
      <w:szCs w:val="20"/>
    </w:rPr>
  </w:style>
  <w:style w:type="character" w:customStyle="1" w:styleId="TextkomenteChar">
    <w:name w:val="Text komentáře Char"/>
    <w:basedOn w:val="Standardnpsmoodstavce"/>
    <w:link w:val="Textkomente"/>
    <w:uiPriority w:val="99"/>
    <w:semiHidden/>
    <w:rsid w:val="00E839F6"/>
    <w:rPr>
      <w:rFonts w:ascii="Cambria" w:hAnsi="Cambria"/>
      <w:sz w:val="20"/>
      <w:szCs w:val="20"/>
    </w:rPr>
  </w:style>
  <w:style w:type="paragraph" w:styleId="Pedmtkomente">
    <w:name w:val="annotation subject"/>
    <w:basedOn w:val="Textkomente"/>
    <w:next w:val="Textkomente"/>
    <w:link w:val="PedmtkomenteChar"/>
    <w:uiPriority w:val="99"/>
    <w:semiHidden/>
    <w:unhideWhenUsed/>
    <w:rsid w:val="00E839F6"/>
    <w:rPr>
      <w:b/>
      <w:bCs/>
    </w:rPr>
  </w:style>
  <w:style w:type="character" w:customStyle="1" w:styleId="PedmtkomenteChar">
    <w:name w:val="Předmět komentáře Char"/>
    <w:basedOn w:val="TextkomenteChar"/>
    <w:link w:val="Pedmtkomente"/>
    <w:uiPriority w:val="99"/>
    <w:semiHidden/>
    <w:rsid w:val="00E839F6"/>
    <w:rPr>
      <w:rFonts w:ascii="Cambria" w:hAnsi="Cambria"/>
      <w:b/>
      <w:bCs/>
      <w:sz w:val="20"/>
      <w:szCs w:val="20"/>
    </w:rPr>
  </w:style>
  <w:style w:type="paragraph" w:styleId="Textbubliny">
    <w:name w:val="Balloon Text"/>
    <w:basedOn w:val="Normln"/>
    <w:link w:val="TextbublinyChar"/>
    <w:uiPriority w:val="99"/>
    <w:semiHidden/>
    <w:unhideWhenUsed/>
    <w:rsid w:val="00E839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39F6"/>
    <w:rPr>
      <w:rFonts w:ascii="Segoe UI" w:hAnsi="Segoe UI" w:cs="Segoe UI"/>
      <w:sz w:val="18"/>
      <w:szCs w:val="18"/>
    </w:rPr>
  </w:style>
  <w:style w:type="paragraph" w:styleId="Odstavecseseznamem">
    <w:name w:val="List Paragraph"/>
    <w:basedOn w:val="Normln"/>
    <w:uiPriority w:val="34"/>
    <w:qFormat/>
    <w:rsid w:val="00FB5931"/>
    <w:pPr>
      <w:ind w:left="720"/>
      <w:contextualSpacing/>
    </w:pPr>
  </w:style>
</w:styles>
</file>

<file path=word/webSettings.xml><?xml version="1.0" encoding="utf-8"?>
<w:webSettings xmlns:r="http://schemas.openxmlformats.org/officeDocument/2006/relationships" xmlns:w="http://schemas.openxmlformats.org/wordprocessingml/2006/main">
  <w:divs>
    <w:div w:id="241642512">
      <w:bodyDiv w:val="1"/>
      <w:marLeft w:val="0"/>
      <w:marRight w:val="0"/>
      <w:marTop w:val="0"/>
      <w:marBottom w:val="0"/>
      <w:divBdr>
        <w:top w:val="none" w:sz="0" w:space="0" w:color="auto"/>
        <w:left w:val="none" w:sz="0" w:space="0" w:color="auto"/>
        <w:bottom w:val="none" w:sz="0" w:space="0" w:color="auto"/>
        <w:right w:val="none" w:sz="0" w:space="0" w:color="auto"/>
      </w:divBdr>
      <w:divsChild>
        <w:div w:id="631786455">
          <w:marLeft w:val="0"/>
          <w:marRight w:val="0"/>
          <w:marTop w:val="30"/>
          <w:marBottom w:val="0"/>
          <w:divBdr>
            <w:top w:val="none" w:sz="0" w:space="0" w:color="auto"/>
            <w:left w:val="none" w:sz="0" w:space="0" w:color="auto"/>
            <w:bottom w:val="none" w:sz="0" w:space="0" w:color="auto"/>
            <w:right w:val="none" w:sz="0" w:space="0" w:color="auto"/>
          </w:divBdr>
        </w:div>
      </w:divsChild>
    </w:div>
    <w:div w:id="758603594">
      <w:bodyDiv w:val="1"/>
      <w:marLeft w:val="0"/>
      <w:marRight w:val="0"/>
      <w:marTop w:val="0"/>
      <w:marBottom w:val="0"/>
      <w:divBdr>
        <w:top w:val="none" w:sz="0" w:space="0" w:color="auto"/>
        <w:left w:val="none" w:sz="0" w:space="0" w:color="auto"/>
        <w:bottom w:val="none" w:sz="0" w:space="0" w:color="auto"/>
        <w:right w:val="none" w:sz="0" w:space="0" w:color="auto"/>
      </w:divBdr>
      <w:divsChild>
        <w:div w:id="1497107378">
          <w:marLeft w:val="0"/>
          <w:marRight w:val="0"/>
          <w:marTop w:val="30"/>
          <w:marBottom w:val="0"/>
          <w:divBdr>
            <w:top w:val="none" w:sz="0" w:space="0" w:color="auto"/>
            <w:left w:val="none" w:sz="0" w:space="0" w:color="auto"/>
            <w:bottom w:val="none" w:sz="0" w:space="0" w:color="auto"/>
            <w:right w:val="none" w:sz="0" w:space="0" w:color="auto"/>
          </w:divBdr>
        </w:div>
      </w:divsChild>
    </w:div>
    <w:div w:id="1694722782">
      <w:bodyDiv w:val="1"/>
      <w:marLeft w:val="0"/>
      <w:marRight w:val="0"/>
      <w:marTop w:val="0"/>
      <w:marBottom w:val="0"/>
      <w:divBdr>
        <w:top w:val="none" w:sz="0" w:space="0" w:color="auto"/>
        <w:left w:val="none" w:sz="0" w:space="0" w:color="auto"/>
        <w:bottom w:val="none" w:sz="0" w:space="0" w:color="auto"/>
        <w:right w:val="none" w:sz="0" w:space="0" w:color="auto"/>
      </w:divBdr>
    </w:div>
    <w:div w:id="183352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4049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2019-03-26T22:31:00Z</dcterms:created>
  <dcterms:modified xsi:type="dcterms:W3CDTF">2019-04-07T18:26:00Z</dcterms:modified>
</cp:coreProperties>
</file>