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2410"/>
        <w:gridCol w:w="1984"/>
        <w:gridCol w:w="2126"/>
        <w:gridCol w:w="709"/>
      </w:tblGrid>
      <w:tr w:rsidR="00C92221" w:rsidRPr="00DD75FD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3A3345" w:rsidRPr="00AC11B8" w:rsidRDefault="00DD75FD" w:rsidP="00E839F6">
            <w:pPr>
              <w:rPr>
                <w:noProof/>
              </w:rPr>
            </w:pPr>
            <w:r w:rsidRPr="00AC11B8">
              <w:rPr>
                <w:noProof/>
              </w:rPr>
              <w:t>Jméno a příjmení</w:t>
            </w:r>
            <w:r w:rsidR="00C92221" w:rsidRPr="00AC11B8">
              <w:rPr>
                <w:noProof/>
              </w:rPr>
              <w:t>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3A3345" w:rsidRPr="00AC11B8" w:rsidRDefault="00AB390E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Bc. Alžběta Sedláková</w:t>
            </w:r>
          </w:p>
        </w:tc>
      </w:tr>
      <w:tr w:rsidR="00C92221" w:rsidRPr="00DD75FD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DD75FD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DD75FD" w:rsidRPr="00AC11B8" w:rsidRDefault="00AB390E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397881</w:t>
            </w:r>
          </w:p>
        </w:tc>
      </w:tr>
      <w:tr w:rsidR="00C92221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C92221" w:rsidRPr="00AC11B8" w:rsidRDefault="00AB390E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Psychologie leadershipu, PSY525</w:t>
            </w:r>
          </w:p>
        </w:tc>
      </w:tr>
      <w:tr w:rsidR="00C92221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E839F6">
            <w:pPr>
              <w:ind w:left="164" w:hanging="164"/>
              <w:rPr>
                <w:noProof/>
              </w:rPr>
            </w:pPr>
            <w:r w:rsidRPr="00AC11B8">
              <w:rPr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C92221" w:rsidRPr="00AC11B8" w:rsidRDefault="00AB390E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Ing. Mgr. Jakub Procházka, Ph. D</w:t>
            </w:r>
          </w:p>
        </w:tc>
      </w:tr>
      <w:tr w:rsidR="00400E3A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  <w:r w:rsidRPr="00AC11B8">
              <w:rPr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:rsidR="00400E3A" w:rsidRPr="00AC11B8" w:rsidRDefault="00400E3A" w:rsidP="00E839F6">
            <w:pPr>
              <w:ind w:left="176"/>
              <w:rPr>
                <w:noProof/>
              </w:rPr>
            </w:pPr>
            <w:r w:rsidRPr="00AC11B8">
              <w:rPr>
                <w:noProof/>
              </w:rPr>
              <w:t>2</w:t>
            </w:r>
            <w:r w:rsidR="00AB390E">
              <w:rPr>
                <w:noProof/>
              </w:rPr>
              <w:t>5. 3</w:t>
            </w:r>
            <w:r w:rsidRPr="00AC11B8">
              <w:rPr>
                <w:noProof/>
              </w:rPr>
              <w:t>. 20</w:t>
            </w:r>
            <w:r w:rsidR="00FB5931">
              <w:rPr>
                <w:noProof/>
              </w:rPr>
              <w:t>1</w:t>
            </w:r>
            <w:r w:rsidR="00AB390E">
              <w:rPr>
                <w:noProof/>
              </w:rPr>
              <w:t>9</w:t>
            </w:r>
          </w:p>
        </w:tc>
        <w:tc>
          <w:tcPr>
            <w:tcW w:w="2126" w:type="dxa"/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</w:p>
        </w:tc>
        <w:tc>
          <w:tcPr>
            <w:tcW w:w="709" w:type="dxa"/>
            <w:vAlign w:val="center"/>
          </w:tcPr>
          <w:p w:rsidR="00400E3A" w:rsidRPr="00AC11B8" w:rsidRDefault="00400E3A" w:rsidP="00E839F6">
            <w:pPr>
              <w:rPr>
                <w:noProof/>
              </w:rPr>
            </w:pPr>
          </w:p>
        </w:tc>
      </w:tr>
      <w:tr w:rsidR="00400E3A" w:rsidTr="00AD4CAC">
        <w:trPr>
          <w:trHeight w:val="341"/>
          <w:jc w:val="center"/>
        </w:trPr>
        <w:tc>
          <w:tcPr>
            <w:tcW w:w="921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400E3A" w:rsidRDefault="00400E3A" w:rsidP="00E839F6">
            <w:pPr>
              <w:jc w:val="center"/>
              <w:rPr>
                <w:noProof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92221" w:rsidRPr="00FB5931" w:rsidRDefault="003A3345" w:rsidP="00FB5931">
      <w:pPr>
        <w:rPr>
          <w:b/>
          <w:noProof/>
          <w:sz w:val="26"/>
          <w:szCs w:val="26"/>
        </w:rPr>
      </w:pPr>
      <w:r w:rsidRPr="006859E0">
        <w:rPr>
          <w:noProof/>
          <w:lang w:eastAsia="cs-CZ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1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0E3A" w:rsidRPr="00400E3A">
        <w:rPr>
          <w:b/>
          <w:noProof/>
          <w:sz w:val="26"/>
          <w:szCs w:val="26"/>
        </w:rPr>
        <w:br/>
      </w:r>
      <w:r w:rsidR="00AC11B8">
        <w:rPr>
          <w:b/>
          <w:noProof/>
          <w:sz w:val="26"/>
          <w:szCs w:val="26"/>
        </w:rPr>
        <w:br/>
      </w:r>
      <w:r w:rsidR="00AB390E">
        <w:rPr>
          <w:b/>
          <w:noProof/>
          <w:sz w:val="26"/>
          <w:szCs w:val="26"/>
        </w:rPr>
        <w:t>Písemná příprava na diskuzi</w:t>
      </w:r>
    </w:p>
    <w:p w:rsidR="00AB390E" w:rsidRPr="00820C76" w:rsidRDefault="00AB390E" w:rsidP="00820C76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t xml:space="preserve">Ano, může. Ačkoliv </w:t>
      </w:r>
      <w:proofErr w:type="spellStart"/>
      <w:r>
        <w:t>Burns</w:t>
      </w:r>
      <w:proofErr w:type="spellEnd"/>
      <w:r>
        <w:t xml:space="preserve"> (</w:t>
      </w:r>
      <w:r w:rsidR="00567D70">
        <w:t>cit.</w:t>
      </w:r>
      <w:r>
        <w:t xml:space="preserve"> dle Procházka &amp; Vaculík, 2015) postavil teorii transakčního a transformačního vedení proti sobě jako protichůdné přístupy, neboť v prvním případě je vedení založeno na ekonomických zdrojích a v druhém zase na neekonomických zdrojích, Bass (</w:t>
      </w:r>
      <w:r w:rsidR="00567D70">
        <w:t>cit.</w:t>
      </w:r>
      <w:r>
        <w:t xml:space="preserve"> dle </w:t>
      </w:r>
      <w:proofErr w:type="gramStart"/>
      <w:r>
        <w:t>Procházka</w:t>
      </w:r>
      <w:proofErr w:type="gramEnd"/>
      <w:r>
        <w:t xml:space="preserve"> </w:t>
      </w:r>
      <w:r w:rsidRPr="00CE3CB1">
        <w:t>&amp;</w:t>
      </w:r>
      <w:r>
        <w:t xml:space="preserve"> Vaculík, 2015) nevnímá tyto přístupy jako vzájemně se vylučující, naopak říká, že se mohou doplňovat.</w:t>
      </w:r>
      <w:r w:rsidR="00812E47">
        <w:t xml:space="preserve"> Plný rozsah vedení, tak jak jej měří MLQ dotazník, implikuje, že každý leader vykazuje prvky obou způsobů vedení, ale s různou intenzitou (Bass, 1999).</w:t>
      </w:r>
      <w:r>
        <w:t xml:space="preserve"> „Leader tedy může zároveň uplatňovat jak transakční tak transformační přístup a transformační přístup může transakční přístup „posilovat“.“ (Procházka, Vaculík,</w:t>
      </w:r>
      <w:r w:rsidRPr="00CE3CB1">
        <w:t xml:space="preserve"> &amp;</w:t>
      </w:r>
      <w:r>
        <w:t xml:space="preserve"> Smutný, </w:t>
      </w:r>
      <w:commentRangeStart w:id="1"/>
      <w:r>
        <w:t>2014</w:t>
      </w:r>
      <w:commentRangeEnd w:id="1"/>
      <w:r w:rsidR="00CE3CB1">
        <w:rPr>
          <w:rStyle w:val="Odkaznakoment"/>
        </w:rPr>
        <w:commentReference w:id="1"/>
      </w:r>
      <w:r>
        <w:t>).</w:t>
      </w:r>
    </w:p>
    <w:p w:rsidR="00AB390E" w:rsidRPr="00820C76" w:rsidRDefault="00567D70" w:rsidP="00820C76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b/>
        </w:rPr>
      </w:pPr>
      <w:r>
        <w:t xml:space="preserve">Bass (1999) </w:t>
      </w:r>
      <w:r w:rsidR="00812E47">
        <w:t>tvrdí</w:t>
      </w:r>
      <w:r>
        <w:t xml:space="preserve">, že změny ve společnosti a na trhu nutí leadery, aby upouštěli od transakčního způsobu a stávali se více transformačními, pokud chtějí zůstat efektivní. </w:t>
      </w:r>
      <w:r w:rsidR="00AB390E">
        <w:t xml:space="preserve">Procházka et al. (2014) uvádí, že výsledky předchozích výzkumů naznačují, že transakční a transformační způsob vedení vysvětlují část rozptylu efektivity vedoucího společně, ale zároveň transformační vedení vysvětluje efektivitu nad rámec transakčního vedení. </w:t>
      </w:r>
      <w:commentRangeStart w:id="2"/>
      <w:r w:rsidR="00AB390E">
        <w:t xml:space="preserve">Z jejich (Procházka et al., 2014) analýzy ale vychází, že transakční a transformační vedení vysvětlují stejnou část rozptylu efektivity vedoucího, transformační vedení ovšem vysvětluje ještě část rozptylu navíc, zatímco transakční ne. </w:t>
      </w:r>
      <w:commentRangeEnd w:id="2"/>
      <w:r w:rsidR="00CE3CB1">
        <w:rPr>
          <w:rStyle w:val="Odkaznakoment"/>
        </w:rPr>
        <w:commentReference w:id="2"/>
      </w:r>
      <w:r w:rsidR="00AB390E">
        <w:t xml:space="preserve">Tedy transakční vedení je celé vysvětlitelné působením transformačního vedení. Procházka et al. (2014) to vysvětlují tím, že vedoucí, který dobře využívá transformační přístup, zároveň efektivně používá i prvky transakčního vedení, které jsou uvěřitelné a pozitivně akceptované, neboť má důvěru svých následovníků (díky morálnímu a konzistentnímu chování, které je součástí idealizovaného </w:t>
      </w:r>
      <w:commentRangeStart w:id="3"/>
      <w:r w:rsidR="00AB390E">
        <w:t>vlivu</w:t>
      </w:r>
      <w:commentRangeEnd w:id="3"/>
      <w:r w:rsidR="00CE3CB1">
        <w:rPr>
          <w:rStyle w:val="Odkaznakoment"/>
        </w:rPr>
        <w:commentReference w:id="3"/>
      </w:r>
      <w:r w:rsidR="00AB390E">
        <w:t>).</w:t>
      </w:r>
      <w:r w:rsidR="00594719">
        <w:t xml:space="preserve"> </w:t>
      </w:r>
    </w:p>
    <w:p w:rsidR="00AB390E" w:rsidRPr="00820C76" w:rsidRDefault="00AB390E" w:rsidP="00820C76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b/>
        </w:rPr>
      </w:pPr>
      <w:r>
        <w:t xml:space="preserve">Například podle </w:t>
      </w:r>
      <w:proofErr w:type="spellStart"/>
      <w:r>
        <w:t>Congera</w:t>
      </w:r>
      <w:proofErr w:type="spellEnd"/>
      <w:r>
        <w:t xml:space="preserve"> (</w:t>
      </w:r>
      <w:r w:rsidR="00567D70">
        <w:t>cit.</w:t>
      </w:r>
      <w:r>
        <w:t xml:space="preserve"> dle </w:t>
      </w:r>
      <w:proofErr w:type="gramStart"/>
      <w:r>
        <w:t>Procházka</w:t>
      </w:r>
      <w:proofErr w:type="gramEnd"/>
      <w:r>
        <w:t xml:space="preserve"> </w:t>
      </w:r>
      <w:r w:rsidRPr="00CE3CB1">
        <w:t>&amp;</w:t>
      </w:r>
      <w:r>
        <w:t xml:space="preserve"> Vaculík, 2015) je klíčovým faktorem u transformačního přístupu charisma leadera, důležitou podmínkou efektivity by pak tedy </w:t>
      </w:r>
      <w:commentRangeStart w:id="4"/>
      <w:r>
        <w:t>měl</w:t>
      </w:r>
      <w:r w:rsidR="00594719">
        <w:t>a být osobnost vedoucího</w:t>
      </w:r>
      <w:commentRangeEnd w:id="4"/>
      <w:r w:rsidR="00CE3CB1">
        <w:rPr>
          <w:rStyle w:val="Odkaznakoment"/>
        </w:rPr>
        <w:commentReference w:id="4"/>
      </w:r>
      <w:r w:rsidR="00594719">
        <w:t xml:space="preserve">. </w:t>
      </w:r>
      <w:proofErr w:type="spellStart"/>
      <w:r w:rsidR="00594719">
        <w:t>Judge</w:t>
      </w:r>
      <w:proofErr w:type="spellEnd"/>
      <w:r w:rsidR="00594719">
        <w:t xml:space="preserve">, </w:t>
      </w:r>
      <w:proofErr w:type="spellStart"/>
      <w:r w:rsidR="00594719">
        <w:t>Woolf</w:t>
      </w:r>
      <w:proofErr w:type="spellEnd"/>
      <w:r w:rsidR="00594719">
        <w:t xml:space="preserve">, </w:t>
      </w:r>
      <w:proofErr w:type="spellStart"/>
      <w:r w:rsidR="00594719">
        <w:t>Hurst</w:t>
      </w:r>
      <w:proofErr w:type="spellEnd"/>
      <w:r w:rsidR="00594719">
        <w:t xml:space="preserve"> a </w:t>
      </w:r>
      <w:proofErr w:type="spellStart"/>
      <w:r w:rsidR="00594719">
        <w:t>Livingston</w:t>
      </w:r>
      <w:proofErr w:type="spellEnd"/>
      <w:r>
        <w:t>(</w:t>
      </w:r>
      <w:r w:rsidR="00594719">
        <w:t>cit.</w:t>
      </w:r>
      <w:r>
        <w:t xml:space="preserve"> dle </w:t>
      </w:r>
      <w:proofErr w:type="gramStart"/>
      <w:r>
        <w:t>Procházka</w:t>
      </w:r>
      <w:proofErr w:type="gramEnd"/>
      <w:r>
        <w:t xml:space="preserve"> </w:t>
      </w:r>
      <w:r w:rsidRPr="00CE3CB1">
        <w:t>&amp;</w:t>
      </w:r>
      <w:r>
        <w:t xml:space="preserve"> Vaculík, 2015) dodávají, že krom charismatu je významný i způsob, jakým dokáže nasměrovat své následovníky, tedy důležitou roli hraje i to, jak dokáže vedoucí pracovat </w:t>
      </w:r>
      <w:commentRangeStart w:id="5"/>
      <w:r>
        <w:t>s lidmi, jejich individualitami, a jak je schopný je motivovat</w:t>
      </w:r>
      <w:commentRangeEnd w:id="5"/>
      <w:r w:rsidR="00CE3CB1">
        <w:rPr>
          <w:rStyle w:val="Odkaznakoment"/>
        </w:rPr>
        <w:commentReference w:id="5"/>
      </w:r>
      <w:r>
        <w:t>. Teorie sociální směny mezi leaderem a následovníky pak říká, že efektivita vedoucího je závislá na tom, zda mezi nimi dochází ke „kvalitním směnám“ (</w:t>
      </w:r>
      <w:proofErr w:type="spellStart"/>
      <w:r>
        <w:t>Gerstner</w:t>
      </w:r>
      <w:proofErr w:type="spellEnd"/>
      <w:r>
        <w:t xml:space="preserve"> </w:t>
      </w:r>
      <w:r w:rsidRPr="00CE3CB1">
        <w:t>&amp;</w:t>
      </w:r>
      <w:r>
        <w:t xml:space="preserve"> </w:t>
      </w:r>
      <w:proofErr w:type="spellStart"/>
      <w:r>
        <w:t>Day</w:t>
      </w:r>
      <w:proofErr w:type="spellEnd"/>
      <w:r>
        <w:t xml:space="preserve">, </w:t>
      </w:r>
      <w:r w:rsidR="00567D70">
        <w:t>cit.</w:t>
      </w:r>
      <w:r>
        <w:t xml:space="preserve"> dle </w:t>
      </w:r>
      <w:proofErr w:type="gramStart"/>
      <w:r>
        <w:t>Procházka</w:t>
      </w:r>
      <w:proofErr w:type="gramEnd"/>
      <w:r>
        <w:t xml:space="preserve"> et al., 2014). Transakční přístup je na směnách přímo založen, ale i </w:t>
      </w:r>
      <w:commentRangeStart w:id="6"/>
      <w:r>
        <w:t xml:space="preserve">transakční </w:t>
      </w:r>
      <w:commentRangeEnd w:id="6"/>
      <w:r w:rsidR="00CE3CB1">
        <w:rPr>
          <w:rStyle w:val="Odkaznakoment"/>
        </w:rPr>
        <w:commentReference w:id="6"/>
      </w:r>
      <w:r>
        <w:t xml:space="preserve">přístup je zahrnuje, akorát jsou méně viditelné, ale o to více spojené s efektivitou, neboť apelují na vnitřní motivaci následovníků (Procházka et al., </w:t>
      </w:r>
      <w:commentRangeStart w:id="7"/>
      <w:r>
        <w:t>2014</w:t>
      </w:r>
      <w:commentRangeEnd w:id="7"/>
      <w:r w:rsidR="00CE3CB1">
        <w:rPr>
          <w:rStyle w:val="Odkaznakoment"/>
        </w:rPr>
        <w:commentReference w:id="7"/>
      </w:r>
      <w:r>
        <w:t>).</w:t>
      </w:r>
    </w:p>
    <w:p w:rsidR="00AB390E" w:rsidRPr="00820C76" w:rsidRDefault="00AB390E" w:rsidP="00820C76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t xml:space="preserve">Kromě již zmíněné teorie sociální směny, tam vidím </w:t>
      </w:r>
      <w:proofErr w:type="spellStart"/>
      <w:r>
        <w:t>locus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dle </w:t>
      </w:r>
      <w:proofErr w:type="spellStart"/>
      <w:r>
        <w:t>Rottera</w:t>
      </w:r>
      <w:proofErr w:type="spellEnd"/>
      <w:r>
        <w:t xml:space="preserve">, kdy </w:t>
      </w:r>
      <w:commentRangeStart w:id="8"/>
      <w:r>
        <w:t>transformační přístup a především její složky inspirující motivace a intelektuální stimulace apelují na interní zaměření.</w:t>
      </w:r>
      <w:commentRangeEnd w:id="8"/>
      <w:r w:rsidR="00CE3CB1">
        <w:rPr>
          <w:rStyle w:val="Odkaznakoment"/>
        </w:rPr>
        <w:commentReference w:id="8"/>
      </w:r>
      <w:r>
        <w:t xml:space="preserve"> Další teorií, která zde najde uplatnění, je self-efficacy případně i </w:t>
      </w:r>
      <w:proofErr w:type="spellStart"/>
      <w:r>
        <w:t>group</w:t>
      </w:r>
      <w:proofErr w:type="spellEnd"/>
      <w:r>
        <w:t xml:space="preserve">-efficacy od </w:t>
      </w:r>
      <w:proofErr w:type="gramStart"/>
      <w:r>
        <w:t>Bandury</w:t>
      </w:r>
      <w:proofErr w:type="gramEnd"/>
      <w:r>
        <w:t xml:space="preserve"> (1997), kdy především inspirujícím motivováním a možná i individuálním přístupem by měl leader ve svých následovnících self- a </w:t>
      </w:r>
      <w:proofErr w:type="spellStart"/>
      <w:r>
        <w:t>group</w:t>
      </w:r>
      <w:proofErr w:type="spellEnd"/>
      <w:r>
        <w:t xml:space="preserve">-efficacy </w:t>
      </w:r>
      <w:commentRangeStart w:id="9"/>
      <w:r>
        <w:t>podporovat</w:t>
      </w:r>
      <w:commentRangeEnd w:id="9"/>
      <w:r w:rsidR="00CE3CB1">
        <w:rPr>
          <w:rStyle w:val="Odkaznakoment"/>
        </w:rPr>
        <w:commentReference w:id="9"/>
      </w:r>
      <w:r>
        <w:t>.</w:t>
      </w:r>
    </w:p>
    <w:p w:rsidR="00AB390E" w:rsidRPr="00820C76" w:rsidRDefault="00AB390E" w:rsidP="00820C76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b/>
        </w:rPr>
      </w:pPr>
      <w:r>
        <w:lastRenderedPageBreak/>
        <w:t xml:space="preserve">Leadeři, se kterými jsem se setkala, používali jak prvky transakčního, tak i transformačního způsobu vedení. Odnáším si především to, že pokud leader v nějaké oblasti transformačního leadershipu selhává, může to nadělat velkou paseku. Například jsem se setkala s nekonzistentním chováním, které významně shazuje důvěru v leadera a jakékoliv jeho další </w:t>
      </w:r>
      <w:commentRangeStart w:id="10"/>
      <w:r>
        <w:t>činy</w:t>
      </w:r>
      <w:commentRangeEnd w:id="10"/>
      <w:r w:rsidR="002B2BA2">
        <w:rPr>
          <w:rStyle w:val="Odkaznakoment"/>
        </w:rPr>
        <w:commentReference w:id="10"/>
      </w:r>
      <w:r>
        <w:t xml:space="preserve">. </w:t>
      </w:r>
    </w:p>
    <w:p w:rsidR="00400E3A" w:rsidRDefault="00400E3A" w:rsidP="00AB390E">
      <w:pPr>
        <w:rPr>
          <w:noProof/>
        </w:rPr>
      </w:pPr>
    </w:p>
    <w:p w:rsidR="001A3DB6" w:rsidRDefault="001A3DB6" w:rsidP="00AB390E">
      <w:pPr>
        <w:rPr>
          <w:noProof/>
        </w:rPr>
      </w:pPr>
      <w:r>
        <w:rPr>
          <w:b/>
          <w:noProof/>
        </w:rPr>
        <w:t>Literatura:</w:t>
      </w:r>
    </w:p>
    <w:p w:rsidR="001A3DB6" w:rsidRPr="003F1E40" w:rsidRDefault="001A3DB6" w:rsidP="001A3DB6">
      <w:pPr>
        <w:spacing w:line="24" w:lineRule="atLeast"/>
        <w:rPr>
          <w:szCs w:val="20"/>
        </w:rPr>
      </w:pPr>
      <w:r w:rsidRPr="003F1E40">
        <w:rPr>
          <w:szCs w:val="20"/>
        </w:rPr>
        <w:t xml:space="preserve">Bandura, A. (1997). </w:t>
      </w:r>
      <w:r w:rsidRPr="003F1E40">
        <w:rPr>
          <w:i/>
          <w:szCs w:val="20"/>
        </w:rPr>
        <w:t xml:space="preserve">Self-efficacy: </w:t>
      </w:r>
      <w:proofErr w:type="spellStart"/>
      <w:r w:rsidRPr="003F1E40">
        <w:rPr>
          <w:i/>
          <w:szCs w:val="20"/>
        </w:rPr>
        <w:t>the</w:t>
      </w:r>
      <w:proofErr w:type="spellEnd"/>
      <w:r w:rsidRPr="003F1E40">
        <w:rPr>
          <w:i/>
          <w:szCs w:val="20"/>
        </w:rPr>
        <w:t xml:space="preserve"> </w:t>
      </w:r>
      <w:proofErr w:type="spellStart"/>
      <w:r w:rsidRPr="003F1E40">
        <w:rPr>
          <w:i/>
          <w:szCs w:val="20"/>
        </w:rPr>
        <w:t>exercise</w:t>
      </w:r>
      <w:proofErr w:type="spellEnd"/>
      <w:r w:rsidRPr="003F1E40">
        <w:rPr>
          <w:i/>
          <w:szCs w:val="20"/>
        </w:rPr>
        <w:t xml:space="preserve"> </w:t>
      </w:r>
      <w:proofErr w:type="spellStart"/>
      <w:r w:rsidRPr="003F1E40">
        <w:rPr>
          <w:i/>
          <w:szCs w:val="20"/>
        </w:rPr>
        <w:t>of</w:t>
      </w:r>
      <w:proofErr w:type="spellEnd"/>
      <w:r w:rsidRPr="003F1E40">
        <w:rPr>
          <w:i/>
          <w:szCs w:val="20"/>
        </w:rPr>
        <w:t xml:space="preserve"> </w:t>
      </w:r>
      <w:proofErr w:type="spellStart"/>
      <w:r w:rsidRPr="003F1E40">
        <w:rPr>
          <w:i/>
          <w:szCs w:val="20"/>
        </w:rPr>
        <w:t>control</w:t>
      </w:r>
      <w:proofErr w:type="spellEnd"/>
      <w:r w:rsidRPr="003F1E40">
        <w:rPr>
          <w:szCs w:val="20"/>
        </w:rPr>
        <w:t xml:space="preserve">. New York: </w:t>
      </w:r>
      <w:proofErr w:type="gramStart"/>
      <w:r w:rsidRPr="003F1E40">
        <w:rPr>
          <w:szCs w:val="20"/>
        </w:rPr>
        <w:t>W.H.</w:t>
      </w:r>
      <w:proofErr w:type="gramEnd"/>
      <w:r w:rsidRPr="003F1E40">
        <w:rPr>
          <w:szCs w:val="20"/>
        </w:rPr>
        <w:t xml:space="preserve"> </w:t>
      </w:r>
      <w:proofErr w:type="spellStart"/>
      <w:r w:rsidRPr="003F1E40">
        <w:rPr>
          <w:szCs w:val="20"/>
        </w:rPr>
        <w:t>Freeman</w:t>
      </w:r>
      <w:proofErr w:type="spellEnd"/>
      <w:r w:rsidRPr="003F1E40">
        <w:rPr>
          <w:szCs w:val="20"/>
        </w:rPr>
        <w:t xml:space="preserve"> </w:t>
      </w:r>
      <w:proofErr w:type="spellStart"/>
      <w:r w:rsidRPr="003F1E40">
        <w:rPr>
          <w:szCs w:val="20"/>
        </w:rPr>
        <w:t>and</w:t>
      </w:r>
      <w:proofErr w:type="spellEnd"/>
      <w:r w:rsidRPr="003F1E40">
        <w:rPr>
          <w:szCs w:val="20"/>
        </w:rPr>
        <w:t xml:space="preserve"> </w:t>
      </w:r>
      <w:proofErr w:type="spellStart"/>
      <w:r w:rsidRPr="003F1E40">
        <w:rPr>
          <w:szCs w:val="20"/>
        </w:rPr>
        <w:t>Company</w:t>
      </w:r>
      <w:proofErr w:type="spellEnd"/>
      <w:r w:rsidRPr="003F1E40">
        <w:rPr>
          <w:szCs w:val="20"/>
        </w:rPr>
        <w:t>.</w:t>
      </w:r>
    </w:p>
    <w:p w:rsidR="001A3DB6" w:rsidRDefault="00567D70" w:rsidP="00AB390E">
      <w:pPr>
        <w:rPr>
          <w:noProof/>
        </w:rPr>
      </w:pPr>
      <w:r>
        <w:rPr>
          <w:noProof/>
        </w:rPr>
        <w:t xml:space="preserve">Bass, B. M. (1999). Two deacdes od research and development in transformational leadership. </w:t>
      </w:r>
      <w:r>
        <w:rPr>
          <w:i/>
          <w:noProof/>
        </w:rPr>
        <w:t>European Journal of Work and Organizational Psychology, 8</w:t>
      </w:r>
      <w:r>
        <w:rPr>
          <w:noProof/>
        </w:rPr>
        <w:t xml:space="preserve">(1), 9-32. </w:t>
      </w:r>
    </w:p>
    <w:p w:rsidR="00567D70" w:rsidRDefault="00A0245F" w:rsidP="00AB390E">
      <w:pPr>
        <w:rPr>
          <w:noProof/>
        </w:rPr>
      </w:pPr>
      <w:r>
        <w:rPr>
          <w:noProof/>
        </w:rPr>
        <w:t xml:space="preserve">Procházka, J., </w:t>
      </w:r>
      <w:r>
        <w:rPr>
          <w:noProof/>
          <w:lang w:val="en-US"/>
        </w:rPr>
        <w:t>&amp;</w:t>
      </w:r>
      <w:r>
        <w:rPr>
          <w:noProof/>
        </w:rPr>
        <w:t xml:space="preserve"> Vaculík, M. (2015). Transformační vedení: „Normativní“ psychologická teorie efektivního vedení lidí. </w:t>
      </w:r>
      <w:r>
        <w:rPr>
          <w:i/>
          <w:noProof/>
        </w:rPr>
        <w:t>Československá Psychologie, 59</w:t>
      </w:r>
      <w:r>
        <w:rPr>
          <w:noProof/>
        </w:rPr>
        <w:t>(2), 137-149.</w:t>
      </w:r>
    </w:p>
    <w:p w:rsidR="00A0245F" w:rsidRPr="00A0245F" w:rsidRDefault="00A0245F" w:rsidP="00AB390E">
      <w:pPr>
        <w:rPr>
          <w:noProof/>
        </w:rPr>
      </w:pPr>
      <w:r>
        <w:rPr>
          <w:noProof/>
        </w:rPr>
        <w:t xml:space="preserve">Procházka, J., Vaculík, M., </w:t>
      </w:r>
      <w:r w:rsidRPr="00CE3CB1">
        <w:rPr>
          <w:noProof/>
        </w:rPr>
        <w:t>&amp;</w:t>
      </w:r>
      <w:r>
        <w:rPr>
          <w:noProof/>
        </w:rPr>
        <w:t xml:space="preserve"> Smutný, P. (2014). Vztah efektivity leadera, transakčního a transformačního leadershipu: Jak působí posilující efekt? </w:t>
      </w:r>
      <w:r>
        <w:rPr>
          <w:i/>
          <w:noProof/>
        </w:rPr>
        <w:t>Psychologie pro praxi, 7</w:t>
      </w:r>
      <w:r>
        <w:rPr>
          <w:noProof/>
        </w:rPr>
        <w:t>(3-4), 95-109.</w:t>
      </w:r>
    </w:p>
    <w:sectPr w:rsidR="00A0245F" w:rsidRPr="00A0245F" w:rsidSect="00D15255">
      <w:footerReference w:type="default" r:id="rId9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utor" w:initials="A">
    <w:p w:rsidR="00CE3CB1" w:rsidRDefault="00CE3CB1">
      <w:pPr>
        <w:pStyle w:val="Textkomente"/>
      </w:pPr>
      <w:r>
        <w:rPr>
          <w:rStyle w:val="Odkaznakoment"/>
        </w:rPr>
        <w:annotationRef/>
      </w:r>
      <w:r>
        <w:t>Prima</w:t>
      </w:r>
    </w:p>
  </w:comment>
  <w:comment w:id="2" w:author="Autor" w:initials="A">
    <w:p w:rsidR="00CE3CB1" w:rsidRDefault="00CE3CB1">
      <w:pPr>
        <w:pStyle w:val="Textkomente"/>
      </w:pPr>
      <w:r>
        <w:rPr>
          <w:rStyle w:val="Odkaznakoment"/>
        </w:rPr>
        <w:annotationRef/>
      </w:r>
      <w:r>
        <w:t>Toto už plyne i z předchozí věty.</w:t>
      </w:r>
    </w:p>
  </w:comment>
  <w:comment w:id="3" w:author="Autor" w:initials="A">
    <w:p w:rsidR="00CE3CB1" w:rsidRDefault="00CE3CB1">
      <w:pPr>
        <w:pStyle w:val="Textkomente"/>
      </w:pPr>
      <w:r>
        <w:rPr>
          <w:rStyle w:val="Odkaznakoment"/>
        </w:rPr>
        <w:annotationRef/>
      </w:r>
      <w:r>
        <w:t>Tady nemám pocit, že bys odpovídala na druhou otázku. Odpověď se spíše vztahuje k první otázce o souběhu TAL a TFL.</w:t>
      </w:r>
    </w:p>
    <w:p w:rsidR="00CE3CB1" w:rsidRDefault="00CE3CB1">
      <w:pPr>
        <w:pStyle w:val="Textkomente"/>
      </w:pPr>
    </w:p>
    <w:p w:rsidR="00CE3CB1" w:rsidRDefault="00CE3CB1">
      <w:pPr>
        <w:pStyle w:val="Textkomente"/>
      </w:pPr>
      <w:r>
        <w:t>Text není příliš o tom, JAK působí TAL a TFL na efektivitu. Je o vztahu TAL a TFL a o inkrementální validitě.</w:t>
      </w:r>
    </w:p>
  </w:comment>
  <w:comment w:id="4" w:author="Autor" w:initials="A">
    <w:p w:rsidR="00CE3CB1" w:rsidRDefault="00CE3CB1">
      <w:pPr>
        <w:pStyle w:val="Textkomente"/>
      </w:pPr>
      <w:r>
        <w:rPr>
          <w:rStyle w:val="Odkaznakoment"/>
        </w:rPr>
        <w:annotationRef/>
      </w:r>
      <w:r>
        <w:t>Jaká osobnost?</w:t>
      </w:r>
    </w:p>
  </w:comment>
  <w:comment w:id="5" w:author="Autor" w:initials="A">
    <w:p w:rsidR="00CE3CB1" w:rsidRDefault="00CE3CB1">
      <w:pPr>
        <w:pStyle w:val="Textkomente"/>
      </w:pPr>
      <w:r>
        <w:rPr>
          <w:rStyle w:val="Odkaznakoment"/>
        </w:rPr>
        <w:annotationRef/>
      </w:r>
      <w:r>
        <w:t>Tady píšeš ne o podmínce efektivity, ale o efektivitě samotné. Mě by zajímalo, co je podmínkou pro to, aby je byl schopný motivovat pomocí TFL.</w:t>
      </w:r>
    </w:p>
  </w:comment>
  <w:comment w:id="6" w:author="Autor" w:initials="A">
    <w:p w:rsidR="00CE3CB1" w:rsidRDefault="00CE3CB1">
      <w:pPr>
        <w:pStyle w:val="Textkomente"/>
      </w:pPr>
      <w:r>
        <w:rPr>
          <w:rStyle w:val="Odkaznakoment"/>
        </w:rPr>
        <w:annotationRef/>
      </w:r>
      <w:r>
        <w:t>transformační?</w:t>
      </w:r>
    </w:p>
  </w:comment>
  <w:comment w:id="7" w:author="Autor" w:initials="A">
    <w:p w:rsidR="00CE3CB1" w:rsidRDefault="00CE3CB1">
      <w:pPr>
        <w:pStyle w:val="Textkomente"/>
      </w:pPr>
      <w:r>
        <w:rPr>
          <w:rStyle w:val="Odkaznakoment"/>
        </w:rPr>
        <w:annotationRef/>
      </w:r>
      <w:r>
        <w:t>Ani ve druhé polovině odstavce neodpovídáš na položenou otázku. Dozvídám se, na čem jsou ty styly založeny, ne co je podmínkou jejich efektivity.</w:t>
      </w:r>
    </w:p>
  </w:comment>
  <w:comment w:id="8" w:author="Autor" w:initials="A">
    <w:p w:rsidR="00CE3CB1" w:rsidRDefault="00CE3CB1">
      <w:pPr>
        <w:pStyle w:val="Textkomente"/>
      </w:pPr>
      <w:r>
        <w:rPr>
          <w:rStyle w:val="Odkaznakoment"/>
        </w:rPr>
        <w:annotationRef/>
      </w:r>
      <w:r>
        <w:t xml:space="preserve">Tomuto nerozumím. </w:t>
      </w:r>
      <w:proofErr w:type="spellStart"/>
      <w:r>
        <w:t>Locus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je relativně trvalý rys. Nedovedu si představit, co to znamená, že na něj styl vedení „apeluje“.</w:t>
      </w:r>
    </w:p>
  </w:comment>
  <w:comment w:id="9" w:author="Autor" w:initials="A">
    <w:p w:rsidR="00CE3CB1" w:rsidRDefault="00CE3CB1">
      <w:pPr>
        <w:pStyle w:val="Textkomente"/>
      </w:pPr>
      <w:r>
        <w:rPr>
          <w:rStyle w:val="Odkaznakoment"/>
        </w:rPr>
        <w:annotationRef/>
      </w:r>
      <w:r>
        <w:t>V odpovědi spíše popisuješ psychologické konstrukty, které mohou souviset s TFL, než že bys popisovala sociálně psychologické teorie obsažené v teorii TFL.</w:t>
      </w:r>
    </w:p>
  </w:comment>
  <w:comment w:id="10" w:author="Autor" w:initials="A">
    <w:p w:rsidR="002B2BA2" w:rsidRDefault="002B2BA2">
      <w:pPr>
        <w:pStyle w:val="Textkomente"/>
      </w:pPr>
      <w:r>
        <w:rPr>
          <w:rStyle w:val="Odkaznakoment"/>
        </w:rPr>
        <w:annotationRef/>
      </w:r>
    </w:p>
    <w:p w:rsidR="002B2BA2" w:rsidRDefault="002B2BA2">
      <w:pPr>
        <w:pStyle w:val="Textkomente"/>
      </w:pPr>
      <w:r>
        <w:t>Text přípravy je formálně v pořádku. S výjimkou první otázky ale nemám pocit, že by byly odpovědi trefně vztažené k položeným otázkám.</w:t>
      </w:r>
    </w:p>
    <w:p w:rsidR="002B2BA2" w:rsidRDefault="002B2BA2">
      <w:pPr>
        <w:pStyle w:val="Textkomente"/>
      </w:pPr>
      <w:r>
        <w:t xml:space="preserve">Nicméně uvědomuji si náročnost odpovídání na široké otázky o úplně nové </w:t>
      </w:r>
      <w:r>
        <w:t>teorii.</w:t>
      </w:r>
    </w:p>
    <w:p w:rsidR="002B2BA2" w:rsidRDefault="002B2BA2">
      <w:pPr>
        <w:pStyle w:val="Textkomente"/>
      </w:pPr>
    </w:p>
    <w:p w:rsidR="002B2BA2" w:rsidRDefault="002B2BA2">
      <w:pPr>
        <w:pStyle w:val="Textkomente"/>
      </w:pPr>
      <w:r>
        <w:t>Hodnocení: 5 bodů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536" w:rsidRDefault="00436536" w:rsidP="009B72D4">
      <w:pPr>
        <w:spacing w:after="0" w:line="240" w:lineRule="auto"/>
      </w:pPr>
      <w:r>
        <w:separator/>
      </w:r>
    </w:p>
  </w:endnote>
  <w:endnote w:type="continuationSeparator" w:id="0">
    <w:p w:rsidR="00436536" w:rsidRDefault="00436536" w:rsidP="009B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5609554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812E47" w:rsidRPr="007814F6" w:rsidRDefault="00916952">
        <w:pPr>
          <w:pStyle w:val="Zpat"/>
          <w:jc w:val="right"/>
          <w:rPr>
            <w:sz w:val="18"/>
          </w:rPr>
        </w:pPr>
        <w:r w:rsidRPr="007814F6">
          <w:rPr>
            <w:sz w:val="18"/>
          </w:rPr>
          <w:fldChar w:fldCharType="begin"/>
        </w:r>
        <w:r w:rsidR="00812E47" w:rsidRPr="007814F6">
          <w:rPr>
            <w:sz w:val="18"/>
          </w:rPr>
          <w:instrText>PAGE   \* MERGEFORMAT</w:instrText>
        </w:r>
        <w:r w:rsidRPr="007814F6">
          <w:rPr>
            <w:sz w:val="18"/>
          </w:rPr>
          <w:fldChar w:fldCharType="separate"/>
        </w:r>
        <w:r w:rsidR="002B2BA2">
          <w:rPr>
            <w:noProof/>
            <w:sz w:val="18"/>
          </w:rPr>
          <w:t>1</w:t>
        </w:r>
        <w:r w:rsidRPr="007814F6">
          <w:rPr>
            <w:sz w:val="18"/>
          </w:rPr>
          <w:fldChar w:fldCharType="end"/>
        </w:r>
      </w:p>
    </w:sdtContent>
  </w:sdt>
  <w:p w:rsidR="00812E47" w:rsidRDefault="00812E4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536" w:rsidRDefault="00436536" w:rsidP="009B72D4">
      <w:pPr>
        <w:spacing w:after="0" w:line="240" w:lineRule="auto"/>
      </w:pPr>
      <w:r>
        <w:separator/>
      </w:r>
    </w:p>
  </w:footnote>
  <w:footnote w:type="continuationSeparator" w:id="0">
    <w:p w:rsidR="00436536" w:rsidRDefault="00436536" w:rsidP="009B7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37E7"/>
    <w:multiLevelType w:val="hybridMultilevel"/>
    <w:tmpl w:val="719E5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40E34"/>
    <w:multiLevelType w:val="hybridMultilevel"/>
    <w:tmpl w:val="34AAE1BC"/>
    <w:lvl w:ilvl="0" w:tplc="5CC8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A3345"/>
    <w:rsid w:val="000E0FEA"/>
    <w:rsid w:val="001A3DB6"/>
    <w:rsid w:val="001C2FA3"/>
    <w:rsid w:val="002B2BA2"/>
    <w:rsid w:val="00326F3F"/>
    <w:rsid w:val="0033528C"/>
    <w:rsid w:val="0034451E"/>
    <w:rsid w:val="003675E7"/>
    <w:rsid w:val="003A3345"/>
    <w:rsid w:val="00400E3A"/>
    <w:rsid w:val="004139B1"/>
    <w:rsid w:val="00422CD4"/>
    <w:rsid w:val="00436536"/>
    <w:rsid w:val="00456D0F"/>
    <w:rsid w:val="00474564"/>
    <w:rsid w:val="00543833"/>
    <w:rsid w:val="00567D70"/>
    <w:rsid w:val="00594719"/>
    <w:rsid w:val="00637F50"/>
    <w:rsid w:val="006859E0"/>
    <w:rsid w:val="006B7384"/>
    <w:rsid w:val="006D4EA0"/>
    <w:rsid w:val="007814F6"/>
    <w:rsid w:val="00812E47"/>
    <w:rsid w:val="00820C76"/>
    <w:rsid w:val="008814D1"/>
    <w:rsid w:val="008A7C7B"/>
    <w:rsid w:val="00916952"/>
    <w:rsid w:val="0096327D"/>
    <w:rsid w:val="00977D1E"/>
    <w:rsid w:val="009B72D4"/>
    <w:rsid w:val="00A0245F"/>
    <w:rsid w:val="00A35E97"/>
    <w:rsid w:val="00AB390E"/>
    <w:rsid w:val="00AC11B8"/>
    <w:rsid w:val="00AC4E4E"/>
    <w:rsid w:val="00AD4CAC"/>
    <w:rsid w:val="00AE6ED1"/>
    <w:rsid w:val="00B3358C"/>
    <w:rsid w:val="00B356EC"/>
    <w:rsid w:val="00B4139C"/>
    <w:rsid w:val="00B746AF"/>
    <w:rsid w:val="00C92221"/>
    <w:rsid w:val="00CE3CB1"/>
    <w:rsid w:val="00D15255"/>
    <w:rsid w:val="00DD75FD"/>
    <w:rsid w:val="00E756EA"/>
    <w:rsid w:val="00E839F6"/>
    <w:rsid w:val="00EF5947"/>
    <w:rsid w:val="00F2021A"/>
    <w:rsid w:val="00F34792"/>
    <w:rsid w:val="00F41355"/>
    <w:rsid w:val="00F53C2F"/>
    <w:rsid w:val="00FA5EAF"/>
    <w:rsid w:val="00FB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39C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3675E7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75E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675E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675E7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F2021A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3675E7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675E7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675E7"/>
    <w:rPr>
      <w:rFonts w:ascii="Garamond" w:eastAsiaTheme="majorEastAsia" w:hAnsi="Garamond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675E7"/>
    <w:rPr>
      <w:rFonts w:ascii="Garamond" w:eastAsiaTheme="majorEastAsia" w:hAnsi="Garamond" w:cstheme="majorBidi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72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72D4"/>
    <w:rPr>
      <w:rFonts w:ascii="Garamond" w:hAnsi="Garamond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72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345"/>
    <w:rPr>
      <w:rFonts w:ascii="Cambria" w:hAnsi="Cambria"/>
    </w:rPr>
  </w:style>
  <w:style w:type="paragraph" w:styleId="Zpat">
    <w:name w:val="footer"/>
    <w:basedOn w:val="Normln"/>
    <w:link w:val="Zpat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345"/>
    <w:rPr>
      <w:rFonts w:ascii="Cambria" w:hAnsi="Cambria"/>
    </w:rPr>
  </w:style>
  <w:style w:type="character" w:styleId="Odkaznakoment">
    <w:name w:val="annotation reference"/>
    <w:basedOn w:val="Standardnpsmoodstavce"/>
    <w:uiPriority w:val="99"/>
    <w:semiHidden/>
    <w:unhideWhenUsed/>
    <w:rsid w:val="00E839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9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9F6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9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9F6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9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B5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2019-03-25T19:29:00Z</dcterms:created>
  <dcterms:modified xsi:type="dcterms:W3CDTF">2019-04-21T19:20:00Z</dcterms:modified>
</cp:coreProperties>
</file>