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48246749"/>
        <w:docPartObj>
          <w:docPartGallery w:val="Cover Pages"/>
          <w:docPartUnique/>
        </w:docPartObj>
      </w:sdtPr>
      <w:sdtContent>
        <w:p w14:paraId="3CA07142" w14:textId="4857F01F" w:rsidR="002C5C8B" w:rsidRDefault="002C5C8B" w:rsidP="002C5C8B">
          <w:r w:rsidRPr="00EE5EEB">
            <w:rPr>
              <w:noProof/>
            </w:rPr>
            <mc:AlternateContent>
              <mc:Choice Requires="wps">
                <w:drawing>
                  <wp:anchor distT="45720" distB="45720" distL="114300" distR="114300" simplePos="0" relativeHeight="251662336" behindDoc="0" locked="0" layoutInCell="1" allowOverlap="1" wp14:anchorId="69769AD4" wp14:editId="061EA9BC">
                    <wp:simplePos x="0" y="0"/>
                    <wp:positionH relativeFrom="margin">
                      <wp:align>right</wp:align>
                    </wp:positionH>
                    <wp:positionV relativeFrom="paragraph">
                      <wp:posOffset>6324311</wp:posOffset>
                    </wp:positionV>
                    <wp:extent cx="5715000" cy="1404620"/>
                    <wp:effectExtent l="0" t="0" r="0" b="8255"/>
                    <wp:wrapSquare wrapText="bothSides"/>
                    <wp:docPr id="16417040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noFill/>
                              <a:miter lim="800000"/>
                              <a:headEnd/>
                              <a:tailEnd/>
                            </a:ln>
                          </wps:spPr>
                          <wps:txbx>
                            <w:txbxContent>
                              <w:p w14:paraId="555263D6" w14:textId="77777777" w:rsidR="002C5C8B" w:rsidRDefault="002C5C8B" w:rsidP="002C5C8B">
                                <w:pPr>
                                  <w:jc w:val="center"/>
                                  <w:rPr>
                                    <w:rFonts w:cs="Times New Roman"/>
                                    <w:b/>
                                    <w:bCs/>
                                    <w:color w:val="000000"/>
                                    <w:sz w:val="36"/>
                                    <w:szCs w:val="36"/>
                                  </w:rPr>
                                </w:pPr>
                                <w:r>
                                  <w:rPr>
                                    <w:rFonts w:cs="Times New Roman"/>
                                    <w:b/>
                                    <w:bCs/>
                                    <w:color w:val="000000"/>
                                    <w:sz w:val="36"/>
                                    <w:szCs w:val="36"/>
                                  </w:rPr>
                                  <w:t>Vliv vojenských výdajů, energetické spotřeby a produkce oceli a železa na počet padlých v boji během Irácko-íránské války 1980-1988</w:t>
                                </w:r>
                              </w:p>
                              <w:p w14:paraId="54CCDFE2" w14:textId="77777777" w:rsidR="002C5C8B" w:rsidRDefault="002C5C8B" w:rsidP="002C5C8B">
                                <w:pPr>
                                  <w:jc w:val="center"/>
                                  <w:rPr>
                                    <w:rFonts w:cs="Times New Roman"/>
                                    <w:b/>
                                    <w:bCs/>
                                    <w:color w:val="000000"/>
                                    <w:sz w:val="36"/>
                                    <w:szCs w:val="36"/>
                                  </w:rPr>
                                </w:pPr>
                              </w:p>
                              <w:p w14:paraId="52B5C475" w14:textId="77777777" w:rsidR="002C5C8B" w:rsidRPr="008524E2" w:rsidRDefault="002C5C8B" w:rsidP="002C5C8B">
                                <w:pPr>
                                  <w:jc w:val="center"/>
                                  <w:rPr>
                                    <w:rFonts w:cs="Times New Roman"/>
                                    <w:sz w:val="28"/>
                                    <w:szCs w:val="28"/>
                                  </w:rPr>
                                </w:pPr>
                                <w:r>
                                  <w:rPr>
                                    <w:rFonts w:cs="Times New Roman"/>
                                    <w:color w:val="000000"/>
                                    <w:sz w:val="28"/>
                                    <w:szCs w:val="28"/>
                                  </w:rPr>
                                  <w:t>Výzkum konfliktu</w:t>
                                </w:r>
                                <w:r w:rsidRPr="00EE5EEB">
                                  <w:rPr>
                                    <w:rFonts w:cs="Times New Roman"/>
                                    <w:color w:val="000000"/>
                                    <w:sz w:val="28"/>
                                    <w:szCs w:val="28"/>
                                  </w:rPr>
                                  <w:cr/>
                                </w:r>
                                <w:r>
                                  <w:rPr>
                                    <w:rFonts w:cs="Times New Roman"/>
                                    <w:color w:val="000000"/>
                                    <w:sz w:val="28"/>
                                    <w:szCs w:val="28"/>
                                  </w:rPr>
                                  <w:t>Seminární projekt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769AD4" id="_x0000_t202" coordsize="21600,21600" o:spt="202" path="m,l,21600r21600,l21600,xe">
                    <v:stroke joinstyle="miter"/>
                    <v:path gradientshapeok="t" o:connecttype="rect"/>
                  </v:shapetype>
                  <v:shape id="Textové pole 2" o:spid="_x0000_s1026" type="#_x0000_t202" style="position:absolute;left:0;text-align:left;margin-left:398.8pt;margin-top:498pt;width:450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" stroked="f">
                    <v:textbox style="mso-fit-shape-to-text:t">
                      <w:txbxContent>
                        <w:p w14:paraId="555263D6" w14:textId="77777777" w:rsidR="002C5C8B" w:rsidRDefault="002C5C8B" w:rsidP="002C5C8B">
                          <w:pPr>
                            <w:jc w:val="center"/>
                            <w:rPr>
                              <w:rFonts w:cs="Times New Roman"/>
                              <w:b/>
                              <w:bCs/>
                              <w:color w:val="000000"/>
                              <w:sz w:val="36"/>
                              <w:szCs w:val="36"/>
                            </w:rPr>
                          </w:pPr>
                          <w:r>
                            <w:rPr>
                              <w:rFonts w:cs="Times New Roman"/>
                              <w:b/>
                              <w:bCs/>
                              <w:color w:val="000000"/>
                              <w:sz w:val="36"/>
                              <w:szCs w:val="36"/>
                            </w:rPr>
                            <w:t>Vliv vojenských výdajů, energetické spotřeby a produkce oceli a železa na počet padlých v boji během Irácko-íránské války 1980-1988</w:t>
                          </w:r>
                        </w:p>
                        <w:p w14:paraId="54CCDFE2" w14:textId="77777777" w:rsidR="002C5C8B" w:rsidRDefault="002C5C8B" w:rsidP="002C5C8B">
                          <w:pPr>
                            <w:jc w:val="center"/>
                            <w:rPr>
                              <w:rFonts w:cs="Times New Roman"/>
                              <w:b/>
                              <w:bCs/>
                              <w:color w:val="000000"/>
                              <w:sz w:val="36"/>
                              <w:szCs w:val="36"/>
                            </w:rPr>
                          </w:pPr>
                        </w:p>
                        <w:p w14:paraId="52B5C475" w14:textId="77777777" w:rsidR="002C5C8B" w:rsidRPr="008524E2" w:rsidRDefault="002C5C8B" w:rsidP="002C5C8B">
                          <w:pPr>
                            <w:jc w:val="center"/>
                            <w:rPr>
                              <w:rFonts w:cs="Times New Roman"/>
                              <w:sz w:val="28"/>
                              <w:szCs w:val="28"/>
                            </w:rPr>
                          </w:pPr>
                          <w:r>
                            <w:rPr>
                              <w:rFonts w:cs="Times New Roman"/>
                              <w:color w:val="000000"/>
                              <w:sz w:val="28"/>
                              <w:szCs w:val="28"/>
                            </w:rPr>
                            <w:t>Výzkum konfliktu</w:t>
                          </w:r>
                          <w:r w:rsidRPr="00EE5EEB">
                            <w:rPr>
                              <w:rFonts w:cs="Times New Roman"/>
                              <w:color w:val="000000"/>
                              <w:sz w:val="28"/>
                              <w:szCs w:val="28"/>
                            </w:rPr>
                            <w:cr/>
                          </w:r>
                          <w:r>
                            <w:rPr>
                              <w:rFonts w:cs="Times New Roman"/>
                              <w:color w:val="000000"/>
                              <w:sz w:val="28"/>
                              <w:szCs w:val="28"/>
                            </w:rPr>
                            <w:t>Seminární projekt</w:t>
                          </w:r>
                        </w:p>
                      </w:txbxContent>
                    </v:textbox>
                    <w10:wrap type="square" anchorx="margin"/>
                  </v:shape>
                </w:pict>
              </mc:Fallback>
            </mc:AlternateContent>
          </w:r>
          <w:r w:rsidRPr="00EE5EEB">
            <w:rPr>
              <w:noProof/>
            </w:rPr>
            <mc:AlternateContent>
              <mc:Choice Requires="wps">
                <w:drawing>
                  <wp:anchor distT="45720" distB="45720" distL="114300" distR="114300" simplePos="0" relativeHeight="251661312" behindDoc="0" locked="0" layoutInCell="1" allowOverlap="1" wp14:anchorId="6162484B" wp14:editId="127C4B87">
                    <wp:simplePos x="0" y="0"/>
                    <wp:positionH relativeFrom="margin">
                      <wp:align>left</wp:align>
                    </wp:positionH>
                    <wp:positionV relativeFrom="paragraph">
                      <wp:posOffset>4456718</wp:posOffset>
                    </wp:positionV>
                    <wp:extent cx="2360930" cy="1404620"/>
                    <wp:effectExtent l="0" t="0" r="0" b="0"/>
                    <wp:wrapSquare wrapText="bothSides"/>
                    <wp:docPr id="133138664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45C936" w14:textId="77777777" w:rsidR="002C5C8B" w:rsidRDefault="002C5C8B" w:rsidP="002C5C8B">
                                <w:r>
                                  <w:t>Bezpečnostní a strategická studia</w:t>
                                </w:r>
                              </w:p>
                              <w:p w14:paraId="7144F40E" w14:textId="77777777" w:rsidR="002C5C8B" w:rsidRDefault="002C5C8B" w:rsidP="002C5C8B">
                                <w:r>
                                  <w:t>Magisterské studium</w:t>
                                </w:r>
                              </w:p>
                              <w:p w14:paraId="7D53BC50" w14:textId="77777777" w:rsidR="002C5C8B" w:rsidRDefault="002C5C8B" w:rsidP="002C5C8B">
                                <w:r>
                                  <w:t>Jaro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62484B" id="_x0000_s1027" type="#_x0000_t202" style="position:absolute;left:0;text-align:left;margin-left:0;margin-top:350.9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" stroked="f">
                    <v:textbox style="mso-fit-shape-to-text:t">
                      <w:txbxContent>
                        <w:p w14:paraId="5545C936" w14:textId="77777777" w:rsidR="002C5C8B" w:rsidRDefault="002C5C8B" w:rsidP="002C5C8B">
                          <w:r>
                            <w:t>Bezpečnostní a strategická studia</w:t>
                          </w:r>
                        </w:p>
                        <w:p w14:paraId="7144F40E" w14:textId="77777777" w:rsidR="002C5C8B" w:rsidRDefault="002C5C8B" w:rsidP="002C5C8B">
                          <w:r>
                            <w:t>Magisterské studium</w:t>
                          </w:r>
                        </w:p>
                        <w:p w14:paraId="7D53BC50" w14:textId="77777777" w:rsidR="002C5C8B" w:rsidRDefault="002C5C8B" w:rsidP="002C5C8B">
                          <w:r>
                            <w:t>Jaro 2024</w:t>
                          </w:r>
                        </w:p>
                      </w:txbxContent>
                    </v:textbox>
                    <w10:wrap type="square" anchorx="margin"/>
                  </v:shape>
                </w:pict>
              </mc:Fallback>
            </mc:AlternateContent>
          </w:r>
          <w:r w:rsidRPr="00EE5EEB">
            <w:rPr>
              <w:noProof/>
            </w:rPr>
            <mc:AlternateContent>
              <mc:Choice Requires="wps">
                <w:drawing>
                  <wp:anchor distT="45720" distB="45720" distL="114300" distR="114300" simplePos="0" relativeHeight="251659264" behindDoc="0" locked="0" layoutInCell="1" allowOverlap="1" wp14:anchorId="456A2B32" wp14:editId="1507FD00">
                    <wp:simplePos x="0" y="0"/>
                    <wp:positionH relativeFrom="margin">
                      <wp:align>right</wp:align>
                    </wp:positionH>
                    <wp:positionV relativeFrom="paragraph">
                      <wp:posOffset>727075</wp:posOffset>
                    </wp:positionV>
                    <wp:extent cx="5735320" cy="1404620"/>
                    <wp:effectExtent l="0" t="0" r="0" b="317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1404620"/>
                            </a:xfrm>
                            <a:prstGeom prst="rect">
                              <a:avLst/>
                            </a:prstGeom>
                            <a:solidFill>
                              <a:srgbClr val="FFFFFF"/>
                            </a:solidFill>
                            <a:ln w="9525">
                              <a:noFill/>
                              <a:miter lim="800000"/>
                              <a:headEnd/>
                              <a:tailEnd/>
                            </a:ln>
                          </wps:spPr>
                          <wps:txbx>
                            <w:txbxContent>
                              <w:p w14:paraId="21FC2D37" w14:textId="77777777" w:rsidR="002C5C8B" w:rsidRPr="00671D36" w:rsidRDefault="002C5C8B" w:rsidP="002C5C8B">
                                <w:pPr>
                                  <w:pStyle w:val="Nadpis1"/>
                                  <w:jc w:val="center"/>
                                  <w:rPr>
                                    <w:rFonts w:cs="Times New Roman"/>
                                    <w:sz w:val="56"/>
                                    <w:szCs w:val="56"/>
                                  </w:rPr>
                                </w:pPr>
                                <w:bookmarkStart w:id="0" w:name="_Toc167637462"/>
                                <w:bookmarkStart w:id="1" w:name="_Toc167638284"/>
                                <w:r w:rsidRPr="00671D36">
                                  <w:rPr>
                                    <w:rFonts w:cs="Times New Roman"/>
                                    <w:sz w:val="56"/>
                                    <w:szCs w:val="56"/>
                                  </w:rPr>
                                  <w:t>MASARYKOVA UNIVERZITA</w:t>
                                </w:r>
                                <w:bookmarkEnd w:id="0"/>
                                <w:bookmarkEnd w:id="1"/>
                              </w:p>
                              <w:p w14:paraId="625F5F0F" w14:textId="77777777" w:rsidR="002C5C8B" w:rsidRPr="00573F6C" w:rsidRDefault="002C5C8B" w:rsidP="002C5C8B">
                                <w:pPr>
                                  <w:jc w:val="center"/>
                                  <w:rPr>
                                    <w:sz w:val="44"/>
                                    <w:szCs w:val="44"/>
                                  </w:rPr>
                                </w:pPr>
                                <w:r w:rsidRPr="00573F6C">
                                  <w:rPr>
                                    <w:sz w:val="44"/>
                                    <w:szCs w:val="44"/>
                                  </w:rPr>
                                  <w:t>Fakulta sociálních studií</w:t>
                                </w:r>
                              </w:p>
                              <w:p w14:paraId="7FCEB89C" w14:textId="77777777" w:rsidR="002C5C8B" w:rsidRPr="00573F6C" w:rsidRDefault="002C5C8B" w:rsidP="002C5C8B">
                                <w:pPr>
                                  <w:jc w:val="center"/>
                                  <w:rPr>
                                    <w:sz w:val="40"/>
                                    <w:szCs w:val="40"/>
                                  </w:rPr>
                                </w:pPr>
                                <w:r w:rsidRPr="00573F6C">
                                  <w:rPr>
                                    <w:sz w:val="40"/>
                                    <w:szCs w:val="40"/>
                                  </w:rPr>
                                  <w:t>Katedra politologie</w:t>
                                </w:r>
                              </w:p>
                              <w:p w14:paraId="388D23AC" w14:textId="77777777" w:rsidR="002C5C8B" w:rsidRDefault="002C5C8B" w:rsidP="002C5C8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A2B32" id="_x0000_s1028" type="#_x0000_t202" style="position:absolute;left:0;text-align:left;margin-left:400.4pt;margin-top:57.25pt;width:451.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" stroked="f">
                    <v:textbox style="mso-fit-shape-to-text:t">
                      <w:txbxContent>
                        <w:p w14:paraId="21FC2D37" w14:textId="77777777" w:rsidR="002C5C8B" w:rsidRPr="00671D36" w:rsidRDefault="002C5C8B" w:rsidP="002C5C8B">
                          <w:pPr>
                            <w:pStyle w:val="Nadpis1"/>
                            <w:jc w:val="center"/>
                            <w:rPr>
                              <w:rFonts w:cs="Times New Roman"/>
                              <w:sz w:val="56"/>
                              <w:szCs w:val="56"/>
                            </w:rPr>
                          </w:pPr>
                          <w:bookmarkStart w:id="2" w:name="_Toc167637462"/>
                          <w:bookmarkStart w:id="3" w:name="_Toc167638284"/>
                          <w:r w:rsidRPr="00671D36">
                            <w:rPr>
                              <w:rFonts w:cs="Times New Roman"/>
                              <w:sz w:val="56"/>
                              <w:szCs w:val="56"/>
                            </w:rPr>
                            <w:t>MASARYKOVA UNIVERZITA</w:t>
                          </w:r>
                          <w:bookmarkEnd w:id="2"/>
                          <w:bookmarkEnd w:id="3"/>
                        </w:p>
                        <w:p w14:paraId="625F5F0F" w14:textId="77777777" w:rsidR="002C5C8B" w:rsidRPr="00573F6C" w:rsidRDefault="002C5C8B" w:rsidP="002C5C8B">
                          <w:pPr>
                            <w:jc w:val="center"/>
                            <w:rPr>
                              <w:sz w:val="44"/>
                              <w:szCs w:val="44"/>
                            </w:rPr>
                          </w:pPr>
                          <w:r w:rsidRPr="00573F6C">
                            <w:rPr>
                              <w:sz w:val="44"/>
                              <w:szCs w:val="44"/>
                            </w:rPr>
                            <w:t>Fakulta sociálních studií</w:t>
                          </w:r>
                        </w:p>
                        <w:p w14:paraId="7FCEB89C" w14:textId="77777777" w:rsidR="002C5C8B" w:rsidRPr="00573F6C" w:rsidRDefault="002C5C8B" w:rsidP="002C5C8B">
                          <w:pPr>
                            <w:jc w:val="center"/>
                            <w:rPr>
                              <w:sz w:val="40"/>
                              <w:szCs w:val="40"/>
                            </w:rPr>
                          </w:pPr>
                          <w:r w:rsidRPr="00573F6C">
                            <w:rPr>
                              <w:sz w:val="40"/>
                              <w:szCs w:val="40"/>
                            </w:rPr>
                            <w:t>Katedra politologie</w:t>
                          </w:r>
                        </w:p>
                        <w:p w14:paraId="388D23AC" w14:textId="77777777" w:rsidR="002C5C8B" w:rsidRDefault="002C5C8B" w:rsidP="002C5C8B"/>
                      </w:txbxContent>
                    </v:textbox>
                    <w10:wrap type="topAndBottom" anchorx="margin"/>
                  </v:shape>
                </w:pict>
              </mc:Fallback>
            </mc:AlternateContent>
          </w:r>
          <w:r w:rsidRPr="00EE5EEB">
            <w:br w:type="page"/>
          </w:r>
        </w:p>
      </w:sdtContent>
    </w:sdt>
    <w:p w14:paraId="1D190964" w14:textId="48BB63B6" w:rsidR="00ED2984" w:rsidRPr="002C5C8B" w:rsidRDefault="00000000" w:rsidP="002C5C8B">
      <w:pPr>
        <w:pStyle w:val="Nadpis1"/>
        <w:rPr>
          <w:sz w:val="22"/>
          <w:szCs w:val="22"/>
        </w:rPr>
      </w:pPr>
      <w:bookmarkStart w:id="2" w:name="_Toc167638285"/>
      <w:r>
        <w:lastRenderedPageBreak/>
        <w:t>A</w:t>
      </w:r>
      <w:r w:rsidR="002C5C8B">
        <w:t>bstrakt</w:t>
      </w:r>
      <w:bookmarkEnd w:id="2"/>
    </w:p>
    <w:p w14:paraId="3F464BA3" w14:textId="77777777" w:rsidR="002C5C8B" w:rsidRDefault="00000000" w:rsidP="003B5838">
      <w:pPr>
        <w:spacing w:before="240" w:after="240"/>
      </w:pPr>
      <w:r w:rsidRPr="003B5838">
        <w:t xml:space="preserve">Tato studie zkoumá dopad vojenských výdajů, výroby oceli a železa a spotřeby energie na počet </w:t>
      </w:r>
      <w:proofErr w:type="spellStart"/>
      <w:r w:rsidRPr="003B5838">
        <w:t>padllých</w:t>
      </w:r>
      <w:proofErr w:type="spellEnd"/>
      <w:r w:rsidRPr="003B5838">
        <w:t xml:space="preserve"> během Irácko-íránské války (1980-1988). Výzkumnou otázkou je, zda tyto faktory ovlivňují počet padlých. Nulová hypotéza uvádí žádný dopad, zatímco alternativní hypotéza naznačuje vliv. S využitím dat z </w:t>
      </w:r>
      <w:commentRangeStart w:id="3"/>
      <w:r w:rsidRPr="003B5838">
        <w:t xml:space="preserve">datových souborů </w:t>
      </w:r>
      <w:proofErr w:type="spellStart"/>
      <w:r w:rsidRPr="003B5838">
        <w:t>Correlates</w:t>
      </w:r>
      <w:proofErr w:type="spellEnd"/>
      <w:r w:rsidRPr="003B5838">
        <w:t xml:space="preserve"> </w:t>
      </w:r>
      <w:proofErr w:type="spellStart"/>
      <w:r w:rsidRPr="003B5838">
        <w:t>of</w:t>
      </w:r>
      <w:proofErr w:type="spellEnd"/>
      <w:r w:rsidRPr="003B5838">
        <w:t xml:space="preserve"> </w:t>
      </w:r>
      <w:proofErr w:type="spellStart"/>
      <w:r w:rsidRPr="003B5838">
        <w:t>War</w:t>
      </w:r>
      <w:proofErr w:type="spellEnd"/>
      <w:r w:rsidRPr="003B5838">
        <w:t xml:space="preserve"> (COW) a PRIO </w:t>
      </w:r>
      <w:commentRangeEnd w:id="3"/>
      <w:r w:rsidR="007C075A">
        <w:rPr>
          <w:rStyle w:val="Odkaznakoment"/>
        </w:rPr>
        <w:commentReference w:id="3"/>
      </w:r>
      <w:r w:rsidRPr="003B5838">
        <w:t>byly provedeny korelační a regresní analýzy. Výsledky ukazují mírnou pozitivní korelaci mezi vojenskými výdaji a oběťmi a negativní korelaci mezi spotřebou energie a oběťmi. Vliv spotřeby energie byl statisticky významný. Navzdory datovým omezením, včetně souhrnných údajů o obětech a potenciálních nepřesností, studie nabízí pohled na ekonomické a vojenské faktory ovlivňující válečné oběti.</w:t>
      </w:r>
      <w:r w:rsidR="002C5C8B">
        <w:br w:type="page"/>
      </w:r>
    </w:p>
    <w:bookmarkStart w:id="4" w:name="_Toc167638286" w:displacedByCustomXml="next"/>
    <w:sdt>
      <w:sdtPr>
        <w:rPr>
          <w:sz w:val="22"/>
          <w:szCs w:val="22"/>
        </w:rPr>
        <w:id w:val="-333993517"/>
        <w:docPartObj>
          <w:docPartGallery w:val="Table of Contents"/>
          <w:docPartUnique/>
        </w:docPartObj>
      </w:sdtPr>
      <w:sdtEndPr>
        <w:rPr>
          <w:b/>
          <w:bCs/>
          <w:noProof/>
        </w:rPr>
      </w:sdtEndPr>
      <w:sdtContent>
        <w:p w14:paraId="0F072A5E" w14:textId="77777777" w:rsidR="003B5838" w:rsidRDefault="002C5C8B" w:rsidP="002C5C8B">
          <w:pPr>
            <w:pStyle w:val="Nadpis1"/>
            <w:rPr>
              <w:noProof/>
            </w:rPr>
          </w:pPr>
          <w:r w:rsidRPr="002C5C8B">
            <w:t>Obsah</w:t>
          </w:r>
          <w:bookmarkEnd w:id="4"/>
          <w:r>
            <w:fldChar w:fldCharType="begin"/>
          </w:r>
          <w:r>
            <w:instrText xml:space="preserve"> TOC \o "1-3" \h \z \u </w:instrText>
          </w:r>
          <w:r>
            <w:fldChar w:fldCharType="separate"/>
          </w:r>
        </w:p>
        <w:p w14:paraId="5BFB77EA" w14:textId="18E416A8" w:rsidR="003B5838" w:rsidRDefault="003B5838">
          <w:pPr>
            <w:pStyle w:val="Obsah1"/>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85" w:history="1">
            <w:r w:rsidRPr="00556C10">
              <w:rPr>
                <w:rStyle w:val="Hypertextovodkaz"/>
                <w:noProof/>
              </w:rPr>
              <w:t>Abstrakt</w:t>
            </w:r>
            <w:r>
              <w:rPr>
                <w:noProof/>
                <w:webHidden/>
              </w:rPr>
              <w:tab/>
            </w:r>
            <w:r>
              <w:rPr>
                <w:noProof/>
                <w:webHidden/>
              </w:rPr>
              <w:fldChar w:fldCharType="begin"/>
            </w:r>
            <w:r>
              <w:rPr>
                <w:noProof/>
                <w:webHidden/>
              </w:rPr>
              <w:instrText xml:space="preserve"> PAGEREF _Toc167638285 \h </w:instrText>
            </w:r>
            <w:r>
              <w:rPr>
                <w:noProof/>
                <w:webHidden/>
              </w:rPr>
            </w:r>
            <w:r>
              <w:rPr>
                <w:noProof/>
                <w:webHidden/>
              </w:rPr>
              <w:fldChar w:fldCharType="separate"/>
            </w:r>
            <w:r>
              <w:rPr>
                <w:noProof/>
                <w:webHidden/>
              </w:rPr>
              <w:t>2</w:t>
            </w:r>
            <w:r>
              <w:rPr>
                <w:noProof/>
                <w:webHidden/>
              </w:rPr>
              <w:fldChar w:fldCharType="end"/>
            </w:r>
          </w:hyperlink>
        </w:p>
        <w:p w14:paraId="59343189" w14:textId="076995AD" w:rsidR="003B5838" w:rsidRDefault="003B5838">
          <w:pPr>
            <w:pStyle w:val="Obsah1"/>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86" w:history="1">
            <w:r w:rsidRPr="00556C10">
              <w:rPr>
                <w:rStyle w:val="Hypertextovodkaz"/>
                <w:noProof/>
              </w:rPr>
              <w:t>Obsah</w:t>
            </w:r>
            <w:r>
              <w:rPr>
                <w:noProof/>
                <w:webHidden/>
              </w:rPr>
              <w:tab/>
            </w:r>
            <w:r>
              <w:rPr>
                <w:noProof/>
                <w:webHidden/>
              </w:rPr>
              <w:fldChar w:fldCharType="begin"/>
            </w:r>
            <w:r>
              <w:rPr>
                <w:noProof/>
                <w:webHidden/>
              </w:rPr>
              <w:instrText xml:space="preserve"> PAGEREF _Toc167638286 \h </w:instrText>
            </w:r>
            <w:r>
              <w:rPr>
                <w:noProof/>
                <w:webHidden/>
              </w:rPr>
            </w:r>
            <w:r>
              <w:rPr>
                <w:noProof/>
                <w:webHidden/>
              </w:rPr>
              <w:fldChar w:fldCharType="separate"/>
            </w:r>
            <w:r>
              <w:rPr>
                <w:noProof/>
                <w:webHidden/>
              </w:rPr>
              <w:t>3</w:t>
            </w:r>
            <w:r>
              <w:rPr>
                <w:noProof/>
                <w:webHidden/>
              </w:rPr>
              <w:fldChar w:fldCharType="end"/>
            </w:r>
          </w:hyperlink>
        </w:p>
        <w:p w14:paraId="425D3354" w14:textId="0C8DD3A1" w:rsidR="003B5838" w:rsidRDefault="003B5838">
          <w:pPr>
            <w:pStyle w:val="Obsah1"/>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87" w:history="1">
            <w:r w:rsidRPr="00556C10">
              <w:rPr>
                <w:rStyle w:val="Hypertextovodkaz"/>
                <w:noProof/>
              </w:rPr>
              <w:t>Úvod</w:t>
            </w:r>
            <w:r>
              <w:rPr>
                <w:noProof/>
                <w:webHidden/>
              </w:rPr>
              <w:tab/>
            </w:r>
            <w:r>
              <w:rPr>
                <w:noProof/>
                <w:webHidden/>
              </w:rPr>
              <w:fldChar w:fldCharType="begin"/>
            </w:r>
            <w:r>
              <w:rPr>
                <w:noProof/>
                <w:webHidden/>
              </w:rPr>
              <w:instrText xml:space="preserve"> PAGEREF _Toc167638287 \h </w:instrText>
            </w:r>
            <w:r>
              <w:rPr>
                <w:noProof/>
                <w:webHidden/>
              </w:rPr>
            </w:r>
            <w:r>
              <w:rPr>
                <w:noProof/>
                <w:webHidden/>
              </w:rPr>
              <w:fldChar w:fldCharType="separate"/>
            </w:r>
            <w:r>
              <w:rPr>
                <w:noProof/>
                <w:webHidden/>
              </w:rPr>
              <w:t>4</w:t>
            </w:r>
            <w:r>
              <w:rPr>
                <w:noProof/>
                <w:webHidden/>
              </w:rPr>
              <w:fldChar w:fldCharType="end"/>
            </w:r>
          </w:hyperlink>
        </w:p>
        <w:p w14:paraId="0C870033" w14:textId="272BBABD" w:rsidR="003B5838" w:rsidRDefault="003B5838">
          <w:pPr>
            <w:pStyle w:val="Obsah2"/>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88" w:history="1">
            <w:r w:rsidRPr="00556C10">
              <w:rPr>
                <w:rStyle w:val="Hypertextovodkaz"/>
                <w:noProof/>
              </w:rPr>
              <w:t>Po</w:t>
            </w:r>
            <w:r w:rsidRPr="00556C10">
              <w:rPr>
                <w:rStyle w:val="Hypertextovodkaz"/>
                <w:noProof/>
                <w:lang w:val="cs-CZ"/>
              </w:rPr>
              <w:t>zadí a příčiny konfliktu</w:t>
            </w:r>
            <w:r>
              <w:rPr>
                <w:noProof/>
                <w:webHidden/>
              </w:rPr>
              <w:tab/>
            </w:r>
            <w:r>
              <w:rPr>
                <w:noProof/>
                <w:webHidden/>
              </w:rPr>
              <w:fldChar w:fldCharType="begin"/>
            </w:r>
            <w:r>
              <w:rPr>
                <w:noProof/>
                <w:webHidden/>
              </w:rPr>
              <w:instrText xml:space="preserve"> PAGEREF _Toc167638288 \h </w:instrText>
            </w:r>
            <w:r>
              <w:rPr>
                <w:noProof/>
                <w:webHidden/>
              </w:rPr>
            </w:r>
            <w:r>
              <w:rPr>
                <w:noProof/>
                <w:webHidden/>
              </w:rPr>
              <w:fldChar w:fldCharType="separate"/>
            </w:r>
            <w:r>
              <w:rPr>
                <w:noProof/>
                <w:webHidden/>
              </w:rPr>
              <w:t>4</w:t>
            </w:r>
            <w:r>
              <w:rPr>
                <w:noProof/>
                <w:webHidden/>
              </w:rPr>
              <w:fldChar w:fldCharType="end"/>
            </w:r>
          </w:hyperlink>
        </w:p>
        <w:p w14:paraId="321F6079" w14:textId="139254EF" w:rsidR="003B5838" w:rsidRDefault="003B5838">
          <w:pPr>
            <w:pStyle w:val="Obsah2"/>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89" w:history="1">
            <w:r w:rsidRPr="00556C10">
              <w:rPr>
                <w:rStyle w:val="Hypertextovodkaz"/>
                <w:noProof/>
              </w:rPr>
              <w:t>Relevance výzkumu</w:t>
            </w:r>
            <w:r>
              <w:rPr>
                <w:noProof/>
                <w:webHidden/>
              </w:rPr>
              <w:tab/>
            </w:r>
            <w:r>
              <w:rPr>
                <w:noProof/>
                <w:webHidden/>
              </w:rPr>
              <w:fldChar w:fldCharType="begin"/>
            </w:r>
            <w:r>
              <w:rPr>
                <w:noProof/>
                <w:webHidden/>
              </w:rPr>
              <w:instrText xml:space="preserve"> PAGEREF _Toc167638289 \h </w:instrText>
            </w:r>
            <w:r>
              <w:rPr>
                <w:noProof/>
                <w:webHidden/>
              </w:rPr>
            </w:r>
            <w:r>
              <w:rPr>
                <w:noProof/>
                <w:webHidden/>
              </w:rPr>
              <w:fldChar w:fldCharType="separate"/>
            </w:r>
            <w:r>
              <w:rPr>
                <w:noProof/>
                <w:webHidden/>
              </w:rPr>
              <w:t>5</w:t>
            </w:r>
            <w:r>
              <w:rPr>
                <w:noProof/>
                <w:webHidden/>
              </w:rPr>
              <w:fldChar w:fldCharType="end"/>
            </w:r>
          </w:hyperlink>
        </w:p>
        <w:p w14:paraId="78C4C16B" w14:textId="6904E92E" w:rsidR="003B5838" w:rsidRDefault="003B5838">
          <w:pPr>
            <w:pStyle w:val="Obsah2"/>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0" w:history="1">
            <w:r w:rsidRPr="00556C10">
              <w:rPr>
                <w:rStyle w:val="Hypertextovodkaz"/>
                <w:noProof/>
              </w:rPr>
              <w:t>Cíl výzkumu</w:t>
            </w:r>
            <w:r>
              <w:rPr>
                <w:noProof/>
                <w:webHidden/>
              </w:rPr>
              <w:tab/>
            </w:r>
            <w:r>
              <w:rPr>
                <w:noProof/>
                <w:webHidden/>
              </w:rPr>
              <w:fldChar w:fldCharType="begin"/>
            </w:r>
            <w:r>
              <w:rPr>
                <w:noProof/>
                <w:webHidden/>
              </w:rPr>
              <w:instrText xml:space="preserve"> PAGEREF _Toc167638290 \h </w:instrText>
            </w:r>
            <w:r>
              <w:rPr>
                <w:noProof/>
                <w:webHidden/>
              </w:rPr>
            </w:r>
            <w:r>
              <w:rPr>
                <w:noProof/>
                <w:webHidden/>
              </w:rPr>
              <w:fldChar w:fldCharType="separate"/>
            </w:r>
            <w:r>
              <w:rPr>
                <w:noProof/>
                <w:webHidden/>
              </w:rPr>
              <w:t>5</w:t>
            </w:r>
            <w:r>
              <w:rPr>
                <w:noProof/>
                <w:webHidden/>
              </w:rPr>
              <w:fldChar w:fldCharType="end"/>
            </w:r>
          </w:hyperlink>
        </w:p>
        <w:p w14:paraId="2F3D204E" w14:textId="04129446" w:rsidR="003B5838" w:rsidRDefault="003B5838">
          <w:pPr>
            <w:pStyle w:val="Obsah1"/>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1" w:history="1">
            <w:r w:rsidRPr="00556C10">
              <w:rPr>
                <w:rStyle w:val="Hypertextovodkaz"/>
                <w:noProof/>
              </w:rPr>
              <w:t>Přehled literatury</w:t>
            </w:r>
            <w:r>
              <w:rPr>
                <w:noProof/>
                <w:webHidden/>
              </w:rPr>
              <w:tab/>
            </w:r>
            <w:r>
              <w:rPr>
                <w:noProof/>
                <w:webHidden/>
              </w:rPr>
              <w:fldChar w:fldCharType="begin"/>
            </w:r>
            <w:r>
              <w:rPr>
                <w:noProof/>
                <w:webHidden/>
              </w:rPr>
              <w:instrText xml:space="preserve"> PAGEREF _Toc167638291 \h </w:instrText>
            </w:r>
            <w:r>
              <w:rPr>
                <w:noProof/>
                <w:webHidden/>
              </w:rPr>
            </w:r>
            <w:r>
              <w:rPr>
                <w:noProof/>
                <w:webHidden/>
              </w:rPr>
              <w:fldChar w:fldCharType="separate"/>
            </w:r>
            <w:r>
              <w:rPr>
                <w:noProof/>
                <w:webHidden/>
              </w:rPr>
              <w:t>6</w:t>
            </w:r>
            <w:r>
              <w:rPr>
                <w:noProof/>
                <w:webHidden/>
              </w:rPr>
              <w:fldChar w:fldCharType="end"/>
            </w:r>
          </w:hyperlink>
        </w:p>
        <w:p w14:paraId="570D22AE" w14:textId="060388DF" w:rsidR="003B5838" w:rsidRDefault="003B5838">
          <w:pPr>
            <w:pStyle w:val="Obsah1"/>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2" w:history="1">
            <w:r w:rsidRPr="00556C10">
              <w:rPr>
                <w:rStyle w:val="Hypertextovodkaz"/>
                <w:noProof/>
              </w:rPr>
              <w:t>Analýza dat</w:t>
            </w:r>
            <w:r>
              <w:rPr>
                <w:noProof/>
                <w:webHidden/>
              </w:rPr>
              <w:tab/>
            </w:r>
            <w:r>
              <w:rPr>
                <w:noProof/>
                <w:webHidden/>
              </w:rPr>
              <w:fldChar w:fldCharType="begin"/>
            </w:r>
            <w:r>
              <w:rPr>
                <w:noProof/>
                <w:webHidden/>
              </w:rPr>
              <w:instrText xml:space="preserve"> PAGEREF _Toc167638292 \h </w:instrText>
            </w:r>
            <w:r>
              <w:rPr>
                <w:noProof/>
                <w:webHidden/>
              </w:rPr>
            </w:r>
            <w:r>
              <w:rPr>
                <w:noProof/>
                <w:webHidden/>
              </w:rPr>
              <w:fldChar w:fldCharType="separate"/>
            </w:r>
            <w:r>
              <w:rPr>
                <w:noProof/>
                <w:webHidden/>
              </w:rPr>
              <w:t>7</w:t>
            </w:r>
            <w:r>
              <w:rPr>
                <w:noProof/>
                <w:webHidden/>
              </w:rPr>
              <w:fldChar w:fldCharType="end"/>
            </w:r>
          </w:hyperlink>
        </w:p>
        <w:p w14:paraId="2DF85EF4" w14:textId="01C6D21D" w:rsidR="003B5838" w:rsidRDefault="003B5838">
          <w:pPr>
            <w:pStyle w:val="Obsah2"/>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3" w:history="1">
            <w:r w:rsidRPr="00556C10">
              <w:rPr>
                <w:rStyle w:val="Hypertextovodkaz"/>
                <w:noProof/>
              </w:rPr>
              <w:t>Datasety</w:t>
            </w:r>
            <w:r>
              <w:rPr>
                <w:noProof/>
                <w:webHidden/>
              </w:rPr>
              <w:tab/>
            </w:r>
            <w:r>
              <w:rPr>
                <w:noProof/>
                <w:webHidden/>
              </w:rPr>
              <w:fldChar w:fldCharType="begin"/>
            </w:r>
            <w:r>
              <w:rPr>
                <w:noProof/>
                <w:webHidden/>
              </w:rPr>
              <w:instrText xml:space="preserve"> PAGEREF _Toc167638293 \h </w:instrText>
            </w:r>
            <w:r>
              <w:rPr>
                <w:noProof/>
                <w:webHidden/>
              </w:rPr>
            </w:r>
            <w:r>
              <w:rPr>
                <w:noProof/>
                <w:webHidden/>
              </w:rPr>
              <w:fldChar w:fldCharType="separate"/>
            </w:r>
            <w:r>
              <w:rPr>
                <w:noProof/>
                <w:webHidden/>
              </w:rPr>
              <w:t>7</w:t>
            </w:r>
            <w:r>
              <w:rPr>
                <w:noProof/>
                <w:webHidden/>
              </w:rPr>
              <w:fldChar w:fldCharType="end"/>
            </w:r>
          </w:hyperlink>
        </w:p>
        <w:p w14:paraId="2C5F8624" w14:textId="0AB102A8" w:rsidR="003B5838" w:rsidRDefault="003B5838">
          <w:pPr>
            <w:pStyle w:val="Obsah2"/>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4" w:history="1">
            <w:r w:rsidRPr="00556C10">
              <w:rPr>
                <w:rStyle w:val="Hypertextovodkaz"/>
                <w:noProof/>
              </w:rPr>
              <w:t>Postup analýzy dat</w:t>
            </w:r>
            <w:r>
              <w:rPr>
                <w:noProof/>
                <w:webHidden/>
              </w:rPr>
              <w:tab/>
            </w:r>
            <w:r>
              <w:rPr>
                <w:noProof/>
                <w:webHidden/>
              </w:rPr>
              <w:fldChar w:fldCharType="begin"/>
            </w:r>
            <w:r>
              <w:rPr>
                <w:noProof/>
                <w:webHidden/>
              </w:rPr>
              <w:instrText xml:space="preserve"> PAGEREF _Toc167638294 \h </w:instrText>
            </w:r>
            <w:r>
              <w:rPr>
                <w:noProof/>
                <w:webHidden/>
              </w:rPr>
            </w:r>
            <w:r>
              <w:rPr>
                <w:noProof/>
                <w:webHidden/>
              </w:rPr>
              <w:fldChar w:fldCharType="separate"/>
            </w:r>
            <w:r>
              <w:rPr>
                <w:noProof/>
                <w:webHidden/>
              </w:rPr>
              <w:t>7</w:t>
            </w:r>
            <w:r>
              <w:rPr>
                <w:noProof/>
                <w:webHidden/>
              </w:rPr>
              <w:fldChar w:fldCharType="end"/>
            </w:r>
          </w:hyperlink>
        </w:p>
        <w:p w14:paraId="67A9E233" w14:textId="765D923F" w:rsidR="003B5838" w:rsidRDefault="003B5838">
          <w:pPr>
            <w:pStyle w:val="Obsah2"/>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5" w:history="1">
            <w:r w:rsidRPr="00556C10">
              <w:rPr>
                <w:rStyle w:val="Hypertextovodkaz"/>
                <w:noProof/>
                <w:highlight w:val="white"/>
              </w:rPr>
              <w:t>Interpretace dat a přijmutí hypotéz</w:t>
            </w:r>
            <w:r>
              <w:rPr>
                <w:noProof/>
                <w:webHidden/>
              </w:rPr>
              <w:tab/>
            </w:r>
            <w:r>
              <w:rPr>
                <w:noProof/>
                <w:webHidden/>
              </w:rPr>
              <w:fldChar w:fldCharType="begin"/>
            </w:r>
            <w:r>
              <w:rPr>
                <w:noProof/>
                <w:webHidden/>
              </w:rPr>
              <w:instrText xml:space="preserve"> PAGEREF _Toc167638295 \h </w:instrText>
            </w:r>
            <w:r>
              <w:rPr>
                <w:noProof/>
                <w:webHidden/>
              </w:rPr>
            </w:r>
            <w:r>
              <w:rPr>
                <w:noProof/>
                <w:webHidden/>
              </w:rPr>
              <w:fldChar w:fldCharType="separate"/>
            </w:r>
            <w:r>
              <w:rPr>
                <w:noProof/>
                <w:webHidden/>
              </w:rPr>
              <w:t>12</w:t>
            </w:r>
            <w:r>
              <w:rPr>
                <w:noProof/>
                <w:webHidden/>
              </w:rPr>
              <w:fldChar w:fldCharType="end"/>
            </w:r>
          </w:hyperlink>
        </w:p>
        <w:p w14:paraId="7B57B789" w14:textId="2DE3084E" w:rsidR="003B5838" w:rsidRDefault="003B5838">
          <w:pPr>
            <w:pStyle w:val="Obsah1"/>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6" w:history="1">
            <w:r w:rsidRPr="00556C10">
              <w:rPr>
                <w:rStyle w:val="Hypertextovodkaz"/>
                <w:noProof/>
                <w:highlight w:val="white"/>
              </w:rPr>
              <w:t>Limity výzkumu</w:t>
            </w:r>
            <w:r>
              <w:rPr>
                <w:noProof/>
                <w:webHidden/>
              </w:rPr>
              <w:tab/>
            </w:r>
            <w:r>
              <w:rPr>
                <w:noProof/>
                <w:webHidden/>
              </w:rPr>
              <w:fldChar w:fldCharType="begin"/>
            </w:r>
            <w:r>
              <w:rPr>
                <w:noProof/>
                <w:webHidden/>
              </w:rPr>
              <w:instrText xml:space="preserve"> PAGEREF _Toc167638296 \h </w:instrText>
            </w:r>
            <w:r>
              <w:rPr>
                <w:noProof/>
                <w:webHidden/>
              </w:rPr>
            </w:r>
            <w:r>
              <w:rPr>
                <w:noProof/>
                <w:webHidden/>
              </w:rPr>
              <w:fldChar w:fldCharType="separate"/>
            </w:r>
            <w:r>
              <w:rPr>
                <w:noProof/>
                <w:webHidden/>
              </w:rPr>
              <w:t>13</w:t>
            </w:r>
            <w:r>
              <w:rPr>
                <w:noProof/>
                <w:webHidden/>
              </w:rPr>
              <w:fldChar w:fldCharType="end"/>
            </w:r>
          </w:hyperlink>
        </w:p>
        <w:p w14:paraId="6F28EA05" w14:textId="79154741" w:rsidR="003B5838" w:rsidRDefault="003B5838">
          <w:pPr>
            <w:pStyle w:val="Obsah1"/>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7" w:history="1">
            <w:r w:rsidRPr="00556C10">
              <w:rPr>
                <w:rStyle w:val="Hypertextovodkaz"/>
                <w:noProof/>
                <w:highlight w:val="white"/>
              </w:rPr>
              <w:t>Závěr</w:t>
            </w:r>
            <w:r>
              <w:rPr>
                <w:noProof/>
                <w:webHidden/>
              </w:rPr>
              <w:tab/>
            </w:r>
            <w:r>
              <w:rPr>
                <w:noProof/>
                <w:webHidden/>
              </w:rPr>
              <w:fldChar w:fldCharType="begin"/>
            </w:r>
            <w:r>
              <w:rPr>
                <w:noProof/>
                <w:webHidden/>
              </w:rPr>
              <w:instrText xml:space="preserve"> PAGEREF _Toc167638297 \h </w:instrText>
            </w:r>
            <w:r>
              <w:rPr>
                <w:noProof/>
                <w:webHidden/>
              </w:rPr>
            </w:r>
            <w:r>
              <w:rPr>
                <w:noProof/>
                <w:webHidden/>
              </w:rPr>
              <w:fldChar w:fldCharType="separate"/>
            </w:r>
            <w:r>
              <w:rPr>
                <w:noProof/>
                <w:webHidden/>
              </w:rPr>
              <w:t>13</w:t>
            </w:r>
            <w:r>
              <w:rPr>
                <w:noProof/>
                <w:webHidden/>
              </w:rPr>
              <w:fldChar w:fldCharType="end"/>
            </w:r>
          </w:hyperlink>
        </w:p>
        <w:p w14:paraId="0FA6A759" w14:textId="14D07CAD" w:rsidR="003B5838" w:rsidRDefault="003B5838">
          <w:pPr>
            <w:pStyle w:val="Obsah1"/>
            <w:tabs>
              <w:tab w:val="right" w:leader="dot" w:pos="9019"/>
            </w:tabs>
            <w:rPr>
              <w:rFonts w:asciiTheme="minorHAnsi" w:eastAsiaTheme="minorEastAsia" w:hAnsiTheme="minorHAnsi" w:cstheme="minorBidi"/>
              <w:noProof/>
              <w:kern w:val="2"/>
              <w:sz w:val="24"/>
              <w:szCs w:val="24"/>
              <w:lang w:val="en-US"/>
              <w14:ligatures w14:val="standardContextual"/>
            </w:rPr>
          </w:pPr>
          <w:hyperlink w:anchor="_Toc167638298" w:history="1">
            <w:r w:rsidRPr="00556C10">
              <w:rPr>
                <w:rStyle w:val="Hypertextovodkaz"/>
                <w:noProof/>
                <w:highlight w:val="white"/>
              </w:rPr>
              <w:t>Zdroje</w:t>
            </w:r>
            <w:r>
              <w:rPr>
                <w:noProof/>
                <w:webHidden/>
              </w:rPr>
              <w:tab/>
            </w:r>
            <w:r>
              <w:rPr>
                <w:noProof/>
                <w:webHidden/>
              </w:rPr>
              <w:fldChar w:fldCharType="begin"/>
            </w:r>
            <w:r>
              <w:rPr>
                <w:noProof/>
                <w:webHidden/>
              </w:rPr>
              <w:instrText xml:space="preserve"> PAGEREF _Toc167638298 \h </w:instrText>
            </w:r>
            <w:r>
              <w:rPr>
                <w:noProof/>
                <w:webHidden/>
              </w:rPr>
            </w:r>
            <w:r>
              <w:rPr>
                <w:noProof/>
                <w:webHidden/>
              </w:rPr>
              <w:fldChar w:fldCharType="separate"/>
            </w:r>
            <w:r>
              <w:rPr>
                <w:noProof/>
                <w:webHidden/>
              </w:rPr>
              <w:t>14</w:t>
            </w:r>
            <w:r>
              <w:rPr>
                <w:noProof/>
                <w:webHidden/>
              </w:rPr>
              <w:fldChar w:fldCharType="end"/>
            </w:r>
          </w:hyperlink>
        </w:p>
        <w:p w14:paraId="08E2E902" w14:textId="09A2E9C7" w:rsidR="002C5C8B" w:rsidRDefault="002C5C8B">
          <w:r>
            <w:rPr>
              <w:b/>
              <w:bCs/>
              <w:noProof/>
            </w:rPr>
            <w:fldChar w:fldCharType="end"/>
          </w:r>
        </w:p>
      </w:sdtContent>
    </w:sdt>
    <w:p w14:paraId="0AD8A00F" w14:textId="77777777" w:rsidR="002C5C8B" w:rsidRDefault="002C5C8B">
      <w:pPr>
        <w:spacing w:line="276" w:lineRule="auto"/>
        <w:jc w:val="left"/>
      </w:pPr>
      <w:r>
        <w:br w:type="page"/>
      </w:r>
    </w:p>
    <w:p w14:paraId="278F0602" w14:textId="2C5029AE" w:rsidR="0069055F" w:rsidRDefault="0069055F" w:rsidP="0069055F">
      <w:pPr>
        <w:pStyle w:val="Nadpis1"/>
      </w:pPr>
      <w:bookmarkStart w:id="5" w:name="_Toc167638287"/>
      <w:r>
        <w:lastRenderedPageBreak/>
        <w:t>Úvod</w:t>
      </w:r>
      <w:bookmarkEnd w:id="5"/>
    </w:p>
    <w:p w14:paraId="00B9972C" w14:textId="45FD756F" w:rsidR="002C5C8B" w:rsidRPr="002C5C8B" w:rsidRDefault="002C5C8B" w:rsidP="0069055F">
      <w:pPr>
        <w:pStyle w:val="Nadpis2"/>
        <w:rPr>
          <w:sz w:val="24"/>
          <w:szCs w:val="24"/>
        </w:rPr>
      </w:pPr>
      <w:bookmarkStart w:id="6" w:name="_Toc167638288"/>
      <w:r>
        <w:t>Po</w:t>
      </w:r>
      <w:proofErr w:type="spellStart"/>
      <w:r>
        <w:rPr>
          <w:lang w:val="cs-CZ"/>
        </w:rPr>
        <w:t>zadí</w:t>
      </w:r>
      <w:proofErr w:type="spellEnd"/>
      <w:r>
        <w:rPr>
          <w:lang w:val="cs-CZ"/>
        </w:rPr>
        <w:t xml:space="preserve"> a příčiny konfliktu</w:t>
      </w:r>
      <w:bookmarkEnd w:id="6"/>
    </w:p>
    <w:p w14:paraId="1A15C150" w14:textId="7D52E2C9" w:rsidR="00ED2984" w:rsidRPr="002C5C8B" w:rsidRDefault="00000000" w:rsidP="0069055F">
      <w:pPr>
        <w:rPr>
          <w:sz w:val="32"/>
          <w:szCs w:val="32"/>
          <w:lang w:val="cs-CZ"/>
        </w:rPr>
      </w:pPr>
      <w:r w:rsidRPr="002C5C8B">
        <w:t>Irácko-íránská válka byla jednou z nejkrvavějších, nejdelších a z hlediska důsledků nejvýznamnějších konfliktů, které se odehrály na Blízkém východě ve 20.století (</w:t>
      </w:r>
      <w:proofErr w:type="spellStart"/>
      <w:r w:rsidRPr="002C5C8B">
        <w:t>Kazdal</w:t>
      </w:r>
      <w:proofErr w:type="spellEnd"/>
      <w:r w:rsidRPr="002C5C8B">
        <w:t xml:space="preserve"> 2020). Byl to boj za dominanci mezi dvěma odlišnými režimy. Během průběhu osmiletého konfliktu, si obě strany navzájem způsobily statisícové ztráty na životech. Vůdci obou států, Saddám Hussein a Ajatolláh Chomejní, měli zájem na zisku, který přesahoval teritoria jejich států. Sadám Hussein očekával brzké vítězství nad Íránem a v brzkou vládu nad arabským světem (</w:t>
      </w:r>
      <w:proofErr w:type="spellStart"/>
      <w:r w:rsidRPr="002C5C8B">
        <w:t>Woods</w:t>
      </w:r>
      <w:proofErr w:type="spellEnd"/>
      <w:r w:rsidRPr="002C5C8B">
        <w:t xml:space="preserve"> 2006). Přesvědčení iráckého vedení, že invaze do Íránu bude kampaní vedoucí k rychlému vítězství, pramenilo nejen z chybných zpravodajských informací, stejně jako z hluboké neznalosti historie a povahy nepřítele, ale také z přecenění vojenských schopností Iráku (</w:t>
      </w:r>
      <w:proofErr w:type="spellStart"/>
      <w:r w:rsidRPr="002C5C8B">
        <w:t>Chubin</w:t>
      </w:r>
      <w:proofErr w:type="spellEnd"/>
      <w:r w:rsidRPr="002C5C8B">
        <w:t xml:space="preserve"> 1988). Írán si na druhou stranu představoval vývoz, nedávno vítězné íránské islámské, revoluce do svého blízkého okolí (</w:t>
      </w:r>
      <w:proofErr w:type="spellStart"/>
      <w:r w:rsidRPr="002C5C8B">
        <w:t>Khomeini</w:t>
      </w:r>
      <w:proofErr w:type="spellEnd"/>
      <w:r w:rsidRPr="002C5C8B">
        <w:t xml:space="preserve"> 1980).</w:t>
      </w:r>
    </w:p>
    <w:p w14:paraId="4FA5D003" w14:textId="23D967B9" w:rsidR="00ED2984" w:rsidRPr="0069055F" w:rsidRDefault="00000000" w:rsidP="0069055F">
      <w:r w:rsidRPr="0069055F">
        <w:t xml:space="preserve">Islámská revoluce narušila status Quo, který panoval mezi Íránem a Irákem od podepsání Alžírské dohody v roce 1975, před jejím podpisem obě strany vedly územní spory o oblast </w:t>
      </w:r>
      <w:proofErr w:type="spellStart"/>
      <w:r w:rsidRPr="0069055F">
        <w:t>Khuzestánu</w:t>
      </w:r>
      <w:proofErr w:type="spellEnd"/>
      <w:r w:rsidRPr="0069055F">
        <w:t xml:space="preserve">, kterou Irák považoval za svou, a okolí pohraniční řeky </w:t>
      </w:r>
      <w:proofErr w:type="spellStart"/>
      <w:r w:rsidRPr="0069055F">
        <w:t>Šatt</w:t>
      </w:r>
      <w:proofErr w:type="spellEnd"/>
      <w:r w:rsidRPr="0069055F">
        <w:t xml:space="preserve"> al-Arab. Před začátkem války se stupňovala nepřátelská rétorika obou vůdců a docházelo k pohraničním konfliktům. 22. září 1980 zahájilo irácké letectvo útoky na významné pozemní cíle v Iránu a  irácká armáda zahájila útok na Írán ve směru na </w:t>
      </w:r>
      <w:proofErr w:type="spellStart"/>
      <w:r w:rsidRPr="0069055F">
        <w:t>Khuzestán</w:t>
      </w:r>
      <w:proofErr w:type="spellEnd"/>
      <w:r w:rsidRPr="0069055F">
        <w:t xml:space="preserve"> (</w:t>
      </w:r>
      <w:proofErr w:type="spellStart"/>
      <w:r w:rsidRPr="0069055F">
        <w:t>Pollack</w:t>
      </w:r>
      <w:proofErr w:type="spellEnd"/>
      <w:r w:rsidRPr="0069055F">
        <w:t xml:space="preserve"> 2002). 24. října 1980 se jí pak podařilo dobýt strategické město </w:t>
      </w:r>
      <w:hyperlink r:id="rId11">
        <w:proofErr w:type="spellStart"/>
        <w:r w:rsidR="00ED2984" w:rsidRPr="0069055F">
          <w:t>Chorramschahr</w:t>
        </w:r>
        <w:proofErr w:type="spellEnd"/>
      </w:hyperlink>
      <w:r w:rsidRPr="0069055F">
        <w:t xml:space="preserve">, ležící blízko </w:t>
      </w:r>
      <w:proofErr w:type="spellStart"/>
      <w:r w:rsidRPr="0069055F">
        <w:t>Šatt</w:t>
      </w:r>
      <w:proofErr w:type="spellEnd"/>
      <w:r w:rsidRPr="0069055F">
        <w:t xml:space="preserve"> al-Arab. Ke konci roku 1980 se irácké armádě podařilo obsadit 14 000 km čtverečních (</w:t>
      </w:r>
      <w:proofErr w:type="spellStart"/>
      <w:r w:rsidRPr="0069055F">
        <w:t>Hoffpauir</w:t>
      </w:r>
      <w:proofErr w:type="spellEnd"/>
      <w:r w:rsidRPr="0069055F">
        <w:t xml:space="preserve"> 1991).</w:t>
      </w:r>
    </w:p>
    <w:p w14:paraId="2729D48A" w14:textId="535937B7" w:rsidR="00ED2984" w:rsidRPr="0069055F" w:rsidRDefault="00000000" w:rsidP="0069055F">
      <w:r w:rsidRPr="0069055F">
        <w:t xml:space="preserve">Rok 1981 byl význačný především zastavením iráckého útoku a první velké íránské protiofenzívy, operace </w:t>
      </w:r>
      <w:proofErr w:type="spellStart"/>
      <w:r w:rsidRPr="0069055F">
        <w:t>Nasr</w:t>
      </w:r>
      <w:proofErr w:type="spellEnd"/>
      <w:r w:rsidRPr="0069055F">
        <w:t xml:space="preserve">, a začátku postupného vytlačování iráckých sil z íránského území. V roce 1982, pak Írán zahájil další ofenzívu v rámci, které se Íránu podařilo znovu dobýt město </w:t>
      </w:r>
      <w:proofErr w:type="spellStart"/>
      <w:r w:rsidRPr="0069055F">
        <w:t>Chorramschahr</w:t>
      </w:r>
      <w:proofErr w:type="spellEnd"/>
      <w:r w:rsidRPr="0069055F">
        <w:t xml:space="preserve"> a překročit v červnu původní </w:t>
      </w:r>
      <w:proofErr w:type="spellStart"/>
      <w:r w:rsidRPr="0069055F">
        <w:t>íransko</w:t>
      </w:r>
      <w:proofErr w:type="spellEnd"/>
      <w:r w:rsidRPr="0069055F">
        <w:t>-iráckou hranici (</w:t>
      </w:r>
      <w:proofErr w:type="spellStart"/>
      <w:r w:rsidRPr="0069055F">
        <w:t>Furtig</w:t>
      </w:r>
      <w:proofErr w:type="spellEnd"/>
      <w:r w:rsidRPr="0069055F">
        <w:t xml:space="preserve"> 1992). Na základě toho se pokusilo irácké vedení vyhlásit příměří, které </w:t>
      </w:r>
      <w:proofErr w:type="spellStart"/>
      <w:r w:rsidRPr="0069055F">
        <w:t>íránska</w:t>
      </w:r>
      <w:proofErr w:type="spellEnd"/>
      <w:r w:rsidRPr="0069055F">
        <w:t xml:space="preserve"> strana odmítla. Důvodem odmítnutí tohoto příměří můžeme využít domněnku, že v počátečním období války, šlo Íránu o obranu státu, ale po úspěšné ofenzívě šlo již o šíření myšlenek islámské revoluce(</w:t>
      </w:r>
      <w:proofErr w:type="spellStart"/>
      <w:r w:rsidRPr="0069055F">
        <w:t>Khomeini</w:t>
      </w:r>
      <w:proofErr w:type="spellEnd"/>
      <w:r w:rsidRPr="0069055F">
        <w:t xml:space="preserve"> 1984). Roky 1983, 1984,1985 se pak nesly především ve znamení četných íránských ofenzív v okolí provincie Basra. V roce 1986 zahájili íránské jednotky ofenzívu směrem na přístavní  město </w:t>
      </w:r>
      <w:proofErr w:type="spellStart"/>
      <w:r w:rsidRPr="0069055F">
        <w:t>Faw</w:t>
      </w:r>
      <w:proofErr w:type="spellEnd"/>
      <w:r w:rsidRPr="0069055F">
        <w:t xml:space="preserve"> a obsazení pozemní hranice s </w:t>
      </w:r>
      <w:proofErr w:type="spellStart"/>
      <w:r w:rsidRPr="0069055F">
        <w:t>Kuwaitem</w:t>
      </w:r>
      <w:proofErr w:type="spellEnd"/>
      <w:r w:rsidRPr="0069055F">
        <w:t xml:space="preserve">, čím zablokovali Iráku přístup do Perského zálivu (Murray, </w:t>
      </w:r>
      <w:proofErr w:type="spellStart"/>
      <w:r w:rsidRPr="0069055F">
        <w:t>Woods</w:t>
      </w:r>
      <w:proofErr w:type="spellEnd"/>
      <w:r w:rsidRPr="0069055F">
        <w:t xml:space="preserve"> 2014). Na konci roku, se pak Iráčanům za značných ztrát podařilo spojení k zálivu obnovit.  9. ledna 1987 začala severně od Basry největší íránská ofenzíva války, operace </w:t>
      </w:r>
      <w:proofErr w:type="spellStart"/>
      <w:r w:rsidRPr="0069055F">
        <w:t>Karbala</w:t>
      </w:r>
      <w:proofErr w:type="spellEnd"/>
      <w:r w:rsidRPr="0069055F">
        <w:t xml:space="preserve"> 5.</w:t>
      </w:r>
      <w:r w:rsidR="003B5838">
        <w:t xml:space="preserve"> </w:t>
      </w:r>
      <w:r w:rsidRPr="0069055F">
        <w:t xml:space="preserve"> Íránci dobyli irácké pohraniční město </w:t>
      </w:r>
      <w:proofErr w:type="spellStart"/>
      <w:r w:rsidRPr="0069055F">
        <w:t>Duajdži</w:t>
      </w:r>
      <w:proofErr w:type="spellEnd"/>
      <w:r w:rsidRPr="0069055F">
        <w:t>, ale nedokázali zcela prolomit hluboké irácké obranné linie.</w:t>
      </w:r>
      <w:r w:rsidR="003B5838">
        <w:t xml:space="preserve"> </w:t>
      </w:r>
      <w:r w:rsidRPr="0069055F">
        <w:t xml:space="preserve">V průběhu ofenzívy byli Íránci schopni obsadit téměř 100 kilometrů čtverečních, většinou však bažiny, a byli zastaveni pouze deset kilometrů východně od přístavu Basra. </w:t>
      </w:r>
      <w:r w:rsidRPr="0069055F">
        <w:lastRenderedPageBreak/>
        <w:t xml:space="preserve">Boje utichly koncem ledna a </w:t>
      </w:r>
      <w:proofErr w:type="spellStart"/>
      <w:r w:rsidRPr="0069055F">
        <w:t>Karbala</w:t>
      </w:r>
      <w:proofErr w:type="spellEnd"/>
      <w:r w:rsidRPr="0069055F">
        <w:t xml:space="preserve"> 5 oficiálně skončila koncem února. Další íránské ofenzivy, včetně </w:t>
      </w:r>
      <w:proofErr w:type="spellStart"/>
      <w:r w:rsidRPr="0069055F">
        <w:t>Karbaly</w:t>
      </w:r>
      <w:proofErr w:type="spellEnd"/>
      <w:r w:rsidRPr="0069055F">
        <w:t xml:space="preserve"> 6 v lednu 1987 a </w:t>
      </w:r>
      <w:proofErr w:type="spellStart"/>
      <w:r w:rsidRPr="0069055F">
        <w:t>Karbaly</w:t>
      </w:r>
      <w:proofErr w:type="spellEnd"/>
      <w:r w:rsidRPr="0069055F">
        <w:t xml:space="preserve"> 7 v březnu 1987, měly za následek značné ztráty na obou stranách, ale bez rozhodujících průlomů. V dubnu 1987 zahájil Írán ofenzívu </w:t>
      </w:r>
      <w:proofErr w:type="spellStart"/>
      <w:r w:rsidRPr="0069055F">
        <w:t>Karbala</w:t>
      </w:r>
      <w:proofErr w:type="spellEnd"/>
      <w:r w:rsidRPr="0069055F">
        <w:t xml:space="preserve"> 8 východně od Basry, přičemž utrpěl těžké ztráty. Pozdější ofenzívy, jako </w:t>
      </w:r>
      <w:proofErr w:type="spellStart"/>
      <w:r w:rsidRPr="0069055F">
        <w:t>Karbala</w:t>
      </w:r>
      <w:proofErr w:type="spellEnd"/>
      <w:r w:rsidRPr="0069055F">
        <w:t xml:space="preserve"> 9 a </w:t>
      </w:r>
      <w:proofErr w:type="spellStart"/>
      <w:r w:rsidRPr="0069055F">
        <w:t>Karbala</w:t>
      </w:r>
      <w:proofErr w:type="spellEnd"/>
      <w:r w:rsidRPr="0069055F">
        <w:t xml:space="preserve"> 10, byly namířeny proti různým sektorům fronty, přičemž ztráty zůstaly vysoké. Na konci léta a na podzim roku 1987 zesílily raketové a dělostřelecké útoky obou stran na strategické cíle (</w:t>
      </w:r>
      <w:proofErr w:type="spellStart"/>
      <w:r w:rsidRPr="0069055F">
        <w:t>Karsch</w:t>
      </w:r>
      <w:proofErr w:type="spellEnd"/>
      <w:r w:rsidRPr="0069055F">
        <w:t xml:space="preserve"> 2002). V roce 1988 se pak daří Iráčanům zastavit část íránských ofenzív a dobýt znovu ostrov </w:t>
      </w:r>
      <w:proofErr w:type="spellStart"/>
      <w:r w:rsidRPr="0069055F">
        <w:t>Faw</w:t>
      </w:r>
      <w:proofErr w:type="spellEnd"/>
      <w:r w:rsidRPr="0069055F">
        <w:t>. Válka se však nikam výrazně neposunula. V červenci 1987 Rada bezpečnosti OSN vydává rezoluci 598, která vyzvala obě strany k příměří. To pak skutečně nastalo v červenci 1987, poté co jej Írán přijal. Tím válka skončila (</w:t>
      </w:r>
      <w:proofErr w:type="spellStart"/>
      <w:r w:rsidRPr="0069055F">
        <w:t>Kazdal</w:t>
      </w:r>
      <w:proofErr w:type="spellEnd"/>
      <w:r w:rsidRPr="0069055F">
        <w:t xml:space="preserve"> 2020).</w:t>
      </w:r>
    </w:p>
    <w:p w14:paraId="0ACB769F" w14:textId="16DF3F18" w:rsidR="00ED2984" w:rsidRDefault="00000000" w:rsidP="002C5C8B">
      <w:pPr>
        <w:pStyle w:val="Nadpis2"/>
      </w:pPr>
      <w:bookmarkStart w:id="7" w:name="_Toc167638289"/>
      <w:r>
        <w:t>Relevance výzkumu</w:t>
      </w:r>
      <w:bookmarkEnd w:id="7"/>
    </w:p>
    <w:p w14:paraId="3A9265FD" w14:textId="1B672C6E" w:rsidR="00ED2984" w:rsidRPr="0069055F" w:rsidRDefault="00000000" w:rsidP="0069055F">
      <w:r w:rsidRPr="0069055F">
        <w:rPr>
          <w:rFonts w:eastAsia="Times New Roman" w:cs="Times New Roman"/>
        </w:rPr>
        <w:t xml:space="preserve">Výzkum Irácko-íránské války je relevantní z důvodu, že se jednalo o první velký konflikt nového íránského režimu po islámské revoluci v roce 1978, a umožňuje nám pochopit dynamiku jakou se íránský režim rozhodoval v klíčových oblastech. Lze z něj čerpat i pro pochopení fungování Íránu v moderní době, a na jakých základech stojí. I ze strany Iráku se jedná o velký milník, jelikož nám umožňuje pochopit strukturu a fungování iráckých ozbrojených sil za režimu Saddáma Husajna a jeho politické fungování. Z toho můžeme vést paralely i pro pozdější iráckou agresi vůči </w:t>
      </w:r>
      <w:proofErr w:type="spellStart"/>
      <w:r w:rsidRPr="0069055F">
        <w:rPr>
          <w:rFonts w:eastAsia="Times New Roman" w:cs="Times New Roman"/>
        </w:rPr>
        <w:t>Kuwajtu</w:t>
      </w:r>
      <w:proofErr w:type="spellEnd"/>
      <w:r w:rsidRPr="0069055F">
        <w:rPr>
          <w:rFonts w:eastAsia="Times New Roman" w:cs="Times New Roman"/>
        </w:rPr>
        <w:t xml:space="preserve">, a pochopit pak následné angažmá části světa během operací </w:t>
      </w:r>
      <w:proofErr w:type="spellStart"/>
      <w:r w:rsidRPr="0069055F">
        <w:rPr>
          <w:rFonts w:eastAsia="Times New Roman" w:cs="Times New Roman"/>
        </w:rPr>
        <w:t>Dessert</w:t>
      </w:r>
      <w:proofErr w:type="spellEnd"/>
      <w:r w:rsidRPr="0069055F">
        <w:rPr>
          <w:rFonts w:eastAsia="Times New Roman" w:cs="Times New Roman"/>
        </w:rPr>
        <w:t xml:space="preserve"> </w:t>
      </w:r>
      <w:proofErr w:type="spellStart"/>
      <w:r w:rsidRPr="0069055F">
        <w:rPr>
          <w:rFonts w:eastAsia="Times New Roman" w:cs="Times New Roman"/>
        </w:rPr>
        <w:t>shield</w:t>
      </w:r>
      <w:proofErr w:type="spellEnd"/>
      <w:r w:rsidRPr="0069055F">
        <w:rPr>
          <w:rFonts w:eastAsia="Times New Roman" w:cs="Times New Roman"/>
        </w:rPr>
        <w:t xml:space="preserve"> a </w:t>
      </w:r>
      <w:proofErr w:type="spellStart"/>
      <w:r w:rsidRPr="0069055F">
        <w:rPr>
          <w:rFonts w:eastAsia="Times New Roman" w:cs="Times New Roman"/>
        </w:rPr>
        <w:t>Dessert</w:t>
      </w:r>
      <w:proofErr w:type="spellEnd"/>
      <w:r w:rsidRPr="0069055F">
        <w:rPr>
          <w:rFonts w:eastAsia="Times New Roman" w:cs="Times New Roman"/>
        </w:rPr>
        <w:t xml:space="preserve"> </w:t>
      </w:r>
      <w:proofErr w:type="spellStart"/>
      <w:r w:rsidRPr="0069055F">
        <w:rPr>
          <w:rFonts w:eastAsia="Times New Roman" w:cs="Times New Roman"/>
        </w:rPr>
        <w:t>storm</w:t>
      </w:r>
      <w:proofErr w:type="spellEnd"/>
      <w:r w:rsidRPr="0069055F">
        <w:rPr>
          <w:rFonts w:eastAsia="Times New Roman" w:cs="Times New Roman"/>
        </w:rPr>
        <w:t xml:space="preserve">. Jedná se o zajímavý konflikt, který byl </w:t>
      </w:r>
      <w:commentRangeStart w:id="8"/>
      <w:commentRangeStart w:id="9"/>
      <w:r w:rsidRPr="0069055F">
        <w:rPr>
          <w:rFonts w:eastAsia="Times New Roman" w:cs="Times New Roman"/>
        </w:rPr>
        <w:t>dle názoru autora</w:t>
      </w:r>
      <w:commentRangeEnd w:id="8"/>
      <w:r w:rsidR="007C075A">
        <w:rPr>
          <w:rStyle w:val="Odkaznakoment"/>
        </w:rPr>
        <w:commentReference w:id="8"/>
      </w:r>
      <w:commentRangeEnd w:id="9"/>
      <w:r w:rsidR="007C075A">
        <w:rPr>
          <w:rStyle w:val="Odkaznakoment"/>
        </w:rPr>
        <w:commentReference w:id="9"/>
      </w:r>
      <w:r w:rsidRPr="0069055F">
        <w:rPr>
          <w:rFonts w:eastAsia="Times New Roman" w:cs="Times New Roman"/>
        </w:rPr>
        <w:t xml:space="preserve"> zastíněn právě válkami proti režimu Saddáma Husajna za účasti amerických sil. Můžeme zde nalézt i výzkumnou mezeru, jelikož publikace o tomto konfliktu jsou povětšinou staršího data, až na publikaci </w:t>
      </w:r>
      <w:proofErr w:type="spellStart"/>
      <w:r w:rsidRPr="0069055F">
        <w:rPr>
          <w:rFonts w:eastAsia="Times New Roman" w:cs="Times New Roman"/>
        </w:rPr>
        <w:t>Woodse</w:t>
      </w:r>
      <w:proofErr w:type="spellEnd"/>
      <w:r w:rsidRPr="0069055F">
        <w:rPr>
          <w:rFonts w:eastAsia="Times New Roman" w:cs="Times New Roman"/>
        </w:rPr>
        <w:t xml:space="preserve"> a </w:t>
      </w:r>
      <w:proofErr w:type="spellStart"/>
      <w:r w:rsidRPr="0069055F">
        <w:rPr>
          <w:rFonts w:eastAsia="Times New Roman" w:cs="Times New Roman"/>
        </w:rPr>
        <w:t>Murrayho</w:t>
      </w:r>
      <w:proofErr w:type="spellEnd"/>
      <w:r w:rsidRPr="0069055F">
        <w:rPr>
          <w:rFonts w:eastAsia="Times New Roman" w:cs="Times New Roman"/>
        </w:rPr>
        <w:t xml:space="preserve">, psané buď během průběhu konfliktu nebo těsně po roce 2000. Dalším aspektem výzkumné mezery je fakt, že publikace se zabývají především samotnou strategií nebo historií války. Ekonomické aspekty jsou řešeny pouze ve vztahu výzkumu pozitivního vlivu vojenských výdajů na ekonomiku států a oběti jsou řešeny pouze v rovině ztrát. Tato studie se tak za pomocí </w:t>
      </w:r>
      <w:commentRangeStart w:id="10"/>
      <w:r w:rsidRPr="0069055F">
        <w:rPr>
          <w:rFonts w:eastAsia="Times New Roman" w:cs="Times New Roman"/>
        </w:rPr>
        <w:t>statistického programu R</w:t>
      </w:r>
      <w:commentRangeEnd w:id="10"/>
      <w:r w:rsidR="007C075A">
        <w:rPr>
          <w:rStyle w:val="Odkaznakoment"/>
        </w:rPr>
        <w:commentReference w:id="10"/>
      </w:r>
      <w:r w:rsidRPr="0069055F">
        <w:rPr>
          <w:rFonts w:eastAsia="Times New Roman" w:cs="Times New Roman"/>
        </w:rPr>
        <w:t xml:space="preserve"> zabývá otázkou</w:t>
      </w:r>
      <w:r w:rsidR="0069055F">
        <w:rPr>
          <w:rFonts w:eastAsia="Times New Roman" w:cs="Times New Roman"/>
        </w:rPr>
        <w:t>,</w:t>
      </w:r>
      <w:r w:rsidRPr="0069055F">
        <w:rPr>
          <w:rFonts w:eastAsia="Times New Roman" w:cs="Times New Roman"/>
        </w:rPr>
        <w:t xml:space="preserve"> zda výše vojenských výdajů a energetické spotřeby má vliv na počet obětí během jednotlivých let války. </w:t>
      </w:r>
    </w:p>
    <w:p w14:paraId="1D5F658B" w14:textId="0FA6BDA5" w:rsidR="00ED2984" w:rsidRPr="002C5C8B" w:rsidRDefault="00000000" w:rsidP="002C5C8B">
      <w:pPr>
        <w:pStyle w:val="Nadpis2"/>
      </w:pPr>
      <w:bookmarkStart w:id="11" w:name="_Toc167638290"/>
      <w:r w:rsidRPr="002C5C8B">
        <w:t>Cíl výzkumu</w:t>
      </w:r>
      <w:bookmarkEnd w:id="11"/>
    </w:p>
    <w:p w14:paraId="6FC735AC" w14:textId="61D884F2" w:rsidR="00ED2984" w:rsidRPr="0069055F" w:rsidRDefault="00000000" w:rsidP="0069055F">
      <w:commentRangeStart w:id="12"/>
      <w:r w:rsidRPr="0069055F">
        <w:t xml:space="preserve">Cílem výzkumu je zjistit, zda existuje vztah mezi vojenskými výdaji, produkcí oceli a železa a energetickou spotřebou na počet padlých během </w:t>
      </w:r>
      <w:proofErr w:type="spellStart"/>
      <w:r w:rsidR="002C5C8B" w:rsidRPr="0069055F">
        <w:t>Irácko</w:t>
      </w:r>
      <w:proofErr w:type="spellEnd"/>
      <w:r w:rsidR="002C5C8B" w:rsidRPr="0069055F">
        <w:t xml:space="preserve"> – íránské</w:t>
      </w:r>
      <w:r w:rsidRPr="0069055F">
        <w:t xml:space="preserve"> války.</w:t>
      </w:r>
      <w:commentRangeEnd w:id="12"/>
      <w:r w:rsidR="007C075A">
        <w:rPr>
          <w:rStyle w:val="Odkaznakoment"/>
        </w:rPr>
        <w:commentReference w:id="12"/>
      </w:r>
      <w:r w:rsidRPr="0069055F">
        <w:t xml:space="preserve"> Na základě toho stavíme tuto výzkumnou otázku a hypotézy:</w:t>
      </w:r>
    </w:p>
    <w:p w14:paraId="4862FFD2" w14:textId="77777777" w:rsidR="00ED2984" w:rsidRPr="0069055F" w:rsidRDefault="00000000" w:rsidP="0069055F">
      <w:pPr>
        <w:rPr>
          <w:i/>
        </w:rPr>
      </w:pPr>
      <w:r w:rsidRPr="0069055F">
        <w:t xml:space="preserve">Výzkumná otázka:  </w:t>
      </w:r>
      <w:r w:rsidRPr="0069055F">
        <w:rPr>
          <w:i/>
        </w:rPr>
        <w:t>Má výše vojenských nákladů, výše produkce oceli a železa a energetická spotřeba vliv na počet padlých v Irácko-íránské válce v letech 1980 až 1988?</w:t>
      </w:r>
    </w:p>
    <w:p w14:paraId="18FCEA57" w14:textId="77777777" w:rsidR="00ED2984" w:rsidRPr="0069055F" w:rsidRDefault="00000000" w:rsidP="0069055F">
      <w:pPr>
        <w:rPr>
          <w:i/>
        </w:rPr>
      </w:pPr>
      <w:r w:rsidRPr="0069055F">
        <w:t>V rámci této výzkumné otázky je ustanovena  výzkumná podotázka:</w:t>
      </w:r>
      <w:r w:rsidRPr="0069055F">
        <w:rPr>
          <w:i/>
        </w:rPr>
        <w:t xml:space="preserve"> Jaký je vliv výše vojenských nákladů, výše produkce oceli a železa a energetické spotřeby na počet padlých v Irácko-íránské válce v letech 1980 až 1988?</w:t>
      </w:r>
    </w:p>
    <w:p w14:paraId="39B6D749" w14:textId="77777777" w:rsidR="00ED2984" w:rsidRPr="0069055F" w:rsidRDefault="00000000" w:rsidP="0069055F">
      <w:r w:rsidRPr="0069055F">
        <w:lastRenderedPageBreak/>
        <w:t xml:space="preserve">Pro tuto výzkumnou otázku a podotázku jsou stanoveny následující hypotézy a nulové hypotézy: </w:t>
      </w:r>
    </w:p>
    <w:p w14:paraId="366DD088" w14:textId="77777777" w:rsidR="00ED2984" w:rsidRPr="0069055F" w:rsidRDefault="00000000" w:rsidP="0069055F">
      <w:r w:rsidRPr="0069055F">
        <w:t>H 0.1:Výše vojenských výdajů(</w:t>
      </w:r>
      <w:proofErr w:type="spellStart"/>
      <w:r w:rsidRPr="0069055F">
        <w:t>milex</w:t>
      </w:r>
      <w:proofErr w:type="spellEnd"/>
      <w:r w:rsidRPr="0069055F">
        <w:t>) nemá vliv na počet padlých(</w:t>
      </w:r>
      <w:proofErr w:type="spellStart"/>
      <w:r w:rsidRPr="0069055F">
        <w:t>bdeadbes</w:t>
      </w:r>
      <w:proofErr w:type="spellEnd"/>
      <w:r w:rsidRPr="0069055F">
        <w:t>).</w:t>
      </w:r>
    </w:p>
    <w:p w14:paraId="2DE5B00C" w14:textId="77777777" w:rsidR="00ED2984" w:rsidRPr="0069055F" w:rsidRDefault="00000000" w:rsidP="0069055F">
      <w:r w:rsidRPr="0069055F">
        <w:t xml:space="preserve">H 1: Výše </w:t>
      </w:r>
      <w:commentRangeStart w:id="13"/>
      <w:proofErr w:type="spellStart"/>
      <w:r w:rsidRPr="0069055F">
        <w:t>milex</w:t>
      </w:r>
      <w:commentRangeEnd w:id="13"/>
      <w:proofErr w:type="spellEnd"/>
      <w:r w:rsidR="007C075A">
        <w:rPr>
          <w:rStyle w:val="Odkaznakoment"/>
        </w:rPr>
        <w:commentReference w:id="13"/>
      </w:r>
      <w:r w:rsidRPr="0069055F">
        <w:t xml:space="preserve"> má vliv na počet </w:t>
      </w:r>
      <w:proofErr w:type="spellStart"/>
      <w:r w:rsidRPr="0069055F">
        <w:t>bdeadbes</w:t>
      </w:r>
      <w:proofErr w:type="spellEnd"/>
    </w:p>
    <w:p w14:paraId="5F9F9081" w14:textId="77777777" w:rsidR="00ED2984" w:rsidRPr="0069055F" w:rsidRDefault="00000000" w:rsidP="0069055F">
      <w:r w:rsidRPr="0069055F">
        <w:t>H 0.2: Výše produkce oceli a železa(</w:t>
      </w:r>
      <w:proofErr w:type="spellStart"/>
      <w:r w:rsidRPr="0069055F">
        <w:t>irst</w:t>
      </w:r>
      <w:proofErr w:type="spellEnd"/>
      <w:r w:rsidRPr="0069055F">
        <w:t xml:space="preserve">) nemá vliv na počet </w:t>
      </w:r>
      <w:proofErr w:type="spellStart"/>
      <w:r w:rsidRPr="0069055F">
        <w:t>bdeadbes</w:t>
      </w:r>
      <w:proofErr w:type="spellEnd"/>
      <w:r w:rsidRPr="0069055F">
        <w:t>.</w:t>
      </w:r>
    </w:p>
    <w:p w14:paraId="07777E08" w14:textId="77777777" w:rsidR="00ED2984" w:rsidRPr="0069055F" w:rsidRDefault="00000000" w:rsidP="0069055F">
      <w:r w:rsidRPr="0069055F">
        <w:t xml:space="preserve">H 2: Výše </w:t>
      </w:r>
      <w:proofErr w:type="spellStart"/>
      <w:r w:rsidRPr="0069055F">
        <w:t>irst</w:t>
      </w:r>
      <w:proofErr w:type="spellEnd"/>
      <w:r w:rsidRPr="0069055F">
        <w:t xml:space="preserve"> má vliv na počet </w:t>
      </w:r>
      <w:proofErr w:type="spellStart"/>
      <w:r w:rsidRPr="0069055F">
        <w:t>bdeadbes</w:t>
      </w:r>
      <w:proofErr w:type="spellEnd"/>
    </w:p>
    <w:p w14:paraId="0E2AB23B" w14:textId="77777777" w:rsidR="00ED2984" w:rsidRPr="0069055F" w:rsidRDefault="00000000" w:rsidP="0069055F">
      <w:r w:rsidRPr="0069055F">
        <w:t xml:space="preserve">H 0.3: Výše energetické spotřeby(pec) nemá vliv na </w:t>
      </w:r>
      <w:proofErr w:type="spellStart"/>
      <w:r w:rsidRPr="0069055F">
        <w:t>bdeadbes</w:t>
      </w:r>
      <w:proofErr w:type="spellEnd"/>
      <w:r w:rsidRPr="0069055F">
        <w:t>.</w:t>
      </w:r>
    </w:p>
    <w:p w14:paraId="17043330" w14:textId="77777777" w:rsidR="00ED2984" w:rsidRPr="0069055F" w:rsidRDefault="00000000" w:rsidP="0069055F">
      <w:r w:rsidRPr="0069055F">
        <w:t xml:space="preserve">H 3. Výše pec má vliv na </w:t>
      </w:r>
      <w:proofErr w:type="spellStart"/>
      <w:r w:rsidRPr="0069055F">
        <w:t>bdeadbes</w:t>
      </w:r>
      <w:proofErr w:type="spellEnd"/>
    </w:p>
    <w:p w14:paraId="172C834B" w14:textId="554C03E0" w:rsidR="00ED2984" w:rsidRDefault="00000000" w:rsidP="002C5C8B">
      <w:pPr>
        <w:pStyle w:val="Nadpis1"/>
      </w:pPr>
      <w:bookmarkStart w:id="14" w:name="_Toc167638291"/>
      <w:commentRangeStart w:id="15"/>
      <w:r>
        <w:t>Přehled literatury</w:t>
      </w:r>
      <w:bookmarkEnd w:id="14"/>
      <w:commentRangeEnd w:id="15"/>
      <w:r w:rsidR="00D45442">
        <w:rPr>
          <w:rStyle w:val="Odkaznakoment"/>
        </w:rPr>
        <w:commentReference w:id="15"/>
      </w:r>
    </w:p>
    <w:p w14:paraId="4B5851DD" w14:textId="77777777" w:rsidR="003B5838" w:rsidRDefault="00000000" w:rsidP="0069055F">
      <w:r w:rsidRPr="0069055F">
        <w:t xml:space="preserve">Problematikou </w:t>
      </w:r>
      <w:r w:rsidR="002C5C8B" w:rsidRPr="0069055F">
        <w:t>Irácko – íránského</w:t>
      </w:r>
      <w:r w:rsidRPr="0069055F">
        <w:t xml:space="preserve"> konfliktu se zabývá vybrána literatura. Kniha </w:t>
      </w:r>
      <w:proofErr w:type="spellStart"/>
      <w:r w:rsidRPr="0069055F">
        <w:rPr>
          <w:i/>
        </w:rPr>
        <w:t>Iran</w:t>
      </w:r>
      <w:proofErr w:type="spellEnd"/>
      <w:r w:rsidRPr="0069055F">
        <w:rPr>
          <w:i/>
        </w:rPr>
        <w:t xml:space="preserve"> And </w:t>
      </w:r>
      <w:proofErr w:type="spellStart"/>
      <w:r w:rsidRPr="0069055F">
        <w:rPr>
          <w:i/>
        </w:rPr>
        <w:t>Iraq</w:t>
      </w:r>
      <w:proofErr w:type="spellEnd"/>
      <w:r w:rsidRPr="0069055F">
        <w:rPr>
          <w:i/>
        </w:rPr>
        <w:t xml:space="preserve"> </w:t>
      </w:r>
      <w:proofErr w:type="spellStart"/>
      <w:r w:rsidRPr="0069055F">
        <w:rPr>
          <w:i/>
        </w:rPr>
        <w:t>at</w:t>
      </w:r>
      <w:proofErr w:type="spellEnd"/>
      <w:r w:rsidRPr="0069055F">
        <w:rPr>
          <w:i/>
        </w:rPr>
        <w:t xml:space="preserve"> </w:t>
      </w:r>
      <w:proofErr w:type="spellStart"/>
      <w:r w:rsidRPr="0069055F">
        <w:rPr>
          <w:i/>
        </w:rPr>
        <w:t>war</w:t>
      </w:r>
      <w:proofErr w:type="spellEnd"/>
      <w:r w:rsidRPr="0069055F">
        <w:rPr>
          <w:i/>
        </w:rPr>
        <w:t xml:space="preserve"> </w:t>
      </w:r>
      <w:r w:rsidRPr="0069055F">
        <w:t xml:space="preserve">napsaná v roce 1988, tedy těsně po válce, S. </w:t>
      </w:r>
      <w:proofErr w:type="spellStart"/>
      <w:r w:rsidRPr="0069055F">
        <w:t>Chubinem</w:t>
      </w:r>
      <w:proofErr w:type="spellEnd"/>
      <w:r w:rsidRPr="0069055F">
        <w:t>, podává celkový přehled Irácko-</w:t>
      </w:r>
      <w:proofErr w:type="spellStart"/>
      <w:r w:rsidRPr="0069055F">
        <w:t>íranského</w:t>
      </w:r>
      <w:proofErr w:type="spellEnd"/>
      <w:r w:rsidRPr="0069055F">
        <w:t xml:space="preserve"> konfliktu. Věnuje se jeho původu, dopadům a souvislostem v a na celkovou situaci v Perském zálivu. Jako možné vysvětlení konfliktu nabízí otázku etnickou, a to v podobě irácké pomoci íránským menšinám, především těm na území </w:t>
      </w:r>
      <w:proofErr w:type="spellStart"/>
      <w:r w:rsidRPr="0069055F">
        <w:t>Arabistánu</w:t>
      </w:r>
      <w:proofErr w:type="spellEnd"/>
      <w:r w:rsidRPr="0069055F">
        <w:t>/</w:t>
      </w:r>
      <w:proofErr w:type="spellStart"/>
      <w:r w:rsidRPr="0069055F">
        <w:t>Khuzestánu</w:t>
      </w:r>
      <w:proofErr w:type="spellEnd"/>
      <w:r w:rsidRPr="0069055F">
        <w:t xml:space="preserve"> a recipročně íránskou podporu kurdským menšinám na území Iráku. Dále pak akcentuje otázku náboženskou především boj mezi Sunity a Šíty a věnuje se i ekonomickým důsledkům války. (Chubin1988)</w:t>
      </w:r>
    </w:p>
    <w:p w14:paraId="21B59955" w14:textId="164978AF" w:rsidR="00ED2984" w:rsidRPr="0069055F" w:rsidRDefault="00000000" w:rsidP="0069055F">
      <w:r w:rsidRPr="0069055F">
        <w:br/>
        <w:t xml:space="preserve">Autor </w:t>
      </w:r>
      <w:proofErr w:type="spellStart"/>
      <w:r w:rsidRPr="0069055F">
        <w:t>Efraim</w:t>
      </w:r>
      <w:proofErr w:type="spellEnd"/>
      <w:r w:rsidRPr="0069055F">
        <w:t xml:space="preserve"> </w:t>
      </w:r>
      <w:proofErr w:type="spellStart"/>
      <w:r w:rsidRPr="0069055F">
        <w:t>Karsh</w:t>
      </w:r>
      <w:proofErr w:type="spellEnd"/>
      <w:r w:rsidRPr="0069055F">
        <w:t xml:space="preserve"> ve své knize </w:t>
      </w:r>
      <w:proofErr w:type="spellStart"/>
      <w:r w:rsidRPr="0069055F">
        <w:rPr>
          <w:i/>
          <w:color w:val="131314"/>
          <w:highlight w:val="white"/>
        </w:rPr>
        <w:t>The</w:t>
      </w:r>
      <w:proofErr w:type="spellEnd"/>
      <w:r w:rsidRPr="0069055F">
        <w:rPr>
          <w:i/>
          <w:color w:val="131314"/>
          <w:highlight w:val="white"/>
        </w:rPr>
        <w:t xml:space="preserve"> </w:t>
      </w:r>
      <w:proofErr w:type="spellStart"/>
      <w:r w:rsidRPr="0069055F">
        <w:rPr>
          <w:i/>
          <w:color w:val="131314"/>
          <w:highlight w:val="white"/>
        </w:rPr>
        <w:t>Iran-Iraq</w:t>
      </w:r>
      <w:proofErr w:type="spellEnd"/>
      <w:r w:rsidRPr="0069055F">
        <w:rPr>
          <w:i/>
          <w:color w:val="131314"/>
          <w:highlight w:val="white"/>
        </w:rPr>
        <w:t xml:space="preserve"> </w:t>
      </w:r>
      <w:proofErr w:type="spellStart"/>
      <w:r w:rsidRPr="0069055F">
        <w:rPr>
          <w:i/>
          <w:color w:val="131314"/>
          <w:highlight w:val="white"/>
        </w:rPr>
        <w:t>War</w:t>
      </w:r>
      <w:proofErr w:type="spellEnd"/>
      <w:r w:rsidRPr="0069055F">
        <w:rPr>
          <w:i/>
          <w:color w:val="131314"/>
          <w:highlight w:val="white"/>
        </w:rPr>
        <w:t xml:space="preserve"> 1980-1988</w:t>
      </w:r>
      <w:r w:rsidRPr="0069055F">
        <w:t xml:space="preserve"> Uvádí jako možný důvod začátku války staletý konflikt mezi arabským a perským světem a boj o ovládnutí zálivu a tzv. úrodného půlměsíce, a popisuje sled událostí, které dle něj vedli k eskalaci až do výsledného konfliktu. Jako hlavní uvádí stažení Británie v roce 1968 ze Suezského kanálu a následnou Íránskou revoluci a tím narušení </w:t>
      </w:r>
      <w:proofErr w:type="spellStart"/>
      <w:r w:rsidRPr="0069055F">
        <w:t>statu</w:t>
      </w:r>
      <w:proofErr w:type="spellEnd"/>
      <w:r w:rsidRPr="0069055F">
        <w:t xml:space="preserve"> Quo, v podobě Alžírské dohody z roku 1975. (</w:t>
      </w:r>
      <w:proofErr w:type="spellStart"/>
      <w:r w:rsidRPr="0069055F">
        <w:t>Karsh</w:t>
      </w:r>
      <w:proofErr w:type="spellEnd"/>
      <w:r w:rsidRPr="0069055F">
        <w:t xml:space="preserve"> 2002)</w:t>
      </w:r>
    </w:p>
    <w:p w14:paraId="4EC8177D" w14:textId="77777777" w:rsidR="00ED2984" w:rsidRPr="0069055F" w:rsidRDefault="00000000" w:rsidP="0069055F">
      <w:r w:rsidRPr="0069055F">
        <w:t xml:space="preserve">Další knihou je </w:t>
      </w:r>
      <w:proofErr w:type="spellStart"/>
      <w:r w:rsidRPr="0069055F">
        <w:rPr>
          <w:i/>
        </w:rPr>
        <w:t>The</w:t>
      </w:r>
      <w:proofErr w:type="spellEnd"/>
      <w:r w:rsidRPr="0069055F">
        <w:rPr>
          <w:i/>
        </w:rPr>
        <w:t xml:space="preserve"> </w:t>
      </w:r>
      <w:proofErr w:type="spellStart"/>
      <w:r w:rsidRPr="0069055F">
        <w:rPr>
          <w:i/>
        </w:rPr>
        <w:t>Iran-Iraq</w:t>
      </w:r>
      <w:proofErr w:type="spellEnd"/>
      <w:r w:rsidRPr="0069055F">
        <w:rPr>
          <w:i/>
        </w:rPr>
        <w:t xml:space="preserve"> </w:t>
      </w:r>
      <w:proofErr w:type="spellStart"/>
      <w:r w:rsidRPr="0069055F">
        <w:rPr>
          <w:i/>
        </w:rPr>
        <w:t>War</w:t>
      </w:r>
      <w:proofErr w:type="spellEnd"/>
      <w:r w:rsidRPr="0069055F">
        <w:rPr>
          <w:i/>
        </w:rPr>
        <w:t xml:space="preserve">: A </w:t>
      </w:r>
      <w:proofErr w:type="spellStart"/>
      <w:r w:rsidRPr="0069055F">
        <w:rPr>
          <w:i/>
        </w:rPr>
        <w:t>Military</w:t>
      </w:r>
      <w:proofErr w:type="spellEnd"/>
      <w:r w:rsidRPr="0069055F">
        <w:rPr>
          <w:i/>
        </w:rPr>
        <w:t xml:space="preserve"> and </w:t>
      </w:r>
      <w:proofErr w:type="spellStart"/>
      <w:r w:rsidRPr="0069055F">
        <w:rPr>
          <w:i/>
        </w:rPr>
        <w:t>Strategic</w:t>
      </w:r>
      <w:proofErr w:type="spellEnd"/>
      <w:r w:rsidRPr="0069055F">
        <w:rPr>
          <w:i/>
        </w:rPr>
        <w:t xml:space="preserve"> </w:t>
      </w:r>
      <w:proofErr w:type="spellStart"/>
      <w:r w:rsidRPr="0069055F">
        <w:rPr>
          <w:i/>
        </w:rPr>
        <w:t>History</w:t>
      </w:r>
      <w:proofErr w:type="spellEnd"/>
      <w:r w:rsidRPr="0069055F">
        <w:rPr>
          <w:i/>
        </w:rPr>
        <w:t xml:space="preserve">, </w:t>
      </w:r>
      <w:r w:rsidRPr="0069055F">
        <w:t xml:space="preserve">od autorů W. </w:t>
      </w:r>
      <w:proofErr w:type="spellStart"/>
      <w:r w:rsidRPr="0069055F">
        <w:t>Murrayho</w:t>
      </w:r>
      <w:proofErr w:type="spellEnd"/>
      <w:r w:rsidRPr="0069055F">
        <w:t xml:space="preserve"> a </w:t>
      </w:r>
      <w:proofErr w:type="spellStart"/>
      <w:r w:rsidRPr="0069055F">
        <w:t>K.Woodse</w:t>
      </w:r>
      <w:proofErr w:type="spellEnd"/>
      <w:r w:rsidRPr="0069055F">
        <w:t xml:space="preserve">. Tato kniha, čerpá z iráckých vládních dokumentů, je především komplexním vojenským a strategickým popisem války optikou iráckého režimu a jeho vysokých vojenských velitelů. Zkoumá důvody a rozhodovací procesy, iráckých velitelů a jejich vliv na průběh války. (Murray, </w:t>
      </w:r>
      <w:proofErr w:type="spellStart"/>
      <w:r w:rsidRPr="0069055F">
        <w:t>Woods</w:t>
      </w:r>
      <w:proofErr w:type="spellEnd"/>
      <w:r w:rsidRPr="0069055F">
        <w:t xml:space="preserve"> 2014)</w:t>
      </w:r>
    </w:p>
    <w:p w14:paraId="6D39E66E" w14:textId="77777777" w:rsidR="00ED2984" w:rsidRPr="0069055F" w:rsidRDefault="00000000" w:rsidP="0069055F">
      <w:r w:rsidRPr="0069055F">
        <w:t xml:space="preserve">Starší, nicméně do jisté míry lze říci svědeckou, literaturou je kniha </w:t>
      </w:r>
      <w:proofErr w:type="spellStart"/>
      <w:r w:rsidRPr="0069055F">
        <w:rPr>
          <w:i/>
        </w:rPr>
        <w:t>The</w:t>
      </w:r>
      <w:proofErr w:type="spellEnd"/>
      <w:r w:rsidRPr="0069055F">
        <w:rPr>
          <w:i/>
        </w:rPr>
        <w:t xml:space="preserve"> </w:t>
      </w:r>
      <w:proofErr w:type="spellStart"/>
      <w:r w:rsidRPr="0069055F">
        <w:rPr>
          <w:i/>
        </w:rPr>
        <w:t>Iran-Iraq</w:t>
      </w:r>
      <w:proofErr w:type="spellEnd"/>
      <w:r w:rsidRPr="0069055F">
        <w:rPr>
          <w:i/>
        </w:rPr>
        <w:t xml:space="preserve"> </w:t>
      </w:r>
      <w:proofErr w:type="spellStart"/>
      <w:r w:rsidRPr="0069055F">
        <w:rPr>
          <w:i/>
        </w:rPr>
        <w:t>War</w:t>
      </w:r>
      <w:proofErr w:type="spellEnd"/>
      <w:r w:rsidRPr="0069055F">
        <w:rPr>
          <w:i/>
        </w:rPr>
        <w:t xml:space="preserve">: A </w:t>
      </w:r>
      <w:proofErr w:type="spellStart"/>
      <w:r w:rsidRPr="0069055F">
        <w:rPr>
          <w:i/>
        </w:rPr>
        <w:t>Military</w:t>
      </w:r>
      <w:proofErr w:type="spellEnd"/>
      <w:r w:rsidRPr="0069055F">
        <w:rPr>
          <w:i/>
        </w:rPr>
        <w:t xml:space="preserve"> </w:t>
      </w:r>
      <w:proofErr w:type="spellStart"/>
      <w:r w:rsidRPr="0069055F">
        <w:rPr>
          <w:i/>
        </w:rPr>
        <w:t>Analysis</w:t>
      </w:r>
      <w:proofErr w:type="spellEnd"/>
      <w:r w:rsidRPr="0069055F">
        <w:t xml:space="preserve"> od D. </w:t>
      </w:r>
      <w:proofErr w:type="spellStart"/>
      <w:r w:rsidRPr="0069055F">
        <w:t>Segala</w:t>
      </w:r>
      <w:proofErr w:type="spellEnd"/>
      <w:r w:rsidRPr="0069055F">
        <w:t>. Napsaná během závěrečného roku války, těsně před jejím koncem, rozebírá celé období konfliktu, především z vojenského pohledu a nabízí myšlenku, že i přesto, že Irán v posledních letech války vyhrává válku vojensky, tak jí prohrává na diplomatické a ekonomické frontě. (</w:t>
      </w:r>
      <w:proofErr w:type="spellStart"/>
      <w:r w:rsidRPr="0069055F">
        <w:t>Segal</w:t>
      </w:r>
      <w:proofErr w:type="spellEnd"/>
      <w:r w:rsidRPr="0069055F">
        <w:t xml:space="preserve"> 1988)</w:t>
      </w:r>
    </w:p>
    <w:p w14:paraId="614A09DD" w14:textId="52CAFA25" w:rsidR="00ED2984" w:rsidRPr="0069055F" w:rsidRDefault="00000000" w:rsidP="0069055F">
      <w:r w:rsidRPr="0069055F">
        <w:t>Ekonomickou st</w:t>
      </w:r>
      <w:r w:rsidR="003B5838">
        <w:t>r</w:t>
      </w:r>
      <w:r w:rsidRPr="0069055F">
        <w:t xml:space="preserve">ánkou konfliktů, tedy přesněji vlivu vojenských výdajů na ekonomický růst,  se zabývá metaanalýza </w:t>
      </w:r>
      <w:proofErr w:type="spellStart"/>
      <w:r w:rsidRPr="0069055F">
        <w:rPr>
          <w:i/>
        </w:rPr>
        <w:t>Military</w:t>
      </w:r>
      <w:proofErr w:type="spellEnd"/>
      <w:r w:rsidRPr="0069055F">
        <w:rPr>
          <w:i/>
        </w:rPr>
        <w:t xml:space="preserve"> </w:t>
      </w:r>
      <w:proofErr w:type="spellStart"/>
      <w:r w:rsidRPr="0069055F">
        <w:rPr>
          <w:i/>
        </w:rPr>
        <w:t>Expenditure</w:t>
      </w:r>
      <w:proofErr w:type="spellEnd"/>
      <w:r w:rsidRPr="0069055F">
        <w:rPr>
          <w:i/>
        </w:rPr>
        <w:t xml:space="preserve"> and </w:t>
      </w:r>
      <w:proofErr w:type="spellStart"/>
      <w:r w:rsidRPr="0069055F">
        <w:rPr>
          <w:i/>
        </w:rPr>
        <w:t>Economic</w:t>
      </w:r>
      <w:proofErr w:type="spellEnd"/>
      <w:r w:rsidRPr="0069055F">
        <w:rPr>
          <w:i/>
        </w:rPr>
        <w:t xml:space="preserve"> </w:t>
      </w:r>
      <w:proofErr w:type="spellStart"/>
      <w:r w:rsidRPr="0069055F">
        <w:rPr>
          <w:i/>
        </w:rPr>
        <w:t>Growth</w:t>
      </w:r>
      <w:proofErr w:type="spellEnd"/>
      <w:r w:rsidRPr="0069055F">
        <w:rPr>
          <w:i/>
        </w:rPr>
        <w:t xml:space="preserve"> </w:t>
      </w:r>
      <w:proofErr w:type="spellStart"/>
      <w:r w:rsidRPr="0069055F">
        <w:rPr>
          <w:i/>
        </w:rPr>
        <w:t>Literature</w:t>
      </w:r>
      <w:proofErr w:type="spellEnd"/>
      <w:r w:rsidRPr="0069055F">
        <w:rPr>
          <w:i/>
        </w:rPr>
        <w:t>: A Meta-</w:t>
      </w:r>
      <w:proofErr w:type="spellStart"/>
      <w:r w:rsidRPr="0069055F">
        <w:rPr>
          <w:i/>
        </w:rPr>
        <w:t>Analysis</w:t>
      </w:r>
      <w:proofErr w:type="spellEnd"/>
      <w:r w:rsidRPr="0069055F">
        <w:t xml:space="preserve"> od autorů A. </w:t>
      </w:r>
      <w:proofErr w:type="spellStart"/>
      <w:r w:rsidRPr="0069055F">
        <w:t>Alptekina</w:t>
      </w:r>
      <w:proofErr w:type="spellEnd"/>
      <w:r w:rsidRPr="0069055F">
        <w:t xml:space="preserve"> a P. </w:t>
      </w:r>
      <w:proofErr w:type="spellStart"/>
      <w:r w:rsidRPr="0069055F">
        <w:t>Levina</w:t>
      </w:r>
      <w:proofErr w:type="spellEnd"/>
      <w:r w:rsidRPr="0069055F">
        <w:t xml:space="preserve">. Tato analýza předkládá celkový vhled do otázky ekonomické a válečné. Tvrdí, že existuje rozsáhlá empirická literatura, která zkoumá dopad vojenských výdajů na ekonomický růst, ale že výsledky těchto studií byly kontroverzní. Proto provedli meta analýzu, která přezkoumala 25 </w:t>
      </w:r>
      <w:r w:rsidRPr="0069055F">
        <w:lastRenderedPageBreak/>
        <w:t>empirických studií se 140 odhady. Výsledek ukázal, že čistý kombinovaný účinek vojenských výdajů na ekonomický růst je pozitivní, ale jeho velikost je velmi malá. (</w:t>
      </w:r>
      <w:proofErr w:type="spellStart"/>
      <w:r w:rsidRPr="0069055F">
        <w:t>Alptekin</w:t>
      </w:r>
      <w:proofErr w:type="spellEnd"/>
      <w:r w:rsidRPr="0069055F">
        <w:t xml:space="preserve">, </w:t>
      </w:r>
      <w:proofErr w:type="spellStart"/>
      <w:r w:rsidRPr="0069055F">
        <w:t>Levin</w:t>
      </w:r>
      <w:proofErr w:type="spellEnd"/>
      <w:r w:rsidRPr="0069055F">
        <w:t xml:space="preserve"> 2009)</w:t>
      </w:r>
    </w:p>
    <w:p w14:paraId="70693F85" w14:textId="2C167524" w:rsidR="00ED2984" w:rsidRPr="0069055F" w:rsidRDefault="00000000" w:rsidP="0069055F">
      <w:pPr>
        <w:rPr>
          <w:b/>
        </w:rPr>
      </w:pPr>
      <w:r w:rsidRPr="0069055F">
        <w:t xml:space="preserve">Ekonomickou stránkou Irácko-íránské války se zabývá A. </w:t>
      </w:r>
      <w:proofErr w:type="spellStart"/>
      <w:r w:rsidRPr="0069055F">
        <w:t>Alnasrawiho</w:t>
      </w:r>
      <w:proofErr w:type="spellEnd"/>
      <w:r w:rsidRPr="0069055F">
        <w:t xml:space="preserve"> esej </w:t>
      </w:r>
      <w:proofErr w:type="spellStart"/>
      <w:r w:rsidRPr="0069055F">
        <w:rPr>
          <w:i/>
        </w:rPr>
        <w:t>Economic</w:t>
      </w:r>
      <w:proofErr w:type="spellEnd"/>
      <w:r w:rsidRPr="0069055F">
        <w:rPr>
          <w:i/>
        </w:rPr>
        <w:t xml:space="preserve"> </w:t>
      </w:r>
      <w:proofErr w:type="spellStart"/>
      <w:r w:rsidRPr="0069055F">
        <w:rPr>
          <w:i/>
        </w:rPr>
        <w:t>consequences</w:t>
      </w:r>
      <w:proofErr w:type="spellEnd"/>
      <w:r w:rsidRPr="0069055F">
        <w:rPr>
          <w:i/>
        </w:rPr>
        <w:t xml:space="preserve"> </w:t>
      </w:r>
      <w:proofErr w:type="spellStart"/>
      <w:r w:rsidRPr="0069055F">
        <w:rPr>
          <w:i/>
        </w:rPr>
        <w:t>of</w:t>
      </w:r>
      <w:proofErr w:type="spellEnd"/>
      <w:r w:rsidRPr="0069055F">
        <w:rPr>
          <w:i/>
        </w:rPr>
        <w:t xml:space="preserve"> </w:t>
      </w:r>
      <w:proofErr w:type="spellStart"/>
      <w:r w:rsidRPr="0069055F">
        <w:rPr>
          <w:i/>
        </w:rPr>
        <w:t>the</w:t>
      </w:r>
      <w:proofErr w:type="spellEnd"/>
      <w:r w:rsidRPr="0069055F">
        <w:rPr>
          <w:i/>
        </w:rPr>
        <w:t xml:space="preserve"> </w:t>
      </w:r>
      <w:proofErr w:type="spellStart"/>
      <w:r w:rsidRPr="0069055F">
        <w:rPr>
          <w:i/>
        </w:rPr>
        <w:t>Iraq‐Iran</w:t>
      </w:r>
      <w:proofErr w:type="spellEnd"/>
      <w:r w:rsidRPr="0069055F">
        <w:rPr>
          <w:i/>
        </w:rPr>
        <w:t xml:space="preserve"> </w:t>
      </w:r>
      <w:proofErr w:type="spellStart"/>
      <w:r w:rsidRPr="0069055F">
        <w:rPr>
          <w:i/>
        </w:rPr>
        <w:t>war</w:t>
      </w:r>
      <w:proofErr w:type="spellEnd"/>
      <w:r w:rsidRPr="0069055F">
        <w:rPr>
          <w:i/>
        </w:rPr>
        <w:t>.</w:t>
      </w:r>
      <w:r w:rsidRPr="0069055F">
        <w:t xml:space="preserve"> Vzhledem k její </w:t>
      </w:r>
      <w:r w:rsidR="0069055F" w:rsidRPr="0069055F">
        <w:t>produkci,</w:t>
      </w:r>
      <w:r w:rsidRPr="0069055F">
        <w:t xml:space="preserve"> jíž v roce 1986, se zabývá pouze 6 roky války. Zkoumá možné následky konfliktu pro oba státy a výslednou prognózu ekonomického vývoje po válce.</w:t>
      </w:r>
    </w:p>
    <w:p w14:paraId="1F2D7867" w14:textId="07C4E8E3" w:rsidR="0069055F" w:rsidRDefault="0069055F" w:rsidP="0069055F">
      <w:pPr>
        <w:pStyle w:val="Nadpis1"/>
      </w:pPr>
      <w:bookmarkStart w:id="16" w:name="_Toc167638292"/>
      <w:r>
        <w:t>Analýza dat</w:t>
      </w:r>
      <w:bookmarkEnd w:id="16"/>
    </w:p>
    <w:p w14:paraId="10B6C229" w14:textId="7498A637" w:rsidR="00ED2984" w:rsidRDefault="00000000" w:rsidP="002C5C8B">
      <w:pPr>
        <w:pStyle w:val="Nadpis2"/>
      </w:pPr>
      <w:bookmarkStart w:id="17" w:name="_Toc167638293"/>
      <w:commentRangeStart w:id="18"/>
      <w:proofErr w:type="spellStart"/>
      <w:r>
        <w:t>Datasety</w:t>
      </w:r>
      <w:bookmarkEnd w:id="17"/>
      <w:commentRangeEnd w:id="18"/>
      <w:proofErr w:type="spellEnd"/>
      <w:r w:rsidR="00D45442">
        <w:rPr>
          <w:rStyle w:val="Odkaznakoment"/>
        </w:rPr>
        <w:commentReference w:id="18"/>
      </w:r>
    </w:p>
    <w:p w14:paraId="4E4367A6" w14:textId="77777777" w:rsidR="00ED2984" w:rsidRPr="0069055F" w:rsidRDefault="00000000" w:rsidP="0069055F">
      <w:r w:rsidRPr="0069055F">
        <w:t>Tato studie využívá kvantitativní výzkumný přístup, který umožňuje analýzu vztahů mezi proměnnými. K zodpovězení výzkumné otázky byl použit korelační a regresní design výzkumu. Korelační analýza byla využita k posouzení síly a směru vztahu mezi proměnnými, zatímco regresní analýza byla použita k určení vlivu jednotlivých nezávislých proměnných na závislou proměnnou.</w:t>
      </w:r>
    </w:p>
    <w:p w14:paraId="0AEC3375" w14:textId="77777777" w:rsidR="00ED2984" w:rsidRPr="0069055F" w:rsidRDefault="00000000" w:rsidP="0069055F">
      <w:r w:rsidRPr="0069055F">
        <w:t>Data byla shromážděna z databází COW (</w:t>
      </w:r>
      <w:proofErr w:type="spellStart"/>
      <w:r w:rsidRPr="0069055F">
        <w:t>Correlates</w:t>
      </w:r>
      <w:proofErr w:type="spellEnd"/>
      <w:r w:rsidRPr="0069055F">
        <w:t xml:space="preserve"> </w:t>
      </w:r>
      <w:proofErr w:type="spellStart"/>
      <w:r w:rsidRPr="0069055F">
        <w:t>of</w:t>
      </w:r>
      <w:proofErr w:type="spellEnd"/>
      <w:r w:rsidRPr="0069055F">
        <w:t xml:space="preserve"> </w:t>
      </w:r>
      <w:proofErr w:type="spellStart"/>
      <w:r w:rsidRPr="0069055F">
        <w:t>War</w:t>
      </w:r>
      <w:proofErr w:type="spellEnd"/>
      <w:r w:rsidRPr="0069055F">
        <w:t xml:space="preserve">) a PRIO (International </w:t>
      </w:r>
      <w:proofErr w:type="spellStart"/>
      <w:r w:rsidRPr="0069055F">
        <w:t>Peace</w:t>
      </w:r>
      <w:proofErr w:type="spellEnd"/>
      <w:r w:rsidRPr="0069055F">
        <w:t xml:space="preserve"> </w:t>
      </w:r>
      <w:proofErr w:type="spellStart"/>
      <w:r w:rsidRPr="0069055F">
        <w:t>Research</w:t>
      </w:r>
      <w:proofErr w:type="spellEnd"/>
      <w:r w:rsidRPr="0069055F">
        <w:t xml:space="preserve"> Institute Oslo).</w:t>
      </w:r>
    </w:p>
    <w:p w14:paraId="227ED56A" w14:textId="77777777" w:rsidR="00ED2984" w:rsidRPr="0069055F" w:rsidRDefault="00000000" w:rsidP="0069055F">
      <w:r w:rsidRPr="0069055F">
        <w:t xml:space="preserve">Projekt COW se dlouhodobě zabývá sběrem dat. </w:t>
      </w:r>
      <w:proofErr w:type="spellStart"/>
      <w:r w:rsidRPr="0069055F">
        <w:t>Dataset</w:t>
      </w:r>
      <w:proofErr w:type="spellEnd"/>
      <w:r w:rsidRPr="0069055F">
        <w:t xml:space="preserve"> </w:t>
      </w:r>
      <w:proofErr w:type="spellStart"/>
      <w:r w:rsidRPr="0069055F">
        <w:t>National</w:t>
      </w:r>
      <w:proofErr w:type="spellEnd"/>
      <w:r w:rsidRPr="0069055F">
        <w:t xml:space="preserve"> </w:t>
      </w:r>
      <w:proofErr w:type="spellStart"/>
      <w:r w:rsidRPr="0069055F">
        <w:t>Material</w:t>
      </w:r>
      <w:proofErr w:type="spellEnd"/>
      <w:r w:rsidRPr="0069055F">
        <w:t xml:space="preserve"> </w:t>
      </w:r>
      <w:proofErr w:type="spellStart"/>
      <w:r w:rsidRPr="0069055F">
        <w:t>Capabilities</w:t>
      </w:r>
      <w:proofErr w:type="spellEnd"/>
      <w:r w:rsidRPr="0069055F">
        <w:t xml:space="preserve"> (NMC), který byl jedním ze zdrojů dat pro tuto studii, obsahuje roční hodnoty pro celkovou populaci, městské obyvatelstvo, výrobu železa a oceli, energetická spotřeba, vojenský personál a vojenské výdaje všech členů státu, aktuálně od roku 1816 do roku 2016. (</w:t>
      </w:r>
      <w:proofErr w:type="spellStart"/>
      <w:r w:rsidRPr="0069055F">
        <w:t>Correlates</w:t>
      </w:r>
      <w:proofErr w:type="spellEnd"/>
      <w:r w:rsidRPr="0069055F">
        <w:t xml:space="preserve"> </w:t>
      </w:r>
      <w:proofErr w:type="spellStart"/>
      <w:r w:rsidRPr="0069055F">
        <w:t>of</w:t>
      </w:r>
      <w:proofErr w:type="spellEnd"/>
      <w:r w:rsidRPr="0069055F">
        <w:t xml:space="preserve"> </w:t>
      </w:r>
      <w:proofErr w:type="spellStart"/>
      <w:r w:rsidRPr="0069055F">
        <w:t>War</w:t>
      </w:r>
      <w:proofErr w:type="spellEnd"/>
      <w:r w:rsidRPr="0069055F">
        <w:t xml:space="preserve"> 2021) Z tohoto </w:t>
      </w:r>
      <w:proofErr w:type="spellStart"/>
      <w:r w:rsidRPr="0069055F">
        <w:t>datasetu</w:t>
      </w:r>
      <w:proofErr w:type="spellEnd"/>
      <w:r w:rsidRPr="0069055F">
        <w:t xml:space="preserve"> byly využity údaje o vojenských výdajích (</w:t>
      </w:r>
      <w:proofErr w:type="spellStart"/>
      <w:r w:rsidRPr="0069055F">
        <w:t>milex</w:t>
      </w:r>
      <w:proofErr w:type="spellEnd"/>
      <w:r w:rsidRPr="0069055F">
        <w:t>) a energetické spotřebě (pec).</w:t>
      </w:r>
    </w:p>
    <w:p w14:paraId="76CE090A" w14:textId="77777777" w:rsidR="00ED2984" w:rsidRPr="0069055F" w:rsidRDefault="00000000" w:rsidP="0069055F">
      <w:r w:rsidRPr="0069055F">
        <w:t xml:space="preserve">Databáze PRIO a její </w:t>
      </w:r>
      <w:proofErr w:type="spellStart"/>
      <w:r w:rsidRPr="0069055F">
        <w:t>dataset</w:t>
      </w:r>
      <w:proofErr w:type="spellEnd"/>
      <w:r w:rsidRPr="0069055F">
        <w:t xml:space="preserve"> PRIO </w:t>
      </w:r>
      <w:proofErr w:type="spellStart"/>
      <w:r w:rsidRPr="0069055F">
        <w:t>battledeaths</w:t>
      </w:r>
      <w:proofErr w:type="spellEnd"/>
      <w:r w:rsidRPr="0069055F">
        <w:t xml:space="preserve"> poskytuje údaje o bitevních úmrtích (počet vojáků a civilistů zabitých v boji) ve státních ozbrojených konfliktech za období 1946–2008. (Lacina 2017) Z tohoto </w:t>
      </w:r>
      <w:proofErr w:type="spellStart"/>
      <w:r w:rsidRPr="0069055F">
        <w:t>datasetu</w:t>
      </w:r>
      <w:proofErr w:type="spellEnd"/>
      <w:r w:rsidRPr="0069055F">
        <w:t xml:space="preserve"> byla využita proměnná počtu padlých (</w:t>
      </w:r>
      <w:proofErr w:type="spellStart"/>
      <w:r w:rsidRPr="0069055F">
        <w:t>bdeadbes</w:t>
      </w:r>
      <w:proofErr w:type="spellEnd"/>
      <w:r w:rsidRPr="0069055F">
        <w:t xml:space="preserve">). Data byla analyzována pomocí statistického softwaru R studio. </w:t>
      </w:r>
    </w:p>
    <w:p w14:paraId="593DB40D" w14:textId="77777777" w:rsidR="00ED2984" w:rsidRDefault="00000000" w:rsidP="0069055F">
      <w:pPr>
        <w:pStyle w:val="Nadpis2"/>
      </w:pPr>
      <w:bookmarkStart w:id="19" w:name="_Toc167638294"/>
      <w:r>
        <w:t>Postup analýzy dat</w:t>
      </w:r>
      <w:bookmarkEnd w:id="19"/>
    </w:p>
    <w:p w14:paraId="2F313476" w14:textId="702B5315" w:rsidR="00ED2984" w:rsidRDefault="00000000" w:rsidP="0069055F">
      <w:r w:rsidRPr="0069055F">
        <w:t xml:space="preserve">Prvním krokem analýzy dat bylo detailní prozkoumání obou vybraných </w:t>
      </w:r>
      <w:proofErr w:type="spellStart"/>
      <w:r w:rsidRPr="0069055F">
        <w:t>datasetů</w:t>
      </w:r>
      <w:proofErr w:type="spellEnd"/>
      <w:r w:rsidRPr="0069055F">
        <w:t xml:space="preserve">. Pro analýzu dat z obou </w:t>
      </w:r>
      <w:proofErr w:type="spellStart"/>
      <w:r w:rsidRPr="0069055F">
        <w:t>datasetů</w:t>
      </w:r>
      <w:proofErr w:type="spellEnd"/>
      <w:r w:rsidRPr="0069055F">
        <w:t xml:space="preserve"> a jejich komparaci bylo využito několika statických metod. Nejprve bylo potřeba vyselektovat data o Íránu a Iráku z let 1980 až 1988, včetně. Druhým krokem byla další selekce dat podle konfliktu, tak aby dále zkoumaná data pocházela pouze z konfliktu Irácko-íránské války. Dalším krokem analýzy, bylo vybrání dat, která jsou relevantní k této studii. Z </w:t>
      </w:r>
      <w:proofErr w:type="spellStart"/>
      <w:r w:rsidRPr="0069055F">
        <w:t>datasetu</w:t>
      </w:r>
      <w:proofErr w:type="spellEnd"/>
      <w:r w:rsidRPr="0069055F">
        <w:t xml:space="preserve"> COW byly za relevantní označeny hodnoty </w:t>
      </w:r>
      <w:commentRangeStart w:id="20"/>
      <w:proofErr w:type="spellStart"/>
      <w:r w:rsidRPr="0069055F">
        <w:t>milex</w:t>
      </w:r>
      <w:commentRangeEnd w:id="20"/>
      <w:proofErr w:type="spellEnd"/>
      <w:r w:rsidR="00D45442">
        <w:rPr>
          <w:rStyle w:val="Odkaznakoment"/>
        </w:rPr>
        <w:commentReference w:id="20"/>
      </w:r>
      <w:r w:rsidRPr="0069055F">
        <w:t xml:space="preserve"> (vojenské výdaje, v tisících USD), pec (energetická spotřeba, v tisících tun spotřebovaného uhlí) a </w:t>
      </w:r>
      <w:proofErr w:type="spellStart"/>
      <w:r w:rsidRPr="0069055F">
        <w:t>irst</w:t>
      </w:r>
      <w:proofErr w:type="spellEnd"/>
      <w:r w:rsidRPr="0069055F">
        <w:t xml:space="preserve"> (produkce oceli a železa, v tisících tun), jako proměnné nezávislé. (</w:t>
      </w:r>
      <w:proofErr w:type="spellStart"/>
      <w:r w:rsidRPr="0069055F">
        <w:t>Correlates</w:t>
      </w:r>
      <w:proofErr w:type="spellEnd"/>
      <w:r w:rsidRPr="0069055F">
        <w:t xml:space="preserve"> </w:t>
      </w:r>
      <w:proofErr w:type="spellStart"/>
      <w:r w:rsidRPr="0069055F">
        <w:t>of</w:t>
      </w:r>
      <w:proofErr w:type="spellEnd"/>
      <w:r w:rsidRPr="0069055F">
        <w:t xml:space="preserve"> </w:t>
      </w:r>
      <w:proofErr w:type="spellStart"/>
      <w:r w:rsidRPr="0069055F">
        <w:t>War</w:t>
      </w:r>
      <w:proofErr w:type="spellEnd"/>
      <w:r w:rsidRPr="0069055F">
        <w:t xml:space="preserve">, 2021) Z </w:t>
      </w:r>
      <w:proofErr w:type="spellStart"/>
      <w:r w:rsidRPr="0069055F">
        <w:t>datasetu</w:t>
      </w:r>
      <w:proofErr w:type="spellEnd"/>
      <w:r w:rsidRPr="0069055F">
        <w:t xml:space="preserve"> PRIO to pak byla hodnota </w:t>
      </w:r>
      <w:proofErr w:type="spellStart"/>
      <w:r w:rsidRPr="0069055F">
        <w:t>bdeadbes</w:t>
      </w:r>
      <w:proofErr w:type="spellEnd"/>
      <w:r w:rsidRPr="0069055F">
        <w:t xml:space="preserve"> (nejlepší odhad počtu padlých v boji za rok) (Lacina 2017), za proměnu závislou. Poté byly vyselektovány takové hodnoty, které se </w:t>
      </w:r>
      <w:r w:rsidRPr="0069055F">
        <w:lastRenderedPageBreak/>
        <w:t xml:space="preserve">vztahují k Íránu (hodnota 630) a Iráku (hodnota 645). U hodnoty </w:t>
      </w:r>
      <w:proofErr w:type="spellStart"/>
      <w:r w:rsidRPr="0069055F">
        <w:t>milex</w:t>
      </w:r>
      <w:proofErr w:type="spellEnd"/>
      <w:r w:rsidRPr="0069055F">
        <w:t xml:space="preserve"> bylo potřeba zkontrolovat chybějící data, a interpolovat chybějící hodnotu, která byla v </w:t>
      </w:r>
      <w:proofErr w:type="spellStart"/>
      <w:r w:rsidRPr="0069055F">
        <w:t>datasetu</w:t>
      </w:r>
      <w:proofErr w:type="spellEnd"/>
      <w:r w:rsidRPr="0069055F">
        <w:t xml:space="preserve"> označena jako ‘-9’. Po interpolaci byly vyselektovány ty </w:t>
      </w:r>
      <w:r w:rsidR="0069055F" w:rsidRPr="0069055F">
        <w:t>hodnoty,</w:t>
      </w:r>
      <w:r w:rsidRPr="0069055F">
        <w:t xml:space="preserve"> které neobsahovaly data ‘-9’. V rámci práce s těmito hodnotami, bylo také zjištěno, že hodnota </w:t>
      </w:r>
      <w:proofErr w:type="spellStart"/>
      <w:r w:rsidRPr="0069055F">
        <w:t>irst</w:t>
      </w:r>
      <w:proofErr w:type="spellEnd"/>
      <w:r w:rsidRPr="0069055F">
        <w:t xml:space="preserve"> v případě Iráku má tendenci k nule, není jasné, jestli je toto způsobeno nedostatkem dat, ale pro využití v této studii byla tato hodnota posouzena jako neprůkazná. Pro co nejvyšší důvěryhodnost a podloženost této studie daty, byla hodnota </w:t>
      </w:r>
      <w:proofErr w:type="spellStart"/>
      <w:r w:rsidRPr="0069055F">
        <w:t>irst</w:t>
      </w:r>
      <w:proofErr w:type="spellEnd"/>
      <w:r w:rsidRPr="0069055F">
        <w:t xml:space="preserve"> izolována z další analýzy. Další analýza </w:t>
      </w:r>
      <w:proofErr w:type="spellStart"/>
      <w:r w:rsidRPr="0069055F">
        <w:t>datasetu</w:t>
      </w:r>
      <w:proofErr w:type="spellEnd"/>
      <w:r w:rsidRPr="0069055F">
        <w:t xml:space="preserve"> COW se tedy týkala pouze hodnot </w:t>
      </w:r>
      <w:proofErr w:type="spellStart"/>
      <w:r w:rsidRPr="0069055F">
        <w:t>milex</w:t>
      </w:r>
      <w:proofErr w:type="spellEnd"/>
      <w:r w:rsidRPr="0069055F">
        <w:t xml:space="preserve"> a pec, pro které byla vytvořena korelační matice. Korelační matice byla poté vypracována i pro druhý </w:t>
      </w:r>
      <w:proofErr w:type="spellStart"/>
      <w:r w:rsidRPr="0069055F">
        <w:t>dataset</w:t>
      </w:r>
      <w:proofErr w:type="spellEnd"/>
      <w:r w:rsidRPr="0069055F">
        <w:t xml:space="preserve">, PRIO, a to pro hodnotu </w:t>
      </w:r>
      <w:proofErr w:type="spellStart"/>
      <w:r w:rsidRPr="0069055F">
        <w:t>bdeadbes</w:t>
      </w:r>
      <w:proofErr w:type="spellEnd"/>
      <w:r w:rsidRPr="0069055F">
        <w:t xml:space="preserve">, pro obě země, tedy pro Írán a Irák. </w:t>
      </w:r>
    </w:p>
    <w:p w14:paraId="3DF908C6" w14:textId="77777777" w:rsidR="0069055F" w:rsidRPr="0069055F" w:rsidRDefault="0069055F" w:rsidP="0069055F"/>
    <w:p w14:paraId="0DB64F43" w14:textId="77777777" w:rsidR="00ED2984" w:rsidRPr="0069055F" w:rsidRDefault="00000000" w:rsidP="0069055F">
      <w:r w:rsidRPr="0069055F">
        <w:t>Korelační matice pro Írán</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ED2984" w:rsidRPr="0069055F" w14:paraId="7E24B94B" w14:textId="77777777" w:rsidTr="0069055F">
        <w:trPr>
          <w:trHeight w:val="238"/>
        </w:trPr>
        <w:tc>
          <w:tcPr>
            <w:tcW w:w="1805" w:type="dxa"/>
            <w:shd w:val="clear" w:color="auto" w:fill="auto"/>
            <w:tcMar>
              <w:top w:w="100" w:type="dxa"/>
              <w:left w:w="100" w:type="dxa"/>
              <w:bottom w:w="100" w:type="dxa"/>
              <w:right w:w="100" w:type="dxa"/>
            </w:tcMar>
          </w:tcPr>
          <w:p w14:paraId="260B8041" w14:textId="77777777" w:rsidR="00ED2984" w:rsidRPr="0069055F" w:rsidRDefault="00ED2984" w:rsidP="0069055F"/>
        </w:tc>
        <w:tc>
          <w:tcPr>
            <w:tcW w:w="1805" w:type="dxa"/>
            <w:shd w:val="clear" w:color="auto" w:fill="auto"/>
            <w:tcMar>
              <w:top w:w="100" w:type="dxa"/>
              <w:left w:w="100" w:type="dxa"/>
              <w:bottom w:w="100" w:type="dxa"/>
              <w:right w:w="100" w:type="dxa"/>
            </w:tcMar>
          </w:tcPr>
          <w:p w14:paraId="2243F8F5" w14:textId="77777777" w:rsidR="00ED2984" w:rsidRPr="0069055F" w:rsidRDefault="00000000" w:rsidP="0069055F">
            <w:proofErr w:type="spellStart"/>
            <w:r w:rsidRPr="0069055F">
              <w:t>year</w:t>
            </w:r>
            <w:proofErr w:type="spellEnd"/>
          </w:p>
        </w:tc>
        <w:tc>
          <w:tcPr>
            <w:tcW w:w="1805" w:type="dxa"/>
            <w:shd w:val="clear" w:color="auto" w:fill="auto"/>
            <w:tcMar>
              <w:top w:w="100" w:type="dxa"/>
              <w:left w:w="100" w:type="dxa"/>
              <w:bottom w:w="100" w:type="dxa"/>
              <w:right w:w="100" w:type="dxa"/>
            </w:tcMar>
          </w:tcPr>
          <w:p w14:paraId="24B2A373" w14:textId="77777777" w:rsidR="00ED2984" w:rsidRPr="0069055F" w:rsidRDefault="00000000" w:rsidP="0069055F">
            <w:r w:rsidRPr="0069055F">
              <w:t xml:space="preserve"> </w:t>
            </w:r>
            <w:proofErr w:type="spellStart"/>
            <w:r w:rsidRPr="0069055F">
              <w:t>milex</w:t>
            </w:r>
            <w:proofErr w:type="spellEnd"/>
          </w:p>
        </w:tc>
        <w:tc>
          <w:tcPr>
            <w:tcW w:w="1805" w:type="dxa"/>
            <w:shd w:val="clear" w:color="auto" w:fill="auto"/>
            <w:tcMar>
              <w:top w:w="100" w:type="dxa"/>
              <w:left w:w="100" w:type="dxa"/>
              <w:bottom w:w="100" w:type="dxa"/>
              <w:right w:w="100" w:type="dxa"/>
            </w:tcMar>
          </w:tcPr>
          <w:p w14:paraId="74354173" w14:textId="77777777" w:rsidR="00ED2984" w:rsidRPr="0069055F" w:rsidRDefault="00000000" w:rsidP="0069055F">
            <w:r w:rsidRPr="0069055F">
              <w:t>pec</w:t>
            </w:r>
          </w:p>
        </w:tc>
        <w:tc>
          <w:tcPr>
            <w:tcW w:w="1805" w:type="dxa"/>
            <w:shd w:val="clear" w:color="auto" w:fill="auto"/>
            <w:tcMar>
              <w:top w:w="100" w:type="dxa"/>
              <w:left w:w="100" w:type="dxa"/>
              <w:bottom w:w="100" w:type="dxa"/>
              <w:right w:w="100" w:type="dxa"/>
            </w:tcMar>
          </w:tcPr>
          <w:p w14:paraId="3A1CCE57" w14:textId="77777777" w:rsidR="00ED2984" w:rsidRPr="0069055F" w:rsidRDefault="00000000" w:rsidP="0069055F">
            <w:proofErr w:type="spellStart"/>
            <w:r w:rsidRPr="0069055F">
              <w:t>bdeadbes</w:t>
            </w:r>
            <w:proofErr w:type="spellEnd"/>
          </w:p>
        </w:tc>
      </w:tr>
      <w:tr w:rsidR="00ED2984" w:rsidRPr="0069055F" w14:paraId="0E264413" w14:textId="77777777" w:rsidTr="0069055F">
        <w:trPr>
          <w:trHeight w:val="335"/>
        </w:trPr>
        <w:tc>
          <w:tcPr>
            <w:tcW w:w="1805" w:type="dxa"/>
            <w:shd w:val="clear" w:color="auto" w:fill="auto"/>
            <w:tcMar>
              <w:top w:w="100" w:type="dxa"/>
              <w:left w:w="100" w:type="dxa"/>
              <w:bottom w:w="100" w:type="dxa"/>
              <w:right w:w="100" w:type="dxa"/>
            </w:tcMar>
          </w:tcPr>
          <w:p w14:paraId="61E55C58" w14:textId="77777777" w:rsidR="00ED2984" w:rsidRPr="0069055F" w:rsidRDefault="00000000" w:rsidP="0069055F">
            <w:proofErr w:type="spellStart"/>
            <w:r w:rsidRPr="0069055F">
              <w:t>year</w:t>
            </w:r>
            <w:proofErr w:type="spellEnd"/>
          </w:p>
        </w:tc>
        <w:tc>
          <w:tcPr>
            <w:tcW w:w="1805" w:type="dxa"/>
            <w:shd w:val="clear" w:color="auto" w:fill="auto"/>
            <w:tcMar>
              <w:top w:w="100" w:type="dxa"/>
              <w:left w:w="100" w:type="dxa"/>
              <w:bottom w:w="100" w:type="dxa"/>
              <w:right w:w="100" w:type="dxa"/>
            </w:tcMar>
          </w:tcPr>
          <w:p w14:paraId="37147D9A" w14:textId="77777777" w:rsidR="00ED2984" w:rsidRPr="0069055F" w:rsidRDefault="00000000" w:rsidP="0069055F">
            <w:commentRangeStart w:id="21"/>
            <w:r w:rsidRPr="0069055F">
              <w:t>1.00000000</w:t>
            </w:r>
            <w:commentRangeEnd w:id="21"/>
            <w:r w:rsidR="00D45442">
              <w:rPr>
                <w:rStyle w:val="Odkaznakoment"/>
              </w:rPr>
              <w:commentReference w:id="21"/>
            </w:r>
          </w:p>
        </w:tc>
        <w:tc>
          <w:tcPr>
            <w:tcW w:w="1805" w:type="dxa"/>
            <w:shd w:val="clear" w:color="auto" w:fill="auto"/>
            <w:tcMar>
              <w:top w:w="100" w:type="dxa"/>
              <w:left w:w="100" w:type="dxa"/>
              <w:bottom w:w="100" w:type="dxa"/>
              <w:right w:w="100" w:type="dxa"/>
            </w:tcMar>
          </w:tcPr>
          <w:p w14:paraId="28234A6C" w14:textId="77777777" w:rsidR="00ED2984" w:rsidRPr="0069055F" w:rsidRDefault="00000000" w:rsidP="0069055F">
            <w:r w:rsidRPr="0069055F">
              <w:t>0.03840528</w:t>
            </w:r>
          </w:p>
        </w:tc>
        <w:tc>
          <w:tcPr>
            <w:tcW w:w="1805" w:type="dxa"/>
            <w:shd w:val="clear" w:color="auto" w:fill="auto"/>
            <w:tcMar>
              <w:top w:w="100" w:type="dxa"/>
              <w:left w:w="100" w:type="dxa"/>
              <w:bottom w:w="100" w:type="dxa"/>
              <w:right w:w="100" w:type="dxa"/>
            </w:tcMar>
          </w:tcPr>
          <w:p w14:paraId="6CEAE407" w14:textId="77777777" w:rsidR="00ED2984" w:rsidRPr="0069055F" w:rsidRDefault="00000000" w:rsidP="0069055F">
            <w:r w:rsidRPr="0069055F">
              <w:t>0.74390095</w:t>
            </w:r>
          </w:p>
        </w:tc>
        <w:tc>
          <w:tcPr>
            <w:tcW w:w="1805" w:type="dxa"/>
            <w:shd w:val="clear" w:color="auto" w:fill="auto"/>
            <w:tcMar>
              <w:top w:w="100" w:type="dxa"/>
              <w:left w:w="100" w:type="dxa"/>
              <w:bottom w:w="100" w:type="dxa"/>
              <w:right w:w="100" w:type="dxa"/>
            </w:tcMar>
          </w:tcPr>
          <w:p w14:paraId="0A3AD5BC" w14:textId="77777777" w:rsidR="00ED2984" w:rsidRPr="0069055F" w:rsidRDefault="00000000" w:rsidP="0069055F">
            <w:r w:rsidRPr="0069055F">
              <w:t>-0.1606830</w:t>
            </w:r>
          </w:p>
        </w:tc>
      </w:tr>
      <w:tr w:rsidR="00ED2984" w:rsidRPr="0069055F" w14:paraId="3BEB9295" w14:textId="77777777" w:rsidTr="0069055F">
        <w:trPr>
          <w:trHeight w:val="303"/>
        </w:trPr>
        <w:tc>
          <w:tcPr>
            <w:tcW w:w="1805" w:type="dxa"/>
            <w:shd w:val="clear" w:color="auto" w:fill="auto"/>
            <w:tcMar>
              <w:top w:w="100" w:type="dxa"/>
              <w:left w:w="100" w:type="dxa"/>
              <w:bottom w:w="100" w:type="dxa"/>
              <w:right w:w="100" w:type="dxa"/>
            </w:tcMar>
          </w:tcPr>
          <w:p w14:paraId="6D0E37E9" w14:textId="77777777" w:rsidR="00ED2984" w:rsidRPr="0069055F" w:rsidRDefault="00000000" w:rsidP="0069055F">
            <w:proofErr w:type="spellStart"/>
            <w:r w:rsidRPr="0069055F">
              <w:t>milex</w:t>
            </w:r>
            <w:proofErr w:type="spellEnd"/>
          </w:p>
        </w:tc>
        <w:tc>
          <w:tcPr>
            <w:tcW w:w="1805" w:type="dxa"/>
            <w:shd w:val="clear" w:color="auto" w:fill="auto"/>
            <w:tcMar>
              <w:top w:w="100" w:type="dxa"/>
              <w:left w:w="100" w:type="dxa"/>
              <w:bottom w:w="100" w:type="dxa"/>
              <w:right w:w="100" w:type="dxa"/>
            </w:tcMar>
          </w:tcPr>
          <w:p w14:paraId="5583C986" w14:textId="77777777" w:rsidR="00ED2984" w:rsidRPr="0069055F" w:rsidRDefault="00000000" w:rsidP="0069055F">
            <w:r w:rsidRPr="0069055F">
              <w:t xml:space="preserve"> 0.03840528</w:t>
            </w:r>
          </w:p>
        </w:tc>
        <w:tc>
          <w:tcPr>
            <w:tcW w:w="1805" w:type="dxa"/>
            <w:shd w:val="clear" w:color="auto" w:fill="auto"/>
            <w:tcMar>
              <w:top w:w="100" w:type="dxa"/>
              <w:left w:w="100" w:type="dxa"/>
              <w:bottom w:w="100" w:type="dxa"/>
              <w:right w:w="100" w:type="dxa"/>
            </w:tcMar>
          </w:tcPr>
          <w:p w14:paraId="3BD6F877" w14:textId="77777777" w:rsidR="00ED2984" w:rsidRPr="0069055F" w:rsidRDefault="00000000" w:rsidP="0069055F">
            <w:r w:rsidRPr="0069055F">
              <w:t>1.00000000</w:t>
            </w:r>
          </w:p>
        </w:tc>
        <w:tc>
          <w:tcPr>
            <w:tcW w:w="1805" w:type="dxa"/>
            <w:shd w:val="clear" w:color="auto" w:fill="auto"/>
            <w:tcMar>
              <w:top w:w="100" w:type="dxa"/>
              <w:left w:w="100" w:type="dxa"/>
              <w:bottom w:w="100" w:type="dxa"/>
              <w:right w:w="100" w:type="dxa"/>
            </w:tcMar>
          </w:tcPr>
          <w:p w14:paraId="4106BE74" w14:textId="77777777" w:rsidR="00ED2984" w:rsidRPr="0069055F" w:rsidRDefault="00000000" w:rsidP="0069055F">
            <w:r w:rsidRPr="0069055F">
              <w:t>0.08007691</w:t>
            </w:r>
          </w:p>
        </w:tc>
        <w:tc>
          <w:tcPr>
            <w:tcW w:w="1805" w:type="dxa"/>
            <w:shd w:val="clear" w:color="auto" w:fill="auto"/>
            <w:tcMar>
              <w:top w:w="100" w:type="dxa"/>
              <w:left w:w="100" w:type="dxa"/>
              <w:bottom w:w="100" w:type="dxa"/>
              <w:right w:w="100" w:type="dxa"/>
            </w:tcMar>
          </w:tcPr>
          <w:p w14:paraId="3AC53E16" w14:textId="77777777" w:rsidR="00ED2984" w:rsidRPr="0069055F" w:rsidRDefault="00000000" w:rsidP="0069055F">
            <w:r w:rsidRPr="0069055F">
              <w:t>0.4846655</w:t>
            </w:r>
          </w:p>
        </w:tc>
      </w:tr>
      <w:tr w:rsidR="00ED2984" w:rsidRPr="0069055F" w14:paraId="7CCBEBFE" w14:textId="77777777" w:rsidTr="0069055F">
        <w:trPr>
          <w:trHeight w:val="384"/>
        </w:trPr>
        <w:tc>
          <w:tcPr>
            <w:tcW w:w="1805" w:type="dxa"/>
            <w:shd w:val="clear" w:color="auto" w:fill="auto"/>
            <w:tcMar>
              <w:top w:w="100" w:type="dxa"/>
              <w:left w:w="100" w:type="dxa"/>
              <w:bottom w:w="100" w:type="dxa"/>
              <w:right w:w="100" w:type="dxa"/>
            </w:tcMar>
          </w:tcPr>
          <w:p w14:paraId="576327A2" w14:textId="77777777" w:rsidR="00ED2984" w:rsidRPr="0069055F" w:rsidRDefault="00000000" w:rsidP="0069055F">
            <w:r w:rsidRPr="0069055F">
              <w:t>pec</w:t>
            </w:r>
          </w:p>
        </w:tc>
        <w:tc>
          <w:tcPr>
            <w:tcW w:w="1805" w:type="dxa"/>
            <w:shd w:val="clear" w:color="auto" w:fill="auto"/>
            <w:tcMar>
              <w:top w:w="100" w:type="dxa"/>
              <w:left w:w="100" w:type="dxa"/>
              <w:bottom w:w="100" w:type="dxa"/>
              <w:right w:w="100" w:type="dxa"/>
            </w:tcMar>
          </w:tcPr>
          <w:p w14:paraId="11F452F6" w14:textId="77777777" w:rsidR="00ED2984" w:rsidRPr="0069055F" w:rsidRDefault="00000000" w:rsidP="0069055F">
            <w:r w:rsidRPr="0069055F">
              <w:t>0.74390095</w:t>
            </w:r>
          </w:p>
        </w:tc>
        <w:tc>
          <w:tcPr>
            <w:tcW w:w="1805" w:type="dxa"/>
            <w:shd w:val="clear" w:color="auto" w:fill="auto"/>
            <w:tcMar>
              <w:top w:w="100" w:type="dxa"/>
              <w:left w:w="100" w:type="dxa"/>
              <w:bottom w:w="100" w:type="dxa"/>
              <w:right w:w="100" w:type="dxa"/>
            </w:tcMar>
          </w:tcPr>
          <w:p w14:paraId="651F6A6D" w14:textId="77777777" w:rsidR="00ED2984" w:rsidRPr="0069055F" w:rsidRDefault="00000000" w:rsidP="0069055F">
            <w:r w:rsidRPr="0069055F">
              <w:t>0.08007691</w:t>
            </w:r>
          </w:p>
        </w:tc>
        <w:tc>
          <w:tcPr>
            <w:tcW w:w="1805" w:type="dxa"/>
            <w:shd w:val="clear" w:color="auto" w:fill="auto"/>
            <w:tcMar>
              <w:top w:w="100" w:type="dxa"/>
              <w:left w:w="100" w:type="dxa"/>
              <w:bottom w:w="100" w:type="dxa"/>
              <w:right w:w="100" w:type="dxa"/>
            </w:tcMar>
          </w:tcPr>
          <w:p w14:paraId="0142C73F" w14:textId="77777777" w:rsidR="00ED2984" w:rsidRPr="0069055F" w:rsidRDefault="00000000" w:rsidP="0069055F">
            <w:r w:rsidRPr="0069055F">
              <w:t>1.00000000</w:t>
            </w:r>
          </w:p>
        </w:tc>
        <w:tc>
          <w:tcPr>
            <w:tcW w:w="1805" w:type="dxa"/>
            <w:shd w:val="clear" w:color="auto" w:fill="auto"/>
            <w:tcMar>
              <w:top w:w="100" w:type="dxa"/>
              <w:left w:w="100" w:type="dxa"/>
              <w:bottom w:w="100" w:type="dxa"/>
              <w:right w:w="100" w:type="dxa"/>
            </w:tcMar>
          </w:tcPr>
          <w:p w14:paraId="79E261B9" w14:textId="77777777" w:rsidR="00ED2984" w:rsidRPr="0069055F" w:rsidRDefault="00000000" w:rsidP="0069055F">
            <w:r w:rsidRPr="0069055F">
              <w:t>-0.5955658</w:t>
            </w:r>
          </w:p>
        </w:tc>
      </w:tr>
      <w:tr w:rsidR="00ED2984" w:rsidRPr="0069055F" w14:paraId="046129FF" w14:textId="77777777" w:rsidTr="0069055F">
        <w:trPr>
          <w:trHeight w:val="211"/>
        </w:trPr>
        <w:tc>
          <w:tcPr>
            <w:tcW w:w="1805" w:type="dxa"/>
            <w:shd w:val="clear" w:color="auto" w:fill="auto"/>
            <w:tcMar>
              <w:top w:w="100" w:type="dxa"/>
              <w:left w:w="100" w:type="dxa"/>
              <w:bottom w:w="100" w:type="dxa"/>
              <w:right w:w="100" w:type="dxa"/>
            </w:tcMar>
          </w:tcPr>
          <w:p w14:paraId="36296955" w14:textId="77777777" w:rsidR="00ED2984" w:rsidRPr="0069055F" w:rsidRDefault="00000000" w:rsidP="0069055F">
            <w:proofErr w:type="spellStart"/>
            <w:r w:rsidRPr="0069055F">
              <w:t>bdeadbes</w:t>
            </w:r>
            <w:proofErr w:type="spellEnd"/>
          </w:p>
        </w:tc>
        <w:tc>
          <w:tcPr>
            <w:tcW w:w="1805" w:type="dxa"/>
            <w:shd w:val="clear" w:color="auto" w:fill="auto"/>
            <w:tcMar>
              <w:top w:w="100" w:type="dxa"/>
              <w:left w:w="100" w:type="dxa"/>
              <w:bottom w:w="100" w:type="dxa"/>
              <w:right w:w="100" w:type="dxa"/>
            </w:tcMar>
          </w:tcPr>
          <w:p w14:paraId="6DBAB7AB" w14:textId="77777777" w:rsidR="00ED2984" w:rsidRPr="0069055F" w:rsidRDefault="00000000" w:rsidP="0069055F">
            <w:r w:rsidRPr="0069055F">
              <w:t>-0.16068300</w:t>
            </w:r>
          </w:p>
        </w:tc>
        <w:tc>
          <w:tcPr>
            <w:tcW w:w="1805" w:type="dxa"/>
            <w:shd w:val="clear" w:color="auto" w:fill="auto"/>
            <w:tcMar>
              <w:top w:w="100" w:type="dxa"/>
              <w:left w:w="100" w:type="dxa"/>
              <w:bottom w:w="100" w:type="dxa"/>
              <w:right w:w="100" w:type="dxa"/>
            </w:tcMar>
          </w:tcPr>
          <w:p w14:paraId="2F251A80" w14:textId="77777777" w:rsidR="00ED2984" w:rsidRPr="0069055F" w:rsidRDefault="00000000" w:rsidP="0069055F">
            <w:r w:rsidRPr="0069055F">
              <w:t>0.48466551</w:t>
            </w:r>
          </w:p>
        </w:tc>
        <w:tc>
          <w:tcPr>
            <w:tcW w:w="1805" w:type="dxa"/>
            <w:shd w:val="clear" w:color="auto" w:fill="auto"/>
            <w:tcMar>
              <w:top w:w="100" w:type="dxa"/>
              <w:left w:w="100" w:type="dxa"/>
              <w:bottom w:w="100" w:type="dxa"/>
              <w:right w:w="100" w:type="dxa"/>
            </w:tcMar>
          </w:tcPr>
          <w:p w14:paraId="3D76723F" w14:textId="77777777" w:rsidR="00ED2984" w:rsidRPr="0069055F" w:rsidRDefault="00000000" w:rsidP="0069055F">
            <w:r w:rsidRPr="0069055F">
              <w:t>-0.59556584</w:t>
            </w:r>
          </w:p>
        </w:tc>
        <w:tc>
          <w:tcPr>
            <w:tcW w:w="1805" w:type="dxa"/>
            <w:shd w:val="clear" w:color="auto" w:fill="auto"/>
            <w:tcMar>
              <w:top w:w="100" w:type="dxa"/>
              <w:left w:w="100" w:type="dxa"/>
              <w:bottom w:w="100" w:type="dxa"/>
              <w:right w:w="100" w:type="dxa"/>
            </w:tcMar>
          </w:tcPr>
          <w:p w14:paraId="0409BB40" w14:textId="77777777" w:rsidR="00ED2984" w:rsidRPr="0069055F" w:rsidRDefault="00000000" w:rsidP="0069055F">
            <w:r w:rsidRPr="0069055F">
              <w:t>1.0000000</w:t>
            </w:r>
          </w:p>
        </w:tc>
      </w:tr>
    </w:tbl>
    <w:p w14:paraId="4D5B2129" w14:textId="77777777" w:rsidR="0069055F" w:rsidRDefault="0069055F" w:rsidP="0069055F"/>
    <w:p w14:paraId="1E94C167" w14:textId="491F35AE" w:rsidR="00ED2984" w:rsidRPr="0069055F" w:rsidRDefault="00000000" w:rsidP="0069055F">
      <w:r w:rsidRPr="0069055F">
        <w:t>Korelační matice pro Irák</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ED2984" w:rsidRPr="0069055F" w14:paraId="3924DFB4" w14:textId="77777777">
        <w:tc>
          <w:tcPr>
            <w:tcW w:w="1805" w:type="dxa"/>
            <w:shd w:val="clear" w:color="auto" w:fill="auto"/>
            <w:tcMar>
              <w:top w:w="100" w:type="dxa"/>
              <w:left w:w="100" w:type="dxa"/>
              <w:bottom w:w="100" w:type="dxa"/>
              <w:right w:w="100" w:type="dxa"/>
            </w:tcMar>
          </w:tcPr>
          <w:p w14:paraId="4BCC54E0" w14:textId="77777777" w:rsidR="00ED2984" w:rsidRPr="0069055F" w:rsidRDefault="00ED2984" w:rsidP="0069055F"/>
        </w:tc>
        <w:tc>
          <w:tcPr>
            <w:tcW w:w="1805" w:type="dxa"/>
            <w:shd w:val="clear" w:color="auto" w:fill="auto"/>
            <w:tcMar>
              <w:top w:w="100" w:type="dxa"/>
              <w:left w:w="100" w:type="dxa"/>
              <w:bottom w:w="100" w:type="dxa"/>
              <w:right w:w="100" w:type="dxa"/>
            </w:tcMar>
          </w:tcPr>
          <w:p w14:paraId="78E0E1A6" w14:textId="77777777" w:rsidR="00ED2984" w:rsidRPr="0069055F" w:rsidRDefault="00000000" w:rsidP="0069055F">
            <w:proofErr w:type="spellStart"/>
            <w:r w:rsidRPr="0069055F">
              <w:t>year</w:t>
            </w:r>
            <w:proofErr w:type="spellEnd"/>
          </w:p>
        </w:tc>
        <w:tc>
          <w:tcPr>
            <w:tcW w:w="1805" w:type="dxa"/>
            <w:shd w:val="clear" w:color="auto" w:fill="auto"/>
            <w:tcMar>
              <w:top w:w="100" w:type="dxa"/>
              <w:left w:w="100" w:type="dxa"/>
              <w:bottom w:w="100" w:type="dxa"/>
              <w:right w:w="100" w:type="dxa"/>
            </w:tcMar>
          </w:tcPr>
          <w:p w14:paraId="663D9A0F" w14:textId="77777777" w:rsidR="00ED2984" w:rsidRPr="0069055F" w:rsidRDefault="00000000" w:rsidP="0069055F">
            <w:proofErr w:type="spellStart"/>
            <w:r w:rsidRPr="0069055F">
              <w:t>milex</w:t>
            </w:r>
            <w:proofErr w:type="spellEnd"/>
          </w:p>
        </w:tc>
        <w:tc>
          <w:tcPr>
            <w:tcW w:w="1805" w:type="dxa"/>
            <w:shd w:val="clear" w:color="auto" w:fill="auto"/>
            <w:tcMar>
              <w:top w:w="100" w:type="dxa"/>
              <w:left w:w="100" w:type="dxa"/>
              <w:bottom w:w="100" w:type="dxa"/>
              <w:right w:w="100" w:type="dxa"/>
            </w:tcMar>
          </w:tcPr>
          <w:p w14:paraId="644C1BEC" w14:textId="77777777" w:rsidR="00ED2984" w:rsidRPr="0069055F" w:rsidRDefault="00000000" w:rsidP="0069055F">
            <w:r w:rsidRPr="0069055F">
              <w:t>pec</w:t>
            </w:r>
          </w:p>
        </w:tc>
        <w:tc>
          <w:tcPr>
            <w:tcW w:w="1805" w:type="dxa"/>
            <w:shd w:val="clear" w:color="auto" w:fill="auto"/>
            <w:tcMar>
              <w:top w:w="100" w:type="dxa"/>
              <w:left w:w="100" w:type="dxa"/>
              <w:bottom w:w="100" w:type="dxa"/>
              <w:right w:w="100" w:type="dxa"/>
            </w:tcMar>
          </w:tcPr>
          <w:p w14:paraId="56D80AD8" w14:textId="77777777" w:rsidR="00ED2984" w:rsidRPr="0069055F" w:rsidRDefault="00000000" w:rsidP="0069055F">
            <w:proofErr w:type="spellStart"/>
            <w:r w:rsidRPr="0069055F">
              <w:t>bdeadbes</w:t>
            </w:r>
            <w:proofErr w:type="spellEnd"/>
          </w:p>
        </w:tc>
      </w:tr>
      <w:tr w:rsidR="00ED2984" w:rsidRPr="0069055F" w14:paraId="2EAD9515" w14:textId="77777777">
        <w:tc>
          <w:tcPr>
            <w:tcW w:w="1805" w:type="dxa"/>
            <w:shd w:val="clear" w:color="auto" w:fill="auto"/>
            <w:tcMar>
              <w:top w:w="100" w:type="dxa"/>
              <w:left w:w="100" w:type="dxa"/>
              <w:bottom w:w="100" w:type="dxa"/>
              <w:right w:w="100" w:type="dxa"/>
            </w:tcMar>
          </w:tcPr>
          <w:p w14:paraId="56A6D10F" w14:textId="77777777" w:rsidR="00ED2984" w:rsidRPr="0069055F" w:rsidRDefault="00000000" w:rsidP="0069055F">
            <w:proofErr w:type="spellStart"/>
            <w:r w:rsidRPr="0069055F">
              <w:t>year</w:t>
            </w:r>
            <w:proofErr w:type="spellEnd"/>
          </w:p>
        </w:tc>
        <w:tc>
          <w:tcPr>
            <w:tcW w:w="1805" w:type="dxa"/>
            <w:shd w:val="clear" w:color="auto" w:fill="auto"/>
            <w:tcMar>
              <w:top w:w="100" w:type="dxa"/>
              <w:left w:w="100" w:type="dxa"/>
              <w:bottom w:w="100" w:type="dxa"/>
              <w:right w:w="100" w:type="dxa"/>
            </w:tcMar>
          </w:tcPr>
          <w:p w14:paraId="58AF1007" w14:textId="77777777" w:rsidR="00ED2984" w:rsidRPr="0069055F" w:rsidRDefault="00000000" w:rsidP="0069055F">
            <w:r w:rsidRPr="0069055F">
              <w:t>1.0000000</w:t>
            </w:r>
          </w:p>
        </w:tc>
        <w:tc>
          <w:tcPr>
            <w:tcW w:w="1805" w:type="dxa"/>
            <w:shd w:val="clear" w:color="auto" w:fill="auto"/>
            <w:tcMar>
              <w:top w:w="100" w:type="dxa"/>
              <w:left w:w="100" w:type="dxa"/>
              <w:bottom w:w="100" w:type="dxa"/>
              <w:right w:w="100" w:type="dxa"/>
            </w:tcMar>
          </w:tcPr>
          <w:p w14:paraId="4F06C5BE" w14:textId="77777777" w:rsidR="00ED2984" w:rsidRPr="0069055F" w:rsidRDefault="00000000" w:rsidP="0069055F">
            <w:r w:rsidRPr="0069055F">
              <w:t>0.7657824</w:t>
            </w:r>
          </w:p>
        </w:tc>
        <w:tc>
          <w:tcPr>
            <w:tcW w:w="1805" w:type="dxa"/>
            <w:shd w:val="clear" w:color="auto" w:fill="auto"/>
            <w:tcMar>
              <w:top w:w="100" w:type="dxa"/>
              <w:left w:w="100" w:type="dxa"/>
              <w:bottom w:w="100" w:type="dxa"/>
              <w:right w:w="100" w:type="dxa"/>
            </w:tcMar>
          </w:tcPr>
          <w:p w14:paraId="51DCE4C3" w14:textId="77777777" w:rsidR="00ED2984" w:rsidRPr="0069055F" w:rsidRDefault="00000000" w:rsidP="0069055F">
            <w:r w:rsidRPr="0069055F">
              <w:t>0.9283592</w:t>
            </w:r>
          </w:p>
        </w:tc>
        <w:tc>
          <w:tcPr>
            <w:tcW w:w="1805" w:type="dxa"/>
            <w:shd w:val="clear" w:color="auto" w:fill="auto"/>
            <w:tcMar>
              <w:top w:w="100" w:type="dxa"/>
              <w:left w:w="100" w:type="dxa"/>
              <w:bottom w:w="100" w:type="dxa"/>
              <w:right w:w="100" w:type="dxa"/>
            </w:tcMar>
          </w:tcPr>
          <w:p w14:paraId="2240E568" w14:textId="77777777" w:rsidR="00ED2984" w:rsidRPr="0069055F" w:rsidRDefault="00000000" w:rsidP="0069055F">
            <w:r w:rsidRPr="0069055F">
              <w:t>-0.1606830</w:t>
            </w:r>
          </w:p>
        </w:tc>
      </w:tr>
      <w:tr w:rsidR="00ED2984" w:rsidRPr="0069055F" w14:paraId="69684FFC" w14:textId="77777777">
        <w:tc>
          <w:tcPr>
            <w:tcW w:w="1805" w:type="dxa"/>
            <w:shd w:val="clear" w:color="auto" w:fill="auto"/>
            <w:tcMar>
              <w:top w:w="100" w:type="dxa"/>
              <w:left w:w="100" w:type="dxa"/>
              <w:bottom w:w="100" w:type="dxa"/>
              <w:right w:w="100" w:type="dxa"/>
            </w:tcMar>
          </w:tcPr>
          <w:p w14:paraId="543D1959" w14:textId="77777777" w:rsidR="00ED2984" w:rsidRPr="0069055F" w:rsidRDefault="00000000" w:rsidP="0069055F">
            <w:proofErr w:type="spellStart"/>
            <w:r w:rsidRPr="0069055F">
              <w:t>milex</w:t>
            </w:r>
            <w:proofErr w:type="spellEnd"/>
          </w:p>
        </w:tc>
        <w:tc>
          <w:tcPr>
            <w:tcW w:w="1805" w:type="dxa"/>
            <w:shd w:val="clear" w:color="auto" w:fill="auto"/>
            <w:tcMar>
              <w:top w:w="100" w:type="dxa"/>
              <w:left w:w="100" w:type="dxa"/>
              <w:bottom w:w="100" w:type="dxa"/>
              <w:right w:w="100" w:type="dxa"/>
            </w:tcMar>
          </w:tcPr>
          <w:p w14:paraId="4702598D" w14:textId="77777777" w:rsidR="00ED2984" w:rsidRPr="0069055F" w:rsidRDefault="00000000" w:rsidP="0069055F">
            <w:r w:rsidRPr="0069055F">
              <w:t>0.7657824</w:t>
            </w:r>
          </w:p>
        </w:tc>
        <w:tc>
          <w:tcPr>
            <w:tcW w:w="1805" w:type="dxa"/>
            <w:shd w:val="clear" w:color="auto" w:fill="auto"/>
            <w:tcMar>
              <w:top w:w="100" w:type="dxa"/>
              <w:left w:w="100" w:type="dxa"/>
              <w:bottom w:w="100" w:type="dxa"/>
              <w:right w:w="100" w:type="dxa"/>
            </w:tcMar>
          </w:tcPr>
          <w:p w14:paraId="4032577B" w14:textId="77777777" w:rsidR="00ED2984" w:rsidRPr="0069055F" w:rsidRDefault="00000000" w:rsidP="0069055F">
            <w:r w:rsidRPr="0069055F">
              <w:t>1.0000000</w:t>
            </w:r>
          </w:p>
        </w:tc>
        <w:tc>
          <w:tcPr>
            <w:tcW w:w="1805" w:type="dxa"/>
            <w:shd w:val="clear" w:color="auto" w:fill="auto"/>
            <w:tcMar>
              <w:top w:w="100" w:type="dxa"/>
              <w:left w:w="100" w:type="dxa"/>
              <w:bottom w:w="100" w:type="dxa"/>
              <w:right w:w="100" w:type="dxa"/>
            </w:tcMar>
          </w:tcPr>
          <w:p w14:paraId="6652DAAE" w14:textId="77777777" w:rsidR="00ED2984" w:rsidRPr="0069055F" w:rsidRDefault="00000000" w:rsidP="0069055F">
            <w:r w:rsidRPr="0069055F">
              <w:t>0.6582936</w:t>
            </w:r>
          </w:p>
        </w:tc>
        <w:tc>
          <w:tcPr>
            <w:tcW w:w="1805" w:type="dxa"/>
            <w:shd w:val="clear" w:color="auto" w:fill="auto"/>
            <w:tcMar>
              <w:top w:w="100" w:type="dxa"/>
              <w:left w:w="100" w:type="dxa"/>
              <w:bottom w:w="100" w:type="dxa"/>
              <w:right w:w="100" w:type="dxa"/>
            </w:tcMar>
          </w:tcPr>
          <w:p w14:paraId="139C2C9D" w14:textId="77777777" w:rsidR="00ED2984" w:rsidRPr="0069055F" w:rsidRDefault="00000000" w:rsidP="0069055F">
            <w:r w:rsidRPr="0069055F">
              <w:t>0.2168481</w:t>
            </w:r>
          </w:p>
        </w:tc>
      </w:tr>
      <w:tr w:rsidR="00ED2984" w:rsidRPr="0069055F" w14:paraId="50E8FF8E" w14:textId="77777777">
        <w:tc>
          <w:tcPr>
            <w:tcW w:w="1805" w:type="dxa"/>
            <w:shd w:val="clear" w:color="auto" w:fill="auto"/>
            <w:tcMar>
              <w:top w:w="100" w:type="dxa"/>
              <w:left w:w="100" w:type="dxa"/>
              <w:bottom w:w="100" w:type="dxa"/>
              <w:right w:w="100" w:type="dxa"/>
            </w:tcMar>
          </w:tcPr>
          <w:p w14:paraId="61D1654A" w14:textId="77777777" w:rsidR="00ED2984" w:rsidRPr="0069055F" w:rsidRDefault="00000000" w:rsidP="0069055F">
            <w:r w:rsidRPr="0069055F">
              <w:t>pec</w:t>
            </w:r>
          </w:p>
        </w:tc>
        <w:tc>
          <w:tcPr>
            <w:tcW w:w="1805" w:type="dxa"/>
            <w:shd w:val="clear" w:color="auto" w:fill="auto"/>
            <w:tcMar>
              <w:top w:w="100" w:type="dxa"/>
              <w:left w:w="100" w:type="dxa"/>
              <w:bottom w:w="100" w:type="dxa"/>
              <w:right w:w="100" w:type="dxa"/>
            </w:tcMar>
          </w:tcPr>
          <w:p w14:paraId="3927B38E" w14:textId="77777777" w:rsidR="00ED2984" w:rsidRPr="0069055F" w:rsidRDefault="00000000" w:rsidP="0069055F">
            <w:r w:rsidRPr="0069055F">
              <w:t>0.9283592</w:t>
            </w:r>
          </w:p>
        </w:tc>
        <w:tc>
          <w:tcPr>
            <w:tcW w:w="1805" w:type="dxa"/>
            <w:shd w:val="clear" w:color="auto" w:fill="auto"/>
            <w:tcMar>
              <w:top w:w="100" w:type="dxa"/>
              <w:left w:w="100" w:type="dxa"/>
              <w:bottom w:w="100" w:type="dxa"/>
              <w:right w:w="100" w:type="dxa"/>
            </w:tcMar>
          </w:tcPr>
          <w:p w14:paraId="43202919" w14:textId="77777777" w:rsidR="00ED2984" w:rsidRPr="0069055F" w:rsidRDefault="00000000" w:rsidP="0069055F">
            <w:r w:rsidRPr="0069055F">
              <w:t>0.6582936</w:t>
            </w:r>
          </w:p>
        </w:tc>
        <w:tc>
          <w:tcPr>
            <w:tcW w:w="1805" w:type="dxa"/>
            <w:shd w:val="clear" w:color="auto" w:fill="auto"/>
            <w:tcMar>
              <w:top w:w="100" w:type="dxa"/>
              <w:left w:w="100" w:type="dxa"/>
              <w:bottom w:w="100" w:type="dxa"/>
              <w:right w:w="100" w:type="dxa"/>
            </w:tcMar>
          </w:tcPr>
          <w:p w14:paraId="43D58E1B" w14:textId="77777777" w:rsidR="00ED2984" w:rsidRPr="0069055F" w:rsidRDefault="00000000" w:rsidP="0069055F">
            <w:r w:rsidRPr="0069055F">
              <w:t>1.0000000</w:t>
            </w:r>
          </w:p>
        </w:tc>
        <w:tc>
          <w:tcPr>
            <w:tcW w:w="1805" w:type="dxa"/>
            <w:shd w:val="clear" w:color="auto" w:fill="auto"/>
            <w:tcMar>
              <w:top w:w="100" w:type="dxa"/>
              <w:left w:w="100" w:type="dxa"/>
              <w:bottom w:w="100" w:type="dxa"/>
              <w:right w:w="100" w:type="dxa"/>
            </w:tcMar>
          </w:tcPr>
          <w:p w14:paraId="72B97C78" w14:textId="77777777" w:rsidR="00ED2984" w:rsidRPr="0069055F" w:rsidRDefault="00000000" w:rsidP="0069055F">
            <w:r w:rsidRPr="0069055F">
              <w:t>-0.2996757</w:t>
            </w:r>
          </w:p>
        </w:tc>
      </w:tr>
      <w:tr w:rsidR="00ED2984" w:rsidRPr="0069055F" w14:paraId="6B67FCD3" w14:textId="77777777">
        <w:tc>
          <w:tcPr>
            <w:tcW w:w="1805" w:type="dxa"/>
            <w:shd w:val="clear" w:color="auto" w:fill="auto"/>
            <w:tcMar>
              <w:top w:w="100" w:type="dxa"/>
              <w:left w:w="100" w:type="dxa"/>
              <w:bottom w:w="100" w:type="dxa"/>
              <w:right w:w="100" w:type="dxa"/>
            </w:tcMar>
          </w:tcPr>
          <w:p w14:paraId="15A0BD16" w14:textId="77777777" w:rsidR="00ED2984" w:rsidRPr="0069055F" w:rsidRDefault="00000000" w:rsidP="0069055F">
            <w:proofErr w:type="spellStart"/>
            <w:r w:rsidRPr="0069055F">
              <w:t>bdeadbes</w:t>
            </w:r>
            <w:proofErr w:type="spellEnd"/>
          </w:p>
        </w:tc>
        <w:tc>
          <w:tcPr>
            <w:tcW w:w="1805" w:type="dxa"/>
            <w:shd w:val="clear" w:color="auto" w:fill="auto"/>
            <w:tcMar>
              <w:top w:w="100" w:type="dxa"/>
              <w:left w:w="100" w:type="dxa"/>
              <w:bottom w:w="100" w:type="dxa"/>
              <w:right w:w="100" w:type="dxa"/>
            </w:tcMar>
          </w:tcPr>
          <w:p w14:paraId="5282A7F1" w14:textId="77777777" w:rsidR="00ED2984" w:rsidRPr="0069055F" w:rsidRDefault="00000000" w:rsidP="0069055F">
            <w:r w:rsidRPr="0069055F">
              <w:t>-0.1606830</w:t>
            </w:r>
          </w:p>
        </w:tc>
        <w:tc>
          <w:tcPr>
            <w:tcW w:w="1805" w:type="dxa"/>
            <w:shd w:val="clear" w:color="auto" w:fill="auto"/>
            <w:tcMar>
              <w:top w:w="100" w:type="dxa"/>
              <w:left w:w="100" w:type="dxa"/>
              <w:bottom w:w="100" w:type="dxa"/>
              <w:right w:w="100" w:type="dxa"/>
            </w:tcMar>
          </w:tcPr>
          <w:p w14:paraId="7971B62B" w14:textId="77777777" w:rsidR="00ED2984" w:rsidRPr="0069055F" w:rsidRDefault="00000000" w:rsidP="0069055F">
            <w:r w:rsidRPr="0069055F">
              <w:t>0.2168481</w:t>
            </w:r>
          </w:p>
        </w:tc>
        <w:tc>
          <w:tcPr>
            <w:tcW w:w="1805" w:type="dxa"/>
            <w:shd w:val="clear" w:color="auto" w:fill="auto"/>
            <w:tcMar>
              <w:top w:w="100" w:type="dxa"/>
              <w:left w:w="100" w:type="dxa"/>
              <w:bottom w:w="100" w:type="dxa"/>
              <w:right w:w="100" w:type="dxa"/>
            </w:tcMar>
          </w:tcPr>
          <w:p w14:paraId="1A6685DC" w14:textId="77777777" w:rsidR="00ED2984" w:rsidRPr="0069055F" w:rsidRDefault="00000000" w:rsidP="0069055F">
            <w:r w:rsidRPr="0069055F">
              <w:t>-0.2996757</w:t>
            </w:r>
          </w:p>
        </w:tc>
        <w:tc>
          <w:tcPr>
            <w:tcW w:w="1805" w:type="dxa"/>
            <w:shd w:val="clear" w:color="auto" w:fill="auto"/>
            <w:tcMar>
              <w:top w:w="100" w:type="dxa"/>
              <w:left w:w="100" w:type="dxa"/>
              <w:bottom w:w="100" w:type="dxa"/>
              <w:right w:w="100" w:type="dxa"/>
            </w:tcMar>
          </w:tcPr>
          <w:p w14:paraId="6A2A14AC" w14:textId="77777777" w:rsidR="00ED2984" w:rsidRPr="0069055F" w:rsidRDefault="00000000" w:rsidP="0069055F">
            <w:r w:rsidRPr="0069055F">
              <w:t>1.0000000</w:t>
            </w:r>
          </w:p>
        </w:tc>
      </w:tr>
    </w:tbl>
    <w:p w14:paraId="4DD25347" w14:textId="77777777" w:rsidR="0069055F" w:rsidRDefault="0069055F" w:rsidP="0069055F"/>
    <w:p w14:paraId="0F5B0B8A" w14:textId="10DEC904" w:rsidR="00ED2984" w:rsidRPr="0069055F" w:rsidRDefault="00000000" w:rsidP="0069055F">
      <w:r w:rsidRPr="0069055F">
        <w:t xml:space="preserve">Z těchto korelačních matic je zjevné, že existuje silná korelace mezi hodnotami </w:t>
      </w:r>
      <w:proofErr w:type="spellStart"/>
      <w:r w:rsidRPr="0069055F">
        <w:t>year</w:t>
      </w:r>
      <w:proofErr w:type="spellEnd"/>
      <w:r w:rsidRPr="0069055F">
        <w:t xml:space="preserve"> a pec, což značí, že v průběhu let se zvyšovala energetická spotřeba obou zemí. Oproti tomu, korelace mezi hodnotami </w:t>
      </w:r>
      <w:proofErr w:type="spellStart"/>
      <w:r w:rsidRPr="0069055F">
        <w:t>year</w:t>
      </w:r>
      <w:proofErr w:type="spellEnd"/>
      <w:r w:rsidRPr="0069055F">
        <w:t xml:space="preserve"> a </w:t>
      </w:r>
      <w:proofErr w:type="spellStart"/>
      <w:r w:rsidRPr="0069055F">
        <w:t>bdeadbes</w:t>
      </w:r>
      <w:proofErr w:type="spellEnd"/>
      <w:r w:rsidRPr="0069055F">
        <w:t xml:space="preserve"> je lehce negativní, z toho vyplývá, že během let války byl mírný pokles v počtu padlých v boji. Z korelace hodnot </w:t>
      </w:r>
      <w:proofErr w:type="spellStart"/>
      <w:r w:rsidRPr="0069055F">
        <w:t>year</w:t>
      </w:r>
      <w:proofErr w:type="spellEnd"/>
      <w:r w:rsidRPr="0069055F">
        <w:t xml:space="preserve"> a </w:t>
      </w:r>
      <w:proofErr w:type="spellStart"/>
      <w:r w:rsidRPr="0069055F">
        <w:t>milex</w:t>
      </w:r>
      <w:proofErr w:type="spellEnd"/>
      <w:r w:rsidRPr="0069055F">
        <w:t xml:space="preserve">, se dozvídáme, že Irák během let zvyšoval své vojenské výdaje, jak potvrzuje silná korelace mezi těmito hodnotami. V případě Íránu, je však tato korelace velice slabá a nelze tak podložit jakýkoliv nárůst vojenských výdajů během let trvání války. Je zajímavé, že i přes to, že nelze podložit nárůst vojenských výdajů v Íránu během let, korelace mezi hodnotami </w:t>
      </w:r>
      <w:proofErr w:type="spellStart"/>
      <w:r w:rsidRPr="0069055F">
        <w:t>milex</w:t>
      </w:r>
      <w:proofErr w:type="spellEnd"/>
      <w:r w:rsidRPr="0069055F">
        <w:t xml:space="preserve"> a </w:t>
      </w:r>
      <w:proofErr w:type="spellStart"/>
      <w:r w:rsidRPr="0069055F">
        <w:lastRenderedPageBreak/>
        <w:t>bdeadbes</w:t>
      </w:r>
      <w:proofErr w:type="spellEnd"/>
      <w:r w:rsidRPr="0069055F">
        <w:t xml:space="preserve"> je relativně silnější, což značí, že výše vojenských výdajů má vliv na počet padlých v boji, ale tato korelace není dostatečně silná pro jasné potvrzení tohoto vlivu. V případě korelace mezi hodnotami </w:t>
      </w:r>
      <w:proofErr w:type="spellStart"/>
      <w:r w:rsidRPr="0069055F">
        <w:t>milex</w:t>
      </w:r>
      <w:proofErr w:type="spellEnd"/>
      <w:r w:rsidRPr="0069055F">
        <w:t xml:space="preserve"> a </w:t>
      </w:r>
      <w:proofErr w:type="spellStart"/>
      <w:r w:rsidRPr="0069055F">
        <w:t>bdeadbes</w:t>
      </w:r>
      <w:proofErr w:type="spellEnd"/>
      <w:r w:rsidRPr="0069055F">
        <w:t xml:space="preserve"> Iráku, je korelace podstatně nižší než v případě Iránu. Toto značí, že i přes to, že u Iránu nebyla tato korelace dostatečně silná na podložení vlivu </w:t>
      </w:r>
      <w:proofErr w:type="spellStart"/>
      <w:r w:rsidRPr="0069055F">
        <w:t>milex</w:t>
      </w:r>
      <w:proofErr w:type="spellEnd"/>
      <w:r w:rsidRPr="0069055F">
        <w:t xml:space="preserve"> na </w:t>
      </w:r>
      <w:proofErr w:type="spellStart"/>
      <w:r w:rsidRPr="0069055F">
        <w:t>bdeadbes</w:t>
      </w:r>
      <w:proofErr w:type="spellEnd"/>
      <w:r w:rsidRPr="0069055F">
        <w:t xml:space="preserve">, je tento vliv podloženě vyšší než v případě Iráku. Korelace hodnot pec a </w:t>
      </w:r>
      <w:proofErr w:type="spellStart"/>
      <w:r w:rsidRPr="0069055F">
        <w:t>bdeadbes</w:t>
      </w:r>
      <w:proofErr w:type="spellEnd"/>
      <w:r w:rsidRPr="0069055F">
        <w:t xml:space="preserve"> je středně negativní v případě Íránu a mírně negativní v případě Iráku, což naznačuje, že s vyšší energetickou spotřebou klesá počet padlých v boji. Tento závěr ovšem dle korelace platí více v případě Íránu než Iráku. </w:t>
      </w:r>
    </w:p>
    <w:p w14:paraId="32D65B5D" w14:textId="77777777" w:rsidR="00ED2984" w:rsidRDefault="00000000" w:rsidP="0069055F">
      <w:r w:rsidRPr="0069055F">
        <w:t xml:space="preserve">Po přezkoumání korelačních matic, byla v programu R studio vypracována kombinovaná korelační analýza, která se zabývá intenzitou vlivu jedné proměnné na druhou. Vzhledem k tomu, že hodnota </w:t>
      </w:r>
      <w:proofErr w:type="spellStart"/>
      <w:r w:rsidRPr="0069055F">
        <w:t>bdeadbes</w:t>
      </w:r>
      <w:proofErr w:type="spellEnd"/>
      <w:r w:rsidRPr="0069055F">
        <w:t xml:space="preserve"> je v </w:t>
      </w:r>
      <w:proofErr w:type="spellStart"/>
      <w:r w:rsidRPr="0069055F">
        <w:t>datasetu</w:t>
      </w:r>
      <w:proofErr w:type="spellEnd"/>
      <w:r w:rsidRPr="0069055F">
        <w:t xml:space="preserve"> PRIO udávána celkově za každý rok války, bez rozdělení na ztráty Iráku a Íránu, bylo rozhodnuto, že kombinace dat hodnot </w:t>
      </w:r>
      <w:proofErr w:type="spellStart"/>
      <w:r w:rsidRPr="0069055F">
        <w:t>milex</w:t>
      </w:r>
      <w:proofErr w:type="spellEnd"/>
      <w:r w:rsidRPr="0069055F">
        <w:t xml:space="preserve"> a pec za obě strany povede k ucelenějším závěrům. V tomto kroku byly tedy spojeny hodnoty </w:t>
      </w:r>
      <w:proofErr w:type="spellStart"/>
      <w:r w:rsidRPr="0069055F">
        <w:t>milex</w:t>
      </w:r>
      <w:proofErr w:type="spellEnd"/>
      <w:r w:rsidRPr="0069055F">
        <w:t xml:space="preserve"> za Irák i Írán a pec za Irák i Írán. </w:t>
      </w:r>
    </w:p>
    <w:p w14:paraId="440F18A5" w14:textId="77777777" w:rsidR="0069055F" w:rsidRPr="0069055F" w:rsidRDefault="0069055F" w:rsidP="0069055F"/>
    <w:p w14:paraId="647BDB65" w14:textId="77777777" w:rsidR="00ED2984" w:rsidRPr="0069055F" w:rsidRDefault="00000000" w:rsidP="0069055F">
      <w:r w:rsidRPr="0069055F">
        <w:t>Kombinovaná korelační matice</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ED2984" w:rsidRPr="0069055F" w14:paraId="072D8074" w14:textId="77777777" w:rsidTr="0069055F">
        <w:trPr>
          <w:trHeight w:val="275"/>
        </w:trPr>
        <w:tc>
          <w:tcPr>
            <w:tcW w:w="2257" w:type="dxa"/>
            <w:shd w:val="clear" w:color="auto" w:fill="auto"/>
            <w:tcMar>
              <w:top w:w="100" w:type="dxa"/>
              <w:left w:w="100" w:type="dxa"/>
              <w:bottom w:w="100" w:type="dxa"/>
              <w:right w:w="100" w:type="dxa"/>
            </w:tcMar>
          </w:tcPr>
          <w:p w14:paraId="7E9C9F02" w14:textId="77777777" w:rsidR="00ED2984" w:rsidRPr="0069055F" w:rsidRDefault="00ED2984" w:rsidP="0069055F"/>
        </w:tc>
        <w:tc>
          <w:tcPr>
            <w:tcW w:w="2257" w:type="dxa"/>
            <w:shd w:val="clear" w:color="auto" w:fill="auto"/>
            <w:tcMar>
              <w:top w:w="100" w:type="dxa"/>
              <w:left w:w="100" w:type="dxa"/>
              <w:bottom w:w="100" w:type="dxa"/>
              <w:right w:w="100" w:type="dxa"/>
            </w:tcMar>
          </w:tcPr>
          <w:p w14:paraId="598D1074" w14:textId="77777777" w:rsidR="00ED2984" w:rsidRPr="0069055F" w:rsidRDefault="00000000" w:rsidP="0069055F">
            <w:proofErr w:type="spellStart"/>
            <w:r w:rsidRPr="0069055F">
              <w:t>milex</w:t>
            </w:r>
            <w:proofErr w:type="spellEnd"/>
          </w:p>
        </w:tc>
        <w:tc>
          <w:tcPr>
            <w:tcW w:w="2257" w:type="dxa"/>
            <w:shd w:val="clear" w:color="auto" w:fill="auto"/>
            <w:tcMar>
              <w:top w:w="100" w:type="dxa"/>
              <w:left w:w="100" w:type="dxa"/>
              <w:bottom w:w="100" w:type="dxa"/>
              <w:right w:w="100" w:type="dxa"/>
            </w:tcMar>
          </w:tcPr>
          <w:p w14:paraId="13BD0E61" w14:textId="77777777" w:rsidR="00ED2984" w:rsidRPr="0069055F" w:rsidRDefault="00000000" w:rsidP="0069055F">
            <w:r w:rsidRPr="0069055F">
              <w:t>pec</w:t>
            </w:r>
          </w:p>
        </w:tc>
        <w:tc>
          <w:tcPr>
            <w:tcW w:w="2257" w:type="dxa"/>
            <w:shd w:val="clear" w:color="auto" w:fill="auto"/>
            <w:tcMar>
              <w:top w:w="100" w:type="dxa"/>
              <w:left w:w="100" w:type="dxa"/>
              <w:bottom w:w="100" w:type="dxa"/>
              <w:right w:w="100" w:type="dxa"/>
            </w:tcMar>
          </w:tcPr>
          <w:p w14:paraId="56DD69B7" w14:textId="77777777" w:rsidR="00ED2984" w:rsidRPr="0069055F" w:rsidRDefault="00000000" w:rsidP="0069055F">
            <w:proofErr w:type="spellStart"/>
            <w:r w:rsidRPr="0069055F">
              <w:t>bdeadbes</w:t>
            </w:r>
            <w:proofErr w:type="spellEnd"/>
          </w:p>
        </w:tc>
      </w:tr>
      <w:tr w:rsidR="00ED2984" w:rsidRPr="0069055F" w14:paraId="4FE0A56D" w14:textId="77777777" w:rsidTr="0069055F">
        <w:trPr>
          <w:trHeight w:val="241"/>
        </w:trPr>
        <w:tc>
          <w:tcPr>
            <w:tcW w:w="2257" w:type="dxa"/>
            <w:shd w:val="clear" w:color="auto" w:fill="auto"/>
            <w:tcMar>
              <w:top w:w="100" w:type="dxa"/>
              <w:left w:w="100" w:type="dxa"/>
              <w:bottom w:w="100" w:type="dxa"/>
              <w:right w:w="100" w:type="dxa"/>
            </w:tcMar>
          </w:tcPr>
          <w:p w14:paraId="77A595FD" w14:textId="77777777" w:rsidR="00ED2984" w:rsidRPr="0069055F" w:rsidRDefault="00000000" w:rsidP="0069055F">
            <w:proofErr w:type="spellStart"/>
            <w:r w:rsidRPr="0069055F">
              <w:t>milex</w:t>
            </w:r>
            <w:proofErr w:type="spellEnd"/>
          </w:p>
        </w:tc>
        <w:tc>
          <w:tcPr>
            <w:tcW w:w="2257" w:type="dxa"/>
            <w:shd w:val="clear" w:color="auto" w:fill="auto"/>
            <w:tcMar>
              <w:top w:w="100" w:type="dxa"/>
              <w:left w:w="100" w:type="dxa"/>
              <w:bottom w:w="100" w:type="dxa"/>
              <w:right w:w="100" w:type="dxa"/>
            </w:tcMar>
          </w:tcPr>
          <w:p w14:paraId="2677FF6D" w14:textId="77777777" w:rsidR="00ED2984" w:rsidRPr="0069055F" w:rsidRDefault="00000000" w:rsidP="0069055F">
            <w:r w:rsidRPr="0069055F">
              <w:t>1.0000000</w:t>
            </w:r>
          </w:p>
        </w:tc>
        <w:tc>
          <w:tcPr>
            <w:tcW w:w="2257" w:type="dxa"/>
            <w:shd w:val="clear" w:color="auto" w:fill="auto"/>
            <w:tcMar>
              <w:top w:w="100" w:type="dxa"/>
              <w:left w:w="100" w:type="dxa"/>
              <w:bottom w:w="100" w:type="dxa"/>
              <w:right w:w="100" w:type="dxa"/>
            </w:tcMar>
          </w:tcPr>
          <w:p w14:paraId="648EBD74" w14:textId="77777777" w:rsidR="00ED2984" w:rsidRPr="0069055F" w:rsidRDefault="00000000" w:rsidP="0069055F">
            <w:r w:rsidRPr="0069055F">
              <w:t>0.3105692</w:t>
            </w:r>
          </w:p>
        </w:tc>
        <w:tc>
          <w:tcPr>
            <w:tcW w:w="2257" w:type="dxa"/>
            <w:shd w:val="clear" w:color="auto" w:fill="auto"/>
            <w:tcMar>
              <w:top w:w="100" w:type="dxa"/>
              <w:left w:w="100" w:type="dxa"/>
              <w:bottom w:w="100" w:type="dxa"/>
              <w:right w:w="100" w:type="dxa"/>
            </w:tcMar>
          </w:tcPr>
          <w:p w14:paraId="53070892" w14:textId="77777777" w:rsidR="00ED2984" w:rsidRPr="0069055F" w:rsidRDefault="00000000" w:rsidP="0069055F">
            <w:r w:rsidRPr="0069055F">
              <w:t>0.4260261</w:t>
            </w:r>
          </w:p>
        </w:tc>
      </w:tr>
      <w:tr w:rsidR="00ED2984" w:rsidRPr="0069055F" w14:paraId="29BC27E3" w14:textId="77777777" w:rsidTr="0069055F">
        <w:trPr>
          <w:trHeight w:val="207"/>
        </w:trPr>
        <w:tc>
          <w:tcPr>
            <w:tcW w:w="2257" w:type="dxa"/>
            <w:shd w:val="clear" w:color="auto" w:fill="auto"/>
            <w:tcMar>
              <w:top w:w="100" w:type="dxa"/>
              <w:left w:w="100" w:type="dxa"/>
              <w:bottom w:w="100" w:type="dxa"/>
              <w:right w:w="100" w:type="dxa"/>
            </w:tcMar>
          </w:tcPr>
          <w:p w14:paraId="78371F03" w14:textId="77777777" w:rsidR="00ED2984" w:rsidRPr="0069055F" w:rsidRDefault="00000000" w:rsidP="0069055F">
            <w:r w:rsidRPr="0069055F">
              <w:t>pec</w:t>
            </w:r>
          </w:p>
        </w:tc>
        <w:tc>
          <w:tcPr>
            <w:tcW w:w="2257" w:type="dxa"/>
            <w:shd w:val="clear" w:color="auto" w:fill="auto"/>
            <w:tcMar>
              <w:top w:w="100" w:type="dxa"/>
              <w:left w:w="100" w:type="dxa"/>
              <w:bottom w:w="100" w:type="dxa"/>
              <w:right w:w="100" w:type="dxa"/>
            </w:tcMar>
          </w:tcPr>
          <w:p w14:paraId="75AD9CD0" w14:textId="77777777" w:rsidR="00ED2984" w:rsidRPr="0069055F" w:rsidRDefault="00000000" w:rsidP="0069055F">
            <w:r w:rsidRPr="0069055F">
              <w:t>0.3105692</w:t>
            </w:r>
          </w:p>
        </w:tc>
        <w:tc>
          <w:tcPr>
            <w:tcW w:w="2257" w:type="dxa"/>
            <w:shd w:val="clear" w:color="auto" w:fill="auto"/>
            <w:tcMar>
              <w:top w:w="100" w:type="dxa"/>
              <w:left w:w="100" w:type="dxa"/>
              <w:bottom w:w="100" w:type="dxa"/>
              <w:right w:w="100" w:type="dxa"/>
            </w:tcMar>
          </w:tcPr>
          <w:p w14:paraId="2065D8F7" w14:textId="77777777" w:rsidR="00ED2984" w:rsidRPr="0069055F" w:rsidRDefault="00000000" w:rsidP="0069055F">
            <w:r w:rsidRPr="0069055F">
              <w:t>1.0000000</w:t>
            </w:r>
          </w:p>
        </w:tc>
        <w:tc>
          <w:tcPr>
            <w:tcW w:w="2257" w:type="dxa"/>
            <w:shd w:val="clear" w:color="auto" w:fill="auto"/>
            <w:tcMar>
              <w:top w:w="100" w:type="dxa"/>
              <w:left w:w="100" w:type="dxa"/>
              <w:bottom w:w="100" w:type="dxa"/>
              <w:right w:w="100" w:type="dxa"/>
            </w:tcMar>
          </w:tcPr>
          <w:p w14:paraId="7E4149E1" w14:textId="77777777" w:rsidR="00ED2984" w:rsidRPr="0069055F" w:rsidRDefault="00000000" w:rsidP="0069055F">
            <w:r w:rsidRPr="0069055F">
              <w:t>-0.4872725</w:t>
            </w:r>
          </w:p>
        </w:tc>
      </w:tr>
      <w:tr w:rsidR="00ED2984" w:rsidRPr="0069055F" w14:paraId="6F319A25" w14:textId="77777777" w:rsidTr="0069055F">
        <w:trPr>
          <w:trHeight w:val="187"/>
        </w:trPr>
        <w:tc>
          <w:tcPr>
            <w:tcW w:w="2257" w:type="dxa"/>
            <w:shd w:val="clear" w:color="auto" w:fill="auto"/>
            <w:tcMar>
              <w:top w:w="100" w:type="dxa"/>
              <w:left w:w="100" w:type="dxa"/>
              <w:bottom w:w="100" w:type="dxa"/>
              <w:right w:w="100" w:type="dxa"/>
            </w:tcMar>
          </w:tcPr>
          <w:p w14:paraId="3252FFB7" w14:textId="77777777" w:rsidR="00ED2984" w:rsidRPr="0069055F" w:rsidRDefault="00000000" w:rsidP="0069055F">
            <w:proofErr w:type="spellStart"/>
            <w:r w:rsidRPr="0069055F">
              <w:t>bdeadbes</w:t>
            </w:r>
            <w:proofErr w:type="spellEnd"/>
          </w:p>
        </w:tc>
        <w:tc>
          <w:tcPr>
            <w:tcW w:w="2257" w:type="dxa"/>
            <w:shd w:val="clear" w:color="auto" w:fill="auto"/>
            <w:tcMar>
              <w:top w:w="100" w:type="dxa"/>
              <w:left w:w="100" w:type="dxa"/>
              <w:bottom w:w="100" w:type="dxa"/>
              <w:right w:w="100" w:type="dxa"/>
            </w:tcMar>
          </w:tcPr>
          <w:p w14:paraId="3528D790" w14:textId="77777777" w:rsidR="00ED2984" w:rsidRPr="0069055F" w:rsidRDefault="00000000" w:rsidP="0069055F">
            <w:r w:rsidRPr="0069055F">
              <w:t>0.4260261</w:t>
            </w:r>
          </w:p>
        </w:tc>
        <w:tc>
          <w:tcPr>
            <w:tcW w:w="2257" w:type="dxa"/>
            <w:shd w:val="clear" w:color="auto" w:fill="auto"/>
            <w:tcMar>
              <w:top w:w="100" w:type="dxa"/>
              <w:left w:w="100" w:type="dxa"/>
              <w:bottom w:w="100" w:type="dxa"/>
              <w:right w:w="100" w:type="dxa"/>
            </w:tcMar>
          </w:tcPr>
          <w:p w14:paraId="7AE27F1C" w14:textId="77777777" w:rsidR="00ED2984" w:rsidRPr="0069055F" w:rsidRDefault="00000000" w:rsidP="0069055F">
            <w:r w:rsidRPr="0069055F">
              <w:t>-0.4872725</w:t>
            </w:r>
          </w:p>
        </w:tc>
        <w:tc>
          <w:tcPr>
            <w:tcW w:w="2257" w:type="dxa"/>
            <w:shd w:val="clear" w:color="auto" w:fill="auto"/>
            <w:tcMar>
              <w:top w:w="100" w:type="dxa"/>
              <w:left w:w="100" w:type="dxa"/>
              <w:bottom w:w="100" w:type="dxa"/>
              <w:right w:w="100" w:type="dxa"/>
            </w:tcMar>
          </w:tcPr>
          <w:p w14:paraId="5E33402B" w14:textId="77777777" w:rsidR="00ED2984" w:rsidRPr="0069055F" w:rsidRDefault="00000000" w:rsidP="0069055F">
            <w:r w:rsidRPr="0069055F">
              <w:t>1.0000000</w:t>
            </w:r>
          </w:p>
        </w:tc>
      </w:tr>
    </w:tbl>
    <w:p w14:paraId="5CF36631" w14:textId="77777777" w:rsidR="00ED2984" w:rsidRPr="0069055F" w:rsidRDefault="00ED2984" w:rsidP="0069055F">
      <w:pPr>
        <w:rPr>
          <w:rFonts w:ascii="Courier New" w:eastAsia="Courier New" w:hAnsi="Courier New" w:cs="Courier New"/>
          <w:highlight w:val="white"/>
        </w:rPr>
      </w:pPr>
    </w:p>
    <w:p w14:paraId="00A43D3F" w14:textId="77777777" w:rsidR="00ED2984" w:rsidRPr="0069055F" w:rsidRDefault="00000000" w:rsidP="0069055F">
      <w:r w:rsidRPr="0069055F">
        <w:t xml:space="preserve">Z této korelační matice vychází dva následující grafy, které zobrazují lineární vliv nezávislých proměnných </w:t>
      </w:r>
      <w:proofErr w:type="spellStart"/>
      <w:r w:rsidRPr="0069055F">
        <w:t>milex</w:t>
      </w:r>
      <w:proofErr w:type="spellEnd"/>
      <w:r w:rsidRPr="0069055F">
        <w:t xml:space="preserve"> a pec na závislou proměnnou </w:t>
      </w:r>
      <w:proofErr w:type="spellStart"/>
      <w:r w:rsidRPr="0069055F">
        <w:t>bdeadbes</w:t>
      </w:r>
      <w:proofErr w:type="spellEnd"/>
      <w:r w:rsidRPr="0069055F">
        <w:t xml:space="preserve"> v průběhu let Irácko-íránské války.  </w:t>
      </w:r>
    </w:p>
    <w:p w14:paraId="37CE4C64" w14:textId="77777777" w:rsidR="00ED2984" w:rsidRPr="0069055F" w:rsidRDefault="00ED2984" w:rsidP="0069055F"/>
    <w:p w14:paraId="35A3FC51" w14:textId="77777777" w:rsidR="0069055F" w:rsidRDefault="0069055F">
      <w:pPr>
        <w:spacing w:line="276" w:lineRule="auto"/>
        <w:jc w:val="left"/>
      </w:pPr>
      <w:r>
        <w:br w:type="page"/>
      </w:r>
    </w:p>
    <w:p w14:paraId="00555C25" w14:textId="1545E662" w:rsidR="00ED2984" w:rsidRPr="0069055F" w:rsidRDefault="00000000" w:rsidP="0069055F">
      <w:r w:rsidRPr="0069055F">
        <w:lastRenderedPageBreak/>
        <w:t xml:space="preserve">Graf pro korelaci </w:t>
      </w:r>
      <w:proofErr w:type="spellStart"/>
      <w:r w:rsidRPr="0069055F">
        <w:t>bdeadbes</w:t>
      </w:r>
      <w:proofErr w:type="spellEnd"/>
      <w:r w:rsidRPr="0069055F">
        <w:t xml:space="preserve"> a </w:t>
      </w:r>
      <w:proofErr w:type="spellStart"/>
      <w:r w:rsidRPr="0069055F">
        <w:t>milex</w:t>
      </w:r>
      <w:proofErr w:type="spellEnd"/>
      <w:r w:rsidRPr="0069055F">
        <w:t xml:space="preserve"> v průběhu let války</w:t>
      </w:r>
    </w:p>
    <w:p w14:paraId="65BC9EC7" w14:textId="77777777" w:rsidR="00ED2984" w:rsidRPr="0069055F" w:rsidRDefault="00000000" w:rsidP="0069055F">
      <w:pPr>
        <w:rPr>
          <w:rFonts w:ascii="Courier New" w:eastAsia="Courier New" w:hAnsi="Courier New" w:cs="Courier New"/>
          <w:highlight w:val="white"/>
        </w:rPr>
      </w:pPr>
      <w:r w:rsidRPr="0069055F">
        <w:rPr>
          <w:rFonts w:ascii="Courier New" w:eastAsia="Courier New" w:hAnsi="Courier New" w:cs="Courier New"/>
          <w:noProof/>
          <w:highlight w:val="white"/>
        </w:rPr>
        <w:drawing>
          <wp:inline distT="114300" distB="114300" distL="114300" distR="114300" wp14:anchorId="5D93F125" wp14:editId="0F24E3DA">
            <wp:extent cx="5731200" cy="353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3530600"/>
                    </a:xfrm>
                    <a:prstGeom prst="rect">
                      <a:avLst/>
                    </a:prstGeom>
                    <a:ln/>
                  </pic:spPr>
                </pic:pic>
              </a:graphicData>
            </a:graphic>
          </wp:inline>
        </w:drawing>
      </w:r>
    </w:p>
    <w:p w14:paraId="10242000" w14:textId="77777777" w:rsidR="00ED2984" w:rsidRPr="0069055F" w:rsidRDefault="00ED2984" w:rsidP="0069055F">
      <w:pPr>
        <w:rPr>
          <w:rFonts w:ascii="Courier New" w:eastAsia="Courier New" w:hAnsi="Courier New" w:cs="Courier New"/>
          <w:highlight w:val="white"/>
        </w:rPr>
      </w:pPr>
    </w:p>
    <w:p w14:paraId="54EC4A7C" w14:textId="77777777" w:rsidR="00ED2984" w:rsidRPr="0069055F" w:rsidRDefault="00000000" w:rsidP="0069055F">
      <w:pPr>
        <w:rPr>
          <w:rFonts w:ascii="Courier New" w:eastAsia="Courier New" w:hAnsi="Courier New" w:cs="Courier New"/>
          <w:highlight w:val="white"/>
        </w:rPr>
      </w:pPr>
      <w:r w:rsidRPr="0069055F">
        <w:t xml:space="preserve">Graf pro korelaci </w:t>
      </w:r>
      <w:proofErr w:type="spellStart"/>
      <w:r w:rsidRPr="0069055F">
        <w:t>bdeadbes</w:t>
      </w:r>
      <w:proofErr w:type="spellEnd"/>
      <w:r w:rsidRPr="0069055F">
        <w:t xml:space="preserve"> a pec v průběhu let války</w:t>
      </w:r>
    </w:p>
    <w:p w14:paraId="07F25084" w14:textId="77777777" w:rsidR="00ED2984" w:rsidRPr="0069055F" w:rsidRDefault="00000000" w:rsidP="0069055F">
      <w:pPr>
        <w:rPr>
          <w:rFonts w:ascii="Courier New" w:eastAsia="Courier New" w:hAnsi="Courier New" w:cs="Courier New"/>
          <w:highlight w:val="white"/>
        </w:rPr>
      </w:pPr>
      <w:r w:rsidRPr="0069055F">
        <w:rPr>
          <w:rFonts w:ascii="Courier New" w:eastAsia="Courier New" w:hAnsi="Courier New" w:cs="Courier New"/>
          <w:noProof/>
          <w:highlight w:val="white"/>
        </w:rPr>
        <w:drawing>
          <wp:inline distT="114300" distB="114300" distL="114300" distR="114300" wp14:anchorId="315FF1B6" wp14:editId="48C8A158">
            <wp:extent cx="5731200" cy="3530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1200" cy="3530600"/>
                    </a:xfrm>
                    <a:prstGeom prst="rect">
                      <a:avLst/>
                    </a:prstGeom>
                    <a:ln/>
                  </pic:spPr>
                </pic:pic>
              </a:graphicData>
            </a:graphic>
          </wp:inline>
        </w:drawing>
      </w:r>
    </w:p>
    <w:p w14:paraId="0349A619" w14:textId="77777777" w:rsidR="0069055F" w:rsidRDefault="00000000" w:rsidP="0069055F">
      <w:pPr>
        <w:rPr>
          <w:highlight w:val="white"/>
        </w:rPr>
      </w:pPr>
      <w:r w:rsidRPr="0069055F">
        <w:rPr>
          <w:highlight w:val="white"/>
        </w:rPr>
        <w:t xml:space="preserve">Kvůli nedostatečné přehlednosti těchto grafů byla vypracována </w:t>
      </w:r>
      <w:proofErr w:type="spellStart"/>
      <w:r w:rsidRPr="0069055F">
        <w:rPr>
          <w:highlight w:val="white"/>
        </w:rPr>
        <w:t>scatter</w:t>
      </w:r>
      <w:proofErr w:type="spellEnd"/>
      <w:r w:rsidRPr="0069055F">
        <w:rPr>
          <w:highlight w:val="white"/>
        </w:rPr>
        <w:t xml:space="preserve"> plot vizualizace, která umožňuje detailnější analýzu dat. První </w:t>
      </w:r>
      <w:proofErr w:type="spellStart"/>
      <w:r w:rsidRPr="0069055F">
        <w:rPr>
          <w:highlight w:val="white"/>
        </w:rPr>
        <w:t>scatter</w:t>
      </w:r>
      <w:proofErr w:type="spellEnd"/>
      <w:r w:rsidRPr="0069055F">
        <w:rPr>
          <w:highlight w:val="white"/>
        </w:rPr>
        <w:t xml:space="preserve"> plot graf zobrazuje lineární korelaci mezi hodnotami </w:t>
      </w:r>
      <w:proofErr w:type="spellStart"/>
      <w:r w:rsidRPr="0069055F">
        <w:rPr>
          <w:highlight w:val="white"/>
        </w:rPr>
        <w:t>bdeadbes</w:t>
      </w:r>
      <w:proofErr w:type="spellEnd"/>
      <w:r w:rsidRPr="0069055F">
        <w:rPr>
          <w:highlight w:val="white"/>
        </w:rPr>
        <w:t xml:space="preserve"> a pec, čímž poskytuje vhled do vztahu mezi energetickou spotřebou a počtem padlých v boji. Druhý </w:t>
      </w:r>
      <w:proofErr w:type="spellStart"/>
      <w:r w:rsidRPr="0069055F">
        <w:rPr>
          <w:highlight w:val="white"/>
        </w:rPr>
        <w:lastRenderedPageBreak/>
        <w:t>scatter</w:t>
      </w:r>
      <w:proofErr w:type="spellEnd"/>
      <w:r w:rsidRPr="0069055F">
        <w:rPr>
          <w:highlight w:val="white"/>
        </w:rPr>
        <w:t xml:space="preserve"> plot graf zobrazuje korelaci mezi hodnotami </w:t>
      </w:r>
      <w:proofErr w:type="spellStart"/>
      <w:r w:rsidRPr="0069055F">
        <w:rPr>
          <w:highlight w:val="white"/>
        </w:rPr>
        <w:t>bdeadbes</w:t>
      </w:r>
      <w:proofErr w:type="spellEnd"/>
      <w:r w:rsidRPr="0069055F">
        <w:rPr>
          <w:highlight w:val="white"/>
        </w:rPr>
        <w:t xml:space="preserve"> a </w:t>
      </w:r>
      <w:proofErr w:type="spellStart"/>
      <w:r w:rsidRPr="0069055F">
        <w:rPr>
          <w:highlight w:val="white"/>
        </w:rPr>
        <w:t>milex</w:t>
      </w:r>
      <w:proofErr w:type="spellEnd"/>
      <w:r w:rsidRPr="0069055F">
        <w:rPr>
          <w:highlight w:val="white"/>
        </w:rPr>
        <w:t>, což umožňuje zkoumat souvislost mezi vojenskými výdaji a počtem padlých v boji.</w:t>
      </w:r>
    </w:p>
    <w:p w14:paraId="2E918052" w14:textId="77777777" w:rsidR="0069055F" w:rsidRDefault="0069055F" w:rsidP="0069055F">
      <w:pPr>
        <w:rPr>
          <w:highlight w:val="white"/>
        </w:rPr>
      </w:pPr>
    </w:p>
    <w:p w14:paraId="760786C8" w14:textId="3B75BAF1" w:rsidR="00ED2984" w:rsidRPr="0069055F" w:rsidRDefault="00000000" w:rsidP="0069055F">
      <w:pPr>
        <w:rPr>
          <w:rFonts w:ascii="Courier New" w:eastAsia="Courier New" w:hAnsi="Courier New" w:cs="Courier New"/>
          <w:highlight w:val="white"/>
        </w:rPr>
      </w:pPr>
      <w:commentRangeStart w:id="22"/>
      <w:r w:rsidRPr="0069055F">
        <w:rPr>
          <w:rFonts w:ascii="Courier New" w:eastAsia="Courier New" w:hAnsi="Courier New" w:cs="Courier New"/>
          <w:noProof/>
          <w:highlight w:val="white"/>
        </w:rPr>
        <w:drawing>
          <wp:inline distT="114300" distB="114300" distL="114300" distR="114300" wp14:anchorId="53E278B8" wp14:editId="323E1D2F">
            <wp:extent cx="5731200" cy="34671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5731200" cy="3467100"/>
                    </a:xfrm>
                    <a:prstGeom prst="rect">
                      <a:avLst/>
                    </a:prstGeom>
                    <a:ln/>
                  </pic:spPr>
                </pic:pic>
              </a:graphicData>
            </a:graphic>
          </wp:inline>
        </w:drawing>
      </w:r>
      <w:commentRangeEnd w:id="22"/>
      <w:r w:rsidR="00D45442">
        <w:rPr>
          <w:rStyle w:val="Odkaznakoment"/>
        </w:rPr>
        <w:commentReference w:id="22"/>
      </w:r>
    </w:p>
    <w:p w14:paraId="19CA94A7" w14:textId="611E0FA4" w:rsidR="00ED2984" w:rsidRPr="0069055F" w:rsidRDefault="00000000" w:rsidP="0069055F">
      <w:pPr>
        <w:rPr>
          <w:highlight w:val="white"/>
        </w:rPr>
      </w:pPr>
      <w:r w:rsidRPr="0069055F">
        <w:rPr>
          <w:highlight w:val="white"/>
        </w:rPr>
        <w:t xml:space="preserve">Z tohoto </w:t>
      </w:r>
      <w:proofErr w:type="spellStart"/>
      <w:r w:rsidRPr="0069055F">
        <w:rPr>
          <w:highlight w:val="white"/>
        </w:rPr>
        <w:t>scatter</w:t>
      </w:r>
      <w:proofErr w:type="spellEnd"/>
      <w:r w:rsidRPr="0069055F">
        <w:rPr>
          <w:highlight w:val="white"/>
        </w:rPr>
        <w:t xml:space="preserve"> plot grafu a z korelační matice vyplývá, že na základě středně pozitivní korelace hodnot </w:t>
      </w:r>
      <w:proofErr w:type="spellStart"/>
      <w:r w:rsidRPr="0069055F">
        <w:rPr>
          <w:highlight w:val="white"/>
        </w:rPr>
        <w:t>bdeadbes</w:t>
      </w:r>
      <w:proofErr w:type="spellEnd"/>
      <w:r w:rsidRPr="0069055F">
        <w:rPr>
          <w:highlight w:val="white"/>
        </w:rPr>
        <w:t xml:space="preserve"> a </w:t>
      </w:r>
      <w:proofErr w:type="spellStart"/>
      <w:r w:rsidRPr="0069055F">
        <w:rPr>
          <w:highlight w:val="white"/>
        </w:rPr>
        <w:t>milex</w:t>
      </w:r>
      <w:proofErr w:type="spellEnd"/>
      <w:r w:rsidRPr="0069055F">
        <w:rPr>
          <w:highlight w:val="white"/>
        </w:rPr>
        <w:t xml:space="preserve">, můžeme usuzovat, že výše vojenských výdajů má vliv na výši počtu padlých v boji. Tato korelace má za následek, že čím vyšší vojenské výdaje, tím vyšší počty padlých v boji. Na druhé straně, </w:t>
      </w:r>
      <w:proofErr w:type="spellStart"/>
      <w:r w:rsidRPr="0069055F">
        <w:rPr>
          <w:highlight w:val="white"/>
        </w:rPr>
        <w:t>scatter</w:t>
      </w:r>
      <w:proofErr w:type="spellEnd"/>
      <w:r w:rsidRPr="0069055F">
        <w:rPr>
          <w:highlight w:val="white"/>
        </w:rPr>
        <w:t xml:space="preserve"> plot zobrazující střední negativní korelaci hodnot </w:t>
      </w:r>
      <w:proofErr w:type="spellStart"/>
      <w:r w:rsidRPr="0069055F">
        <w:rPr>
          <w:highlight w:val="white"/>
        </w:rPr>
        <w:t>bdeadbes</w:t>
      </w:r>
      <w:proofErr w:type="spellEnd"/>
      <w:r w:rsidRPr="0069055F">
        <w:rPr>
          <w:highlight w:val="white"/>
        </w:rPr>
        <w:t xml:space="preserve"> a pec, vypovídá o tom, že </w:t>
      </w:r>
      <w:r w:rsidR="0069055F" w:rsidRPr="0069055F">
        <w:rPr>
          <w:highlight w:val="white"/>
        </w:rPr>
        <w:t>vyšší</w:t>
      </w:r>
      <w:r w:rsidRPr="0069055F">
        <w:rPr>
          <w:highlight w:val="white"/>
        </w:rPr>
        <w:t xml:space="preserve"> energetická spotřeba má za následek pokles počtu padlých v boji. </w:t>
      </w:r>
    </w:p>
    <w:p w14:paraId="0BB59706" w14:textId="77777777" w:rsidR="00ED2984" w:rsidRPr="0069055F" w:rsidRDefault="00ED2984" w:rsidP="0069055F">
      <w:pPr>
        <w:rPr>
          <w:highlight w:val="white"/>
        </w:rPr>
      </w:pPr>
    </w:p>
    <w:p w14:paraId="506F782D" w14:textId="1D18B415" w:rsidR="00ED2984" w:rsidRDefault="00000000" w:rsidP="0069055F">
      <w:pPr>
        <w:rPr>
          <w:highlight w:val="white"/>
        </w:rPr>
      </w:pPr>
      <w:r w:rsidRPr="0069055F">
        <w:rPr>
          <w:highlight w:val="white"/>
        </w:rPr>
        <w:t xml:space="preserve">Posledním krokem analýzy dat pro tuto studii byla regresní analýza. Koeficienty a p-hodnoty získané z regresního modelu jsou </w:t>
      </w:r>
      <w:r w:rsidR="0069055F" w:rsidRPr="0069055F">
        <w:rPr>
          <w:highlight w:val="white"/>
        </w:rPr>
        <w:t>ukázány</w:t>
      </w:r>
      <w:r w:rsidRPr="0069055F">
        <w:rPr>
          <w:highlight w:val="white"/>
        </w:rPr>
        <w:t xml:space="preserve"> níže. </w:t>
      </w:r>
    </w:p>
    <w:p w14:paraId="27F74307" w14:textId="77777777" w:rsidR="0069055F" w:rsidRPr="0069055F" w:rsidRDefault="0069055F" w:rsidP="0069055F">
      <w:pPr>
        <w:rPr>
          <w:highlight w:val="white"/>
        </w:rPr>
      </w:pPr>
    </w:p>
    <w:p w14:paraId="56BC9DA4" w14:textId="02DB6A58" w:rsidR="00ED2984" w:rsidRPr="0069055F" w:rsidRDefault="0069055F" w:rsidP="0069055F">
      <w:pPr>
        <w:rPr>
          <w:color w:val="0D0D0D"/>
          <w:highlight w:val="white"/>
        </w:rPr>
      </w:pPr>
      <w:r w:rsidRPr="0069055F">
        <w:rPr>
          <w:color w:val="0D0D0D"/>
          <w:highlight w:val="white"/>
        </w:rPr>
        <w:t>Koeficienty:</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ED2984" w:rsidRPr="0069055F" w14:paraId="6E071293" w14:textId="77777777">
        <w:tc>
          <w:tcPr>
            <w:tcW w:w="1805" w:type="dxa"/>
            <w:shd w:val="clear" w:color="auto" w:fill="auto"/>
            <w:tcMar>
              <w:top w:w="100" w:type="dxa"/>
              <w:left w:w="100" w:type="dxa"/>
              <w:bottom w:w="100" w:type="dxa"/>
              <w:right w:w="100" w:type="dxa"/>
            </w:tcMar>
          </w:tcPr>
          <w:p w14:paraId="1CF87C6A" w14:textId="77777777" w:rsidR="00ED2984" w:rsidRPr="0069055F" w:rsidRDefault="00ED2984" w:rsidP="0069055F"/>
        </w:tc>
        <w:tc>
          <w:tcPr>
            <w:tcW w:w="1805" w:type="dxa"/>
            <w:shd w:val="clear" w:color="auto" w:fill="auto"/>
            <w:tcMar>
              <w:top w:w="100" w:type="dxa"/>
              <w:left w:w="100" w:type="dxa"/>
              <w:bottom w:w="100" w:type="dxa"/>
              <w:right w:w="100" w:type="dxa"/>
            </w:tcMar>
          </w:tcPr>
          <w:p w14:paraId="03C9AE33" w14:textId="77777777" w:rsidR="00ED2984" w:rsidRPr="0069055F" w:rsidRDefault="00000000" w:rsidP="0069055F">
            <w:proofErr w:type="spellStart"/>
            <w:r w:rsidRPr="0069055F">
              <w:t>Estimate</w:t>
            </w:r>
            <w:proofErr w:type="spellEnd"/>
          </w:p>
        </w:tc>
        <w:tc>
          <w:tcPr>
            <w:tcW w:w="1805" w:type="dxa"/>
            <w:shd w:val="clear" w:color="auto" w:fill="auto"/>
            <w:tcMar>
              <w:top w:w="100" w:type="dxa"/>
              <w:left w:w="100" w:type="dxa"/>
              <w:bottom w:w="100" w:type="dxa"/>
              <w:right w:w="100" w:type="dxa"/>
            </w:tcMar>
          </w:tcPr>
          <w:p w14:paraId="6B2C9D23" w14:textId="77777777" w:rsidR="00ED2984" w:rsidRPr="0069055F" w:rsidRDefault="00000000" w:rsidP="0069055F">
            <w:proofErr w:type="spellStart"/>
            <w:r w:rsidRPr="0069055F">
              <w:t>Std</w:t>
            </w:r>
            <w:proofErr w:type="spellEnd"/>
            <w:r w:rsidRPr="0069055F">
              <w:t xml:space="preserve">. </w:t>
            </w:r>
            <w:proofErr w:type="spellStart"/>
            <w:r w:rsidRPr="0069055F">
              <w:t>Error</w:t>
            </w:r>
            <w:proofErr w:type="spellEnd"/>
          </w:p>
        </w:tc>
        <w:tc>
          <w:tcPr>
            <w:tcW w:w="1805" w:type="dxa"/>
            <w:shd w:val="clear" w:color="auto" w:fill="auto"/>
            <w:tcMar>
              <w:top w:w="100" w:type="dxa"/>
              <w:left w:w="100" w:type="dxa"/>
              <w:bottom w:w="100" w:type="dxa"/>
              <w:right w:w="100" w:type="dxa"/>
            </w:tcMar>
          </w:tcPr>
          <w:p w14:paraId="299533EA" w14:textId="77777777" w:rsidR="00ED2984" w:rsidRPr="0069055F" w:rsidRDefault="00000000" w:rsidP="0069055F">
            <w:r w:rsidRPr="0069055F">
              <w:t xml:space="preserve">t </w:t>
            </w:r>
            <w:proofErr w:type="spellStart"/>
            <w:r w:rsidRPr="0069055F">
              <w:t>value</w:t>
            </w:r>
            <w:proofErr w:type="spellEnd"/>
          </w:p>
        </w:tc>
        <w:tc>
          <w:tcPr>
            <w:tcW w:w="1805" w:type="dxa"/>
            <w:shd w:val="clear" w:color="auto" w:fill="auto"/>
            <w:tcMar>
              <w:top w:w="100" w:type="dxa"/>
              <w:left w:w="100" w:type="dxa"/>
              <w:bottom w:w="100" w:type="dxa"/>
              <w:right w:w="100" w:type="dxa"/>
            </w:tcMar>
          </w:tcPr>
          <w:p w14:paraId="5BF55692" w14:textId="77777777" w:rsidR="00ED2984" w:rsidRPr="0069055F" w:rsidRDefault="00000000" w:rsidP="0069055F">
            <w:proofErr w:type="spellStart"/>
            <w:r w:rsidRPr="0069055F">
              <w:t>Pr</w:t>
            </w:r>
            <w:proofErr w:type="spellEnd"/>
            <w:r w:rsidRPr="0069055F">
              <w:t>(&gt;|t|)</w:t>
            </w:r>
          </w:p>
        </w:tc>
      </w:tr>
      <w:tr w:rsidR="00ED2984" w:rsidRPr="0069055F" w14:paraId="1D0B7292" w14:textId="77777777">
        <w:tc>
          <w:tcPr>
            <w:tcW w:w="1805" w:type="dxa"/>
            <w:shd w:val="clear" w:color="auto" w:fill="auto"/>
            <w:tcMar>
              <w:top w:w="100" w:type="dxa"/>
              <w:left w:w="100" w:type="dxa"/>
              <w:bottom w:w="100" w:type="dxa"/>
              <w:right w:w="100" w:type="dxa"/>
            </w:tcMar>
          </w:tcPr>
          <w:p w14:paraId="2060950E" w14:textId="77777777" w:rsidR="00ED2984" w:rsidRPr="0069055F" w:rsidRDefault="00000000" w:rsidP="0069055F">
            <w:r w:rsidRPr="0069055F">
              <w:t>(</w:t>
            </w:r>
            <w:proofErr w:type="spellStart"/>
            <w:r w:rsidRPr="0069055F">
              <w:t>Intercept</w:t>
            </w:r>
            <w:proofErr w:type="spellEnd"/>
            <w:r w:rsidRPr="0069055F">
              <w:t>)</w:t>
            </w:r>
          </w:p>
        </w:tc>
        <w:tc>
          <w:tcPr>
            <w:tcW w:w="1805" w:type="dxa"/>
            <w:shd w:val="clear" w:color="auto" w:fill="auto"/>
            <w:tcMar>
              <w:top w:w="100" w:type="dxa"/>
              <w:left w:w="100" w:type="dxa"/>
              <w:bottom w:w="100" w:type="dxa"/>
              <w:right w:w="100" w:type="dxa"/>
            </w:tcMar>
          </w:tcPr>
          <w:p w14:paraId="3442F31B" w14:textId="77777777" w:rsidR="00ED2984" w:rsidRPr="0069055F" w:rsidRDefault="00000000" w:rsidP="0069055F">
            <w:r w:rsidRPr="0069055F">
              <w:t>1.086010e+05</w:t>
            </w:r>
          </w:p>
        </w:tc>
        <w:tc>
          <w:tcPr>
            <w:tcW w:w="1805" w:type="dxa"/>
            <w:shd w:val="clear" w:color="auto" w:fill="auto"/>
            <w:tcMar>
              <w:top w:w="100" w:type="dxa"/>
              <w:left w:w="100" w:type="dxa"/>
              <w:bottom w:w="100" w:type="dxa"/>
              <w:right w:w="100" w:type="dxa"/>
            </w:tcMar>
          </w:tcPr>
          <w:p w14:paraId="0775356B" w14:textId="77777777" w:rsidR="00ED2984" w:rsidRPr="0069055F" w:rsidRDefault="00000000" w:rsidP="0069055F">
            <w:r w:rsidRPr="0069055F">
              <w:t>2.872439e+04</w:t>
            </w:r>
          </w:p>
        </w:tc>
        <w:tc>
          <w:tcPr>
            <w:tcW w:w="1805" w:type="dxa"/>
            <w:shd w:val="clear" w:color="auto" w:fill="auto"/>
            <w:tcMar>
              <w:top w:w="100" w:type="dxa"/>
              <w:left w:w="100" w:type="dxa"/>
              <w:bottom w:w="100" w:type="dxa"/>
              <w:right w:w="100" w:type="dxa"/>
            </w:tcMar>
          </w:tcPr>
          <w:p w14:paraId="368EFED9" w14:textId="77777777" w:rsidR="00ED2984" w:rsidRPr="0069055F" w:rsidRDefault="00000000" w:rsidP="0069055F">
            <w:r w:rsidRPr="0069055F">
              <w:t>3.780793</w:t>
            </w:r>
          </w:p>
        </w:tc>
        <w:tc>
          <w:tcPr>
            <w:tcW w:w="1805" w:type="dxa"/>
            <w:shd w:val="clear" w:color="auto" w:fill="auto"/>
            <w:tcMar>
              <w:top w:w="100" w:type="dxa"/>
              <w:left w:w="100" w:type="dxa"/>
              <w:bottom w:w="100" w:type="dxa"/>
              <w:right w:w="100" w:type="dxa"/>
            </w:tcMar>
          </w:tcPr>
          <w:p w14:paraId="26D38E6B" w14:textId="77777777" w:rsidR="00ED2984" w:rsidRPr="0069055F" w:rsidRDefault="00000000" w:rsidP="0069055F">
            <w:r w:rsidRPr="0069055F">
              <w:t>0.009171826</w:t>
            </w:r>
          </w:p>
        </w:tc>
      </w:tr>
      <w:tr w:rsidR="00ED2984" w:rsidRPr="0069055F" w14:paraId="25EE255B" w14:textId="77777777">
        <w:tc>
          <w:tcPr>
            <w:tcW w:w="1805" w:type="dxa"/>
            <w:shd w:val="clear" w:color="auto" w:fill="auto"/>
            <w:tcMar>
              <w:top w:w="100" w:type="dxa"/>
              <w:left w:w="100" w:type="dxa"/>
              <w:bottom w:w="100" w:type="dxa"/>
              <w:right w:w="100" w:type="dxa"/>
            </w:tcMar>
          </w:tcPr>
          <w:p w14:paraId="5B36FA64" w14:textId="77777777" w:rsidR="00ED2984" w:rsidRPr="0069055F" w:rsidRDefault="00000000" w:rsidP="0069055F">
            <w:proofErr w:type="spellStart"/>
            <w:r w:rsidRPr="0069055F">
              <w:t>milex</w:t>
            </w:r>
            <w:proofErr w:type="spellEnd"/>
          </w:p>
        </w:tc>
        <w:tc>
          <w:tcPr>
            <w:tcW w:w="1805" w:type="dxa"/>
            <w:shd w:val="clear" w:color="auto" w:fill="auto"/>
            <w:tcMar>
              <w:top w:w="100" w:type="dxa"/>
              <w:left w:w="100" w:type="dxa"/>
              <w:bottom w:w="100" w:type="dxa"/>
              <w:right w:w="100" w:type="dxa"/>
            </w:tcMar>
          </w:tcPr>
          <w:p w14:paraId="6730C6BC" w14:textId="77777777" w:rsidR="00ED2984" w:rsidRPr="0069055F" w:rsidRDefault="00000000" w:rsidP="0069055F">
            <w:r w:rsidRPr="0069055F">
              <w:t>1.647413e-03</w:t>
            </w:r>
          </w:p>
        </w:tc>
        <w:tc>
          <w:tcPr>
            <w:tcW w:w="1805" w:type="dxa"/>
            <w:shd w:val="clear" w:color="auto" w:fill="auto"/>
            <w:tcMar>
              <w:top w:w="100" w:type="dxa"/>
              <w:left w:w="100" w:type="dxa"/>
              <w:bottom w:w="100" w:type="dxa"/>
              <w:right w:w="100" w:type="dxa"/>
            </w:tcMar>
          </w:tcPr>
          <w:p w14:paraId="55451687" w14:textId="77777777" w:rsidR="00ED2984" w:rsidRPr="0069055F" w:rsidRDefault="00000000" w:rsidP="0069055F">
            <w:r w:rsidRPr="0069055F">
              <w:t>6.947140e-04</w:t>
            </w:r>
          </w:p>
        </w:tc>
        <w:tc>
          <w:tcPr>
            <w:tcW w:w="1805" w:type="dxa"/>
            <w:shd w:val="clear" w:color="auto" w:fill="auto"/>
            <w:tcMar>
              <w:top w:w="100" w:type="dxa"/>
              <w:left w:w="100" w:type="dxa"/>
              <w:bottom w:w="100" w:type="dxa"/>
              <w:right w:w="100" w:type="dxa"/>
            </w:tcMar>
          </w:tcPr>
          <w:p w14:paraId="567E1906" w14:textId="77777777" w:rsidR="00ED2984" w:rsidRPr="0069055F" w:rsidRDefault="00000000" w:rsidP="0069055F">
            <w:r w:rsidRPr="0069055F">
              <w:t>2.371354</w:t>
            </w:r>
          </w:p>
        </w:tc>
        <w:tc>
          <w:tcPr>
            <w:tcW w:w="1805" w:type="dxa"/>
            <w:shd w:val="clear" w:color="auto" w:fill="auto"/>
            <w:tcMar>
              <w:top w:w="100" w:type="dxa"/>
              <w:left w:w="100" w:type="dxa"/>
              <w:bottom w:w="100" w:type="dxa"/>
              <w:right w:w="100" w:type="dxa"/>
            </w:tcMar>
          </w:tcPr>
          <w:p w14:paraId="3E92EF2B" w14:textId="77777777" w:rsidR="00ED2984" w:rsidRPr="0069055F" w:rsidRDefault="00000000" w:rsidP="0069055F">
            <w:r w:rsidRPr="0069055F">
              <w:t>0.055418193</w:t>
            </w:r>
          </w:p>
        </w:tc>
      </w:tr>
      <w:tr w:rsidR="00ED2984" w:rsidRPr="0069055F" w14:paraId="6F99CFD9" w14:textId="77777777">
        <w:tc>
          <w:tcPr>
            <w:tcW w:w="1805" w:type="dxa"/>
            <w:shd w:val="clear" w:color="auto" w:fill="auto"/>
            <w:tcMar>
              <w:top w:w="100" w:type="dxa"/>
              <w:left w:w="100" w:type="dxa"/>
              <w:bottom w:w="100" w:type="dxa"/>
              <w:right w:w="100" w:type="dxa"/>
            </w:tcMar>
          </w:tcPr>
          <w:p w14:paraId="3C1BDAA4" w14:textId="77777777" w:rsidR="00ED2984" w:rsidRPr="0069055F" w:rsidRDefault="00000000" w:rsidP="0069055F">
            <w:r w:rsidRPr="0069055F">
              <w:t>pec</w:t>
            </w:r>
          </w:p>
        </w:tc>
        <w:tc>
          <w:tcPr>
            <w:tcW w:w="1805" w:type="dxa"/>
            <w:shd w:val="clear" w:color="auto" w:fill="auto"/>
            <w:tcMar>
              <w:top w:w="100" w:type="dxa"/>
              <w:left w:w="100" w:type="dxa"/>
              <w:bottom w:w="100" w:type="dxa"/>
              <w:right w:w="100" w:type="dxa"/>
            </w:tcMar>
          </w:tcPr>
          <w:p w14:paraId="139FA377" w14:textId="77777777" w:rsidR="00ED2984" w:rsidRPr="0069055F" w:rsidRDefault="00000000" w:rsidP="0069055F">
            <w:r w:rsidRPr="0069055F">
              <w:t>-8.132614e-01</w:t>
            </w:r>
          </w:p>
        </w:tc>
        <w:tc>
          <w:tcPr>
            <w:tcW w:w="1805" w:type="dxa"/>
            <w:shd w:val="clear" w:color="auto" w:fill="auto"/>
            <w:tcMar>
              <w:top w:w="100" w:type="dxa"/>
              <w:left w:w="100" w:type="dxa"/>
              <w:bottom w:w="100" w:type="dxa"/>
              <w:right w:w="100" w:type="dxa"/>
            </w:tcMar>
          </w:tcPr>
          <w:p w14:paraId="6E4ED68F" w14:textId="77777777" w:rsidR="00ED2984" w:rsidRPr="0069055F" w:rsidRDefault="00000000" w:rsidP="0069055F">
            <w:r w:rsidRPr="0069055F">
              <w:t>3.195799e-01</w:t>
            </w:r>
          </w:p>
        </w:tc>
        <w:tc>
          <w:tcPr>
            <w:tcW w:w="1805" w:type="dxa"/>
            <w:shd w:val="clear" w:color="auto" w:fill="auto"/>
            <w:tcMar>
              <w:top w:w="100" w:type="dxa"/>
              <w:left w:w="100" w:type="dxa"/>
              <w:bottom w:w="100" w:type="dxa"/>
              <w:right w:w="100" w:type="dxa"/>
            </w:tcMar>
          </w:tcPr>
          <w:p w14:paraId="618A0CFB" w14:textId="77777777" w:rsidR="00ED2984" w:rsidRPr="0069055F" w:rsidRDefault="00000000" w:rsidP="0069055F">
            <w:r w:rsidRPr="0069055F">
              <w:t>-2.544783</w:t>
            </w:r>
          </w:p>
        </w:tc>
        <w:tc>
          <w:tcPr>
            <w:tcW w:w="1805" w:type="dxa"/>
            <w:shd w:val="clear" w:color="auto" w:fill="auto"/>
            <w:tcMar>
              <w:top w:w="100" w:type="dxa"/>
              <w:left w:w="100" w:type="dxa"/>
              <w:bottom w:w="100" w:type="dxa"/>
              <w:right w:w="100" w:type="dxa"/>
            </w:tcMar>
          </w:tcPr>
          <w:p w14:paraId="0820DBB8" w14:textId="77777777" w:rsidR="00ED2984" w:rsidRPr="0069055F" w:rsidRDefault="00000000" w:rsidP="0069055F">
            <w:r w:rsidRPr="0069055F">
              <w:t>0.043797537</w:t>
            </w:r>
          </w:p>
        </w:tc>
      </w:tr>
    </w:tbl>
    <w:p w14:paraId="7AC7A5E6" w14:textId="77777777" w:rsidR="00ED2984" w:rsidRPr="0069055F" w:rsidRDefault="00ED2984" w:rsidP="0069055F">
      <w:pPr>
        <w:rPr>
          <w:rFonts w:ascii="Courier New" w:eastAsia="Courier New" w:hAnsi="Courier New" w:cs="Courier New"/>
          <w:highlight w:val="white"/>
        </w:rPr>
      </w:pPr>
    </w:p>
    <w:p w14:paraId="58346250" w14:textId="77777777" w:rsidR="00ED2984" w:rsidRPr="0069055F" w:rsidRDefault="00000000" w:rsidP="0069055F">
      <w:pPr>
        <w:rPr>
          <w:highlight w:val="white"/>
        </w:rPr>
      </w:pPr>
      <w:r w:rsidRPr="0069055F">
        <w:rPr>
          <w:highlight w:val="white"/>
        </w:rPr>
        <w:t xml:space="preserve">Tyto hodnoty reprezentují sílu a směr vlivu nezávislých proměnných </w:t>
      </w:r>
      <w:proofErr w:type="spellStart"/>
      <w:r w:rsidRPr="0069055F">
        <w:rPr>
          <w:highlight w:val="white"/>
        </w:rPr>
        <w:t>milex</w:t>
      </w:r>
      <w:proofErr w:type="spellEnd"/>
      <w:r w:rsidRPr="0069055F">
        <w:rPr>
          <w:highlight w:val="white"/>
        </w:rPr>
        <w:t xml:space="preserve"> a pec na závislou proměnnou </w:t>
      </w:r>
      <w:proofErr w:type="spellStart"/>
      <w:r w:rsidRPr="0069055F">
        <w:rPr>
          <w:highlight w:val="white"/>
        </w:rPr>
        <w:t>bdeadbes</w:t>
      </w:r>
      <w:proofErr w:type="spellEnd"/>
      <w:r w:rsidRPr="0069055F">
        <w:rPr>
          <w:highlight w:val="white"/>
        </w:rPr>
        <w:t xml:space="preserve">. </w:t>
      </w:r>
    </w:p>
    <w:p w14:paraId="6CAC7758" w14:textId="77777777" w:rsidR="00ED2984" w:rsidRPr="0069055F" w:rsidRDefault="00000000" w:rsidP="0069055F">
      <w:pPr>
        <w:rPr>
          <w:highlight w:val="white"/>
        </w:rPr>
      </w:pPr>
      <w:r w:rsidRPr="0069055F">
        <w:rPr>
          <w:highlight w:val="white"/>
        </w:rPr>
        <w:lastRenderedPageBreak/>
        <w:t>P-hodnoty:</w:t>
      </w: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D2984" w:rsidRPr="0069055F" w14:paraId="2CF1C606" w14:textId="77777777">
        <w:tc>
          <w:tcPr>
            <w:tcW w:w="3009" w:type="dxa"/>
            <w:shd w:val="clear" w:color="auto" w:fill="auto"/>
            <w:tcMar>
              <w:top w:w="100" w:type="dxa"/>
              <w:left w:w="100" w:type="dxa"/>
              <w:bottom w:w="100" w:type="dxa"/>
              <w:right w:w="100" w:type="dxa"/>
            </w:tcMar>
          </w:tcPr>
          <w:p w14:paraId="2F6B5478" w14:textId="77777777" w:rsidR="00ED2984" w:rsidRPr="0069055F" w:rsidRDefault="00000000" w:rsidP="0069055F">
            <w:pPr>
              <w:rPr>
                <w:highlight w:val="white"/>
              </w:rPr>
            </w:pPr>
            <w:r w:rsidRPr="0069055F">
              <w:rPr>
                <w:highlight w:val="white"/>
              </w:rPr>
              <w:t>(</w:t>
            </w:r>
            <w:proofErr w:type="spellStart"/>
            <w:r w:rsidRPr="0069055F">
              <w:rPr>
                <w:highlight w:val="white"/>
              </w:rPr>
              <w:t>Intercept</w:t>
            </w:r>
            <w:proofErr w:type="spellEnd"/>
            <w:r w:rsidRPr="0069055F">
              <w:rPr>
                <w:highlight w:val="white"/>
              </w:rPr>
              <w:t>)</w:t>
            </w:r>
          </w:p>
        </w:tc>
        <w:tc>
          <w:tcPr>
            <w:tcW w:w="3009" w:type="dxa"/>
            <w:shd w:val="clear" w:color="auto" w:fill="auto"/>
            <w:tcMar>
              <w:top w:w="100" w:type="dxa"/>
              <w:left w:w="100" w:type="dxa"/>
              <w:bottom w:w="100" w:type="dxa"/>
              <w:right w:w="100" w:type="dxa"/>
            </w:tcMar>
          </w:tcPr>
          <w:p w14:paraId="43944FD8" w14:textId="77777777" w:rsidR="00ED2984" w:rsidRPr="0069055F" w:rsidRDefault="00000000" w:rsidP="0069055F">
            <w:pPr>
              <w:rPr>
                <w:highlight w:val="white"/>
              </w:rPr>
            </w:pPr>
            <w:proofErr w:type="spellStart"/>
            <w:r w:rsidRPr="0069055F">
              <w:rPr>
                <w:highlight w:val="white"/>
              </w:rPr>
              <w:t>milex</w:t>
            </w:r>
            <w:proofErr w:type="spellEnd"/>
          </w:p>
        </w:tc>
        <w:tc>
          <w:tcPr>
            <w:tcW w:w="3009" w:type="dxa"/>
            <w:shd w:val="clear" w:color="auto" w:fill="auto"/>
            <w:tcMar>
              <w:top w:w="100" w:type="dxa"/>
              <w:left w:w="100" w:type="dxa"/>
              <w:bottom w:w="100" w:type="dxa"/>
              <w:right w:w="100" w:type="dxa"/>
            </w:tcMar>
          </w:tcPr>
          <w:p w14:paraId="2BC7D98D" w14:textId="77777777" w:rsidR="00ED2984" w:rsidRPr="0069055F" w:rsidRDefault="00000000" w:rsidP="0069055F">
            <w:pPr>
              <w:rPr>
                <w:highlight w:val="white"/>
              </w:rPr>
            </w:pPr>
            <w:r w:rsidRPr="0069055F">
              <w:rPr>
                <w:highlight w:val="white"/>
              </w:rPr>
              <w:t>pec</w:t>
            </w:r>
          </w:p>
        </w:tc>
      </w:tr>
      <w:tr w:rsidR="00ED2984" w:rsidRPr="0069055F" w14:paraId="2E44E077" w14:textId="77777777">
        <w:tc>
          <w:tcPr>
            <w:tcW w:w="3009" w:type="dxa"/>
            <w:shd w:val="clear" w:color="auto" w:fill="auto"/>
            <w:tcMar>
              <w:top w:w="100" w:type="dxa"/>
              <w:left w:w="100" w:type="dxa"/>
              <w:bottom w:w="100" w:type="dxa"/>
              <w:right w:w="100" w:type="dxa"/>
            </w:tcMar>
          </w:tcPr>
          <w:p w14:paraId="524698D0" w14:textId="77777777" w:rsidR="00ED2984" w:rsidRPr="0069055F" w:rsidRDefault="00000000" w:rsidP="0069055F">
            <w:pPr>
              <w:rPr>
                <w:highlight w:val="white"/>
              </w:rPr>
            </w:pPr>
            <w:r w:rsidRPr="0069055F">
              <w:rPr>
                <w:highlight w:val="white"/>
              </w:rPr>
              <w:t>0.009171826</w:t>
            </w:r>
          </w:p>
        </w:tc>
        <w:tc>
          <w:tcPr>
            <w:tcW w:w="3009" w:type="dxa"/>
            <w:shd w:val="clear" w:color="auto" w:fill="auto"/>
            <w:tcMar>
              <w:top w:w="100" w:type="dxa"/>
              <w:left w:w="100" w:type="dxa"/>
              <w:bottom w:w="100" w:type="dxa"/>
              <w:right w:w="100" w:type="dxa"/>
            </w:tcMar>
          </w:tcPr>
          <w:p w14:paraId="79614C16" w14:textId="77777777" w:rsidR="00ED2984" w:rsidRPr="0069055F" w:rsidRDefault="00000000" w:rsidP="0069055F">
            <w:pPr>
              <w:rPr>
                <w:highlight w:val="white"/>
              </w:rPr>
            </w:pPr>
            <w:r w:rsidRPr="0069055F">
              <w:rPr>
                <w:highlight w:val="white"/>
              </w:rPr>
              <w:t>0.055418193</w:t>
            </w:r>
          </w:p>
        </w:tc>
        <w:tc>
          <w:tcPr>
            <w:tcW w:w="3009" w:type="dxa"/>
            <w:shd w:val="clear" w:color="auto" w:fill="auto"/>
            <w:tcMar>
              <w:top w:w="100" w:type="dxa"/>
              <w:left w:w="100" w:type="dxa"/>
              <w:bottom w:w="100" w:type="dxa"/>
              <w:right w:w="100" w:type="dxa"/>
            </w:tcMar>
          </w:tcPr>
          <w:p w14:paraId="24B0D0BE" w14:textId="77777777" w:rsidR="00ED2984" w:rsidRPr="0069055F" w:rsidRDefault="00000000" w:rsidP="0069055F">
            <w:pPr>
              <w:rPr>
                <w:highlight w:val="white"/>
              </w:rPr>
            </w:pPr>
            <w:r w:rsidRPr="0069055F">
              <w:rPr>
                <w:highlight w:val="white"/>
              </w:rPr>
              <w:t>0.043797537</w:t>
            </w:r>
          </w:p>
        </w:tc>
      </w:tr>
    </w:tbl>
    <w:p w14:paraId="287C1B73" w14:textId="77777777" w:rsidR="0069055F" w:rsidRDefault="0069055F" w:rsidP="0069055F">
      <w:pPr>
        <w:rPr>
          <w:highlight w:val="white"/>
        </w:rPr>
      </w:pPr>
    </w:p>
    <w:p w14:paraId="23640E19" w14:textId="00EFD0B0" w:rsidR="00ED2984" w:rsidRPr="0069055F" w:rsidRDefault="00000000" w:rsidP="0069055F">
      <w:pPr>
        <w:rPr>
          <w:highlight w:val="white"/>
        </w:rPr>
      </w:pPr>
      <w:r w:rsidRPr="0069055F">
        <w:rPr>
          <w:highlight w:val="white"/>
        </w:rPr>
        <w:t xml:space="preserve">P-hodnoty, které jsou zde prezentovány slouží k testování hypotéz a </w:t>
      </w:r>
      <w:r w:rsidR="003B5838" w:rsidRPr="0069055F">
        <w:rPr>
          <w:highlight w:val="white"/>
        </w:rPr>
        <w:t>stanovení,</w:t>
      </w:r>
      <w:r w:rsidRPr="0069055F">
        <w:rPr>
          <w:highlight w:val="white"/>
        </w:rPr>
        <w:t xml:space="preserve"> </w:t>
      </w:r>
      <w:r w:rsidR="0069055F" w:rsidRPr="0069055F">
        <w:rPr>
          <w:highlight w:val="white"/>
        </w:rPr>
        <w:t>zdali</w:t>
      </w:r>
      <w:r w:rsidRPr="0069055F">
        <w:rPr>
          <w:highlight w:val="white"/>
        </w:rPr>
        <w:t xml:space="preserve"> je vliv jedné hodnoty na druhou statisticky významný. Pro stanovení hranice statistické významnosti byla využita obecně uznávaná hranice 0,05, tedy je-li p-hodnota nižší než 0,05, naznačuje že vliv dané nezávislé proměnné na závislou proměnnou je statisticky významný (</w:t>
      </w:r>
      <w:proofErr w:type="spellStart"/>
      <w:r w:rsidRPr="0069055F">
        <w:rPr>
          <w:highlight w:val="white"/>
        </w:rPr>
        <w:t>Andrade</w:t>
      </w:r>
      <w:proofErr w:type="spellEnd"/>
      <w:r w:rsidRPr="0069055F">
        <w:rPr>
          <w:highlight w:val="white"/>
        </w:rPr>
        <w:t xml:space="preserve"> 2019).  </w:t>
      </w:r>
    </w:p>
    <w:p w14:paraId="507D98E4" w14:textId="09C3D999" w:rsidR="00ED2984" w:rsidRPr="0069055F" w:rsidRDefault="00000000" w:rsidP="0069055F">
      <w:pPr>
        <w:rPr>
          <w:highlight w:val="white"/>
        </w:rPr>
      </w:pPr>
      <w:r w:rsidRPr="0069055F">
        <w:rPr>
          <w:highlight w:val="white"/>
        </w:rPr>
        <w:t xml:space="preserve">V případě vlivu proměnné </w:t>
      </w:r>
      <w:proofErr w:type="spellStart"/>
      <w:r w:rsidRPr="0069055F">
        <w:rPr>
          <w:highlight w:val="white"/>
        </w:rPr>
        <w:t>milex</w:t>
      </w:r>
      <w:proofErr w:type="spellEnd"/>
      <w:r w:rsidRPr="0069055F">
        <w:rPr>
          <w:highlight w:val="white"/>
        </w:rPr>
        <w:t xml:space="preserve"> na závislou proměnnou </w:t>
      </w:r>
      <w:proofErr w:type="spellStart"/>
      <w:r w:rsidRPr="0069055F">
        <w:rPr>
          <w:highlight w:val="white"/>
        </w:rPr>
        <w:t>bdeadbes</w:t>
      </w:r>
      <w:proofErr w:type="spellEnd"/>
      <w:r w:rsidRPr="0069055F">
        <w:rPr>
          <w:highlight w:val="white"/>
        </w:rPr>
        <w:t xml:space="preserve">, je p-hodnota 0,055418193, tedy velice mírně vyšší než </w:t>
      </w:r>
      <w:r w:rsidR="0069055F" w:rsidRPr="0069055F">
        <w:rPr>
          <w:highlight w:val="white"/>
        </w:rPr>
        <w:t>stanovená</w:t>
      </w:r>
      <w:r w:rsidRPr="0069055F">
        <w:rPr>
          <w:highlight w:val="white"/>
        </w:rPr>
        <w:t xml:space="preserve"> hranice 0,05. Tento vliv je tedy hraniční, a může být </w:t>
      </w:r>
      <w:r w:rsidR="0069055F" w:rsidRPr="0069055F">
        <w:rPr>
          <w:highlight w:val="white"/>
        </w:rPr>
        <w:t>konstatováno</w:t>
      </w:r>
      <w:r w:rsidRPr="0069055F">
        <w:rPr>
          <w:highlight w:val="white"/>
        </w:rPr>
        <w:t xml:space="preserve">, že vliv vojenských výdajů na počet padlých v boji je lehce statisticky významný. Vliv proměnné energetické spotřeby na počet padlých v boji, má p-hodnotu 0,043797537, která se nachází pod stanovenou hranicí 0,05 a je tedy staticky významná. </w:t>
      </w:r>
    </w:p>
    <w:p w14:paraId="4BDD8451" w14:textId="77777777" w:rsidR="00ED2984" w:rsidRDefault="00000000" w:rsidP="002C5C8B">
      <w:pPr>
        <w:pStyle w:val="Nadpis2"/>
        <w:rPr>
          <w:highlight w:val="white"/>
        </w:rPr>
      </w:pPr>
      <w:bookmarkStart w:id="23" w:name="_Toc167638295"/>
      <w:r>
        <w:rPr>
          <w:highlight w:val="white"/>
        </w:rPr>
        <w:t xml:space="preserve">Interpretace dat a </w:t>
      </w:r>
      <w:commentRangeStart w:id="24"/>
      <w:r>
        <w:rPr>
          <w:highlight w:val="white"/>
        </w:rPr>
        <w:t>přijmutí</w:t>
      </w:r>
      <w:commentRangeEnd w:id="24"/>
      <w:r w:rsidR="00D45442">
        <w:rPr>
          <w:rStyle w:val="Odkaznakoment"/>
        </w:rPr>
        <w:commentReference w:id="24"/>
      </w:r>
      <w:r>
        <w:rPr>
          <w:highlight w:val="white"/>
        </w:rPr>
        <w:t xml:space="preserve"> hypotéz</w:t>
      </w:r>
      <w:bookmarkEnd w:id="23"/>
    </w:p>
    <w:p w14:paraId="0C29EAAD" w14:textId="73412BDB" w:rsidR="00ED2984" w:rsidRPr="0069055F" w:rsidRDefault="00000000" w:rsidP="002C5C8B">
      <w:r w:rsidRPr="0069055F">
        <w:t xml:space="preserve">Cílem tohoto výzkumu bylo zjistit, zda existuje vztah mezi vojenskými výdaji, produkcí oceli a železa a energetickou spotřebou na počet padlých během </w:t>
      </w:r>
      <w:r w:rsidR="0069055F" w:rsidRPr="0069055F">
        <w:t>Irácko – íránské</w:t>
      </w:r>
      <w:r w:rsidRPr="0069055F">
        <w:t xml:space="preserve"> války. K tomu byla stanovena výzkumná otázka: </w:t>
      </w:r>
      <w:r w:rsidRPr="0069055F">
        <w:rPr>
          <w:i/>
        </w:rPr>
        <w:t xml:space="preserve">Má výše vojenských nákladů, výše produkce oceli a železa a energetická spotřeba vliv na počet padlých v Irácko-íránské válce v letech 1980 až 1988? </w:t>
      </w:r>
      <w:r w:rsidRPr="0069055F">
        <w:t>a podotázka:</w:t>
      </w:r>
      <w:r w:rsidRPr="0069055F">
        <w:rPr>
          <w:i/>
        </w:rPr>
        <w:t xml:space="preserve"> Jaký je vliv výše vojenských nákladů, výše produkce oceli a železa a energetické spotřeby na počet padlých v Irácko-íránské válce v letech 1980 až 1988? </w:t>
      </w:r>
      <w:r w:rsidRPr="0069055F">
        <w:t xml:space="preserve">K zodpovězení těchto otázek byly stanoveny tři hypotézy s respektivními nulovými hypotézami. Na základě dat diskutovaných v předchozí kapitole budou vyvráceny či přijmuty tyto hypotézy, a to pomocí p-hodnot vyplývajících z regresní analýzy.. </w:t>
      </w:r>
    </w:p>
    <w:p w14:paraId="3F1C9AC2" w14:textId="77777777" w:rsidR="00ED2984" w:rsidRPr="0069055F" w:rsidRDefault="00000000" w:rsidP="002C5C8B">
      <w:pPr>
        <w:rPr>
          <w:highlight w:val="white"/>
        </w:rPr>
      </w:pPr>
      <w:commentRangeStart w:id="25"/>
      <w:r w:rsidRPr="0069055F">
        <w:t xml:space="preserve">Zaprvé, H 0.1: </w:t>
      </w:r>
      <w:commentRangeEnd w:id="25"/>
      <w:r w:rsidR="00C67FB8">
        <w:rPr>
          <w:rStyle w:val="Odkaznakoment"/>
        </w:rPr>
        <w:commentReference w:id="25"/>
      </w:r>
      <w:r w:rsidRPr="0069055F">
        <w:t>Výše vojenských výdajů (</w:t>
      </w:r>
      <w:proofErr w:type="spellStart"/>
      <w:r w:rsidRPr="0069055F">
        <w:t>milex</w:t>
      </w:r>
      <w:proofErr w:type="spellEnd"/>
      <w:r w:rsidRPr="0069055F">
        <w:t>) nemá vliv na počet padlých (</w:t>
      </w:r>
      <w:proofErr w:type="spellStart"/>
      <w:r w:rsidRPr="0069055F">
        <w:t>bdeadbes</w:t>
      </w:r>
      <w:proofErr w:type="spellEnd"/>
      <w:r w:rsidRPr="0069055F">
        <w:t xml:space="preserve">). P-hodnota </w:t>
      </w:r>
      <w:proofErr w:type="spellStart"/>
      <w:r w:rsidRPr="0069055F">
        <w:t>milex</w:t>
      </w:r>
      <w:proofErr w:type="spellEnd"/>
      <w:r w:rsidRPr="0069055F">
        <w:t xml:space="preserve"> a </w:t>
      </w:r>
      <w:proofErr w:type="spellStart"/>
      <w:r w:rsidRPr="0069055F">
        <w:t>bdeadbes</w:t>
      </w:r>
      <w:proofErr w:type="spellEnd"/>
      <w:r w:rsidRPr="0069055F">
        <w:t xml:space="preserve"> je 0,055</w:t>
      </w:r>
      <w:r w:rsidRPr="0069055F">
        <w:rPr>
          <w:highlight w:val="white"/>
        </w:rPr>
        <w:t>418193, a nachází se tedy nad výše stanovenou hranicí pro statistickou významnost 0,5. Není tedy možné tuto nulovou hypotézu vyvrátit a přijímá se.</w:t>
      </w:r>
    </w:p>
    <w:p w14:paraId="4769C8E3" w14:textId="77777777" w:rsidR="00ED2984" w:rsidRPr="0069055F" w:rsidRDefault="00000000" w:rsidP="002C5C8B">
      <w:r w:rsidRPr="0069055F">
        <w:rPr>
          <w:highlight w:val="white"/>
        </w:rPr>
        <w:t xml:space="preserve">Zadruhé, H 0.2: </w:t>
      </w:r>
      <w:r w:rsidRPr="0069055F">
        <w:t>Výše produkce oceli a železa(</w:t>
      </w:r>
      <w:proofErr w:type="spellStart"/>
      <w:r w:rsidRPr="0069055F">
        <w:t>irst</w:t>
      </w:r>
      <w:proofErr w:type="spellEnd"/>
      <w:r w:rsidRPr="0069055F">
        <w:t xml:space="preserve">) nemá vliv na počet </w:t>
      </w:r>
      <w:proofErr w:type="spellStart"/>
      <w:r w:rsidRPr="0069055F">
        <w:t>bdeadbes</w:t>
      </w:r>
      <w:proofErr w:type="spellEnd"/>
      <w:r w:rsidRPr="0069055F">
        <w:t xml:space="preserve">. V průběhu analýzy dat bylo nutné proměnnou </w:t>
      </w:r>
      <w:proofErr w:type="spellStart"/>
      <w:r w:rsidRPr="0069055F">
        <w:t>irst</w:t>
      </w:r>
      <w:proofErr w:type="spellEnd"/>
      <w:r w:rsidRPr="0069055F">
        <w:t xml:space="preserve"> eliminovat a není tedy možné vyvrátit ani přijmout tuto nulovou hypotézu.</w:t>
      </w:r>
    </w:p>
    <w:p w14:paraId="404C8016" w14:textId="77777777" w:rsidR="00ED2984" w:rsidRPr="0069055F" w:rsidRDefault="00000000" w:rsidP="002C5C8B">
      <w:r w:rsidRPr="0069055F">
        <w:t xml:space="preserve">Zatřetí, H 0.3: Výše energetické spotřeby(pec) nemá vliv na </w:t>
      </w:r>
      <w:proofErr w:type="spellStart"/>
      <w:r w:rsidRPr="0069055F">
        <w:t>bdeadbes</w:t>
      </w:r>
      <w:proofErr w:type="spellEnd"/>
      <w:r w:rsidRPr="0069055F">
        <w:t xml:space="preserve">. P-hodnota pec a </w:t>
      </w:r>
      <w:proofErr w:type="spellStart"/>
      <w:r w:rsidRPr="0069055F">
        <w:t>bdeadbes</w:t>
      </w:r>
      <w:proofErr w:type="spellEnd"/>
      <w:r w:rsidRPr="0069055F">
        <w:t xml:space="preserve"> je </w:t>
      </w:r>
      <w:r w:rsidRPr="0069055F">
        <w:rPr>
          <w:highlight w:val="white"/>
        </w:rPr>
        <w:t xml:space="preserve">0,043797537, a nachází se tedy pod stanovenou hranicí 0,5, je tedy statisticky významná. </w:t>
      </w:r>
      <w:proofErr w:type="spellStart"/>
      <w:r w:rsidRPr="0069055F">
        <w:rPr>
          <w:highlight w:val="white"/>
        </w:rPr>
        <w:t>Jje</w:t>
      </w:r>
      <w:proofErr w:type="spellEnd"/>
      <w:r w:rsidRPr="0069055F">
        <w:rPr>
          <w:highlight w:val="white"/>
        </w:rPr>
        <w:t xml:space="preserve"> tedy možné tuto nulovou hypotézu vyvrátit a přijmout alternativní hypotézu H 3: </w:t>
      </w:r>
      <w:r w:rsidRPr="0069055F">
        <w:t xml:space="preserve"> Výše pec má vliv na </w:t>
      </w:r>
      <w:proofErr w:type="spellStart"/>
      <w:r w:rsidRPr="0069055F">
        <w:t>bdeadbes</w:t>
      </w:r>
      <w:proofErr w:type="spellEnd"/>
      <w:r w:rsidRPr="0069055F">
        <w:t xml:space="preserve">. </w:t>
      </w:r>
    </w:p>
    <w:p w14:paraId="51DA9ABE" w14:textId="263C6AC5" w:rsidR="00ED2984" w:rsidRDefault="00000000" w:rsidP="002C5C8B">
      <w:pPr>
        <w:pStyle w:val="Nadpis1"/>
        <w:rPr>
          <w:highlight w:val="white"/>
        </w:rPr>
      </w:pPr>
      <w:bookmarkStart w:id="26" w:name="_Toc167638296"/>
      <w:r>
        <w:rPr>
          <w:highlight w:val="white"/>
        </w:rPr>
        <w:lastRenderedPageBreak/>
        <w:t>Limity výzkumu</w:t>
      </w:r>
      <w:bookmarkEnd w:id="26"/>
      <w:r>
        <w:rPr>
          <w:highlight w:val="white"/>
        </w:rPr>
        <w:t xml:space="preserve"> </w:t>
      </w:r>
    </w:p>
    <w:p w14:paraId="4A6F4131" w14:textId="77777777" w:rsidR="00ED2984" w:rsidRPr="0069055F" w:rsidRDefault="00000000" w:rsidP="002C5C8B">
      <w:pPr>
        <w:rPr>
          <w:highlight w:val="white"/>
        </w:rPr>
      </w:pPr>
      <w:r w:rsidRPr="0069055F">
        <w:rPr>
          <w:highlight w:val="white"/>
        </w:rPr>
        <w:t>Autor identifikuje následující limity výzkumu:</w:t>
      </w:r>
    </w:p>
    <w:p w14:paraId="2924CA4C" w14:textId="77777777" w:rsidR="00ED2984" w:rsidRPr="0069055F" w:rsidRDefault="00000000" w:rsidP="002C5C8B">
      <w:r w:rsidRPr="0069055F">
        <w:rPr>
          <w:highlight w:val="white"/>
        </w:rPr>
        <w:t xml:space="preserve">Vzhledem k využití </w:t>
      </w:r>
      <w:proofErr w:type="spellStart"/>
      <w:r w:rsidRPr="0069055F">
        <w:rPr>
          <w:highlight w:val="white"/>
        </w:rPr>
        <w:t>datasetů</w:t>
      </w:r>
      <w:proofErr w:type="spellEnd"/>
      <w:r w:rsidRPr="0069055F">
        <w:rPr>
          <w:highlight w:val="white"/>
        </w:rPr>
        <w:t xml:space="preserve"> COW: NMC a </w:t>
      </w:r>
      <w:r w:rsidRPr="0069055F">
        <w:t xml:space="preserve">PRIO </w:t>
      </w:r>
      <w:proofErr w:type="spellStart"/>
      <w:r w:rsidRPr="0069055F">
        <w:t>battledeaths</w:t>
      </w:r>
      <w:proofErr w:type="spellEnd"/>
      <w:r w:rsidRPr="0069055F">
        <w:t xml:space="preserve"> byl výzkum limitovaný obsahem těchto dvou </w:t>
      </w:r>
      <w:proofErr w:type="spellStart"/>
      <w:r w:rsidRPr="0069055F">
        <w:t>datasetů</w:t>
      </w:r>
      <w:proofErr w:type="spellEnd"/>
      <w:r w:rsidRPr="0069055F">
        <w:t xml:space="preserve">. Údaje z PRIO </w:t>
      </w:r>
      <w:proofErr w:type="spellStart"/>
      <w:r w:rsidRPr="0069055F">
        <w:t>battledeaths</w:t>
      </w:r>
      <w:proofErr w:type="spellEnd"/>
      <w:r w:rsidRPr="0069055F">
        <w:t xml:space="preserve">, pak reflektovali pouze celkový počet padlých, nikoliv počet padlých každé strany konfliktu. To zamezilo detailnější analýze. Další limitací, je fakt, že v </w:t>
      </w:r>
      <w:proofErr w:type="spellStart"/>
      <w:r w:rsidRPr="0069055F">
        <w:t>datasetu</w:t>
      </w:r>
      <w:proofErr w:type="spellEnd"/>
      <w:r w:rsidRPr="0069055F">
        <w:t xml:space="preserve"> PRIO </w:t>
      </w:r>
      <w:proofErr w:type="spellStart"/>
      <w:r w:rsidRPr="0069055F">
        <w:t>battledeaths</w:t>
      </w:r>
      <w:proofErr w:type="spellEnd"/>
      <w:r w:rsidRPr="0069055F">
        <w:t xml:space="preserve"> se v některých letech nacházejí stejné hodnoty padlých v různých letech války. Autor toto považuje za nepravděpodobné a je to otázka na způsob provedení </w:t>
      </w:r>
      <w:proofErr w:type="spellStart"/>
      <w:r w:rsidRPr="0069055F">
        <w:t>datasetu</w:t>
      </w:r>
      <w:proofErr w:type="spellEnd"/>
      <w:r w:rsidRPr="0069055F">
        <w:t xml:space="preserve">. To může způsobovat zkreslení oproti realitě. </w:t>
      </w:r>
      <w:proofErr w:type="spellStart"/>
      <w:r w:rsidRPr="0069055F">
        <w:t>Dataset</w:t>
      </w:r>
      <w:proofErr w:type="spellEnd"/>
      <w:r w:rsidRPr="0069055F">
        <w:t xml:space="preserve"> NMC, pak v hodnotách </w:t>
      </w:r>
      <w:proofErr w:type="spellStart"/>
      <w:r w:rsidRPr="0069055F">
        <w:t>irst</w:t>
      </w:r>
      <w:proofErr w:type="spellEnd"/>
      <w:r w:rsidRPr="0069055F">
        <w:t xml:space="preserve"> u Iráku se blížil nule, bylo je tak třeba odstranit, aby nedošlo k výraznému zkreslení. </w:t>
      </w:r>
    </w:p>
    <w:p w14:paraId="037182C1" w14:textId="686AB756" w:rsidR="00ED2984" w:rsidRDefault="00000000" w:rsidP="002C5C8B">
      <w:pPr>
        <w:pStyle w:val="Nadpis1"/>
        <w:rPr>
          <w:highlight w:val="white"/>
        </w:rPr>
      </w:pPr>
      <w:bookmarkStart w:id="27" w:name="_Toc167638297"/>
      <w:commentRangeStart w:id="28"/>
      <w:commentRangeStart w:id="29"/>
      <w:r>
        <w:rPr>
          <w:highlight w:val="white"/>
        </w:rPr>
        <w:t>Závěr</w:t>
      </w:r>
      <w:bookmarkEnd w:id="27"/>
      <w:commentRangeEnd w:id="28"/>
      <w:r w:rsidR="00D45442">
        <w:rPr>
          <w:rStyle w:val="Odkaznakoment"/>
        </w:rPr>
        <w:commentReference w:id="28"/>
      </w:r>
      <w:commentRangeEnd w:id="29"/>
      <w:r w:rsidR="00D45442">
        <w:rPr>
          <w:rStyle w:val="Odkaznakoment"/>
        </w:rPr>
        <w:commentReference w:id="29"/>
      </w:r>
    </w:p>
    <w:p w14:paraId="34B1E1FB" w14:textId="77777777" w:rsidR="00ED2984" w:rsidRPr="0069055F" w:rsidRDefault="00000000" w:rsidP="0069055F">
      <w:pPr>
        <w:rPr>
          <w:highlight w:val="white"/>
        </w:rPr>
      </w:pPr>
      <w:r w:rsidRPr="0069055F">
        <w:rPr>
          <w:highlight w:val="white"/>
        </w:rPr>
        <w:t xml:space="preserve">Výzkum se zabýval otázkou, zda souvisí množství vojenských výdajů, energetické spotřeby a produkce oceli a železa s počtem padlých během Irácko-íránské války mezi lety 1980 až 1988. V rámci existujícího výzkumu byla identifikována výzkumná mezera. Po využití korelační a regresní analýzy bylo zjištěno, že vojenské výdaje nemají vliv na počet padlých v boji. Zatímco energetická spotřeba má dle analýzy vliv mírný. </w:t>
      </w:r>
    </w:p>
    <w:p w14:paraId="2737390B" w14:textId="77777777" w:rsidR="00ED2984" w:rsidRDefault="00ED2984">
      <w:pPr>
        <w:spacing w:before="240" w:after="240"/>
        <w:rPr>
          <w:sz w:val="24"/>
          <w:szCs w:val="24"/>
          <w:highlight w:val="white"/>
          <w:u w:val="single"/>
        </w:rPr>
      </w:pPr>
    </w:p>
    <w:p w14:paraId="3472EEDF" w14:textId="77777777" w:rsidR="0069055F" w:rsidRDefault="0069055F">
      <w:pPr>
        <w:spacing w:line="276" w:lineRule="auto"/>
        <w:jc w:val="left"/>
        <w:rPr>
          <w:sz w:val="40"/>
          <w:szCs w:val="40"/>
          <w:highlight w:val="white"/>
        </w:rPr>
      </w:pPr>
      <w:r>
        <w:rPr>
          <w:highlight w:val="white"/>
        </w:rPr>
        <w:br w:type="page"/>
      </w:r>
    </w:p>
    <w:p w14:paraId="0C943331" w14:textId="0F727158" w:rsidR="00ED2984" w:rsidRDefault="00000000" w:rsidP="0069055F">
      <w:pPr>
        <w:pStyle w:val="Nadpis1"/>
        <w:rPr>
          <w:highlight w:val="white"/>
        </w:rPr>
      </w:pPr>
      <w:bookmarkStart w:id="30" w:name="_Toc167638298"/>
      <w:r>
        <w:rPr>
          <w:highlight w:val="white"/>
        </w:rPr>
        <w:lastRenderedPageBreak/>
        <w:t>Zdroje</w:t>
      </w:r>
      <w:bookmarkEnd w:id="30"/>
    </w:p>
    <w:p w14:paraId="2C7C8A43" w14:textId="3842B9CD" w:rsidR="00ED2984" w:rsidRPr="0069055F" w:rsidRDefault="00000000" w:rsidP="0069055F">
      <w:pPr>
        <w:pStyle w:val="Normlnweb"/>
        <w:spacing w:before="0" w:beforeAutospacing="0" w:after="0" w:afterAutospacing="0" w:line="360" w:lineRule="auto"/>
        <w:ind w:left="720" w:hanging="720"/>
        <w:rPr>
          <w:sz w:val="22"/>
          <w:szCs w:val="22"/>
        </w:rPr>
      </w:pPr>
      <w:proofErr w:type="spellStart"/>
      <w:r w:rsidRPr="007C075A">
        <w:rPr>
          <w:sz w:val="22"/>
          <w:szCs w:val="22"/>
          <w:lang w:val="cs"/>
        </w:rPr>
        <w:t>Alnasrawi</w:t>
      </w:r>
      <w:proofErr w:type="spellEnd"/>
      <w:r w:rsidRPr="007C075A">
        <w:rPr>
          <w:sz w:val="22"/>
          <w:szCs w:val="22"/>
          <w:lang w:val="cs"/>
        </w:rPr>
        <w:t xml:space="preserve">, </w:t>
      </w:r>
      <w:proofErr w:type="spellStart"/>
      <w:r w:rsidRPr="007C075A">
        <w:rPr>
          <w:sz w:val="22"/>
          <w:szCs w:val="22"/>
          <w:lang w:val="cs"/>
        </w:rPr>
        <w:t>Abbas</w:t>
      </w:r>
      <w:proofErr w:type="spellEnd"/>
      <w:r w:rsidRPr="007C075A">
        <w:rPr>
          <w:sz w:val="22"/>
          <w:szCs w:val="22"/>
          <w:lang w:val="cs"/>
        </w:rPr>
        <w:t xml:space="preserve">. </w:t>
      </w:r>
      <w:r w:rsidRPr="0069055F">
        <w:rPr>
          <w:sz w:val="22"/>
          <w:szCs w:val="22"/>
        </w:rPr>
        <w:t xml:space="preserve">1986. “Economic Consequences of the Iraq‐Iran War.” Third World Quarterly 8 (3): 869–95. </w:t>
      </w:r>
      <w:hyperlink r:id="rId15">
        <w:r w:rsidR="00ED2984" w:rsidRPr="0069055F">
          <w:rPr>
            <w:sz w:val="22"/>
            <w:szCs w:val="22"/>
          </w:rPr>
          <w:t>https://doi.org/10.1080/01436598608419929</w:t>
        </w:r>
      </w:hyperlink>
      <w:r w:rsidRPr="0069055F">
        <w:rPr>
          <w:sz w:val="22"/>
          <w:szCs w:val="22"/>
        </w:rPr>
        <w:t xml:space="preserve">. </w:t>
      </w:r>
    </w:p>
    <w:p w14:paraId="14316B4F"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40D0ED4E"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 xml:space="preserve">Alptekin, Aynur, and Paul Levine. 2012. “Military Expenditure and Economic Growth: A Meta-Analysis.” European Journal of Political Economy 28 (4): 636–50. </w:t>
      </w:r>
      <w:hyperlink r:id="rId16">
        <w:r w:rsidR="00ED2984" w:rsidRPr="0069055F">
          <w:rPr>
            <w:sz w:val="22"/>
            <w:szCs w:val="22"/>
          </w:rPr>
          <w:t>https://doi.org/10.1016/j.ejpoleco.2012.07.002</w:t>
        </w:r>
      </w:hyperlink>
      <w:r w:rsidRPr="0069055F">
        <w:rPr>
          <w:sz w:val="22"/>
          <w:szCs w:val="22"/>
        </w:rPr>
        <w:t xml:space="preserve">. </w:t>
      </w:r>
    </w:p>
    <w:p w14:paraId="42B8DB5B"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2A2C8F52"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 xml:space="preserve">Andrade, Chittaranjan. 2019. “The P Value and Statistical Significance: Misunderstandings, Explanations, Challenges, and Alternatives.” Indian Journal of Psychological Medicine 41 (3): 210. </w:t>
      </w:r>
      <w:hyperlink r:id="rId17">
        <w:r w:rsidR="00ED2984" w:rsidRPr="0069055F">
          <w:rPr>
            <w:sz w:val="22"/>
            <w:szCs w:val="22"/>
          </w:rPr>
          <w:t>https://doi.org/10.4103/ijpsym.ijpsym_193_19</w:t>
        </w:r>
      </w:hyperlink>
      <w:r w:rsidRPr="0069055F">
        <w:rPr>
          <w:sz w:val="22"/>
          <w:szCs w:val="22"/>
        </w:rPr>
        <w:t xml:space="preserve">. </w:t>
      </w:r>
    </w:p>
    <w:p w14:paraId="257C178C"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0A83094B"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 xml:space="preserve">Correlates of War. 2021. “National Material Capabilities (V6.0) – Correlates of War.” Correlatesofwar.org. July 22, 2021. </w:t>
      </w:r>
      <w:hyperlink r:id="rId18">
        <w:r w:rsidR="00ED2984" w:rsidRPr="0069055F">
          <w:rPr>
            <w:sz w:val="22"/>
            <w:szCs w:val="22"/>
          </w:rPr>
          <w:t>https://correlatesofwar.org/data-sets/national-material-capabilities/</w:t>
        </w:r>
      </w:hyperlink>
      <w:r w:rsidRPr="0069055F">
        <w:rPr>
          <w:sz w:val="22"/>
          <w:szCs w:val="22"/>
        </w:rPr>
        <w:t>.</w:t>
      </w:r>
    </w:p>
    <w:p w14:paraId="2B539140"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6008472E"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 xml:space="preserve">Henner </w:t>
      </w:r>
      <w:proofErr w:type="spellStart"/>
      <w:r w:rsidRPr="0069055F">
        <w:rPr>
          <w:sz w:val="22"/>
          <w:szCs w:val="22"/>
        </w:rPr>
        <w:t>Fürtig</w:t>
      </w:r>
      <w:proofErr w:type="spellEnd"/>
      <w:r w:rsidRPr="0069055F">
        <w:rPr>
          <w:sz w:val="22"/>
          <w:szCs w:val="22"/>
        </w:rPr>
        <w:t xml:space="preserve">. 1992. Der </w:t>
      </w:r>
      <w:proofErr w:type="spellStart"/>
      <w:r w:rsidRPr="0069055F">
        <w:rPr>
          <w:sz w:val="22"/>
          <w:szCs w:val="22"/>
        </w:rPr>
        <w:t>Irakisch-Iranische</w:t>
      </w:r>
      <w:proofErr w:type="spellEnd"/>
      <w:r w:rsidRPr="0069055F">
        <w:rPr>
          <w:sz w:val="22"/>
          <w:szCs w:val="22"/>
        </w:rPr>
        <w:t xml:space="preserve"> Krieg 1980-1988. De Gruyter Akademie Forschung.</w:t>
      </w:r>
    </w:p>
    <w:p w14:paraId="2B7397DE"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389F8DBF"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Hoffpauir, Michael. 1991. “Tactical Evolution in the Iraqi Army: The Abadan Island and Fish Lake Campaigns of the Iran-Iraq War.”</w:t>
      </w:r>
    </w:p>
    <w:p w14:paraId="6D97445A"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5C0DB0A7"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Karsh, Efraim. 2002. The Iran-Iraq War, 1980-1988. Oxford: Osprey Publishing.</w:t>
      </w:r>
    </w:p>
    <w:p w14:paraId="540CBD4F"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143ECF76" w14:textId="77777777" w:rsidR="00ED2984" w:rsidRPr="0069055F" w:rsidRDefault="00000000" w:rsidP="0069055F">
      <w:pPr>
        <w:pStyle w:val="Normlnweb"/>
        <w:spacing w:before="0" w:beforeAutospacing="0" w:after="0" w:afterAutospacing="0" w:line="360" w:lineRule="auto"/>
        <w:ind w:left="720" w:hanging="720"/>
        <w:rPr>
          <w:sz w:val="22"/>
          <w:szCs w:val="22"/>
        </w:rPr>
      </w:pPr>
      <w:proofErr w:type="spellStart"/>
      <w:r w:rsidRPr="0069055F">
        <w:rPr>
          <w:sz w:val="22"/>
          <w:szCs w:val="22"/>
        </w:rPr>
        <w:t>Kazdal</w:t>
      </w:r>
      <w:proofErr w:type="spellEnd"/>
      <w:r w:rsidRPr="0069055F">
        <w:rPr>
          <w:sz w:val="22"/>
          <w:szCs w:val="22"/>
        </w:rPr>
        <w:t xml:space="preserve">, Melih. 2020. “The Iran-Iraq War 1980-1988.” ResearchGate 4. </w:t>
      </w:r>
      <w:hyperlink r:id="rId19">
        <w:r w:rsidR="00ED2984" w:rsidRPr="0069055F">
          <w:rPr>
            <w:sz w:val="22"/>
            <w:szCs w:val="22"/>
          </w:rPr>
          <w:t>https://doi.org/10.33201/iranian.706917</w:t>
        </w:r>
      </w:hyperlink>
      <w:r w:rsidRPr="0069055F">
        <w:rPr>
          <w:sz w:val="22"/>
          <w:szCs w:val="22"/>
        </w:rPr>
        <w:t xml:space="preserve">. </w:t>
      </w:r>
    </w:p>
    <w:p w14:paraId="05867786"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48A99EB5"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 xml:space="preserve">Lacina, Bethany, and Nils Petter Gleditsch. 2017. “PRIO </w:t>
      </w:r>
      <w:proofErr w:type="spellStart"/>
      <w:r w:rsidRPr="0069055F">
        <w:rPr>
          <w:sz w:val="22"/>
          <w:szCs w:val="22"/>
        </w:rPr>
        <w:t>Battledeaths</w:t>
      </w:r>
      <w:proofErr w:type="spellEnd"/>
      <w:r w:rsidRPr="0069055F">
        <w:rPr>
          <w:sz w:val="22"/>
          <w:szCs w:val="22"/>
        </w:rPr>
        <w:t xml:space="preserve"> Dataset – Peace Research Institute Oslo.” Www.prio.org. January 30, 2017. </w:t>
      </w:r>
      <w:hyperlink r:id="rId20">
        <w:r w:rsidR="00ED2984" w:rsidRPr="0069055F">
          <w:rPr>
            <w:sz w:val="22"/>
            <w:szCs w:val="22"/>
          </w:rPr>
          <w:t>https://www.prio.org/data/1</w:t>
        </w:r>
      </w:hyperlink>
      <w:r w:rsidRPr="0069055F">
        <w:rPr>
          <w:sz w:val="22"/>
          <w:szCs w:val="22"/>
        </w:rPr>
        <w:t>.</w:t>
      </w:r>
    </w:p>
    <w:p w14:paraId="3A81370A"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2E3A727A"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 xml:space="preserve">Pollack, Kenneth M. 2004. Arabs at War : Military Effectiveness, 1948-1991. Lincoln, Neb.: University </w:t>
      </w:r>
      <w:proofErr w:type="gramStart"/>
      <w:r w:rsidRPr="0069055F">
        <w:rPr>
          <w:sz w:val="22"/>
          <w:szCs w:val="22"/>
        </w:rPr>
        <w:t>Of</w:t>
      </w:r>
      <w:proofErr w:type="gramEnd"/>
      <w:r w:rsidRPr="0069055F">
        <w:rPr>
          <w:sz w:val="22"/>
          <w:szCs w:val="22"/>
        </w:rPr>
        <w:t xml:space="preserve"> Nebraska Press.</w:t>
      </w:r>
    </w:p>
    <w:p w14:paraId="13467B4E"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Segal, David. 1988. The Iran-Iraq War: A Military Analysis. Foreign Affairs; New York.</w:t>
      </w:r>
    </w:p>
    <w:p w14:paraId="38A2EC57"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11F50FAB"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t>Shahram Chubin, and Charles Tripp. 1988. Iran and Iraq at War. New York.</w:t>
      </w:r>
    </w:p>
    <w:p w14:paraId="21053714" w14:textId="77777777" w:rsidR="0069055F" w:rsidRPr="0069055F" w:rsidRDefault="0069055F" w:rsidP="0069055F">
      <w:pPr>
        <w:pStyle w:val="Normlnweb"/>
        <w:spacing w:before="0" w:beforeAutospacing="0" w:after="0" w:afterAutospacing="0" w:line="360" w:lineRule="auto"/>
        <w:ind w:left="720" w:hanging="720"/>
        <w:rPr>
          <w:sz w:val="22"/>
          <w:szCs w:val="22"/>
        </w:rPr>
      </w:pPr>
    </w:p>
    <w:p w14:paraId="0166CCAC" w14:textId="77777777" w:rsidR="00ED2984" w:rsidRPr="0069055F" w:rsidRDefault="00000000" w:rsidP="0069055F">
      <w:pPr>
        <w:pStyle w:val="Normlnweb"/>
        <w:spacing w:before="0" w:beforeAutospacing="0" w:after="0" w:afterAutospacing="0" w:line="360" w:lineRule="auto"/>
        <w:ind w:left="720" w:hanging="720"/>
        <w:rPr>
          <w:sz w:val="22"/>
          <w:szCs w:val="22"/>
        </w:rPr>
      </w:pPr>
      <w:r w:rsidRPr="0069055F">
        <w:rPr>
          <w:sz w:val="22"/>
          <w:szCs w:val="22"/>
        </w:rPr>
        <w:lastRenderedPageBreak/>
        <w:t>Woods, Kevin M, and Williamson Murray. 2014. The Iran-Iraq War : A Military and Strategic History. Editorial: Cambridge: Cambridge University Press.</w:t>
      </w:r>
    </w:p>
    <w:p w14:paraId="5FC682C7" w14:textId="77777777" w:rsidR="00ED2984" w:rsidRPr="0069055F" w:rsidRDefault="00ED2984" w:rsidP="0069055F">
      <w:pPr>
        <w:pStyle w:val="Normlnweb"/>
        <w:spacing w:before="0" w:beforeAutospacing="0" w:after="0" w:afterAutospacing="0" w:line="360" w:lineRule="auto"/>
        <w:ind w:left="720" w:hanging="720"/>
        <w:rPr>
          <w:sz w:val="22"/>
          <w:szCs w:val="22"/>
        </w:rPr>
      </w:pPr>
    </w:p>
    <w:sectPr w:rsidR="00ED2984" w:rsidRPr="0069055F">
      <w:footerReference w:type="default" r:id="rId2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an Kleiner" w:date="2024-05-29T10:00:00Z" w:initials="JK">
    <w:p w14:paraId="7D2B67F9" w14:textId="77777777" w:rsidR="007C075A" w:rsidRDefault="007C075A" w:rsidP="007C075A">
      <w:pPr>
        <w:pStyle w:val="Textkomente"/>
        <w:jc w:val="left"/>
      </w:pPr>
      <w:r>
        <w:rPr>
          <w:rStyle w:val="Odkaznakoment"/>
        </w:rPr>
        <w:annotationRef/>
      </w:r>
      <w:r>
        <w:t>Spolu s R scriptem vždy dodávejte do supplementary files i ty datasety (pokud není nějaký copyright problém) :)</w:t>
      </w:r>
    </w:p>
  </w:comment>
  <w:comment w:id="8" w:author="Jan Kleiner" w:date="2024-05-29T10:02:00Z" w:initials="JK">
    <w:p w14:paraId="276D7AD3" w14:textId="77777777" w:rsidR="007C075A" w:rsidRDefault="007C075A" w:rsidP="007C075A">
      <w:pPr>
        <w:pStyle w:val="Textkomente"/>
        <w:jc w:val="left"/>
      </w:pPr>
      <w:r>
        <w:rPr>
          <w:rStyle w:val="Odkaznakoment"/>
        </w:rPr>
        <w:annotationRef/>
      </w:r>
      <w:r>
        <w:t>Fuj fuj fuj. Názor autora do vědecké práce vůbec nepatří</w:t>
      </w:r>
    </w:p>
  </w:comment>
  <w:comment w:id="9" w:author="Jan Kleiner" w:date="2024-05-29T10:03:00Z" w:initials="JK">
    <w:p w14:paraId="1F89A079" w14:textId="77777777" w:rsidR="007C075A" w:rsidRDefault="007C075A" w:rsidP="007C075A">
      <w:pPr>
        <w:pStyle w:val="Textkomente"/>
        <w:jc w:val="left"/>
      </w:pPr>
      <w:r>
        <w:rPr>
          <w:rStyle w:val="Odkaznakoment"/>
        </w:rPr>
        <w:annotationRef/>
      </w:r>
      <w:r>
        <w:t>Jinak velmi dobrý odstavec a zdůvodnění relevance!</w:t>
      </w:r>
    </w:p>
  </w:comment>
  <w:comment w:id="10" w:author="Jan Kleiner" w:date="2024-05-29T10:04:00Z" w:initials="JK">
    <w:p w14:paraId="2FE2028A" w14:textId="77777777" w:rsidR="007C075A" w:rsidRDefault="007C075A" w:rsidP="007C075A">
      <w:pPr>
        <w:pStyle w:val="Textkomente"/>
        <w:jc w:val="left"/>
      </w:pPr>
      <w:r>
        <w:rPr>
          <w:rStyle w:val="Odkaznakoment"/>
        </w:rPr>
        <w:annotationRef/>
      </w:r>
      <w:r>
        <w:t>Spíš „kvantitativně“ nebo „testováním hypotéz“ než „pomocí statistického programu R“</w:t>
      </w:r>
    </w:p>
  </w:comment>
  <w:comment w:id="12" w:author="Jan Kleiner" w:date="2024-05-29T10:07:00Z" w:initials="JK">
    <w:p w14:paraId="252D3DD8" w14:textId="77777777" w:rsidR="007C075A" w:rsidRDefault="007C075A" w:rsidP="007C075A">
      <w:pPr>
        <w:pStyle w:val="Textkomente"/>
        <w:jc w:val="left"/>
      </w:pPr>
      <w:r>
        <w:rPr>
          <w:rStyle w:val="Odkaznakoment"/>
        </w:rPr>
        <w:annotationRef/>
      </w:r>
      <w:r>
        <w:t>Je možné, že jsem to přehlédl, ale takovýto cíl by neměl sem být jen tak plácnutý bez předchozí teoretické diskuze. Záleží na účelu výzkumu - u explanačního by byla potřeba hluboká teoretická diskuze, ze které by vyplnula tato hypotéza, kterou byste následně otestoval. U exploratorního by zase bylo potřeba nějak rozumně odůvodnit, jak spolu tyto proměnné souvisí, aby to nebylo prostě na random spray and pray, což se ve vědě moc nenosí - jasně, můžete se trefit, ale věda je nákladná a proto byste měl mít nějaké indicie, že ten výzkum má smysl - a ty indicie tu explicitně vypsat.</w:t>
      </w:r>
    </w:p>
  </w:comment>
  <w:comment w:id="13" w:author="Jan Kleiner" w:date="2024-05-29T10:08:00Z" w:initials="JK">
    <w:p w14:paraId="40A4C603" w14:textId="77777777" w:rsidR="007C075A" w:rsidRDefault="007C075A" w:rsidP="007C075A">
      <w:pPr>
        <w:pStyle w:val="Textkomente"/>
        <w:jc w:val="left"/>
      </w:pPr>
      <w:r>
        <w:rPr>
          <w:rStyle w:val="Odkaznakoment"/>
        </w:rPr>
        <w:annotationRef/>
      </w:r>
      <w:r>
        <w:t>Tyto proměnné je třeba důkladně popsat než se objeví v hypotézách.</w:t>
      </w:r>
    </w:p>
  </w:comment>
  <w:comment w:id="15" w:author="Jan Kleiner" w:date="2024-05-29T10:09:00Z" w:initials="JK">
    <w:p w14:paraId="25AFFD5E" w14:textId="77777777" w:rsidR="00D45442" w:rsidRDefault="00D45442" w:rsidP="00D45442">
      <w:pPr>
        <w:pStyle w:val="Textkomente"/>
        <w:jc w:val="left"/>
      </w:pPr>
      <w:r>
        <w:rPr>
          <w:rStyle w:val="Odkaznakoment"/>
        </w:rPr>
        <w:annotationRef/>
      </w:r>
      <w:r>
        <w:t xml:space="preserve">Super, že ho tu máte, ale přehled literatury by měl vždykcy sloužit nějakému vyššímu cíli v rámci práce než vyjmenovat díla, která v tomto ohledu považujete za významná. Ve Vašem případě se mohl přehled literatury použít právě jako přichystání si pole pro tu obecnou hypotézu a její statistické deriváty. </w:t>
      </w:r>
    </w:p>
  </w:comment>
  <w:comment w:id="18" w:author="Jan Kleiner" w:date="2024-05-29T10:10:00Z" w:initials="JK">
    <w:p w14:paraId="60A58983" w14:textId="77777777" w:rsidR="00D45442" w:rsidRDefault="00D45442" w:rsidP="00D45442">
      <w:pPr>
        <w:pStyle w:val="Textkomente"/>
        <w:jc w:val="left"/>
      </w:pPr>
      <w:r>
        <w:rPr>
          <w:rStyle w:val="Odkaznakoment"/>
        </w:rPr>
        <w:annotationRef/>
      </w:r>
      <w:r>
        <w:t>I datasety je třeba citovat :)</w:t>
      </w:r>
    </w:p>
  </w:comment>
  <w:comment w:id="20" w:author="Jan Kleiner" w:date="2024-05-29T10:15:00Z" w:initials="JK">
    <w:p w14:paraId="5A7F9821" w14:textId="77777777" w:rsidR="00D45442" w:rsidRDefault="00D45442" w:rsidP="00D45442">
      <w:pPr>
        <w:pStyle w:val="Textkomente"/>
        <w:jc w:val="left"/>
      </w:pPr>
      <w:r>
        <w:rPr>
          <w:rStyle w:val="Odkaznakoment"/>
        </w:rPr>
        <w:annotationRef/>
      </w:r>
      <w:r>
        <w:t xml:space="preserve">Statistické výsledky mají dvě úrovně reportování, které jsou navzájem úzce propojené. První je </w:t>
      </w:r>
      <w:r>
        <w:rPr>
          <w:b/>
          <w:bCs/>
        </w:rPr>
        <w:t>technické</w:t>
      </w:r>
      <w:r>
        <w:t xml:space="preserve">, které často v závorkách doplňuje (koeficienty, stupni volnosti, p-hodnotou a všech dalších parametrů, které jsou pro danou operaci významné) to </w:t>
      </w:r>
      <w:r>
        <w:rPr>
          <w:b/>
          <w:bCs/>
        </w:rPr>
        <w:t>interpretační</w:t>
      </w:r>
      <w:r>
        <w:t xml:space="preserve"> - statistika je nástroj. Důležitý je příběh, který se za daty a výsledky skrývá - ten musí být srozumitelně a jasně reportován. V rámci této interpretace proto nepoužívejte názvy proměnných, ale jejich věcný význam. Stejně tak neříkejte, že ta a ta proměnná spolu koreluje s výsledkem tím a tím, ale že spolu třeba vojenské výdaje a energetická spotřeba velmi úzce souvisí - koho zajímá jak moc, mrkne do závorky nebo do tabulky.</w:t>
      </w:r>
    </w:p>
  </w:comment>
  <w:comment w:id="21" w:author="Jan Kleiner" w:date="2024-05-29T10:15:00Z" w:initials="JK">
    <w:p w14:paraId="4EE60EBC" w14:textId="77777777" w:rsidR="00D45442" w:rsidRDefault="00D45442" w:rsidP="00D45442">
      <w:pPr>
        <w:pStyle w:val="Textkomente"/>
        <w:jc w:val="left"/>
      </w:pPr>
      <w:r>
        <w:rPr>
          <w:rStyle w:val="Odkaznakoment"/>
        </w:rPr>
        <w:annotationRef/>
      </w:r>
      <w:r>
        <w:t>Vždy je potřeba uvádět, jestli jsou dané výsledky signifikantní (p-value).</w:t>
      </w:r>
    </w:p>
  </w:comment>
  <w:comment w:id="22" w:author="Jan Kleiner" w:date="2024-05-29T10:16:00Z" w:initials="JK">
    <w:p w14:paraId="17BB8F18" w14:textId="77777777" w:rsidR="00D45442" w:rsidRDefault="00D45442" w:rsidP="00D45442">
      <w:pPr>
        <w:pStyle w:val="Textkomente"/>
        <w:jc w:val="left"/>
      </w:pPr>
      <w:r>
        <w:rPr>
          <w:rStyle w:val="Odkaznakoment"/>
        </w:rPr>
        <w:annotationRef/>
      </w:r>
      <w:r>
        <w:t>U toho levého grafu bych tam ten trend nedával vůbec a i u toho pravého je dosti problematický. Ale to chce hodně praxe, aby to byl člověk schopen posoudit.</w:t>
      </w:r>
    </w:p>
  </w:comment>
  <w:comment w:id="24" w:author="Jan Kleiner" w:date="2024-05-29T10:19:00Z" w:initials="JK">
    <w:p w14:paraId="345284A0" w14:textId="77777777" w:rsidR="00D45442" w:rsidRDefault="00D45442" w:rsidP="00D45442">
      <w:pPr>
        <w:pStyle w:val="Textkomente"/>
        <w:jc w:val="left"/>
      </w:pPr>
      <w:r>
        <w:rPr>
          <w:rStyle w:val="Odkaznakoment"/>
        </w:rPr>
        <w:annotationRef/>
      </w:r>
      <w:r>
        <w:t>Fuj fuj fuj, hypotézy nepřijímáme, pouze ponecháváme (přinášíme evidenci, která je podporuje), nebo zamítáme</w:t>
      </w:r>
    </w:p>
  </w:comment>
  <w:comment w:id="25" w:author="Jan Kleiner" w:date="2024-05-29T10:20:00Z" w:initials="JK">
    <w:p w14:paraId="7BD5298F" w14:textId="77777777" w:rsidR="00C67FB8" w:rsidRDefault="00C67FB8" w:rsidP="00C67FB8">
      <w:pPr>
        <w:pStyle w:val="Textkomente"/>
        <w:jc w:val="left"/>
      </w:pPr>
      <w:r>
        <w:rPr>
          <w:rStyle w:val="Odkaznakoment"/>
        </w:rPr>
        <w:annotationRef/>
      </w:r>
      <w:r>
        <w:t xml:space="preserve">To samé, co výše - ani vědce nezajímá tenhle technický popis (ten musí být ale v závorkách nebo tabulkách). Všechny zajímá příběh, který data vypráví. </w:t>
      </w:r>
    </w:p>
  </w:comment>
  <w:comment w:id="28" w:author="Jan Kleiner" w:date="2024-05-29T10:17:00Z" w:initials="JK">
    <w:p w14:paraId="4BD586C9" w14:textId="1B5CD11C" w:rsidR="00D45442" w:rsidRDefault="00D45442" w:rsidP="00D45442">
      <w:pPr>
        <w:pStyle w:val="Textkomente"/>
        <w:jc w:val="left"/>
      </w:pPr>
      <w:r>
        <w:rPr>
          <w:rStyle w:val="Odkaznakoment"/>
        </w:rPr>
        <w:annotationRef/>
      </w:r>
      <w:r>
        <w:t>Taková relativně super analýza a takový chudičký závěr? ☹️</w:t>
      </w:r>
    </w:p>
  </w:comment>
  <w:comment w:id="29" w:author="Jan Kleiner" w:date="2024-05-29T10:18:00Z" w:initials="JK">
    <w:p w14:paraId="52D71670" w14:textId="77777777" w:rsidR="00D45442" w:rsidRDefault="00D45442" w:rsidP="00D45442">
      <w:pPr>
        <w:pStyle w:val="Textkomente"/>
        <w:jc w:val="left"/>
      </w:pPr>
      <w:r>
        <w:rPr>
          <w:rStyle w:val="Odkaznakoment"/>
        </w:rPr>
        <w:annotationRef/>
      </w:r>
      <w:r>
        <w:t xml:space="preserve">Super práce! Jasně, je tam spousta chyb stran statistiky, ale to je naprosto normální. Nenechte se tím odradit a ani neusněte na vavřínech a s každou prací se posouvejte dál a máte statistiku v kapse!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2B67F9" w15:done="0"/>
  <w15:commentEx w15:paraId="276D7AD3" w15:done="0"/>
  <w15:commentEx w15:paraId="1F89A079" w15:paraIdParent="276D7AD3" w15:done="0"/>
  <w15:commentEx w15:paraId="2FE2028A" w15:done="0"/>
  <w15:commentEx w15:paraId="252D3DD8" w15:done="0"/>
  <w15:commentEx w15:paraId="40A4C603" w15:done="0"/>
  <w15:commentEx w15:paraId="25AFFD5E" w15:done="0"/>
  <w15:commentEx w15:paraId="60A58983" w15:done="0"/>
  <w15:commentEx w15:paraId="5A7F9821" w15:done="0"/>
  <w15:commentEx w15:paraId="4EE60EBC" w15:done="0"/>
  <w15:commentEx w15:paraId="17BB8F18" w15:done="0"/>
  <w15:commentEx w15:paraId="345284A0" w15:done="0"/>
  <w15:commentEx w15:paraId="7BD5298F" w15:done="0"/>
  <w15:commentEx w15:paraId="4BD586C9" w15:done="0"/>
  <w15:commentEx w15:paraId="52D71670" w15:paraIdParent="4BD586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B59EB" w16cex:dateUtc="2024-05-29T08:00:00Z"/>
  <w16cex:commentExtensible w16cex:durableId="6AB286F7" w16cex:dateUtc="2024-05-29T08:02:00Z"/>
  <w16cex:commentExtensible w16cex:durableId="75079C8B" w16cex:dateUtc="2024-05-29T08:03:00Z"/>
  <w16cex:commentExtensible w16cex:durableId="4A057A2A" w16cex:dateUtc="2024-05-29T08:04:00Z"/>
  <w16cex:commentExtensible w16cex:durableId="14727E65" w16cex:dateUtc="2024-05-29T08:07:00Z"/>
  <w16cex:commentExtensible w16cex:durableId="25A782C0" w16cex:dateUtc="2024-05-29T08:08:00Z"/>
  <w16cex:commentExtensible w16cex:durableId="0295A7F0" w16cex:dateUtc="2024-05-29T08:09:00Z"/>
  <w16cex:commentExtensible w16cex:durableId="6E5C9D0B" w16cex:dateUtc="2024-05-29T08:10:00Z"/>
  <w16cex:commentExtensible w16cex:durableId="3A1EE161" w16cex:dateUtc="2024-05-29T08:15:00Z"/>
  <w16cex:commentExtensible w16cex:durableId="0CCFBB9A" w16cex:dateUtc="2024-05-29T08:15:00Z"/>
  <w16cex:commentExtensible w16cex:durableId="46F11C0C" w16cex:dateUtc="2024-05-29T08:16:00Z"/>
  <w16cex:commentExtensible w16cex:durableId="39047DB0" w16cex:dateUtc="2024-05-29T08:19:00Z"/>
  <w16cex:commentExtensible w16cex:durableId="3B72E386" w16cex:dateUtc="2024-05-29T08:20:00Z"/>
  <w16cex:commentExtensible w16cex:durableId="6335D306" w16cex:dateUtc="2024-05-29T08:17:00Z"/>
  <w16cex:commentExtensible w16cex:durableId="373D7F44" w16cex:dateUtc="2024-05-29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2B67F9" w16cid:durableId="251B59EB"/>
  <w16cid:commentId w16cid:paraId="276D7AD3" w16cid:durableId="6AB286F7"/>
  <w16cid:commentId w16cid:paraId="1F89A079" w16cid:durableId="75079C8B"/>
  <w16cid:commentId w16cid:paraId="2FE2028A" w16cid:durableId="4A057A2A"/>
  <w16cid:commentId w16cid:paraId="252D3DD8" w16cid:durableId="14727E65"/>
  <w16cid:commentId w16cid:paraId="40A4C603" w16cid:durableId="25A782C0"/>
  <w16cid:commentId w16cid:paraId="25AFFD5E" w16cid:durableId="0295A7F0"/>
  <w16cid:commentId w16cid:paraId="60A58983" w16cid:durableId="6E5C9D0B"/>
  <w16cid:commentId w16cid:paraId="5A7F9821" w16cid:durableId="3A1EE161"/>
  <w16cid:commentId w16cid:paraId="4EE60EBC" w16cid:durableId="0CCFBB9A"/>
  <w16cid:commentId w16cid:paraId="17BB8F18" w16cid:durableId="46F11C0C"/>
  <w16cid:commentId w16cid:paraId="345284A0" w16cid:durableId="39047DB0"/>
  <w16cid:commentId w16cid:paraId="7BD5298F" w16cid:durableId="3B72E386"/>
  <w16cid:commentId w16cid:paraId="4BD586C9" w16cid:durableId="6335D306"/>
  <w16cid:commentId w16cid:paraId="52D71670" w16cid:durableId="373D7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E068" w14:textId="77777777" w:rsidR="00542A1B" w:rsidRDefault="00542A1B" w:rsidP="003B5838">
      <w:pPr>
        <w:spacing w:line="240" w:lineRule="auto"/>
      </w:pPr>
      <w:r>
        <w:separator/>
      </w:r>
    </w:p>
  </w:endnote>
  <w:endnote w:type="continuationSeparator" w:id="0">
    <w:p w14:paraId="2633BB8B" w14:textId="77777777" w:rsidR="00542A1B" w:rsidRDefault="00542A1B" w:rsidP="003B5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386428"/>
      <w:docPartObj>
        <w:docPartGallery w:val="Page Numbers (Bottom of Page)"/>
        <w:docPartUnique/>
      </w:docPartObj>
    </w:sdtPr>
    <w:sdtContent>
      <w:p w14:paraId="3FDC8BF8" w14:textId="14569F58" w:rsidR="003B5838" w:rsidRDefault="003B5838">
        <w:pPr>
          <w:pStyle w:val="Zpat"/>
          <w:jc w:val="center"/>
        </w:pPr>
        <w:r>
          <w:fldChar w:fldCharType="begin"/>
        </w:r>
        <w:r>
          <w:instrText>PAGE   \* MERGEFORMAT</w:instrText>
        </w:r>
        <w:r>
          <w:fldChar w:fldCharType="separate"/>
        </w:r>
        <w:r>
          <w:rPr>
            <w:lang w:val="cs-CZ"/>
          </w:rPr>
          <w:t>2</w:t>
        </w:r>
        <w:r>
          <w:fldChar w:fldCharType="end"/>
        </w:r>
      </w:p>
    </w:sdtContent>
  </w:sdt>
  <w:p w14:paraId="283781AF" w14:textId="77777777" w:rsidR="003B5838" w:rsidRDefault="003B58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54F01" w14:textId="77777777" w:rsidR="00542A1B" w:rsidRDefault="00542A1B" w:rsidP="003B5838">
      <w:pPr>
        <w:spacing w:line="240" w:lineRule="auto"/>
      </w:pPr>
      <w:r>
        <w:separator/>
      </w:r>
    </w:p>
  </w:footnote>
  <w:footnote w:type="continuationSeparator" w:id="0">
    <w:p w14:paraId="29444954" w14:textId="77777777" w:rsidR="00542A1B" w:rsidRDefault="00542A1B" w:rsidP="003B5838">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 Kleiner">
    <w15:presenceInfo w15:providerId="AD" w15:userId="S::439760@muni.cz::c34d2bba-04f6-4459-83d0-830397c19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xMTY0N7S0MDUxMLNU0lEKTi0uzszPAykwrAUAkvJh5CwAAAA="/>
  </w:docVars>
  <w:rsids>
    <w:rsidRoot w:val="00ED2984"/>
    <w:rsid w:val="002C5C8B"/>
    <w:rsid w:val="003B5838"/>
    <w:rsid w:val="00542A1B"/>
    <w:rsid w:val="00547225"/>
    <w:rsid w:val="00554206"/>
    <w:rsid w:val="00574F7C"/>
    <w:rsid w:val="0069055F"/>
    <w:rsid w:val="007411DA"/>
    <w:rsid w:val="007C075A"/>
    <w:rsid w:val="00812BBF"/>
    <w:rsid w:val="008E09C5"/>
    <w:rsid w:val="009A770F"/>
    <w:rsid w:val="00A45E3B"/>
    <w:rsid w:val="00C67FB8"/>
    <w:rsid w:val="00D45442"/>
    <w:rsid w:val="00ED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7D54"/>
  <w15:docId w15:val="{8D3E51D6-0312-4702-BE5A-6DCC1AA3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C8B"/>
    <w:pPr>
      <w:spacing w:line="360" w:lineRule="auto"/>
      <w:jc w:val="both"/>
    </w:pPr>
    <w:rPr>
      <w:rFonts w:ascii="Times New Roman" w:hAnsi="Times New Roman"/>
    </w:rPr>
  </w:style>
  <w:style w:type="paragraph" w:styleId="Nadpis1">
    <w:name w:val="heading 1"/>
    <w:basedOn w:val="Normln"/>
    <w:next w:val="Normln"/>
    <w:uiPriority w:val="9"/>
    <w:qFormat/>
    <w:rsid w:val="0069055F"/>
    <w:pPr>
      <w:keepNext/>
      <w:keepLines/>
      <w:spacing w:before="400" w:after="120"/>
      <w:outlineLvl w:val="0"/>
    </w:pPr>
    <w:rPr>
      <w:sz w:val="36"/>
      <w:szCs w:val="40"/>
    </w:rPr>
  </w:style>
  <w:style w:type="paragraph" w:styleId="Nadpis2">
    <w:name w:val="heading 2"/>
    <w:basedOn w:val="Normln"/>
    <w:next w:val="Normln"/>
    <w:uiPriority w:val="9"/>
    <w:unhideWhenUsed/>
    <w:qFormat/>
    <w:rsid w:val="003B5838"/>
    <w:pPr>
      <w:keepNext/>
      <w:keepLines/>
      <w:spacing w:before="360" w:after="120"/>
      <w:outlineLvl w:val="1"/>
    </w:pPr>
    <w:rPr>
      <w:sz w:val="28"/>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rFonts w:ascii="Arial" w:hAnsi="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adpisobsahu">
    <w:name w:val="TOC Heading"/>
    <w:basedOn w:val="Nadpis1"/>
    <w:next w:val="Normln"/>
    <w:uiPriority w:val="39"/>
    <w:unhideWhenUsed/>
    <w:qFormat/>
    <w:rsid w:val="002C5C8B"/>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Obsah1">
    <w:name w:val="toc 1"/>
    <w:basedOn w:val="Normln"/>
    <w:next w:val="Normln"/>
    <w:autoRedefine/>
    <w:uiPriority w:val="39"/>
    <w:unhideWhenUsed/>
    <w:rsid w:val="002C5C8B"/>
    <w:pPr>
      <w:spacing w:after="100"/>
    </w:pPr>
  </w:style>
  <w:style w:type="paragraph" w:styleId="Obsah2">
    <w:name w:val="toc 2"/>
    <w:basedOn w:val="Normln"/>
    <w:next w:val="Normln"/>
    <w:autoRedefine/>
    <w:uiPriority w:val="39"/>
    <w:unhideWhenUsed/>
    <w:rsid w:val="002C5C8B"/>
    <w:pPr>
      <w:spacing w:after="100"/>
      <w:ind w:left="220"/>
    </w:pPr>
  </w:style>
  <w:style w:type="character" w:styleId="Hypertextovodkaz">
    <w:name w:val="Hyperlink"/>
    <w:basedOn w:val="Standardnpsmoodstavce"/>
    <w:uiPriority w:val="99"/>
    <w:unhideWhenUsed/>
    <w:rsid w:val="002C5C8B"/>
    <w:rPr>
      <w:color w:val="0000FF" w:themeColor="hyperlink"/>
      <w:u w:val="single"/>
    </w:rPr>
  </w:style>
  <w:style w:type="paragraph" w:styleId="Normlnweb">
    <w:name w:val="Normal (Web)"/>
    <w:basedOn w:val="Normln"/>
    <w:uiPriority w:val="99"/>
    <w:semiHidden/>
    <w:unhideWhenUsed/>
    <w:rsid w:val="0069055F"/>
    <w:pPr>
      <w:spacing w:before="100" w:beforeAutospacing="1" w:after="100" w:afterAutospacing="1" w:line="240" w:lineRule="auto"/>
      <w:jc w:val="left"/>
    </w:pPr>
    <w:rPr>
      <w:rFonts w:eastAsia="Times New Roman" w:cs="Times New Roman"/>
      <w:sz w:val="24"/>
      <w:szCs w:val="24"/>
      <w:lang w:val="en-US"/>
    </w:rPr>
  </w:style>
  <w:style w:type="paragraph" w:styleId="Zhlav">
    <w:name w:val="header"/>
    <w:basedOn w:val="Normln"/>
    <w:link w:val="ZhlavChar"/>
    <w:uiPriority w:val="99"/>
    <w:unhideWhenUsed/>
    <w:rsid w:val="003B5838"/>
    <w:pPr>
      <w:tabs>
        <w:tab w:val="center" w:pos="4680"/>
        <w:tab w:val="right" w:pos="9360"/>
      </w:tabs>
      <w:spacing w:line="240" w:lineRule="auto"/>
    </w:pPr>
  </w:style>
  <w:style w:type="character" w:customStyle="1" w:styleId="ZhlavChar">
    <w:name w:val="Záhlaví Char"/>
    <w:basedOn w:val="Standardnpsmoodstavce"/>
    <w:link w:val="Zhlav"/>
    <w:uiPriority w:val="99"/>
    <w:rsid w:val="003B5838"/>
    <w:rPr>
      <w:rFonts w:ascii="Times New Roman" w:hAnsi="Times New Roman"/>
    </w:rPr>
  </w:style>
  <w:style w:type="paragraph" w:styleId="Zpat">
    <w:name w:val="footer"/>
    <w:basedOn w:val="Normln"/>
    <w:link w:val="ZpatChar"/>
    <w:uiPriority w:val="99"/>
    <w:unhideWhenUsed/>
    <w:rsid w:val="003B5838"/>
    <w:pPr>
      <w:tabs>
        <w:tab w:val="center" w:pos="4680"/>
        <w:tab w:val="right" w:pos="9360"/>
      </w:tabs>
      <w:spacing w:line="240" w:lineRule="auto"/>
    </w:pPr>
  </w:style>
  <w:style w:type="character" w:customStyle="1" w:styleId="ZpatChar">
    <w:name w:val="Zápatí Char"/>
    <w:basedOn w:val="Standardnpsmoodstavce"/>
    <w:link w:val="Zpat"/>
    <w:uiPriority w:val="99"/>
    <w:rsid w:val="003B5838"/>
    <w:rPr>
      <w:rFonts w:ascii="Times New Roman" w:hAnsi="Times New Roman"/>
    </w:rPr>
  </w:style>
  <w:style w:type="character" w:styleId="Odkaznakoment">
    <w:name w:val="annotation reference"/>
    <w:basedOn w:val="Standardnpsmoodstavce"/>
    <w:uiPriority w:val="99"/>
    <w:semiHidden/>
    <w:unhideWhenUsed/>
    <w:rsid w:val="007C075A"/>
    <w:rPr>
      <w:sz w:val="16"/>
      <w:szCs w:val="16"/>
    </w:rPr>
  </w:style>
  <w:style w:type="paragraph" w:styleId="Textkomente">
    <w:name w:val="annotation text"/>
    <w:basedOn w:val="Normln"/>
    <w:link w:val="TextkomenteChar"/>
    <w:uiPriority w:val="99"/>
    <w:unhideWhenUsed/>
    <w:rsid w:val="007C075A"/>
    <w:pPr>
      <w:spacing w:line="240" w:lineRule="auto"/>
    </w:pPr>
    <w:rPr>
      <w:sz w:val="20"/>
      <w:szCs w:val="20"/>
    </w:rPr>
  </w:style>
  <w:style w:type="character" w:customStyle="1" w:styleId="TextkomenteChar">
    <w:name w:val="Text komentáře Char"/>
    <w:basedOn w:val="Standardnpsmoodstavce"/>
    <w:link w:val="Textkomente"/>
    <w:uiPriority w:val="99"/>
    <w:rsid w:val="007C075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C075A"/>
    <w:rPr>
      <w:b/>
      <w:bCs/>
    </w:rPr>
  </w:style>
  <w:style w:type="character" w:customStyle="1" w:styleId="PedmtkomenteChar">
    <w:name w:val="Předmět komentáře Char"/>
    <w:basedOn w:val="TextkomenteChar"/>
    <w:link w:val="Pedmtkomente"/>
    <w:uiPriority w:val="99"/>
    <w:semiHidden/>
    <w:rsid w:val="007C075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589016">
      <w:bodyDiv w:val="1"/>
      <w:marLeft w:val="0"/>
      <w:marRight w:val="0"/>
      <w:marTop w:val="0"/>
      <w:marBottom w:val="0"/>
      <w:divBdr>
        <w:top w:val="none" w:sz="0" w:space="0" w:color="auto"/>
        <w:left w:val="none" w:sz="0" w:space="0" w:color="auto"/>
        <w:bottom w:val="none" w:sz="0" w:space="0" w:color="auto"/>
        <w:right w:val="none" w:sz="0" w:space="0" w:color="auto"/>
      </w:divBdr>
      <w:divsChild>
        <w:div w:id="1131628342">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https://correlatesofwar.org/data-sets/national-material-capabiliti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yperlink" Target="https://doi.org/10.4103/ijpsym.ijpsym_193_19" TargetMode="External"/><Relationship Id="rId2" Type="http://schemas.openxmlformats.org/officeDocument/2006/relationships/styles" Target="styles.xml"/><Relationship Id="rId16" Type="http://schemas.openxmlformats.org/officeDocument/2006/relationships/hyperlink" Target="https://doi.org/10.1016/j.ejpoleco.2012.07.002" TargetMode="External"/><Relationship Id="rId20" Type="http://schemas.openxmlformats.org/officeDocument/2006/relationships/hyperlink" Target="https://www.prio.org/data/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wikipedia.org/wiki/Chorramschah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1436598608419929"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doi.org/10.33201/iranian.706917"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B11C-94FB-49BD-BAB7-9B91984F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3644</Words>
  <Characters>20772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Hasikova</dc:creator>
  <cp:lastModifiedBy>Jan Kleiner</cp:lastModifiedBy>
  <cp:revision>4</cp:revision>
  <dcterms:created xsi:type="dcterms:W3CDTF">2024-05-26T16:03:00Z</dcterms:created>
  <dcterms:modified xsi:type="dcterms:W3CDTF">2025-01-27T08:17:00Z</dcterms:modified>
</cp:coreProperties>
</file>