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46FC9" w14:textId="04961475" w:rsidR="0059536E" w:rsidRPr="0059536E" w:rsidRDefault="0059536E" w:rsidP="009D466B">
      <w:r>
        <w:rPr>
          <w:b/>
          <w:bCs/>
        </w:rPr>
        <w:t xml:space="preserve">Kontakt: </w:t>
      </w:r>
      <w:hyperlink r:id="rId5" w:history="1">
        <w:r w:rsidRPr="00A133AC">
          <w:rPr>
            <w:rStyle w:val="Hypertextovodkaz"/>
          </w:rPr>
          <w:t>stepan.pech@gmail.com</w:t>
        </w:r>
      </w:hyperlink>
      <w:r>
        <w:t>, tel: 720 659 943</w:t>
      </w:r>
    </w:p>
    <w:p w14:paraId="6696FC0A" w14:textId="6A903028" w:rsidR="009D466B" w:rsidRDefault="009D466B" w:rsidP="009D466B">
      <w:r w:rsidRPr="001759A9">
        <w:rPr>
          <w:b/>
          <w:bCs/>
        </w:rPr>
        <w:t>Cíle předmětu:</w:t>
      </w:r>
      <w:r>
        <w:t xml:space="preserve"> aktivní porozumění zásady vlády práva v unijním prostředí zahrnující jak teorii, tak aplikační praxi ilustrovanou na současných kauzách a mechanismech napříč EU</w:t>
      </w:r>
    </w:p>
    <w:p w14:paraId="1AA1736E" w14:textId="77777777" w:rsidR="009D466B" w:rsidRDefault="009D466B" w:rsidP="009D466B">
      <w:r w:rsidRPr="001759A9">
        <w:rPr>
          <w:b/>
          <w:bCs/>
        </w:rPr>
        <w:t xml:space="preserve">Výukové metody: </w:t>
      </w:r>
      <w:r>
        <w:t>přednáška, diskuse, heuristické řešení problémů, skupinové inscenační, kritické myšlení.</w:t>
      </w:r>
    </w:p>
    <w:p w14:paraId="32305CD8" w14:textId="046695ED" w:rsidR="00F92BEA" w:rsidRDefault="00F92BEA" w:rsidP="009D466B">
      <w:r w:rsidRPr="001759A9">
        <w:rPr>
          <w:b/>
          <w:bCs/>
        </w:rPr>
        <w:t>Časová dotace:</w:t>
      </w:r>
      <w:r>
        <w:t xml:space="preserve"> jednou za dva týdny 60-90 minut</w:t>
      </w:r>
    </w:p>
    <w:p w14:paraId="609A57C9" w14:textId="77777777" w:rsidR="00F92BEA" w:rsidRDefault="00F92BEA" w:rsidP="009D466B"/>
    <w:p w14:paraId="10C0BC8D" w14:textId="6EEC4AC5" w:rsidR="00F92BEA" w:rsidRPr="00F92BEA" w:rsidRDefault="00F92BEA" w:rsidP="009D466B">
      <w:pPr>
        <w:rPr>
          <w:u w:val="single"/>
        </w:rPr>
      </w:pPr>
      <w:r>
        <w:rPr>
          <w:u w:val="single"/>
        </w:rPr>
        <w:t>Hodnocení:</w:t>
      </w:r>
    </w:p>
    <w:p w14:paraId="12D0A2EA" w14:textId="77777777" w:rsidR="00BD686D" w:rsidRDefault="009D466B" w:rsidP="009D466B">
      <w:r w:rsidRPr="001759A9">
        <w:rPr>
          <w:b/>
          <w:bCs/>
        </w:rPr>
        <w:t>Metody hodnocení:</w:t>
      </w:r>
      <w:r>
        <w:t xml:space="preserve"> </w:t>
      </w:r>
    </w:p>
    <w:p w14:paraId="3E008C76" w14:textId="6DA1E0BE" w:rsidR="00BD686D" w:rsidRDefault="00BD686D" w:rsidP="009D466B">
      <w:r>
        <w:t>C</w:t>
      </w:r>
      <w:r w:rsidR="00F329AB">
        <w:t xml:space="preserve">elkově lze během kurzu získat </w:t>
      </w:r>
      <w:r w:rsidR="001B309A">
        <w:t>40</w:t>
      </w:r>
      <w:r w:rsidR="00F329AB">
        <w:t xml:space="preserve"> bodů</w:t>
      </w:r>
      <w:r w:rsidR="002C5A0E">
        <w:t xml:space="preserve">, </w:t>
      </w:r>
      <w:r w:rsidR="00DD533B">
        <w:t>děleno do jednotlivých složek</w:t>
      </w:r>
      <w:r w:rsidR="00213B2F">
        <w:t xml:space="preserve"> následovně</w:t>
      </w:r>
      <w:r>
        <w:t xml:space="preserve"> </w:t>
      </w:r>
    </w:p>
    <w:p w14:paraId="523C789D" w14:textId="77777777" w:rsidR="003155CB" w:rsidRDefault="00B30770" w:rsidP="00567B2E">
      <w:pPr>
        <w:pStyle w:val="Odstavecseseznamem"/>
        <w:numPr>
          <w:ilvl w:val="0"/>
          <w:numId w:val="5"/>
        </w:numPr>
      </w:pPr>
      <w:r>
        <w:t>docházka(</w:t>
      </w:r>
      <w:r w:rsidR="00567B2E">
        <w:t>1</w:t>
      </w:r>
      <w:r w:rsidR="00725E7E">
        <w:t>0</w:t>
      </w:r>
      <w:r w:rsidR="00567B2E">
        <w:t xml:space="preserve"> bodů</w:t>
      </w:r>
      <w:r>
        <w:t>),</w:t>
      </w:r>
      <w:r w:rsidR="007A4521">
        <w:t xml:space="preserve"> </w:t>
      </w:r>
    </w:p>
    <w:p w14:paraId="1F43D22F" w14:textId="0D95570F" w:rsidR="003155CB" w:rsidRDefault="007A4521" w:rsidP="00567B2E">
      <w:pPr>
        <w:pStyle w:val="Odstavecseseznamem"/>
        <w:numPr>
          <w:ilvl w:val="0"/>
          <w:numId w:val="5"/>
        </w:numPr>
      </w:pPr>
      <w:r>
        <w:t>aktivita na hodině včetně</w:t>
      </w:r>
      <w:r w:rsidR="00B30770">
        <w:t xml:space="preserve"> prezentace</w:t>
      </w:r>
      <w:r w:rsidR="000866CA">
        <w:t xml:space="preserve"> individu</w:t>
      </w:r>
      <w:r w:rsidR="00835E74">
        <w:t>á</w:t>
      </w:r>
      <w:r w:rsidR="000866CA">
        <w:t>ln</w:t>
      </w:r>
      <w:r>
        <w:t>í</w:t>
      </w:r>
      <w:r w:rsidR="000866CA">
        <w:t>/skupinov</w:t>
      </w:r>
      <w:r>
        <w:t>é</w:t>
      </w:r>
      <w:r w:rsidR="000866CA">
        <w:t xml:space="preserve"> (</w:t>
      </w:r>
      <w:r w:rsidR="00501ECB">
        <w:t>15</w:t>
      </w:r>
      <w:r w:rsidR="008D01FB">
        <w:t xml:space="preserve"> bodů</w:t>
      </w:r>
      <w:r w:rsidR="000866CA">
        <w:t xml:space="preserve">), </w:t>
      </w:r>
    </w:p>
    <w:p w14:paraId="3563E9EF" w14:textId="50DF7FFB" w:rsidR="009D466B" w:rsidRDefault="000866CA" w:rsidP="00567B2E">
      <w:pPr>
        <w:pStyle w:val="Odstavecseseznamem"/>
        <w:numPr>
          <w:ilvl w:val="0"/>
          <w:numId w:val="5"/>
        </w:numPr>
      </w:pPr>
      <w:r>
        <w:t>esej</w:t>
      </w:r>
      <w:r w:rsidR="008B776D">
        <w:t>/úvaha</w:t>
      </w:r>
      <w:r>
        <w:t xml:space="preserve"> (</w:t>
      </w:r>
      <w:r w:rsidR="00501ECB">
        <w:t>15</w:t>
      </w:r>
      <w:r w:rsidR="002072C3">
        <w:t xml:space="preserve"> </w:t>
      </w:r>
      <w:r w:rsidR="008D01FB">
        <w:t>bodů</w:t>
      </w:r>
      <w:r>
        <w:t>)</w:t>
      </w:r>
    </w:p>
    <w:p w14:paraId="55C4D32B" w14:textId="1F76DDDC" w:rsidR="000E7AD1" w:rsidRDefault="000E7AD1" w:rsidP="00EE59A1">
      <w:r>
        <w:rPr>
          <w:b/>
          <w:bCs/>
        </w:rPr>
        <w:t xml:space="preserve">Prezentace: </w:t>
      </w:r>
      <w:r>
        <w:t>individuální – prezentace soudní kauzy</w:t>
      </w:r>
      <w:r w:rsidR="006F41F2">
        <w:t xml:space="preserve"> (5-10 minut)</w:t>
      </w:r>
      <w:r>
        <w:t xml:space="preserve">, skupinová – modelové cvičení </w:t>
      </w:r>
      <w:r w:rsidR="006F41F2">
        <w:t xml:space="preserve">(simulace </w:t>
      </w:r>
      <w:r w:rsidR="0053254C">
        <w:t>slyšení dle čl. 7 SEU/simulace dialogu Rady</w:t>
      </w:r>
      <w:r w:rsidR="001B0505">
        <w:t xml:space="preserve"> – cca 30 minut</w:t>
      </w:r>
      <w:r w:rsidR="0053254C">
        <w:t>)</w:t>
      </w:r>
    </w:p>
    <w:p w14:paraId="09912198" w14:textId="6338BEF5" w:rsidR="00F92BEA" w:rsidRDefault="008E4620" w:rsidP="00EE59A1">
      <w:r w:rsidRPr="008E4620">
        <w:rPr>
          <w:b/>
          <w:bCs/>
        </w:rPr>
        <w:t>Esej</w:t>
      </w:r>
      <w:r>
        <w:rPr>
          <w:b/>
          <w:bCs/>
        </w:rPr>
        <w:t>:</w:t>
      </w:r>
      <w:r w:rsidR="00835E74">
        <w:rPr>
          <w:b/>
          <w:bCs/>
        </w:rPr>
        <w:t xml:space="preserve"> </w:t>
      </w:r>
      <w:r w:rsidR="00835E74" w:rsidRPr="00835E74">
        <w:t>max</w:t>
      </w:r>
      <w:r w:rsidR="00AE68BA">
        <w:t>.</w:t>
      </w:r>
      <w:r w:rsidR="00835E74" w:rsidRPr="00835E74">
        <w:t xml:space="preserve"> 8 normostran</w:t>
      </w:r>
      <w:r w:rsidR="00F5572F">
        <w:t xml:space="preserve"> k odevzdání do</w:t>
      </w:r>
      <w:r w:rsidR="002A3A12">
        <w:t xml:space="preserve"> 30.5.2025</w:t>
      </w:r>
      <w:r w:rsidR="00835E74">
        <w:t>,</w:t>
      </w:r>
      <w:r w:rsidR="00150306">
        <w:t xml:space="preserve"> vlastní úvaha na</w:t>
      </w:r>
      <w:r>
        <w:rPr>
          <w:b/>
          <w:bCs/>
        </w:rPr>
        <w:t xml:space="preserve"> </w:t>
      </w:r>
      <w:r w:rsidR="003A33BA">
        <w:t>jedno z</w:t>
      </w:r>
      <w:r w:rsidR="00835E74">
        <w:t>e</w:t>
      </w:r>
      <w:r w:rsidR="003A33BA">
        <w:t> tří témat:</w:t>
      </w:r>
    </w:p>
    <w:p w14:paraId="11E154EC" w14:textId="0F80E845" w:rsidR="008E4620" w:rsidRDefault="007F5498" w:rsidP="00F92BEA">
      <w:pPr>
        <w:pStyle w:val="Odstavecseseznamem"/>
        <w:numPr>
          <w:ilvl w:val="0"/>
          <w:numId w:val="4"/>
        </w:numPr>
      </w:pPr>
      <w:r>
        <w:t>Role soudnictví v</w:t>
      </w:r>
      <w:r w:rsidR="00EE59A1">
        <w:t> dodržování zásady vlády práva (národní a nadnárodní soudy)</w:t>
      </w:r>
    </w:p>
    <w:p w14:paraId="05119B56" w14:textId="79C2E7EF" w:rsidR="00F92BEA" w:rsidRDefault="00957DB1" w:rsidP="00F92BEA">
      <w:pPr>
        <w:pStyle w:val="Odstavecseseznamem"/>
        <w:numPr>
          <w:ilvl w:val="0"/>
          <w:numId w:val="4"/>
        </w:numPr>
      </w:pPr>
      <w:r>
        <w:t xml:space="preserve">Vztah mezi národním a unijním právem – role institucí a vyvažování </w:t>
      </w:r>
      <w:r w:rsidR="001E6E30">
        <w:t>zájmů</w:t>
      </w:r>
      <w:r w:rsidR="008B57FD">
        <w:t xml:space="preserve"> v případě principu vlády práva</w:t>
      </w:r>
    </w:p>
    <w:p w14:paraId="17115802" w14:textId="1BE84D83" w:rsidR="001E6E30" w:rsidRPr="003A33BA" w:rsidRDefault="009B6F8F" w:rsidP="00F92BEA">
      <w:pPr>
        <w:pStyle w:val="Odstavecseseznamem"/>
        <w:numPr>
          <w:ilvl w:val="0"/>
          <w:numId w:val="4"/>
        </w:numPr>
      </w:pPr>
      <w:r>
        <w:t>Budoucnost vlády práva – jaké výzvy lze čekat do budoucna a jak jim čelit?</w:t>
      </w:r>
    </w:p>
    <w:p w14:paraId="0C7DB1C0" w14:textId="217721CB" w:rsidR="00D956A8" w:rsidRDefault="00D956A8" w:rsidP="00EE59A1">
      <w:r w:rsidRPr="008E7631">
        <w:rPr>
          <w:b/>
          <w:bCs/>
        </w:rPr>
        <w:t>Docházka</w:t>
      </w:r>
      <w:r>
        <w:rPr>
          <w:b/>
          <w:bCs/>
        </w:rPr>
        <w:t xml:space="preserve">: </w:t>
      </w:r>
      <w:r>
        <w:t xml:space="preserve"> tolerance 2 zameškaných </w:t>
      </w:r>
      <w:r w:rsidR="009A63EE">
        <w:t>setkání</w:t>
      </w:r>
    </w:p>
    <w:p w14:paraId="2E1D741D" w14:textId="38B1FB73" w:rsidR="008D2B14" w:rsidRPr="008B776D" w:rsidRDefault="000C4EAB" w:rsidP="00EE59A1">
      <w:r w:rsidRPr="000C4EAB">
        <w:rPr>
          <w:b/>
          <w:bCs/>
        </w:rPr>
        <w:t>Známkování:</w:t>
      </w:r>
      <w:r w:rsidR="00476944">
        <w:rPr>
          <w:b/>
          <w:bCs/>
        </w:rPr>
        <w:t xml:space="preserve"> </w:t>
      </w:r>
      <w:r w:rsidR="008B776D">
        <w:t>k úspěšnému absolvování kurzu je zapotřebí</w:t>
      </w:r>
      <w:r w:rsidR="006970C8">
        <w:t xml:space="preserve"> získat alespoň 60% bodů</w:t>
      </w:r>
      <w:r w:rsidR="001B6013">
        <w:t xml:space="preserve"> tzn. 24 a více bodů</w:t>
      </w:r>
      <w:r w:rsidR="008D2B14">
        <w:t xml:space="preserve"> (E: 24-27 bodů, D: 28-30 bodů, C: 31-33 bodů, B</w:t>
      </w:r>
      <w:r w:rsidR="009707E1">
        <w:t>:</w:t>
      </w:r>
      <w:r w:rsidR="008D2B14">
        <w:t xml:space="preserve"> 34-36 bodů, A</w:t>
      </w:r>
      <w:r w:rsidR="009707E1">
        <w:t>: 37-40 bodů).</w:t>
      </w:r>
    </w:p>
    <w:p w14:paraId="5512398F" w14:textId="26E0B48A" w:rsidR="009D466B" w:rsidRDefault="009D466B" w:rsidP="009D466B"/>
    <w:p w14:paraId="603183B7" w14:textId="77777777" w:rsidR="009D466B" w:rsidRDefault="009D466B" w:rsidP="00DE1E86"/>
    <w:p w14:paraId="45C4AEEA" w14:textId="015EC679" w:rsidR="008E7631" w:rsidRPr="006B74B9" w:rsidRDefault="008E7631" w:rsidP="00DE1E86">
      <w:pPr>
        <w:rPr>
          <w:u w:val="single"/>
        </w:rPr>
      </w:pPr>
      <w:r w:rsidRPr="006B74B9">
        <w:rPr>
          <w:u w:val="single"/>
        </w:rPr>
        <w:t xml:space="preserve">Rozpis </w:t>
      </w:r>
      <w:r w:rsidR="009901E6">
        <w:rPr>
          <w:u w:val="single"/>
        </w:rPr>
        <w:t>setkání</w:t>
      </w:r>
      <w:r w:rsidRPr="006B74B9">
        <w:rPr>
          <w:u w:val="single"/>
        </w:rPr>
        <w:t>:</w:t>
      </w:r>
    </w:p>
    <w:p w14:paraId="21E95300" w14:textId="77777777" w:rsidR="008E7631" w:rsidRPr="008E7631" w:rsidRDefault="008E7631" w:rsidP="00DE1E86">
      <w:pPr>
        <w:rPr>
          <w:b/>
          <w:bCs/>
          <w:u w:val="single"/>
        </w:rPr>
      </w:pPr>
    </w:p>
    <w:p w14:paraId="143A7BB1" w14:textId="1DDA6D80" w:rsidR="00DE1E86" w:rsidRPr="001C08BA" w:rsidRDefault="00DE1E86" w:rsidP="00DE1E86">
      <w:pPr>
        <w:rPr>
          <w:b/>
          <w:bCs/>
          <w:u w:val="single"/>
        </w:rPr>
      </w:pPr>
      <w:r w:rsidRPr="001C08BA">
        <w:rPr>
          <w:b/>
          <w:bCs/>
          <w:u w:val="single"/>
        </w:rPr>
        <w:t>1: Základy vlády práva a institucí EU</w:t>
      </w:r>
      <w:r w:rsidR="009D466B">
        <w:rPr>
          <w:b/>
          <w:bCs/>
          <w:u w:val="single"/>
        </w:rPr>
        <w:t xml:space="preserve"> (19.2)</w:t>
      </w:r>
    </w:p>
    <w:p w14:paraId="22A7EBDA" w14:textId="0F3E68A2" w:rsidR="00DE1E86" w:rsidRDefault="008E7631" w:rsidP="008E7631">
      <w:pPr>
        <w:pStyle w:val="Odstavecseseznamem"/>
        <w:numPr>
          <w:ilvl w:val="0"/>
          <w:numId w:val="2"/>
        </w:numPr>
      </w:pPr>
      <w:r>
        <w:t>Představení předmětu, hodnocení, úkolů</w:t>
      </w:r>
    </w:p>
    <w:p w14:paraId="1AF27995" w14:textId="22738A08" w:rsidR="008E7631" w:rsidRDefault="008E7631" w:rsidP="008E7631">
      <w:r>
        <w:t>Věcně:</w:t>
      </w:r>
    </w:p>
    <w:p w14:paraId="1F0FC6AA" w14:textId="77777777" w:rsidR="00DE1E86" w:rsidRDefault="00DE1E86" w:rsidP="00DE1E86">
      <w:pPr>
        <w:pStyle w:val="Odstavecseseznamem"/>
        <w:numPr>
          <w:ilvl w:val="0"/>
          <w:numId w:val="2"/>
        </w:numPr>
      </w:pPr>
      <w:r>
        <w:t>Definice vlády práva.</w:t>
      </w:r>
    </w:p>
    <w:p w14:paraId="3B4531A3" w14:textId="337B5CD8" w:rsidR="00DE1E86" w:rsidRDefault="00DE1E86" w:rsidP="00DE1E86">
      <w:pPr>
        <w:pStyle w:val="Odstavecseseznamem"/>
        <w:numPr>
          <w:ilvl w:val="1"/>
          <w:numId w:val="2"/>
        </w:numPr>
      </w:pPr>
      <w:r>
        <w:t>Význam v kontextu EU</w:t>
      </w:r>
      <w:r w:rsidR="008541A4">
        <w:t>.</w:t>
      </w:r>
    </w:p>
    <w:p w14:paraId="688E17CC" w14:textId="77777777" w:rsidR="00DE1E86" w:rsidRDefault="00DE1E86" w:rsidP="00DE1E86">
      <w:pPr>
        <w:pStyle w:val="Odstavecseseznamem"/>
        <w:numPr>
          <w:ilvl w:val="1"/>
          <w:numId w:val="2"/>
        </w:numPr>
      </w:pPr>
      <w:r>
        <w:t>Úloha při udržování demokracie a odpovědnosti.</w:t>
      </w:r>
    </w:p>
    <w:p w14:paraId="2E33E84B" w14:textId="611ED9D7" w:rsidR="00DE1E86" w:rsidRDefault="00DE1E86" w:rsidP="00DE1E86">
      <w:pPr>
        <w:pStyle w:val="Odstavecseseznamem"/>
        <w:numPr>
          <w:ilvl w:val="1"/>
          <w:numId w:val="2"/>
        </w:numPr>
      </w:pPr>
      <w:r>
        <w:t>Spojení s občanstvím EU a právy</w:t>
      </w:r>
      <w:r w:rsidR="008541A4">
        <w:t xml:space="preserve"> jednotlivců.</w:t>
      </w:r>
    </w:p>
    <w:p w14:paraId="18635067" w14:textId="77777777" w:rsidR="00DE1E86" w:rsidRDefault="00DE1E86" w:rsidP="00DE1E86"/>
    <w:p w14:paraId="35103A03" w14:textId="77777777" w:rsidR="00DE1E86" w:rsidRDefault="00DE1E86" w:rsidP="00DE1E86">
      <w:pPr>
        <w:pStyle w:val="Odstavecseseznamem"/>
        <w:numPr>
          <w:ilvl w:val="0"/>
          <w:numId w:val="2"/>
        </w:numPr>
      </w:pPr>
      <w:r>
        <w:t>Historický vývoj:</w:t>
      </w:r>
    </w:p>
    <w:p w14:paraId="4A8E6094" w14:textId="77777777" w:rsidR="00DE1E86" w:rsidRDefault="00DE1E86" w:rsidP="00DE1E86">
      <w:pPr>
        <w:pStyle w:val="Odstavecseseznamem"/>
        <w:numPr>
          <w:ilvl w:val="1"/>
          <w:numId w:val="2"/>
        </w:numPr>
      </w:pPr>
      <w:r>
        <w:t>Počátky EU po druhé světové válce: cíle míru, stability a spolupráce.</w:t>
      </w:r>
    </w:p>
    <w:p w14:paraId="531BDF49" w14:textId="476350D3" w:rsidR="00DE1E86" w:rsidRDefault="00DE1E86" w:rsidP="00DE1E86">
      <w:pPr>
        <w:pStyle w:val="Odstavecseseznamem"/>
        <w:numPr>
          <w:ilvl w:val="1"/>
          <w:numId w:val="2"/>
        </w:numPr>
      </w:pPr>
      <w:r>
        <w:t>Klíčové smlouvy: Maastrichtská, Amsterdamská, Lisabonská</w:t>
      </w:r>
      <w:r w:rsidR="00EE5E07">
        <w:t>.</w:t>
      </w:r>
    </w:p>
    <w:p w14:paraId="6F51E555" w14:textId="77777777" w:rsidR="00DE1E86" w:rsidRDefault="00DE1E86" w:rsidP="00DE1E86"/>
    <w:p w14:paraId="33D7EAB6" w14:textId="77777777" w:rsidR="00DE1E86" w:rsidRDefault="00DE1E86" w:rsidP="00DE1E86">
      <w:pPr>
        <w:pStyle w:val="Odstavecseseznamem"/>
        <w:numPr>
          <w:ilvl w:val="0"/>
          <w:numId w:val="2"/>
        </w:numPr>
      </w:pPr>
      <w:r>
        <w:t>Úvod do institucí EU:</w:t>
      </w:r>
    </w:p>
    <w:p w14:paraId="7D54131E" w14:textId="11174EC5" w:rsidR="00DE1E86" w:rsidRDefault="00DE1E86" w:rsidP="00DE1E86">
      <w:pPr>
        <w:pStyle w:val="Odstavecseseznamem"/>
        <w:numPr>
          <w:ilvl w:val="1"/>
          <w:numId w:val="2"/>
        </w:numPr>
      </w:pPr>
      <w:r>
        <w:t>Přehled Evropské komise, Evropského parlamentu, Rady EU a Soudního dvora EU</w:t>
      </w:r>
      <w:r w:rsidR="005816E3">
        <w:t>.</w:t>
      </w:r>
    </w:p>
    <w:p w14:paraId="1D6E5F49" w14:textId="77777777" w:rsidR="00DE1E86" w:rsidRDefault="00DE1E86" w:rsidP="00DE1E86"/>
    <w:p w14:paraId="2E4A30E3" w14:textId="77777777" w:rsidR="00DE1E86" w:rsidRDefault="00DE1E86" w:rsidP="00DE1E86">
      <w:r>
        <w:t>Diskuze: Jak vnímají studenti vládu práva? Jak v tomto kontextu vnímají Českou republiku a jak EU? Kde vidí problémy a kde naopak pozitivní body? Srovnání s okolními státy a tendencemi v regionu.</w:t>
      </w:r>
    </w:p>
    <w:p w14:paraId="6F42453C" w14:textId="77777777" w:rsidR="00DE1E86" w:rsidRDefault="00DE1E86" w:rsidP="00DE1E86"/>
    <w:p w14:paraId="5C6707A8" w14:textId="77777777" w:rsidR="00DE1E86" w:rsidRDefault="00DE1E86" w:rsidP="00DE1E86"/>
    <w:p w14:paraId="72E0AA75" w14:textId="0F616ECF" w:rsidR="00DE1E86" w:rsidRPr="005816E3" w:rsidRDefault="00DE1E86" w:rsidP="00DE1E86">
      <w:pPr>
        <w:rPr>
          <w:b/>
          <w:bCs/>
          <w:u w:val="single"/>
        </w:rPr>
      </w:pPr>
      <w:r w:rsidRPr="001C08BA">
        <w:rPr>
          <w:b/>
          <w:bCs/>
          <w:u w:val="single"/>
        </w:rPr>
        <w:lastRenderedPageBreak/>
        <w:t>2: Právní rámec a soudní mechanismy v</w:t>
      </w:r>
      <w:r w:rsidR="009D466B">
        <w:rPr>
          <w:b/>
          <w:bCs/>
          <w:u w:val="single"/>
        </w:rPr>
        <w:t> </w:t>
      </w:r>
      <w:r w:rsidRPr="001C08BA">
        <w:rPr>
          <w:b/>
          <w:bCs/>
          <w:u w:val="single"/>
        </w:rPr>
        <w:t>EU</w:t>
      </w:r>
      <w:r w:rsidR="009D466B">
        <w:rPr>
          <w:b/>
          <w:bCs/>
          <w:u w:val="single"/>
        </w:rPr>
        <w:t xml:space="preserve"> (5.3)</w:t>
      </w:r>
    </w:p>
    <w:p w14:paraId="2FF83C9F" w14:textId="77777777" w:rsidR="00DE1E86" w:rsidRDefault="00DE1E86" w:rsidP="00DE1E86">
      <w:pPr>
        <w:pStyle w:val="Odstavecseseznamem"/>
        <w:numPr>
          <w:ilvl w:val="0"/>
          <w:numId w:val="2"/>
        </w:numPr>
      </w:pPr>
      <w:r>
        <w:t>Struktura práva EU:</w:t>
      </w:r>
    </w:p>
    <w:p w14:paraId="613A6BD0" w14:textId="77777777" w:rsidR="00DE1E86" w:rsidRDefault="00DE1E86" w:rsidP="00DE1E86">
      <w:pPr>
        <w:pStyle w:val="Odstavecseseznamem"/>
        <w:numPr>
          <w:ilvl w:val="1"/>
          <w:numId w:val="2"/>
        </w:numPr>
      </w:pPr>
      <w:r>
        <w:t>Rozlišení mezi primárním a sekundárním právem.</w:t>
      </w:r>
    </w:p>
    <w:p w14:paraId="1946F26A" w14:textId="77777777" w:rsidR="00DE1E86" w:rsidRDefault="00DE1E86" w:rsidP="00DE1E86">
      <w:pPr>
        <w:pStyle w:val="Odstavecseseznamem"/>
        <w:numPr>
          <w:ilvl w:val="1"/>
          <w:numId w:val="2"/>
        </w:numPr>
      </w:pPr>
      <w:r>
        <w:t>Typy legislativních aktů: nařízení, směrnice, rozhodnutí.</w:t>
      </w:r>
    </w:p>
    <w:p w14:paraId="51CE9CE8" w14:textId="77777777" w:rsidR="00DE1E86" w:rsidRDefault="00DE1E86" w:rsidP="00DE1E86"/>
    <w:p w14:paraId="7E66464C" w14:textId="77777777" w:rsidR="00DE1E86" w:rsidRDefault="00DE1E86" w:rsidP="00DE1E86">
      <w:pPr>
        <w:pStyle w:val="Odstavecseseznamem"/>
        <w:numPr>
          <w:ilvl w:val="0"/>
          <w:numId w:val="2"/>
        </w:numPr>
      </w:pPr>
      <w:r>
        <w:t>Úloha SDEU:</w:t>
      </w:r>
    </w:p>
    <w:p w14:paraId="34A3BF88" w14:textId="77777777" w:rsidR="00DE1E86" w:rsidRDefault="00DE1E86" w:rsidP="00DE1E86">
      <w:pPr>
        <w:pStyle w:val="Odstavecseseznamem"/>
        <w:numPr>
          <w:ilvl w:val="1"/>
          <w:numId w:val="2"/>
        </w:numPr>
      </w:pPr>
      <w:r>
        <w:t>Pravomoci a odpovědnosti při ochraně právního rámce EU.</w:t>
      </w:r>
    </w:p>
    <w:p w14:paraId="08F789DE" w14:textId="77777777" w:rsidR="00DE1E86" w:rsidRDefault="00DE1E86" w:rsidP="00DE1E86">
      <w:pPr>
        <w:pStyle w:val="Odstavecseseznamem"/>
        <w:numPr>
          <w:ilvl w:val="1"/>
          <w:numId w:val="2"/>
        </w:numPr>
      </w:pPr>
      <w:r>
        <w:t>Důležitost předběžných otázek.</w:t>
      </w:r>
    </w:p>
    <w:p w14:paraId="1B70CBBD" w14:textId="77777777" w:rsidR="00DE1E86" w:rsidRDefault="00DE1E86" w:rsidP="00DE1E86"/>
    <w:p w14:paraId="5144CD14" w14:textId="09E84517" w:rsidR="00DE1E86" w:rsidRDefault="00DE1E86" w:rsidP="00DE1E86">
      <w:pPr>
        <w:pStyle w:val="Odstavecseseznamem"/>
        <w:numPr>
          <w:ilvl w:val="0"/>
          <w:numId w:val="2"/>
        </w:numPr>
      </w:pPr>
      <w:r>
        <w:t>Klíčová rozhodnutí:</w:t>
      </w:r>
    </w:p>
    <w:p w14:paraId="57A304C3" w14:textId="099A5CB3" w:rsidR="00DE1E86" w:rsidRDefault="00DE1E86" w:rsidP="005B2047">
      <w:pPr>
        <w:pStyle w:val="Odstavecseseznamem"/>
        <w:numPr>
          <w:ilvl w:val="1"/>
          <w:numId w:val="2"/>
        </w:numPr>
      </w:pPr>
      <w:r>
        <w:t>Costa v. ENEL (1964) a Van Gend en Loos (1963)</w:t>
      </w:r>
    </w:p>
    <w:p w14:paraId="23FAA2C7" w14:textId="77777777" w:rsidR="00DE1E86" w:rsidRDefault="00DE1E86" w:rsidP="00DE1E86"/>
    <w:p w14:paraId="61438262" w14:textId="77777777" w:rsidR="00DE1E86" w:rsidRDefault="00DE1E86" w:rsidP="00DE1E86">
      <w:r>
        <w:t>Diskuze: Diskuze o vztahu mezi národními a evropskými právními systémy, rozdílné zkušenosti CZ, DE, PL</w:t>
      </w:r>
    </w:p>
    <w:p w14:paraId="75EDDE7D" w14:textId="77777777" w:rsidR="00DE1E86" w:rsidRDefault="00DE1E86" w:rsidP="00DE1E86"/>
    <w:p w14:paraId="417D4909" w14:textId="31E984BE" w:rsidR="00DE1E86" w:rsidRDefault="00DE1E86" w:rsidP="00DE1E86">
      <w:r>
        <w:t xml:space="preserve">Četba: </w:t>
      </w:r>
      <w:r w:rsidR="00B33C6E">
        <w:t>rozhodnutí Costa v ENEL, Van Gend en Loos</w:t>
      </w:r>
    </w:p>
    <w:p w14:paraId="7E67C033" w14:textId="77777777" w:rsidR="00DE1E86" w:rsidRDefault="00DE1E86" w:rsidP="00DE1E86"/>
    <w:p w14:paraId="6D454DE0" w14:textId="0212E1F4" w:rsidR="00DE1E86" w:rsidRDefault="00DE1E86" w:rsidP="00DE1E86">
      <w:r w:rsidRPr="00C330FE">
        <w:rPr>
          <w:b/>
          <w:bCs/>
          <w:u w:val="single"/>
        </w:rPr>
        <w:t xml:space="preserve">3: </w:t>
      </w:r>
      <w:r>
        <w:rPr>
          <w:b/>
          <w:bCs/>
          <w:u w:val="single"/>
        </w:rPr>
        <w:t>Mechanismy na ochranu vlády práva dalších institucí</w:t>
      </w:r>
      <w:r w:rsidR="009D466B">
        <w:rPr>
          <w:b/>
          <w:bCs/>
          <w:u w:val="single"/>
        </w:rPr>
        <w:t xml:space="preserve"> (19.3)</w:t>
      </w:r>
    </w:p>
    <w:p w14:paraId="16C9730D" w14:textId="77777777" w:rsidR="00DE1E86" w:rsidRDefault="00DE1E86" w:rsidP="00DE1E86">
      <w:pPr>
        <w:pStyle w:val="Odstavecseseznamem"/>
        <w:numPr>
          <w:ilvl w:val="0"/>
          <w:numId w:val="2"/>
        </w:numPr>
      </w:pPr>
      <w:r w:rsidRPr="001759A9">
        <w:rPr>
          <w:b/>
          <w:bCs/>
        </w:rPr>
        <w:t>Role Evropské rady a Rady EU:</w:t>
      </w:r>
    </w:p>
    <w:p w14:paraId="494F8A1F" w14:textId="77777777" w:rsidR="00DE1E86" w:rsidRDefault="00DE1E86" w:rsidP="00DE1E86">
      <w:pPr>
        <w:pStyle w:val="Odstavecseseznamem"/>
        <w:numPr>
          <w:ilvl w:val="0"/>
          <w:numId w:val="2"/>
        </w:numPr>
        <w:ind w:left="720"/>
      </w:pPr>
      <w:r>
        <w:t>Jejich funkce při formování politiky a práva EU.</w:t>
      </w:r>
    </w:p>
    <w:p w14:paraId="0B729D48" w14:textId="77777777" w:rsidR="00DE1E86" w:rsidRDefault="00DE1E86" w:rsidP="00DE1E86">
      <w:pPr>
        <w:pStyle w:val="Odstavecseseznamem"/>
        <w:numPr>
          <w:ilvl w:val="0"/>
          <w:numId w:val="2"/>
        </w:numPr>
        <w:ind w:left="720"/>
      </w:pPr>
      <w:r>
        <w:t>Rozdíly mezi těmito dvěma institucemi a jejich vliv na vládu práva.</w:t>
      </w:r>
    </w:p>
    <w:p w14:paraId="47089AB6" w14:textId="77777777" w:rsidR="00DE1E86" w:rsidRDefault="00DE1E86" w:rsidP="00DE1E86">
      <w:pPr>
        <w:pStyle w:val="Odstavecseseznamem"/>
        <w:numPr>
          <w:ilvl w:val="0"/>
          <w:numId w:val="2"/>
        </w:numPr>
        <w:ind w:left="720"/>
      </w:pPr>
      <w:r>
        <w:t>Dostupné mechanismy:</w:t>
      </w:r>
    </w:p>
    <w:p w14:paraId="302423DE" w14:textId="77777777" w:rsidR="00DE1E86" w:rsidRDefault="00DE1E86" w:rsidP="00DE1E86">
      <w:pPr>
        <w:pStyle w:val="Odstavecseseznamem"/>
        <w:numPr>
          <w:ilvl w:val="1"/>
          <w:numId w:val="2"/>
        </w:numPr>
      </w:pPr>
      <w:r>
        <w:t>Politický dialog: Jak diskuse v Radě mohou ovlivnit dodržování principů vlády práva členskými státy a jak jej ovlivňují aktivity Evropské komise (zejména výroční zpráva)</w:t>
      </w:r>
    </w:p>
    <w:p w14:paraId="7580B6C4" w14:textId="77777777" w:rsidR="00DE1E86" w:rsidRDefault="00DE1E86" w:rsidP="00DE1E86">
      <w:pPr>
        <w:pStyle w:val="Odstavecseseznamem"/>
        <w:numPr>
          <w:ilvl w:val="1"/>
          <w:numId w:val="2"/>
        </w:numPr>
      </w:pPr>
      <w:r>
        <w:t>Obecný režim podmíněnosti: Prozkoumání, jak může Rada podmínit financování EU dodržováním vlády práva</w:t>
      </w:r>
    </w:p>
    <w:p w14:paraId="65F0631B" w14:textId="77777777" w:rsidR="00DE1E86" w:rsidRDefault="00DE1E86" w:rsidP="00DE1E86"/>
    <w:p w14:paraId="5216DDD8" w14:textId="77777777" w:rsidR="00DE1E86" w:rsidRDefault="00DE1E86" w:rsidP="00DE1E86">
      <w:pPr>
        <w:pStyle w:val="Odstavecseseznamem"/>
        <w:numPr>
          <w:ilvl w:val="0"/>
          <w:numId w:val="2"/>
        </w:numPr>
      </w:pPr>
      <w:r w:rsidRPr="001759A9">
        <w:rPr>
          <w:b/>
          <w:bCs/>
        </w:rPr>
        <w:t>Role Evropské komise:</w:t>
      </w:r>
    </w:p>
    <w:p w14:paraId="52499BE8" w14:textId="77777777" w:rsidR="00DE1E86" w:rsidRDefault="00DE1E86" w:rsidP="00DE1E86">
      <w:pPr>
        <w:pStyle w:val="Odstavecseseznamem"/>
        <w:numPr>
          <w:ilvl w:val="0"/>
          <w:numId w:val="2"/>
        </w:numPr>
        <w:ind w:left="720"/>
      </w:pPr>
      <w:r>
        <w:t>Komise jako "ochránce smluv."</w:t>
      </w:r>
    </w:p>
    <w:p w14:paraId="6CEEF775" w14:textId="77777777" w:rsidR="00DE1E86" w:rsidRDefault="00DE1E86" w:rsidP="00DE1E86">
      <w:pPr>
        <w:pStyle w:val="Odstavecseseznamem"/>
        <w:numPr>
          <w:ilvl w:val="0"/>
          <w:numId w:val="2"/>
        </w:numPr>
        <w:ind w:left="720"/>
      </w:pPr>
      <w:r>
        <w:t>Její role při iniciaci řízení o porušení proti členským státům.</w:t>
      </w:r>
    </w:p>
    <w:p w14:paraId="26983E17" w14:textId="77777777" w:rsidR="00DE1E86" w:rsidRDefault="00DE1E86" w:rsidP="00DE1E86">
      <w:pPr>
        <w:ind w:left="360"/>
      </w:pPr>
    </w:p>
    <w:p w14:paraId="3992B220" w14:textId="77777777" w:rsidR="00DE1E86" w:rsidRDefault="00DE1E86" w:rsidP="00DE1E86">
      <w:pPr>
        <w:pStyle w:val="Odstavecseseznamem"/>
        <w:numPr>
          <w:ilvl w:val="0"/>
          <w:numId w:val="2"/>
        </w:numPr>
        <w:ind w:left="720"/>
      </w:pPr>
      <w:r>
        <w:t>Dostupné mechanismy:</w:t>
      </w:r>
    </w:p>
    <w:p w14:paraId="4BC85130" w14:textId="77777777" w:rsidR="00DE1E86" w:rsidRDefault="00DE1E86" w:rsidP="00DE1E86">
      <w:pPr>
        <w:pStyle w:val="Odstavecseseznamem"/>
        <w:numPr>
          <w:ilvl w:val="1"/>
          <w:numId w:val="2"/>
        </w:numPr>
      </w:pPr>
      <w:r>
        <w:t>Řízení o porušení (infringement): Podrobné kroky, které může Komise učinit, pokud členský stát poruší právo EU.</w:t>
      </w:r>
    </w:p>
    <w:p w14:paraId="5EDF76ED" w14:textId="77777777" w:rsidR="00DE1E86" w:rsidRDefault="00DE1E86" w:rsidP="00DE1E86">
      <w:pPr>
        <w:pStyle w:val="Odstavecseseznamem"/>
        <w:numPr>
          <w:ilvl w:val="1"/>
          <w:numId w:val="2"/>
        </w:numPr>
      </w:pPr>
      <w:r>
        <w:t>Výroční zpráva o vládě práva_ Roční hodnocení situace vlády práva v EU jako celku a v členských státech a jejich dopad na politiku. Nově též se zapojením kandidátských zemí.</w:t>
      </w:r>
    </w:p>
    <w:p w14:paraId="3DE24FCB" w14:textId="77777777" w:rsidR="00DE1E86" w:rsidRDefault="00DE1E86" w:rsidP="00DE1E86">
      <w:pPr>
        <w:pStyle w:val="Odstavecseseznamem"/>
        <w:numPr>
          <w:ilvl w:val="1"/>
          <w:numId w:val="2"/>
        </w:numPr>
      </w:pPr>
      <w:r>
        <w:t>Finanční podmíněnost:  Mechanismy pro propojení financování EU s dodržováním standardů vlády práva.</w:t>
      </w:r>
    </w:p>
    <w:p w14:paraId="2E1BF597" w14:textId="77777777" w:rsidR="00DE1E86" w:rsidRDefault="00DE1E86" w:rsidP="00DE1E86"/>
    <w:p w14:paraId="01A96957" w14:textId="77777777" w:rsidR="00DE1E86" w:rsidRDefault="00DE1E86" w:rsidP="00DE1E86"/>
    <w:p w14:paraId="5B3AED05" w14:textId="77777777" w:rsidR="00DE1E86" w:rsidRPr="001759A9" w:rsidRDefault="00DE1E86" w:rsidP="00DE1E86">
      <w:pPr>
        <w:pStyle w:val="Odstavecseseznamem"/>
        <w:numPr>
          <w:ilvl w:val="0"/>
          <w:numId w:val="2"/>
        </w:numPr>
        <w:rPr>
          <w:b/>
          <w:bCs/>
        </w:rPr>
      </w:pPr>
      <w:r w:rsidRPr="001759A9">
        <w:rPr>
          <w:b/>
          <w:bCs/>
        </w:rPr>
        <w:t>Role Evropského parlamentu:</w:t>
      </w:r>
    </w:p>
    <w:p w14:paraId="7EA3BE6B" w14:textId="77777777" w:rsidR="00DE1E86" w:rsidRDefault="00DE1E86" w:rsidP="00DE1E86">
      <w:pPr>
        <w:pStyle w:val="Odstavecseseznamem"/>
        <w:numPr>
          <w:ilvl w:val="0"/>
          <w:numId w:val="3"/>
        </w:numPr>
      </w:pPr>
      <w:r>
        <w:t>Legislativa a dohledové funkce.</w:t>
      </w:r>
    </w:p>
    <w:p w14:paraId="6ACCFFDC" w14:textId="77777777" w:rsidR="00DE1E86" w:rsidRDefault="00DE1E86" w:rsidP="00DE1E86">
      <w:pPr>
        <w:pStyle w:val="Odstavecseseznamem"/>
        <w:numPr>
          <w:ilvl w:val="0"/>
          <w:numId w:val="3"/>
        </w:numPr>
      </w:pPr>
      <w:r>
        <w:t>Důležitost Parlamentu při ochraně základních práv.</w:t>
      </w:r>
    </w:p>
    <w:p w14:paraId="558097D4" w14:textId="77777777" w:rsidR="00DE1E86" w:rsidRDefault="00DE1E86" w:rsidP="00DE1E86">
      <w:pPr>
        <w:ind w:firstLine="100"/>
      </w:pPr>
    </w:p>
    <w:p w14:paraId="414D7210" w14:textId="77777777" w:rsidR="00DE1E86" w:rsidRDefault="00DE1E86" w:rsidP="00DE1E86">
      <w:pPr>
        <w:pStyle w:val="Odstavecseseznamem"/>
        <w:numPr>
          <w:ilvl w:val="0"/>
          <w:numId w:val="3"/>
        </w:numPr>
      </w:pPr>
      <w:r>
        <w:t>Dostupné mechanismy:</w:t>
      </w:r>
    </w:p>
    <w:p w14:paraId="531DA5AE" w14:textId="77777777" w:rsidR="00DE1E86" w:rsidRDefault="00DE1E86" w:rsidP="00DE1E86">
      <w:pPr>
        <w:pStyle w:val="Odstavecseseznamem"/>
        <w:numPr>
          <w:ilvl w:val="1"/>
          <w:numId w:val="3"/>
        </w:numPr>
      </w:pPr>
      <w:r>
        <w:lastRenderedPageBreak/>
        <w:t>Usnesení: Základní nástroj politického vyjádření EP.</w:t>
      </w:r>
    </w:p>
    <w:p w14:paraId="3369E432" w14:textId="77777777" w:rsidR="00DE1E86" w:rsidRDefault="00DE1E86" w:rsidP="00DE1E86">
      <w:pPr>
        <w:pStyle w:val="Odstavecseseznamem"/>
        <w:numPr>
          <w:ilvl w:val="1"/>
          <w:numId w:val="3"/>
        </w:numPr>
      </w:pPr>
      <w:r>
        <w:t>Diskuse o stavu vlády práva (bez / v návaznosti n výroční zprávy Evropské komise: Úloha Parlamentu při přezkoumávání a projednávání ročních zpráv Komise o stavu vlády práva v členských státech.</w:t>
      </w:r>
    </w:p>
    <w:p w14:paraId="00641FCB" w14:textId="77777777" w:rsidR="00DE1E86" w:rsidRDefault="00DE1E86" w:rsidP="00DE1E86">
      <w:pPr>
        <w:pStyle w:val="Odstavecseseznamem"/>
        <w:numPr>
          <w:ilvl w:val="1"/>
          <w:numId w:val="3"/>
        </w:numPr>
      </w:pPr>
      <w:r>
        <w:t>Zapojení občanské společnosti: dopad veřejného mínění na činnost Parlamentu</w:t>
      </w:r>
    </w:p>
    <w:p w14:paraId="1C24691E" w14:textId="77777777" w:rsidR="00DE1E86" w:rsidRDefault="00DE1E86" w:rsidP="00DE1E86"/>
    <w:p w14:paraId="3BE16A7C" w14:textId="77777777" w:rsidR="00DE1E86" w:rsidRDefault="00DE1E86" w:rsidP="00DE1E86"/>
    <w:p w14:paraId="51BEDCF4" w14:textId="39040C4A" w:rsidR="00DE1E86" w:rsidRDefault="00DE1E86" w:rsidP="00DE1E86">
      <w:r>
        <w:t>Diskuze: hierarchie mechanismů unijních institucí, jsou samy unijní instituce bez porušení vlády práva?</w:t>
      </w:r>
    </w:p>
    <w:p w14:paraId="222F688A" w14:textId="77777777" w:rsidR="00DE1E86" w:rsidRDefault="00DE1E86" w:rsidP="00DE1E86">
      <w:r>
        <w:t>Četba: Smlouva o Evropské unii (SEU), Smlouva o fungování EU (SFEU), jednací řád Rady/Evropské rady/Evropské komise</w:t>
      </w:r>
    </w:p>
    <w:p w14:paraId="0FCA3F31" w14:textId="77777777" w:rsidR="00DE1E86" w:rsidRDefault="00DE1E86" w:rsidP="00DE1E86"/>
    <w:p w14:paraId="5CE6F219" w14:textId="2C52D1DF" w:rsidR="00DE1E86" w:rsidRDefault="00DE1E86" w:rsidP="00DE1E86">
      <w:pPr>
        <w:rPr>
          <w:b/>
          <w:bCs/>
          <w:u w:val="single"/>
        </w:rPr>
      </w:pPr>
      <w:r w:rsidRPr="000511C0">
        <w:rPr>
          <w:b/>
          <w:bCs/>
          <w:u w:val="single"/>
        </w:rPr>
        <w:t>4. Čl. 7 SEU – základní institucionální mechanismus</w:t>
      </w:r>
      <w:r w:rsidR="009D466B">
        <w:rPr>
          <w:b/>
          <w:bCs/>
          <w:u w:val="single"/>
        </w:rPr>
        <w:t xml:space="preserve"> (2.4.)</w:t>
      </w:r>
    </w:p>
    <w:p w14:paraId="22E284DF" w14:textId="77777777" w:rsidR="00DE1E86" w:rsidRDefault="00DE1E86" w:rsidP="00DE1E86">
      <w:pPr>
        <w:rPr>
          <w:b/>
          <w:bCs/>
          <w:u w:val="single"/>
        </w:rPr>
      </w:pPr>
    </w:p>
    <w:p w14:paraId="6710260B" w14:textId="77777777" w:rsidR="00DE1E86" w:rsidRDefault="00DE1E86" w:rsidP="00DE1E86">
      <w:pPr>
        <w:pStyle w:val="Odstavecseseznamem"/>
        <w:numPr>
          <w:ilvl w:val="0"/>
          <w:numId w:val="1"/>
        </w:numPr>
      </w:pPr>
      <w:r w:rsidRPr="000511C0">
        <w:t>Čl. 7</w:t>
      </w:r>
      <w:r>
        <w:t xml:space="preserve"> – vývoj v právu EU, jak se měnilo zakotvení mechanismu na úrovni primárního práva</w:t>
      </w:r>
    </w:p>
    <w:p w14:paraId="71905553" w14:textId="77777777" w:rsidR="00DE1E86" w:rsidRDefault="00DE1E86" w:rsidP="00DE1E86">
      <w:pPr>
        <w:pStyle w:val="Odstavecseseznamem"/>
        <w:numPr>
          <w:ilvl w:val="0"/>
          <w:numId w:val="1"/>
        </w:numPr>
      </w:pPr>
      <w:r>
        <w:t>Kroky k aktivaci článku 7</w:t>
      </w:r>
    </w:p>
    <w:p w14:paraId="49264F7B" w14:textId="77777777" w:rsidR="00DE1E86" w:rsidRDefault="00DE1E86" w:rsidP="00DE1E86">
      <w:pPr>
        <w:pStyle w:val="Odstavecseseznamem"/>
        <w:numPr>
          <w:ilvl w:val="0"/>
          <w:numId w:val="1"/>
        </w:numPr>
      </w:pPr>
      <w:r>
        <w:t>Typy opatření: preventivní a sankční akce.</w:t>
      </w:r>
    </w:p>
    <w:p w14:paraId="5DC404F6" w14:textId="77777777" w:rsidR="00DE1E86" w:rsidRDefault="00DE1E86" w:rsidP="00DE1E86">
      <w:pPr>
        <w:pStyle w:val="Odstavecseseznamem"/>
        <w:numPr>
          <w:ilvl w:val="0"/>
          <w:numId w:val="1"/>
        </w:numPr>
      </w:pPr>
      <w:r>
        <w:t>Konkrétní případy – HU, PL – co je stejné a co jiné na obou případech, jak se řízení vyvíjelo v letech</w:t>
      </w:r>
    </w:p>
    <w:p w14:paraId="43FF450E" w14:textId="77777777" w:rsidR="00DE1E86" w:rsidRDefault="00DE1E86" w:rsidP="00DE1E86"/>
    <w:p w14:paraId="3309154F" w14:textId="77777777" w:rsidR="00DE1E86" w:rsidRDefault="00DE1E86" w:rsidP="00DE1E86">
      <w:r>
        <w:t>Diskuze: Jak vnímají studenti čl. 7? Kde jsou jeho slabé a silné stránky? Co by se mělo dít jinak?</w:t>
      </w:r>
    </w:p>
    <w:p w14:paraId="7E834EC3" w14:textId="2FBA587C" w:rsidR="00DE1E86" w:rsidRDefault="00DE1E86" w:rsidP="00DE1E86">
      <w:r>
        <w:t>Četba: Article 7’s Place in the EU Rule of Law Toolkit (Kelemen, R. Daniel), Article 7 TEU: Difficult by Design (Moberg, Andreas)</w:t>
      </w:r>
      <w:r w:rsidR="004E447F">
        <w:t xml:space="preserve">, </w:t>
      </w:r>
    </w:p>
    <w:p w14:paraId="6F206E6D" w14:textId="585A5B18" w:rsidR="00DE1E86" w:rsidRPr="0002249C" w:rsidRDefault="00DE1E86" w:rsidP="00DE1E86"/>
    <w:p w14:paraId="4A393060" w14:textId="77777777" w:rsidR="00DE1E86" w:rsidRDefault="00DE1E86" w:rsidP="00DE1E86"/>
    <w:p w14:paraId="0F01B88E" w14:textId="3C928A83" w:rsidR="00DE1E86" w:rsidRPr="00930F5F" w:rsidRDefault="00920548" w:rsidP="00DE1E86">
      <w:pPr>
        <w:rPr>
          <w:b/>
          <w:bCs/>
          <w:u w:val="single"/>
        </w:rPr>
      </w:pPr>
      <w:r>
        <w:rPr>
          <w:b/>
          <w:bCs/>
          <w:u w:val="single"/>
        </w:rPr>
        <w:t>5</w:t>
      </w:r>
      <w:r w:rsidR="00DE1E86" w:rsidRPr="00930F5F">
        <w:rPr>
          <w:b/>
          <w:bCs/>
          <w:u w:val="single"/>
        </w:rPr>
        <w:t>. Výroční zpráva o vládě práva a Mechanismus podmíněnosti (kondicionalita)</w:t>
      </w:r>
      <w:r w:rsidR="009D466B">
        <w:rPr>
          <w:b/>
          <w:bCs/>
          <w:u w:val="single"/>
        </w:rPr>
        <w:t xml:space="preserve"> (</w:t>
      </w:r>
      <w:r w:rsidR="005C1779">
        <w:rPr>
          <w:b/>
          <w:bCs/>
          <w:u w:val="single"/>
        </w:rPr>
        <w:t>16</w:t>
      </w:r>
      <w:r w:rsidR="009D466B">
        <w:rPr>
          <w:b/>
          <w:bCs/>
          <w:u w:val="single"/>
        </w:rPr>
        <w:t>.4.)</w:t>
      </w:r>
    </w:p>
    <w:p w14:paraId="5011E5B8" w14:textId="77777777" w:rsidR="00DE1E86" w:rsidRDefault="00DE1E86" w:rsidP="00DE1E86"/>
    <w:p w14:paraId="59A69E48" w14:textId="77777777" w:rsidR="00DE1E86" w:rsidRDefault="00DE1E86" w:rsidP="00DE1E86">
      <w:pPr>
        <w:pStyle w:val="Odstavecseseznamem"/>
        <w:numPr>
          <w:ilvl w:val="0"/>
          <w:numId w:val="1"/>
        </w:numPr>
      </w:pPr>
      <w:r>
        <w:t>Mechanismus podmíněnosti</w:t>
      </w:r>
    </w:p>
    <w:p w14:paraId="68131336" w14:textId="77777777" w:rsidR="00DE1E86" w:rsidRDefault="00DE1E86" w:rsidP="00DE1E86">
      <w:pPr>
        <w:pStyle w:val="Odstavecseseznamem"/>
        <w:numPr>
          <w:ilvl w:val="1"/>
          <w:numId w:val="1"/>
        </w:numPr>
      </w:pPr>
      <w:r>
        <w:t>Definice</w:t>
      </w:r>
    </w:p>
    <w:p w14:paraId="3ED4DD67" w14:textId="77777777" w:rsidR="00DE1E86" w:rsidRDefault="00DE1E86" w:rsidP="00DE1E86">
      <w:pPr>
        <w:pStyle w:val="Odstavecseseznamem"/>
        <w:numPr>
          <w:ilvl w:val="1"/>
          <w:numId w:val="1"/>
        </w:numPr>
      </w:pPr>
      <w:r>
        <w:t>Historie a kontext zavádění mechanismu v rámci posledního Víceletého finančního rámce</w:t>
      </w:r>
    </w:p>
    <w:p w14:paraId="073E89A5" w14:textId="77777777" w:rsidR="00DE1E86" w:rsidRDefault="00DE1E86" w:rsidP="00DE1E86">
      <w:pPr>
        <w:pStyle w:val="Odstavecseseznamem"/>
        <w:numPr>
          <w:ilvl w:val="1"/>
          <w:numId w:val="1"/>
        </w:numPr>
      </w:pPr>
      <w:r>
        <w:t>Aktivace mechanismu</w:t>
      </w:r>
    </w:p>
    <w:p w14:paraId="05332E86" w14:textId="77777777" w:rsidR="00DE1E86" w:rsidRDefault="00DE1E86" w:rsidP="00DE1E86">
      <w:pPr>
        <w:pStyle w:val="Odstavecseseznamem"/>
        <w:numPr>
          <w:ilvl w:val="1"/>
          <w:numId w:val="1"/>
        </w:numPr>
      </w:pPr>
      <w:r>
        <w:t>Konkrétní případ: HU</w:t>
      </w:r>
    </w:p>
    <w:p w14:paraId="178C8B45" w14:textId="77777777" w:rsidR="00DE1E86" w:rsidRDefault="00DE1E86" w:rsidP="00DE1E86">
      <w:pPr>
        <w:pStyle w:val="Odstavecseseznamem"/>
        <w:numPr>
          <w:ilvl w:val="0"/>
          <w:numId w:val="1"/>
        </w:numPr>
      </w:pPr>
      <w:r>
        <w:t>Výroční zpráva o vládě práva:</w:t>
      </w:r>
    </w:p>
    <w:p w14:paraId="05C79F93" w14:textId="77777777" w:rsidR="00DE1E86" w:rsidRDefault="00DE1E86" w:rsidP="00DE1E86">
      <w:pPr>
        <w:pStyle w:val="Odstavecseseznamem"/>
        <w:numPr>
          <w:ilvl w:val="1"/>
          <w:numId w:val="1"/>
        </w:numPr>
      </w:pPr>
      <w:r>
        <w:t>Dialog Rady o právním státu před a po zavedení Výroční zprávy</w:t>
      </w:r>
    </w:p>
    <w:p w14:paraId="56418525" w14:textId="77777777" w:rsidR="00DE1E86" w:rsidRDefault="00DE1E86" w:rsidP="00DE1E86">
      <w:pPr>
        <w:pStyle w:val="Odstavecseseznamem"/>
        <w:numPr>
          <w:ilvl w:val="1"/>
          <w:numId w:val="1"/>
        </w:numPr>
      </w:pPr>
      <w:r>
        <w:t>Vznik a kontext zavedení zprávy</w:t>
      </w:r>
    </w:p>
    <w:p w14:paraId="2A9DC5DE" w14:textId="77777777" w:rsidR="00DE1E86" w:rsidRDefault="00DE1E86" w:rsidP="00DE1E86">
      <w:pPr>
        <w:pStyle w:val="Odstavecseseznamem"/>
        <w:numPr>
          <w:ilvl w:val="1"/>
          <w:numId w:val="1"/>
        </w:numPr>
      </w:pPr>
      <w:r>
        <w:t>Struktura a jednotlivé prvky, včetně změn v průběhu let</w:t>
      </w:r>
    </w:p>
    <w:p w14:paraId="01BC9EEF" w14:textId="798D71FE" w:rsidR="00DE1E86" w:rsidRDefault="00DE1E86" w:rsidP="00DB7956">
      <w:pPr>
        <w:pStyle w:val="Odstavecseseznamem"/>
        <w:ind w:left="1440"/>
      </w:pPr>
    </w:p>
    <w:p w14:paraId="3C29DCAA" w14:textId="77777777" w:rsidR="00DE1E86" w:rsidRDefault="00DE1E86" w:rsidP="00DE1E86"/>
    <w:p w14:paraId="2D033530" w14:textId="77777777" w:rsidR="00DE1E86" w:rsidRDefault="00DE1E86" w:rsidP="00DE1E86">
      <w:r>
        <w:t>Diskuse: Jak účinný je mechanismus podmíněnosti? Měl by se nějak změnit? Co výroční zpráva, kde vnímáte mezery, kde naopak výsady, co byste změnili?</w:t>
      </w:r>
    </w:p>
    <w:p w14:paraId="6F1C2B3B" w14:textId="0B382FF7" w:rsidR="00DE1E86" w:rsidRDefault="00DE1E86" w:rsidP="00DE1E86">
      <w:r>
        <w:t xml:space="preserve">Četba: nařízení EP a Rady 2020/2092 o obecném režimu podmíněnosti na ochranu rozpočtu Unie, výroční zpráva </w:t>
      </w:r>
      <w:r w:rsidR="00BB0FD7">
        <w:t xml:space="preserve">Evropské komise o </w:t>
      </w:r>
      <w:r w:rsidR="00951888">
        <w:t>vládě práva</w:t>
      </w:r>
      <w:r w:rsidR="00BB0FD7">
        <w:t xml:space="preserve"> </w:t>
      </w:r>
      <w:r>
        <w:t>2024</w:t>
      </w:r>
    </w:p>
    <w:p w14:paraId="36F3E6EE" w14:textId="77777777" w:rsidR="00920548" w:rsidRDefault="00920548" w:rsidP="00DE1E86"/>
    <w:p w14:paraId="788A3D21" w14:textId="0D887205" w:rsidR="00920548" w:rsidRPr="007D44FE" w:rsidRDefault="00920548" w:rsidP="00756207">
      <w:pPr>
        <w:rPr>
          <w:b/>
          <w:bCs/>
          <w:u w:val="single"/>
        </w:rPr>
      </w:pPr>
      <w:r>
        <w:rPr>
          <w:b/>
          <w:bCs/>
          <w:u w:val="single"/>
        </w:rPr>
        <w:lastRenderedPageBreak/>
        <w:t>6</w:t>
      </w:r>
      <w:r w:rsidRPr="0002249C">
        <w:rPr>
          <w:b/>
          <w:bCs/>
          <w:u w:val="single"/>
        </w:rPr>
        <w:t>.</w:t>
      </w:r>
      <w:r w:rsidR="009E3509">
        <w:rPr>
          <w:b/>
          <w:bCs/>
          <w:u w:val="single"/>
        </w:rPr>
        <w:t xml:space="preserve"> + 7.</w:t>
      </w:r>
      <w:r w:rsidRPr="0002249C">
        <w:rPr>
          <w:b/>
          <w:bCs/>
          <w:u w:val="single"/>
        </w:rPr>
        <w:t xml:space="preserve"> </w:t>
      </w:r>
      <w:r>
        <w:rPr>
          <w:b/>
          <w:bCs/>
          <w:u w:val="single"/>
        </w:rPr>
        <w:t>Workshop – prezentace soudních případů a simulování mechanismů Rady (</w:t>
      </w:r>
      <w:r w:rsidR="005C1779">
        <w:rPr>
          <w:b/>
          <w:bCs/>
          <w:u w:val="single"/>
        </w:rPr>
        <w:t>30</w:t>
      </w:r>
      <w:r>
        <w:rPr>
          <w:b/>
          <w:bCs/>
          <w:u w:val="single"/>
        </w:rPr>
        <w:t>.4.</w:t>
      </w:r>
      <w:r w:rsidR="009E3509">
        <w:rPr>
          <w:b/>
          <w:bCs/>
          <w:u w:val="single"/>
        </w:rPr>
        <w:t xml:space="preserve"> + 14.5.</w:t>
      </w:r>
      <w:r>
        <w:rPr>
          <w:b/>
          <w:bCs/>
          <w:u w:val="single"/>
        </w:rPr>
        <w:t>)</w:t>
      </w:r>
    </w:p>
    <w:p w14:paraId="6A58259A" w14:textId="77777777" w:rsidR="00920548" w:rsidRDefault="00920548" w:rsidP="00756207">
      <w:r>
        <w:t>- prezentace vybraných případů ze strany studentů</w:t>
      </w:r>
    </w:p>
    <w:p w14:paraId="52A7867F" w14:textId="77777777" w:rsidR="00920548" w:rsidRDefault="00920548" w:rsidP="00756207">
      <w:r>
        <w:t>- skupinová simulace mechanismu Rady</w:t>
      </w:r>
    </w:p>
    <w:p w14:paraId="5975891C" w14:textId="3FB20BE3" w:rsidR="00C24CFB" w:rsidRDefault="00C24CFB" w:rsidP="00756207">
      <w:r>
        <w:t xml:space="preserve">- individuální konzultace </w:t>
      </w:r>
      <w:r w:rsidR="00951888">
        <w:t>k esejovým tématům</w:t>
      </w:r>
    </w:p>
    <w:p w14:paraId="7FDF9225" w14:textId="77777777" w:rsidR="00920548" w:rsidRDefault="00920548" w:rsidP="00756207"/>
    <w:p w14:paraId="26B36A80" w14:textId="3EF697BE" w:rsidR="00DE1E86" w:rsidRDefault="00920548" w:rsidP="00DE1E86">
      <w:r>
        <w:t xml:space="preserve">Četba: Výroční zprávy EK ke stavu vlády práva za poslední tři roky (v rozsahu kapitoly ke zvolenému ČS), Respect for the Rule of Law in the Case Law of the European Court of Justice (Pech, Kochenov et al, SIEPS, 2021 - </w:t>
      </w:r>
      <w:r w:rsidRPr="00EE5E07">
        <w:t>https://www.sieps.se/en/publications/2021/respect-for-the-rule-of-law-in-the-case-law-of-the-european-court-of-justice/</w:t>
      </w:r>
      <w:r>
        <w:t>), vylosování případů a následná prezentace</w:t>
      </w:r>
    </w:p>
    <w:p w14:paraId="5E442D49" w14:textId="77777777" w:rsidR="00920548" w:rsidRDefault="00920548" w:rsidP="00DE1E86"/>
    <w:p w14:paraId="2B2C36AF" w14:textId="05AB65F2" w:rsidR="00A71D3C" w:rsidRDefault="00A71D3C" w:rsidP="00A71D3C">
      <w:pPr>
        <w:pStyle w:val="Odstavecseseznamem"/>
        <w:numPr>
          <w:ilvl w:val="0"/>
          <w:numId w:val="1"/>
        </w:numPr>
      </w:pPr>
    </w:p>
    <w:p w14:paraId="1ADFB6CD" w14:textId="77777777" w:rsidR="00DF16A3" w:rsidRPr="00AB47ED" w:rsidRDefault="00DF16A3" w:rsidP="00DE1E86"/>
    <w:p w14:paraId="2163E771" w14:textId="77777777" w:rsidR="00DE1E86" w:rsidRPr="001759A9" w:rsidRDefault="00DE1E86" w:rsidP="00DE1E86"/>
    <w:p w14:paraId="3B5100B9" w14:textId="77777777" w:rsidR="007B4C76" w:rsidRDefault="007B4C76"/>
    <w:sectPr w:rsidR="007B4C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C19BB"/>
    <w:multiLevelType w:val="hybridMultilevel"/>
    <w:tmpl w:val="345E6350"/>
    <w:lvl w:ilvl="0" w:tplc="CAB4D894">
      <w:start w:val="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C8C34A0"/>
    <w:multiLevelType w:val="hybridMultilevel"/>
    <w:tmpl w:val="4BBC01AC"/>
    <w:lvl w:ilvl="0" w:tplc="FFFFFFFF">
      <w:start w:val="1"/>
      <w:numFmt w:val="decimal"/>
      <w:lvlText w:val="%1)"/>
      <w:lvlJc w:val="left"/>
      <w:pPr>
        <w:ind w:left="1128" w:hanging="360"/>
      </w:pPr>
      <w:rPr>
        <w:rFonts w:hint="default"/>
      </w:rPr>
    </w:lvl>
    <w:lvl w:ilvl="1" w:tplc="04050019" w:tentative="1">
      <w:start w:val="1"/>
      <w:numFmt w:val="lowerLetter"/>
      <w:lvlText w:val="%2."/>
      <w:lvlJc w:val="left"/>
      <w:pPr>
        <w:ind w:left="1848" w:hanging="360"/>
      </w:pPr>
    </w:lvl>
    <w:lvl w:ilvl="2" w:tplc="0405001B" w:tentative="1">
      <w:start w:val="1"/>
      <w:numFmt w:val="lowerRoman"/>
      <w:lvlText w:val="%3."/>
      <w:lvlJc w:val="right"/>
      <w:pPr>
        <w:ind w:left="2568" w:hanging="180"/>
      </w:pPr>
    </w:lvl>
    <w:lvl w:ilvl="3" w:tplc="0405000F" w:tentative="1">
      <w:start w:val="1"/>
      <w:numFmt w:val="decimal"/>
      <w:lvlText w:val="%4."/>
      <w:lvlJc w:val="left"/>
      <w:pPr>
        <w:ind w:left="3288" w:hanging="360"/>
      </w:pPr>
    </w:lvl>
    <w:lvl w:ilvl="4" w:tplc="04050019" w:tentative="1">
      <w:start w:val="1"/>
      <w:numFmt w:val="lowerLetter"/>
      <w:lvlText w:val="%5."/>
      <w:lvlJc w:val="left"/>
      <w:pPr>
        <w:ind w:left="4008" w:hanging="360"/>
      </w:pPr>
    </w:lvl>
    <w:lvl w:ilvl="5" w:tplc="0405001B" w:tentative="1">
      <w:start w:val="1"/>
      <w:numFmt w:val="lowerRoman"/>
      <w:lvlText w:val="%6."/>
      <w:lvlJc w:val="right"/>
      <w:pPr>
        <w:ind w:left="4728" w:hanging="180"/>
      </w:pPr>
    </w:lvl>
    <w:lvl w:ilvl="6" w:tplc="0405000F" w:tentative="1">
      <w:start w:val="1"/>
      <w:numFmt w:val="decimal"/>
      <w:lvlText w:val="%7."/>
      <w:lvlJc w:val="left"/>
      <w:pPr>
        <w:ind w:left="5448" w:hanging="360"/>
      </w:pPr>
    </w:lvl>
    <w:lvl w:ilvl="7" w:tplc="04050019" w:tentative="1">
      <w:start w:val="1"/>
      <w:numFmt w:val="lowerLetter"/>
      <w:lvlText w:val="%8."/>
      <w:lvlJc w:val="left"/>
      <w:pPr>
        <w:ind w:left="6168" w:hanging="360"/>
      </w:pPr>
    </w:lvl>
    <w:lvl w:ilvl="8" w:tplc="0405001B" w:tentative="1">
      <w:start w:val="1"/>
      <w:numFmt w:val="lowerRoman"/>
      <w:lvlText w:val="%9."/>
      <w:lvlJc w:val="right"/>
      <w:pPr>
        <w:ind w:left="6888" w:hanging="180"/>
      </w:pPr>
    </w:lvl>
  </w:abstractNum>
  <w:abstractNum w:abstractNumId="2" w15:restartNumberingAfterBreak="0">
    <w:nsid w:val="5E6D4AF0"/>
    <w:multiLevelType w:val="hybridMultilevel"/>
    <w:tmpl w:val="360A8810"/>
    <w:lvl w:ilvl="0" w:tplc="FFFFFFFF">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8A518E2"/>
    <w:multiLevelType w:val="hybridMultilevel"/>
    <w:tmpl w:val="55669CC8"/>
    <w:lvl w:ilvl="0" w:tplc="CAB4D894">
      <w:numFmt w:val="bullet"/>
      <w:lvlText w:val="-"/>
      <w:lvlJc w:val="left"/>
      <w:pPr>
        <w:ind w:left="360" w:hanging="360"/>
      </w:pPr>
      <w:rPr>
        <w:rFonts w:ascii="Calibri" w:eastAsiaTheme="minorHAnsi" w:hAnsi="Calibri" w:cs="Calibri"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7A5B5556"/>
    <w:multiLevelType w:val="hybridMultilevel"/>
    <w:tmpl w:val="FF0E6AEC"/>
    <w:lvl w:ilvl="0" w:tplc="CAB4D894">
      <w:start w:val="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75867615">
    <w:abstractNumId w:val="0"/>
  </w:num>
  <w:num w:numId="2" w16cid:durableId="1779524869">
    <w:abstractNumId w:val="3"/>
  </w:num>
  <w:num w:numId="3" w16cid:durableId="492067682">
    <w:abstractNumId w:val="4"/>
  </w:num>
  <w:num w:numId="4" w16cid:durableId="522861529">
    <w:abstractNumId w:val="1"/>
  </w:num>
  <w:num w:numId="5" w16cid:durableId="738212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E86"/>
    <w:rsid w:val="0008176D"/>
    <w:rsid w:val="000866CA"/>
    <w:rsid w:val="00091500"/>
    <w:rsid w:val="000C4EAB"/>
    <w:rsid w:val="000D4D63"/>
    <w:rsid w:val="000E7AD1"/>
    <w:rsid w:val="000F434E"/>
    <w:rsid w:val="00113983"/>
    <w:rsid w:val="0013574A"/>
    <w:rsid w:val="00150306"/>
    <w:rsid w:val="0016331C"/>
    <w:rsid w:val="001913E1"/>
    <w:rsid w:val="001B0505"/>
    <w:rsid w:val="001B309A"/>
    <w:rsid w:val="001B6013"/>
    <w:rsid w:val="001C1B72"/>
    <w:rsid w:val="001E6E30"/>
    <w:rsid w:val="002072C3"/>
    <w:rsid w:val="00213B2F"/>
    <w:rsid w:val="00285393"/>
    <w:rsid w:val="002A3A12"/>
    <w:rsid w:val="002C5A0E"/>
    <w:rsid w:val="002E387E"/>
    <w:rsid w:val="00305A33"/>
    <w:rsid w:val="003155CB"/>
    <w:rsid w:val="00325875"/>
    <w:rsid w:val="003A33BA"/>
    <w:rsid w:val="00423D11"/>
    <w:rsid w:val="00476944"/>
    <w:rsid w:val="004E447F"/>
    <w:rsid w:val="00501ECB"/>
    <w:rsid w:val="0053254C"/>
    <w:rsid w:val="00542386"/>
    <w:rsid w:val="00567B2E"/>
    <w:rsid w:val="005816E3"/>
    <w:rsid w:val="0059536E"/>
    <w:rsid w:val="005B2047"/>
    <w:rsid w:val="005C1779"/>
    <w:rsid w:val="00614D0D"/>
    <w:rsid w:val="006970C8"/>
    <w:rsid w:val="006B74B9"/>
    <w:rsid w:val="006F41F2"/>
    <w:rsid w:val="006F68AF"/>
    <w:rsid w:val="00725E7E"/>
    <w:rsid w:val="00770646"/>
    <w:rsid w:val="007A4521"/>
    <w:rsid w:val="007B4C76"/>
    <w:rsid w:val="007D44FE"/>
    <w:rsid w:val="007F5498"/>
    <w:rsid w:val="00835E74"/>
    <w:rsid w:val="008541A4"/>
    <w:rsid w:val="0087491B"/>
    <w:rsid w:val="00880EDE"/>
    <w:rsid w:val="008A5BE6"/>
    <w:rsid w:val="008B57FD"/>
    <w:rsid w:val="008B776D"/>
    <w:rsid w:val="008D01FB"/>
    <w:rsid w:val="008D2B14"/>
    <w:rsid w:val="008E4620"/>
    <w:rsid w:val="008E7631"/>
    <w:rsid w:val="00920548"/>
    <w:rsid w:val="00951888"/>
    <w:rsid w:val="00957DB1"/>
    <w:rsid w:val="00964BC6"/>
    <w:rsid w:val="009707E1"/>
    <w:rsid w:val="00987908"/>
    <w:rsid w:val="009901E6"/>
    <w:rsid w:val="009A63EE"/>
    <w:rsid w:val="009B6F8F"/>
    <w:rsid w:val="009D466B"/>
    <w:rsid w:val="009E3509"/>
    <w:rsid w:val="009F213B"/>
    <w:rsid w:val="00A71D3C"/>
    <w:rsid w:val="00AB47ED"/>
    <w:rsid w:val="00AE68BA"/>
    <w:rsid w:val="00B068C1"/>
    <w:rsid w:val="00B30770"/>
    <w:rsid w:val="00B33C6E"/>
    <w:rsid w:val="00B7217E"/>
    <w:rsid w:val="00BB0D08"/>
    <w:rsid w:val="00BB0FD7"/>
    <w:rsid w:val="00BD686D"/>
    <w:rsid w:val="00C24CFB"/>
    <w:rsid w:val="00C45AA2"/>
    <w:rsid w:val="00D956A8"/>
    <w:rsid w:val="00DB7956"/>
    <w:rsid w:val="00DD533B"/>
    <w:rsid w:val="00DE1E86"/>
    <w:rsid w:val="00DF16A3"/>
    <w:rsid w:val="00E60E6A"/>
    <w:rsid w:val="00EE59A1"/>
    <w:rsid w:val="00EE5E07"/>
    <w:rsid w:val="00F326D0"/>
    <w:rsid w:val="00F329AB"/>
    <w:rsid w:val="00F424EC"/>
    <w:rsid w:val="00F5572F"/>
    <w:rsid w:val="00F92BEA"/>
    <w:rsid w:val="00FE32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32B1D42"/>
  <w15:chartTrackingRefBased/>
  <w15:docId w15:val="{7A7FE8E6-2B97-124F-85EB-45DCADD1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1E86"/>
  </w:style>
  <w:style w:type="paragraph" w:styleId="Nadpis1">
    <w:name w:val="heading 1"/>
    <w:basedOn w:val="Normln"/>
    <w:next w:val="Normln"/>
    <w:link w:val="Nadpis1Char"/>
    <w:uiPriority w:val="9"/>
    <w:qFormat/>
    <w:rsid w:val="00DE1E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DE1E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DE1E86"/>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DE1E86"/>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DE1E86"/>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DE1E86"/>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E1E86"/>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E1E86"/>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E1E86"/>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E1E86"/>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DE1E86"/>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DE1E86"/>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DE1E86"/>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DE1E86"/>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DE1E8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E1E8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E1E8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E1E86"/>
    <w:rPr>
      <w:rFonts w:eastAsiaTheme="majorEastAsia" w:cstheme="majorBidi"/>
      <w:color w:val="272727" w:themeColor="text1" w:themeTint="D8"/>
    </w:rPr>
  </w:style>
  <w:style w:type="paragraph" w:styleId="Nzev">
    <w:name w:val="Title"/>
    <w:basedOn w:val="Normln"/>
    <w:next w:val="Normln"/>
    <w:link w:val="NzevChar"/>
    <w:uiPriority w:val="10"/>
    <w:qFormat/>
    <w:rsid w:val="00DE1E86"/>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E1E8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E1E86"/>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E1E8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E1E86"/>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DE1E86"/>
    <w:rPr>
      <w:i/>
      <w:iCs/>
      <w:color w:val="404040" w:themeColor="text1" w:themeTint="BF"/>
    </w:rPr>
  </w:style>
  <w:style w:type="paragraph" w:styleId="Odstavecseseznamem">
    <w:name w:val="List Paragraph"/>
    <w:basedOn w:val="Normln"/>
    <w:uiPriority w:val="34"/>
    <w:qFormat/>
    <w:rsid w:val="00DE1E86"/>
    <w:pPr>
      <w:ind w:left="720"/>
      <w:contextualSpacing/>
    </w:pPr>
  </w:style>
  <w:style w:type="character" w:styleId="Zdraznnintenzivn">
    <w:name w:val="Intense Emphasis"/>
    <w:basedOn w:val="Standardnpsmoodstavce"/>
    <w:uiPriority w:val="21"/>
    <w:qFormat/>
    <w:rsid w:val="00DE1E86"/>
    <w:rPr>
      <w:i/>
      <w:iCs/>
      <w:color w:val="2F5496" w:themeColor="accent1" w:themeShade="BF"/>
    </w:rPr>
  </w:style>
  <w:style w:type="paragraph" w:styleId="Vrazncitt">
    <w:name w:val="Intense Quote"/>
    <w:basedOn w:val="Normln"/>
    <w:next w:val="Normln"/>
    <w:link w:val="VrazncittChar"/>
    <w:uiPriority w:val="30"/>
    <w:qFormat/>
    <w:rsid w:val="00DE1E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DE1E86"/>
    <w:rPr>
      <w:i/>
      <w:iCs/>
      <w:color w:val="2F5496" w:themeColor="accent1" w:themeShade="BF"/>
    </w:rPr>
  </w:style>
  <w:style w:type="character" w:styleId="Odkazintenzivn">
    <w:name w:val="Intense Reference"/>
    <w:basedOn w:val="Standardnpsmoodstavce"/>
    <w:uiPriority w:val="32"/>
    <w:qFormat/>
    <w:rsid w:val="00DE1E86"/>
    <w:rPr>
      <w:b/>
      <w:bCs/>
      <w:smallCaps/>
      <w:color w:val="2F5496" w:themeColor="accent1" w:themeShade="BF"/>
      <w:spacing w:val="5"/>
    </w:rPr>
  </w:style>
  <w:style w:type="character" w:styleId="Hypertextovodkaz">
    <w:name w:val="Hyperlink"/>
    <w:basedOn w:val="Standardnpsmoodstavce"/>
    <w:uiPriority w:val="99"/>
    <w:unhideWhenUsed/>
    <w:rsid w:val="0059536E"/>
    <w:rPr>
      <w:color w:val="0563C1" w:themeColor="hyperlink"/>
      <w:u w:val="single"/>
    </w:rPr>
  </w:style>
  <w:style w:type="character" w:styleId="Nevyeenzmnka">
    <w:name w:val="Unresolved Mention"/>
    <w:basedOn w:val="Standardnpsmoodstavce"/>
    <w:uiPriority w:val="99"/>
    <w:semiHidden/>
    <w:unhideWhenUsed/>
    <w:rsid w:val="0059536E"/>
    <w:rPr>
      <w:color w:val="605E5C"/>
      <w:shd w:val="clear" w:color="auto" w:fill="E1DFDD"/>
    </w:rPr>
  </w:style>
  <w:style w:type="character" w:styleId="Odkaznakoment">
    <w:name w:val="annotation reference"/>
    <w:basedOn w:val="Standardnpsmoodstavce"/>
    <w:uiPriority w:val="99"/>
    <w:semiHidden/>
    <w:unhideWhenUsed/>
    <w:rsid w:val="001C1B72"/>
    <w:rPr>
      <w:sz w:val="16"/>
      <w:szCs w:val="16"/>
    </w:rPr>
  </w:style>
  <w:style w:type="paragraph" w:styleId="Textkomente">
    <w:name w:val="annotation text"/>
    <w:basedOn w:val="Normln"/>
    <w:link w:val="TextkomenteChar"/>
    <w:uiPriority w:val="99"/>
    <w:unhideWhenUsed/>
    <w:rsid w:val="001C1B72"/>
    <w:rPr>
      <w:sz w:val="20"/>
      <w:szCs w:val="20"/>
    </w:rPr>
  </w:style>
  <w:style w:type="character" w:customStyle="1" w:styleId="TextkomenteChar">
    <w:name w:val="Text komentáře Char"/>
    <w:basedOn w:val="Standardnpsmoodstavce"/>
    <w:link w:val="Textkomente"/>
    <w:uiPriority w:val="99"/>
    <w:rsid w:val="001C1B72"/>
    <w:rPr>
      <w:sz w:val="20"/>
      <w:szCs w:val="20"/>
    </w:rPr>
  </w:style>
  <w:style w:type="paragraph" w:styleId="Pedmtkomente">
    <w:name w:val="annotation subject"/>
    <w:basedOn w:val="Textkomente"/>
    <w:next w:val="Textkomente"/>
    <w:link w:val="PedmtkomenteChar"/>
    <w:uiPriority w:val="99"/>
    <w:semiHidden/>
    <w:unhideWhenUsed/>
    <w:rsid w:val="001C1B72"/>
    <w:rPr>
      <w:b/>
      <w:bCs/>
    </w:rPr>
  </w:style>
  <w:style w:type="character" w:customStyle="1" w:styleId="PedmtkomenteChar">
    <w:name w:val="Předmět komentáře Char"/>
    <w:basedOn w:val="TextkomenteChar"/>
    <w:link w:val="Pedmtkomente"/>
    <w:uiPriority w:val="99"/>
    <w:semiHidden/>
    <w:rsid w:val="001C1B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epan.pech@gmail.com"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891</Words>
  <Characters>5263</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 Pech</dc:creator>
  <cp:keywords/>
  <dc:description/>
  <cp:lastModifiedBy>Štěpán Pech</cp:lastModifiedBy>
  <cp:revision>2</cp:revision>
  <dcterms:created xsi:type="dcterms:W3CDTF">2025-02-18T09:54:00Z</dcterms:created>
  <dcterms:modified xsi:type="dcterms:W3CDTF">2025-02-18T09:54:00Z</dcterms:modified>
</cp:coreProperties>
</file>