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E9" w:rsidRDefault="000904E9" w:rsidP="000904E9">
      <w:pPr>
        <w:tabs>
          <w:tab w:val="left" w:pos="360"/>
        </w:tabs>
        <w:ind w:left="360" w:hanging="360"/>
        <w:jc w:val="center"/>
        <w:rPr>
          <w:b/>
          <w:szCs w:val="24"/>
        </w:rPr>
      </w:pP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b/>
          <w:szCs w:val="24"/>
        </w:rPr>
      </w:pP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b/>
          <w:szCs w:val="24"/>
        </w:rPr>
      </w:pPr>
    </w:p>
    <w:p w:rsidR="000904E9" w:rsidRPr="00EA0D2C" w:rsidRDefault="000904E9" w:rsidP="000904E9">
      <w:pPr>
        <w:tabs>
          <w:tab w:val="left" w:pos="360"/>
        </w:tabs>
        <w:ind w:left="360" w:hanging="360"/>
        <w:jc w:val="center"/>
        <w:rPr>
          <w:smallCaps/>
          <w:sz w:val="52"/>
          <w:szCs w:val="52"/>
        </w:rPr>
      </w:pPr>
      <w:r w:rsidRPr="00EA0D2C">
        <w:rPr>
          <w:smallCaps/>
          <w:sz w:val="52"/>
          <w:szCs w:val="52"/>
        </w:rPr>
        <w:t>Masarykova univerzita</w:t>
      </w: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smallCaps/>
          <w:sz w:val="52"/>
          <w:szCs w:val="52"/>
        </w:rPr>
      </w:pPr>
      <w:r w:rsidRPr="00EA0D2C">
        <w:rPr>
          <w:smallCaps/>
          <w:sz w:val="52"/>
          <w:szCs w:val="52"/>
        </w:rPr>
        <w:t>Fakulta sociálních studií</w:t>
      </w: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smallCaps/>
          <w:sz w:val="52"/>
          <w:szCs w:val="52"/>
        </w:rPr>
      </w:pPr>
      <w:r>
        <w:rPr>
          <w:smallCap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2058089</wp:posOffset>
            </wp:positionH>
            <wp:positionV relativeFrom="paragraph">
              <wp:posOffset>438923</wp:posOffset>
            </wp:positionV>
            <wp:extent cx="1669774" cy="1669774"/>
            <wp:effectExtent l="0" t="0" r="0" b="0"/>
            <wp:wrapNone/>
            <wp:docPr id="1" name="Obrázek 0" descr="f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s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sz w:val="36"/>
          <w:szCs w:val="36"/>
        </w:rPr>
      </w:pP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sz w:val="36"/>
          <w:szCs w:val="36"/>
        </w:rPr>
      </w:pP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sz w:val="36"/>
          <w:szCs w:val="36"/>
        </w:rPr>
      </w:pP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sz w:val="36"/>
          <w:szCs w:val="36"/>
        </w:rPr>
      </w:pP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sz w:val="36"/>
          <w:szCs w:val="36"/>
        </w:rPr>
      </w:pPr>
    </w:p>
    <w:p w:rsidR="000904E9" w:rsidRPr="00EA0D2C" w:rsidRDefault="000904E9" w:rsidP="000904E9">
      <w:pPr>
        <w:tabs>
          <w:tab w:val="left" w:pos="360"/>
        </w:tabs>
        <w:ind w:left="360" w:hanging="360"/>
        <w:jc w:val="center"/>
        <w:rPr>
          <w:sz w:val="36"/>
          <w:szCs w:val="36"/>
        </w:rPr>
      </w:pPr>
      <w:r w:rsidRPr="00EA0D2C">
        <w:rPr>
          <w:sz w:val="36"/>
          <w:szCs w:val="36"/>
        </w:rPr>
        <w:t>Esej</w:t>
      </w:r>
    </w:p>
    <w:p w:rsidR="000904E9" w:rsidRPr="00EA0D2C" w:rsidRDefault="000904E9" w:rsidP="000904E9">
      <w:pPr>
        <w:tabs>
          <w:tab w:val="left" w:pos="360"/>
        </w:tabs>
        <w:ind w:left="360" w:hanging="360"/>
        <w:jc w:val="center"/>
        <w:rPr>
          <w:sz w:val="44"/>
          <w:szCs w:val="44"/>
        </w:rPr>
      </w:pPr>
      <w:r>
        <w:rPr>
          <w:sz w:val="44"/>
          <w:szCs w:val="44"/>
        </w:rPr>
        <w:t>Seminář k Úvodu do sociální antropologie</w:t>
      </w: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b/>
          <w:szCs w:val="24"/>
        </w:rPr>
      </w:pP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b/>
          <w:szCs w:val="24"/>
        </w:rPr>
      </w:pPr>
    </w:p>
    <w:p w:rsidR="000904E9" w:rsidRDefault="000904E9" w:rsidP="000904E9">
      <w:pPr>
        <w:tabs>
          <w:tab w:val="left" w:pos="360"/>
        </w:tabs>
        <w:ind w:left="360" w:hanging="360"/>
        <w:jc w:val="center"/>
        <w:rPr>
          <w:b/>
          <w:szCs w:val="24"/>
        </w:rPr>
      </w:pPr>
    </w:p>
    <w:p w:rsidR="000904E9" w:rsidRDefault="000904E9" w:rsidP="000904E9">
      <w:pPr>
        <w:tabs>
          <w:tab w:val="left" w:pos="360"/>
          <w:tab w:val="left" w:pos="630"/>
        </w:tabs>
        <w:ind w:left="360" w:hanging="360"/>
        <w:jc w:val="both"/>
        <w:rPr>
          <w:b/>
          <w:szCs w:val="24"/>
        </w:rPr>
      </w:pPr>
    </w:p>
    <w:p w:rsidR="000904E9" w:rsidRDefault="00F86593" w:rsidP="00F86593">
      <w:pPr>
        <w:ind w:firstLine="0"/>
      </w:pPr>
      <w:r>
        <w:rPr>
          <w:b/>
          <w:sz w:val="28"/>
          <w:szCs w:val="28"/>
        </w:rPr>
        <w:t>„Z</w:t>
      </w:r>
      <w:r w:rsidR="000904E9" w:rsidRPr="00F86593">
        <w:rPr>
          <w:b/>
          <w:sz w:val="28"/>
          <w:szCs w:val="28"/>
        </w:rPr>
        <w:t>hodnoť a srovnej přístup M. Harnera, J. Frazera, V. Turnera a E. Evanse-Pritcharda ke studiu náboženství.</w:t>
      </w:r>
      <w:r>
        <w:rPr>
          <w:b/>
          <w:sz w:val="28"/>
          <w:szCs w:val="28"/>
        </w:rPr>
        <w:t>“</w:t>
      </w:r>
    </w:p>
    <w:p w:rsidR="000904E9" w:rsidRDefault="000904E9" w:rsidP="000904E9"/>
    <w:p w:rsidR="000904E9" w:rsidRDefault="000904E9" w:rsidP="000904E9"/>
    <w:p w:rsidR="000904E9" w:rsidRDefault="000904E9" w:rsidP="000904E9">
      <w:pPr>
        <w:tabs>
          <w:tab w:val="left" w:pos="6663"/>
        </w:tabs>
        <w:rPr>
          <w:sz w:val="22"/>
          <w:szCs w:val="22"/>
        </w:rPr>
      </w:pPr>
      <w:r w:rsidRPr="00EA0D2C">
        <w:rPr>
          <w:sz w:val="22"/>
          <w:szCs w:val="22"/>
        </w:rPr>
        <w:t>Tereza Koláříková, 407217</w:t>
      </w:r>
      <w:r w:rsidRPr="00EA0D2C">
        <w:rPr>
          <w:sz w:val="22"/>
          <w:szCs w:val="22"/>
        </w:rPr>
        <w:tab/>
        <w:t xml:space="preserve">V Brně dne </w:t>
      </w:r>
      <w:r>
        <w:rPr>
          <w:sz w:val="22"/>
          <w:szCs w:val="22"/>
        </w:rPr>
        <w:t>28</w:t>
      </w:r>
      <w:r w:rsidRPr="00EA0D2C">
        <w:rPr>
          <w:sz w:val="22"/>
          <w:szCs w:val="22"/>
        </w:rPr>
        <w:t>. 1</w:t>
      </w:r>
      <w:r>
        <w:rPr>
          <w:sz w:val="22"/>
          <w:szCs w:val="22"/>
        </w:rPr>
        <w:t>2</w:t>
      </w:r>
      <w:r w:rsidRPr="00EA0D2C">
        <w:rPr>
          <w:sz w:val="22"/>
          <w:szCs w:val="22"/>
        </w:rPr>
        <w:t>. 2012</w:t>
      </w:r>
    </w:p>
    <w:p w:rsidR="000904E9" w:rsidRDefault="00CD29F5" w:rsidP="00A72E6B">
      <w:pPr>
        <w:spacing w:before="60" w:line="312" w:lineRule="auto"/>
        <w:ind w:left="0"/>
        <w:jc w:val="both"/>
      </w:pPr>
      <w:r>
        <w:lastRenderedPageBreak/>
        <w:t xml:space="preserve">Definice náboženství není </w:t>
      </w:r>
      <w:r w:rsidR="00654FE3">
        <w:t xml:space="preserve">zcela </w:t>
      </w:r>
      <w:r>
        <w:t>jednoznačná</w:t>
      </w:r>
      <w:r w:rsidR="00654FE3">
        <w:t xml:space="preserve"> a v jednotlivých kulturách tento pojem obsahuje odlišné jevy. Mezi náboženství můžeme zařadit i tabu, rituály, šamanismus, to</w:t>
      </w:r>
      <w:r w:rsidR="008577F7">
        <w:t>temismus, animismus či magii a kouzelnictv</w:t>
      </w:r>
      <w:r w:rsidR="00654FE3">
        <w:t xml:space="preserve">í. V následujících řádcích jsem se zaměřila na přístup k náboženství čtyř antropologů, Jamese G. Frazera, Victora W. Turnera, E. E. Evans-Pritcharda a Michaela J. Harnera, jejichž názory se </w:t>
      </w:r>
      <w:r w:rsidR="00B96DBB">
        <w:t>krom pár prolnutí rozbíhají. Mohli bychom to popsat</w:t>
      </w:r>
      <w:r w:rsidR="005E2DD7">
        <w:t xml:space="preserve"> tak</w:t>
      </w:r>
      <w:r w:rsidR="00B96DBB">
        <w:t xml:space="preserve">, že každý z těchto antropologů se zaměřuje na jinou část velkého celku, kterým náboženství je. </w:t>
      </w:r>
      <w:r w:rsidR="00232BD7">
        <w:t xml:space="preserve">Střetává se zde tedy magie v podání Frazera, Turnerův pohled na rituály, Evans-Pritchardovy zkušenosti s čarodějnictvím, a šamanismus slovy šamana Harnera. </w:t>
      </w:r>
    </w:p>
    <w:p w:rsidR="00C17281" w:rsidRDefault="00C17281" w:rsidP="00A72E6B">
      <w:pPr>
        <w:spacing w:before="60" w:line="312" w:lineRule="auto"/>
        <w:ind w:left="0"/>
        <w:jc w:val="both"/>
      </w:pPr>
      <w:r>
        <w:t xml:space="preserve">Skot James George Frazer, zastánce evolucionistické antropologie, který se zabýval především mýty, rituály, totemismem a náboženstvím, tvrdí, že náboženství je druhým stupněm vývoje, kterému předchází magie. </w:t>
      </w:r>
      <w:r w:rsidR="00F86593">
        <w:t>D</w:t>
      </w:r>
      <w:r>
        <w:t xml:space="preserve">le něj na sebe dvě věci i na dálku působí a je mezi nimi jistý vnitřní soulad. Frazer jej nazývá sympatetickou magií a </w:t>
      </w:r>
      <w:r w:rsidR="00F86593">
        <w:t>rozděluje</w:t>
      </w:r>
      <w:r>
        <w:t xml:space="preserve"> ji na dva druhy, homeopatickou a kontaktní. Při užití homeopatické magie jde o zákon podobnosti (je také nazývána imitativní), čili výsledek se rovná příčině. Tuto teorii vysvětluje na příkladu rybářů, kteří nemohou chytit rybu, tak jednoho z nich vhodí do řeky a poté vyloví, čímž se snaží vyvolat podobný případ, jen s rybou. Kontaktní magie spočívá, jak je podle názvu zřejmé, v doteku dvou předmětů, které jsou propojeny i po jejich oddělení. Její možné použití – získat předmět či část těla nepřítele (často vlasy či nehty) a skrz ně jej zr</w:t>
      </w:r>
      <w:r w:rsidR="00A72E6B">
        <w:t xml:space="preserve">anit – je známé po celém světě. </w:t>
      </w:r>
      <w:r>
        <w:t xml:space="preserve">Magické návody a rituály Frazer dělí na pozitivní – kouzla, která přináší pomoc a užitek; a negativní – tabu. Skrze magii se může kouzelník snažit naklonit si živly a bohy, ne však žádostí o pomoc, ale svými činy, o kterých doufá, že budou přírodou napodobeny. Takto autor také definuje svůj přístup k náboženství, které </w:t>
      </w:r>
      <w:r w:rsidRPr="000904E9">
        <w:rPr>
          <w:i/>
        </w:rPr>
        <w:t>„sestává ze dvou prvků, teoretického a praktického, totiž z víry v existenci sil nadřazených člověku a z pokusu usmiřovat je a činit jim potěšení.“</w:t>
      </w:r>
      <w:r>
        <w:rPr>
          <w:rStyle w:val="Znakapoznpodarou"/>
          <w:i/>
        </w:rPr>
        <w:footnoteReference w:id="2"/>
      </w:r>
      <w:r>
        <w:t xml:space="preserve"> Věřící člověk by tedy neměl zůstávat jen u slov, ale přeměnit je i na skutky. Mnoho kultur (např. Melanésané) mají právě skrze obřady a rituály propojenou magii a náboženství. Třetím stupněm vývoje je podle Frazera věda, jejíž podstata je magii velmi podobná, jelikož obě pracují s neměnnými a předpověditelnými pravidly přírody. Ale </w:t>
      </w:r>
      <w:r w:rsidRPr="000904E9">
        <w:rPr>
          <w:i/>
        </w:rPr>
        <w:t>„</w:t>
      </w:r>
      <w:r>
        <w:rPr>
          <w:i/>
        </w:rPr>
        <w:t>m</w:t>
      </w:r>
      <w:r w:rsidRPr="000904E9">
        <w:rPr>
          <w:i/>
        </w:rPr>
        <w:t>agie je nutně nesprávná a neplodná, vždyť kdyby mohla někdy být pravdivá a plodná, nebyla by už magií, ale vědou.“</w:t>
      </w:r>
      <w:r>
        <w:rPr>
          <w:rStyle w:val="Znakapoznpodarou"/>
          <w:i/>
        </w:rPr>
        <w:footnoteReference w:id="3"/>
      </w:r>
      <w:r w:rsidRPr="000904E9">
        <w:rPr>
          <w:i/>
        </w:rPr>
        <w:t xml:space="preserve"> </w:t>
      </w:r>
      <w:r>
        <w:t>(J. Frazer)</w:t>
      </w:r>
    </w:p>
    <w:p w:rsidR="00D170FC" w:rsidRDefault="0028666C" w:rsidP="00A72E6B">
      <w:pPr>
        <w:spacing w:before="60" w:line="312" w:lineRule="auto"/>
        <w:ind w:left="0"/>
        <w:jc w:val="both"/>
      </w:pPr>
      <w:r>
        <w:t xml:space="preserve">Na rozdíl od Frazera, Brit Edward Evan Evans-Pritchard se velmi aktivně zapojil do terénního výzkumu a pobýval mezi obyvateli kmene Azandů a Nuerů, na jejichž kultury se stal odborníkem. </w:t>
      </w:r>
      <w:r w:rsidR="00BF294B">
        <w:t>Evans-Pritchardovy studie se zabývají čarodějnictvím</w:t>
      </w:r>
      <w:r w:rsidR="000F7B01">
        <w:t xml:space="preserve"> (jež lze také pod pojmem náboženství chápat)</w:t>
      </w:r>
      <w:r w:rsidR="00BF294B">
        <w:t xml:space="preserve">, ve které věří Azandové, přestože se nikdo z nich za čaroděje nepovažuje. </w:t>
      </w:r>
      <w:r w:rsidR="00545458">
        <w:t>Znamená pro ně zlou magii</w:t>
      </w:r>
      <w:r w:rsidR="00BF294B">
        <w:t xml:space="preserve">, kterou mohou vinit za všechna neštěstí, co se jim přihodila, kromě vlastní neschopnosti či nešikovnosti. Nakonec je vina </w:t>
      </w:r>
      <w:r w:rsidR="001543A2">
        <w:t xml:space="preserve">seslaného kouzla </w:t>
      </w:r>
      <w:r w:rsidR="00BF294B">
        <w:lastRenderedPageBreak/>
        <w:t>svalena na člena kmene, jehož chování se odchyluje od normy</w:t>
      </w:r>
      <w:r w:rsidR="001543A2">
        <w:t>. Dotyčný si tak své deviantní chování uvědomí a může se pokusit jej změnit</w:t>
      </w:r>
      <w:r w:rsidR="00D170FC">
        <w:t>.</w:t>
      </w:r>
      <w:r w:rsidR="001543A2">
        <w:t xml:space="preserve"> </w:t>
      </w:r>
    </w:p>
    <w:p w:rsidR="0028666C" w:rsidRDefault="001543A2" w:rsidP="00A72E6B">
      <w:pPr>
        <w:spacing w:before="60" w:line="312" w:lineRule="auto"/>
        <w:ind w:left="0"/>
        <w:jc w:val="both"/>
      </w:pPr>
      <w:r>
        <w:t>E. E. Evans-Pritchard se také zaměřuje na primitivní náboženství, která nejsou o nic méně důležitá, než ta velká</w:t>
      </w:r>
      <w:r w:rsidR="000F7B01">
        <w:t xml:space="preserve">, jelikož jsou jejich součástí i přes to, že jsou vzdálená a často izolovaná. </w:t>
      </w:r>
      <w:r w:rsidR="002C2039">
        <w:t xml:space="preserve">Náboženství se podle něj musí zkoumat jako celek, ne po jeho částech. </w:t>
      </w:r>
    </w:p>
    <w:p w:rsidR="008577F7" w:rsidRDefault="008577F7" w:rsidP="00A72E6B">
      <w:pPr>
        <w:spacing w:before="60" w:line="312" w:lineRule="auto"/>
        <w:ind w:left="0"/>
        <w:jc w:val="both"/>
      </w:pPr>
      <w:r>
        <w:t xml:space="preserve">James Frazer ve svých studiích sleduje vývoj magie v náboženství a vědu, kterou k magii opět přirovnává. Můžeme sledovat spojitost Frazerovy magie a Evans-Pritchardova čarodějnictví, i rozpor, pokud bychom vědu (podle Frazera podobnou magii) přiradili či připodobnili k čarodějnictví. </w:t>
      </w:r>
    </w:p>
    <w:p w:rsidR="000904E9" w:rsidRDefault="000904E9" w:rsidP="00A72E6B">
      <w:pPr>
        <w:spacing w:before="60" w:line="312" w:lineRule="auto"/>
        <w:ind w:left="0"/>
        <w:jc w:val="both"/>
      </w:pPr>
      <w:r>
        <w:t>Victor W. Turner se ve svých studiích zabývá rituály, které jsou součástí každé kultury. Převážně zmiňuje přechodové rituály (</w:t>
      </w:r>
      <w:r w:rsidRPr="000904E9">
        <w:rPr>
          <w:i/>
        </w:rPr>
        <w:t>„rites de pasage“</w:t>
      </w:r>
      <w:r w:rsidRPr="000904E9">
        <w:t>)</w:t>
      </w:r>
      <w:r w:rsidRPr="000904E9">
        <w:rPr>
          <w:i/>
        </w:rPr>
        <w:t xml:space="preserve"> </w:t>
      </w:r>
      <w:r>
        <w:t>a zdůrazňuje rozdíl mezi „stavem“ a „přechodem“. Přechodový rituál je složen ze tří částí – odloučení, pomezí či přechod a přijetí (nazývané také regenerace) do nového společenského statusu nebo skupiny. Odloučení i přijetí je jistý „stav“, kdy jedinec má určité postavení, práva a povinnosti podle etických norem. Během přechodného (l</w:t>
      </w:r>
      <w:r w:rsidR="00A72E6B">
        <w:t>i</w:t>
      </w:r>
      <w:r>
        <w:t>minárního) období je dotyčný člověk či skupina bez postavení, moci i majetku. L</w:t>
      </w:r>
      <w:r w:rsidR="00A72E6B">
        <w:t>i</w:t>
      </w:r>
      <w:r>
        <w:t xml:space="preserve">minarita je často přirovnávána ke smrti či pobytu v děloze, bisexualitě, k zatmění slunce či měsíce, přesto že jeho vlastnosti nejsou jasné. </w:t>
      </w:r>
      <w:r w:rsidR="00A72E6B">
        <w:t xml:space="preserve">(V. Soukup) </w:t>
      </w:r>
      <w:r>
        <w:t>Jedinec je na pomezí a nikam nepatří a postrádá rysy předchozího ani nastávajícího stavu, dokud se nedostane do třetí fáze a nezačlení se do své nové společenské role. Přesto, že přechodné rituály jsou vnímány jako posvátná událost, jejich součástí je i ponižování směřované na osobu v l</w:t>
      </w:r>
      <w:r w:rsidR="00A72E6B">
        <w:t>i</w:t>
      </w:r>
      <w:r>
        <w:t>minární fázi, která to se samozřejmostí pasivně přijímá (příkladem mohou být Ndembuové ze Zambie – jejichž náčelník je při prahové fázi urážen ostatními členy komunity); dotyčný je také bez oblečení nebo oděn jen v několika cárech, může být také maskován jako zrůda. Chování se i k vysoce postavenému představiteli jako k otrokovi má za cíl zničit jeho minulý stav a posílit jeho osobnost, aby dokázal zvládnout požadavky přicházející s novým stavem. Přechodový rituál by mohl být dle Turnera také vysvětlován jako střídání se dvou lidských modelů, kdy v prvním je „</w:t>
      </w:r>
      <w:r w:rsidRPr="000904E9">
        <w:rPr>
          <w:i/>
        </w:rPr>
        <w:t>společnost strukturovaným, diferencovaným a často hierarchickým systémem politicko-právně-hospodářských pozic, které mají různé druhy hodnocení a rozdělují lidi podle kritéria „více“ nebo „méně“,“</w:t>
      </w:r>
      <w:r>
        <w:rPr>
          <w:rStyle w:val="Znakapoznpodarou"/>
          <w:i/>
        </w:rPr>
        <w:footnoteReference w:id="4"/>
      </w:r>
      <w:r>
        <w:t xml:space="preserve"> a v druhém je nestrukturní a nediferenciované </w:t>
      </w:r>
      <w:r w:rsidRPr="000904E9">
        <w:rPr>
          <w:i/>
        </w:rPr>
        <w:t>communitas</w:t>
      </w:r>
      <w:r>
        <w:t xml:space="preserve"> či společenství jedinců, kteří jsou si vzájemně rovni. (Turner, 2004)</w:t>
      </w:r>
    </w:p>
    <w:p w:rsidR="00577145" w:rsidRDefault="000904E9" w:rsidP="00A72E6B">
      <w:pPr>
        <w:spacing w:before="60" w:line="312" w:lineRule="auto"/>
        <w:ind w:left="0"/>
        <w:jc w:val="both"/>
      </w:pPr>
      <w:r>
        <w:t xml:space="preserve">V náboženství můžeme objevit mnoho podobných rysů, ale každá kultura se formovala a specializovala jiným směrem. Často se ale v náboženství objevuje změna „přechodu“ na „stav“ – věřící je na světě poutníkem, cestovatelem, cizincem. </w:t>
      </w:r>
      <w:r w:rsidR="00A72E6B">
        <w:t>(V. Soukup)</w:t>
      </w:r>
    </w:p>
    <w:p w:rsidR="00A72E6B" w:rsidRDefault="0032078C" w:rsidP="00A72E6B">
      <w:pPr>
        <w:spacing w:before="60" w:line="312" w:lineRule="auto"/>
        <w:ind w:left="0"/>
        <w:jc w:val="both"/>
      </w:pPr>
      <w:r>
        <w:t xml:space="preserve">Nejaktivněji ke studiu svého zaměření zřejmě přistupuje zastánce šamanismu a neošamanismu, Michael Harner, který po té, co pobýval u kmene Jívaro v Ekvádoru a v Peru </w:t>
      </w:r>
      <w:r>
        <w:lastRenderedPageBreak/>
        <w:t>se sám stal šamanem a nadále jej šíří i skrze jím založenou šamanskou školu. Osobou, jež ovládá šamanské umění se dle Harnera může stát každý</w:t>
      </w:r>
      <w:r w:rsidR="00654FE3">
        <w:t xml:space="preserve"> (šamanem může být i zvíře či věc)</w:t>
      </w:r>
      <w:r w:rsidR="00A72E6B">
        <w:t>.</w:t>
      </w:r>
    </w:p>
    <w:p w:rsidR="008577F7" w:rsidRDefault="0032078C" w:rsidP="00A72E6B">
      <w:pPr>
        <w:spacing w:before="60" w:line="312" w:lineRule="auto"/>
        <w:ind w:left="0"/>
        <w:jc w:val="both"/>
      </w:pPr>
      <w:r>
        <w:t>Šaman pomocí drog, které k šamanismu neodmyslitelně patří, se dostane do transu a je schopen komunik</w:t>
      </w:r>
      <w:r w:rsidR="00CD29F5">
        <w:t>ace</w:t>
      </w:r>
      <w:r>
        <w:t xml:space="preserve"> s duchy. </w:t>
      </w:r>
      <w:r w:rsidR="00CD29F5">
        <w:t xml:space="preserve">Stále rostoucí zájem o šamanismus si Harner vysvětluje nedostatečnou funkčností lékařské technologie, která nutí lidi zajímat se jiné a nové způsoby léčby. </w:t>
      </w:r>
      <w:r w:rsidR="00A72E6B">
        <w:t>(M. Harner, 2010)</w:t>
      </w:r>
    </w:p>
    <w:p w:rsidR="00E8183E" w:rsidRDefault="005E2DD7" w:rsidP="00A72E6B">
      <w:pPr>
        <w:spacing w:before="60" w:line="312" w:lineRule="auto"/>
        <w:ind w:left="0"/>
        <w:jc w:val="both"/>
      </w:pPr>
      <w:r>
        <w:t xml:space="preserve">Náboženství jako jeden velký celek obsahuje spoustu možností pro snahy jej definovat z různých pohledů ovlivněných dobou i </w:t>
      </w:r>
      <w:r w:rsidR="00E8183E">
        <w:t>lokalitou. Každý z výše zmíněných antropologů se povětšinou zaměřil na jednu oblast, která v určitých kulturách lze být za součást náboženství považována. Popsala jsem hlavní objekty zájmů jejich studií s náboženstvím spojených</w:t>
      </w:r>
      <w:r w:rsidR="00F86593">
        <w:t xml:space="preserve">, přesto univerzálně platná definice či struktura </w:t>
      </w:r>
      <w:r w:rsidR="009C2A8E">
        <w:t xml:space="preserve">z nich </w:t>
      </w:r>
      <w:r w:rsidR="00F86593">
        <w:t xml:space="preserve">vzniknout nemohla. Osobně jsem se nejvíce ztotožnila s názory Victora Turnera, nejspíš z důvodu, že rituály jsou v našem životě velmi běžné, na rozdíl od vzdálených, přesto velmi zajímavých praktik šamanismu a čarodějnictví. </w:t>
      </w:r>
    </w:p>
    <w:p w:rsidR="00232BD7" w:rsidRDefault="00232BD7" w:rsidP="00A72E6B">
      <w:pPr>
        <w:spacing w:before="120" w:line="312" w:lineRule="auto"/>
        <w:ind w:left="0"/>
        <w:jc w:val="both"/>
      </w:pPr>
      <w:r>
        <w:br w:type="page"/>
      </w:r>
    </w:p>
    <w:p w:rsidR="005E2DD7" w:rsidRDefault="005E2DD7">
      <w:pPr>
        <w:ind w:firstLine="0"/>
      </w:pPr>
    </w:p>
    <w:p w:rsidR="00B96DBB" w:rsidRPr="00A72E6B" w:rsidRDefault="00232BD7" w:rsidP="00CD29F5">
      <w:pPr>
        <w:spacing w:line="312" w:lineRule="auto"/>
        <w:ind w:left="0"/>
        <w:jc w:val="both"/>
        <w:rPr>
          <w:b/>
        </w:rPr>
      </w:pPr>
      <w:r w:rsidRPr="00A72E6B">
        <w:rPr>
          <w:b/>
        </w:rPr>
        <w:t>Bibliografie:</w:t>
      </w:r>
    </w:p>
    <w:p w:rsidR="00A55E6A" w:rsidRDefault="00A55E6A" w:rsidP="00A55E6A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  <w:r w:rsidRPr="00A55E6A">
        <w:rPr>
          <w:b/>
          <w:szCs w:val="24"/>
          <w:lang w:eastAsia="en-US"/>
        </w:rPr>
        <w:t>Bowie, Finona</w:t>
      </w:r>
      <w:r>
        <w:rPr>
          <w:szCs w:val="24"/>
          <w:lang w:eastAsia="en-US"/>
        </w:rPr>
        <w:t xml:space="preserve">. </w:t>
      </w:r>
      <w:r w:rsidRPr="00A55E6A">
        <w:rPr>
          <w:i/>
          <w:szCs w:val="24"/>
          <w:lang w:eastAsia="en-US"/>
        </w:rPr>
        <w:t>Antropologie náboženství</w:t>
      </w:r>
      <w:r>
        <w:rPr>
          <w:szCs w:val="24"/>
          <w:lang w:eastAsia="en-US"/>
        </w:rPr>
        <w:t xml:space="preserve">. </w:t>
      </w:r>
      <w:r w:rsidRPr="00A55E6A">
        <w:rPr>
          <w:i/>
          <w:szCs w:val="24"/>
          <w:lang w:eastAsia="en-US"/>
        </w:rPr>
        <w:t>Rituál, mytologie, šamanismus, poutnictví.</w:t>
      </w:r>
      <w:r>
        <w:rPr>
          <w:szCs w:val="24"/>
          <w:lang w:eastAsia="en-US"/>
        </w:rPr>
        <w:t xml:space="preserve"> Praha: Portál.</w:t>
      </w:r>
      <w:r w:rsidRPr="00A55E6A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2008</w:t>
      </w:r>
    </w:p>
    <w:p w:rsidR="00A55E6A" w:rsidRDefault="00A55E6A" w:rsidP="00232BD7">
      <w:pPr>
        <w:autoSpaceDE w:val="0"/>
        <w:autoSpaceDN w:val="0"/>
        <w:adjustRightInd w:val="0"/>
        <w:spacing w:before="0" w:after="0" w:line="240" w:lineRule="auto"/>
        <w:ind w:left="0" w:firstLine="0"/>
        <w:rPr>
          <w:b/>
          <w:szCs w:val="24"/>
          <w:lang w:eastAsia="en-US"/>
        </w:rPr>
      </w:pPr>
    </w:p>
    <w:p w:rsidR="00232BD7" w:rsidRDefault="00232BD7" w:rsidP="00232BD7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  <w:r w:rsidRPr="00A55E6A">
        <w:rPr>
          <w:b/>
          <w:szCs w:val="24"/>
          <w:lang w:eastAsia="en-US"/>
        </w:rPr>
        <w:t>F</w:t>
      </w:r>
      <w:r w:rsidR="00A72E6B" w:rsidRPr="00A55E6A">
        <w:rPr>
          <w:b/>
          <w:szCs w:val="24"/>
          <w:lang w:eastAsia="en-US"/>
        </w:rPr>
        <w:t>razer</w:t>
      </w:r>
      <w:r w:rsidRPr="00A55E6A">
        <w:rPr>
          <w:b/>
          <w:szCs w:val="24"/>
          <w:lang w:eastAsia="en-US"/>
        </w:rPr>
        <w:t>, James George</w:t>
      </w:r>
      <w:r w:rsidRPr="00232BD7">
        <w:rPr>
          <w:szCs w:val="24"/>
          <w:lang w:eastAsia="en-US"/>
        </w:rPr>
        <w:t xml:space="preserve">. </w:t>
      </w:r>
      <w:r w:rsidRPr="00232BD7">
        <w:rPr>
          <w:i/>
          <w:iCs/>
          <w:szCs w:val="24"/>
          <w:lang w:eastAsia="en-US"/>
        </w:rPr>
        <w:t>Zlatá ratolest: Magie, mýty, náboženství</w:t>
      </w:r>
      <w:r w:rsidRPr="00232BD7">
        <w:rPr>
          <w:szCs w:val="24"/>
          <w:lang w:eastAsia="en-US"/>
        </w:rPr>
        <w:t>. 2. vyd. Praha: Mladá fronta, 1994.632 s.</w:t>
      </w:r>
    </w:p>
    <w:p w:rsidR="00AA0D15" w:rsidRPr="00232BD7" w:rsidRDefault="00AA0D15" w:rsidP="00232BD7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</w:p>
    <w:p w:rsidR="00232BD7" w:rsidRDefault="00232BD7" w:rsidP="00232BD7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  <w:r w:rsidRPr="00A55E6A">
        <w:rPr>
          <w:b/>
          <w:szCs w:val="24"/>
          <w:lang w:eastAsia="en-US"/>
        </w:rPr>
        <w:t>H</w:t>
      </w:r>
      <w:r w:rsidR="00A72E6B" w:rsidRPr="00A55E6A">
        <w:rPr>
          <w:b/>
          <w:szCs w:val="24"/>
          <w:lang w:eastAsia="en-US"/>
        </w:rPr>
        <w:t>arner</w:t>
      </w:r>
      <w:r w:rsidRPr="00232BD7">
        <w:rPr>
          <w:szCs w:val="24"/>
          <w:lang w:eastAsia="en-US"/>
        </w:rPr>
        <w:t xml:space="preserve">, </w:t>
      </w:r>
      <w:r w:rsidRPr="00A55E6A">
        <w:rPr>
          <w:b/>
          <w:szCs w:val="24"/>
          <w:lang w:eastAsia="en-US"/>
        </w:rPr>
        <w:t>Michael</w:t>
      </w:r>
      <w:r w:rsidRPr="00232BD7">
        <w:rPr>
          <w:szCs w:val="24"/>
          <w:lang w:eastAsia="en-US"/>
        </w:rPr>
        <w:t xml:space="preserve"> </w:t>
      </w:r>
      <w:r w:rsidRPr="00A55E6A">
        <w:rPr>
          <w:b/>
          <w:szCs w:val="24"/>
          <w:lang w:eastAsia="en-US"/>
        </w:rPr>
        <w:t>J</w:t>
      </w:r>
      <w:r w:rsidRPr="00232BD7">
        <w:rPr>
          <w:szCs w:val="24"/>
          <w:lang w:eastAsia="en-US"/>
        </w:rPr>
        <w:t xml:space="preserve">. </w:t>
      </w:r>
      <w:r w:rsidRPr="00232BD7">
        <w:rPr>
          <w:i/>
          <w:iCs/>
          <w:szCs w:val="24"/>
          <w:lang w:eastAsia="en-US"/>
        </w:rPr>
        <w:t>Cesta šamana: jak probudit svůj vnitřní potenciál</w:t>
      </w:r>
      <w:r w:rsidRPr="00232BD7">
        <w:rPr>
          <w:szCs w:val="24"/>
          <w:lang w:eastAsia="en-US"/>
        </w:rPr>
        <w:t xml:space="preserve">. Praha: </w:t>
      </w:r>
      <w:r w:rsidR="00AA0D15">
        <w:rPr>
          <w:szCs w:val="24"/>
          <w:lang w:eastAsia="en-US"/>
        </w:rPr>
        <w:t>D</w:t>
      </w:r>
      <w:r w:rsidRPr="00232BD7">
        <w:rPr>
          <w:szCs w:val="24"/>
          <w:lang w:eastAsia="en-US"/>
        </w:rPr>
        <w:t>harmaGaia, 2010.</w:t>
      </w:r>
      <w:r w:rsidR="00A55E6A">
        <w:rPr>
          <w:szCs w:val="24"/>
          <w:lang w:eastAsia="en-US"/>
        </w:rPr>
        <w:t xml:space="preserve"> </w:t>
      </w:r>
      <w:r w:rsidRPr="00232BD7">
        <w:rPr>
          <w:szCs w:val="24"/>
          <w:lang w:eastAsia="en-US"/>
        </w:rPr>
        <w:t>204 s. Religio; sv. 5.</w:t>
      </w:r>
    </w:p>
    <w:p w:rsidR="00A55E6A" w:rsidRDefault="00A55E6A" w:rsidP="00232BD7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</w:p>
    <w:p w:rsidR="00A55E6A" w:rsidRDefault="00A55E6A" w:rsidP="00232BD7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  <w:r w:rsidRPr="00A55E6A">
        <w:rPr>
          <w:b/>
          <w:szCs w:val="24"/>
          <w:lang w:eastAsia="en-US"/>
        </w:rPr>
        <w:t>Harner, Michael</w:t>
      </w:r>
      <w:r>
        <w:rPr>
          <w:szCs w:val="24"/>
          <w:lang w:eastAsia="en-US"/>
        </w:rPr>
        <w:t xml:space="preserve">. </w:t>
      </w:r>
      <w:r w:rsidRPr="00A55E6A">
        <w:rPr>
          <w:i/>
          <w:szCs w:val="24"/>
          <w:lang w:eastAsia="en-US"/>
        </w:rPr>
        <w:t>The way of Shaman</w:t>
      </w:r>
      <w:r>
        <w:rPr>
          <w:szCs w:val="24"/>
          <w:lang w:eastAsia="en-US"/>
        </w:rPr>
        <w:t>. New York: HarperCollins. 1990</w:t>
      </w:r>
    </w:p>
    <w:p w:rsidR="00AA0D15" w:rsidRPr="00232BD7" w:rsidRDefault="00AA0D15" w:rsidP="00232BD7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</w:p>
    <w:p w:rsidR="00AA0D15" w:rsidRDefault="00232BD7" w:rsidP="00232BD7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  <w:r w:rsidRPr="00A55E6A">
        <w:rPr>
          <w:b/>
          <w:szCs w:val="24"/>
          <w:lang w:eastAsia="en-US"/>
        </w:rPr>
        <w:t>H</w:t>
      </w:r>
      <w:r w:rsidR="00A55E6A" w:rsidRPr="00A55E6A">
        <w:rPr>
          <w:b/>
          <w:szCs w:val="24"/>
          <w:lang w:eastAsia="en-US"/>
        </w:rPr>
        <w:t>oryna</w:t>
      </w:r>
      <w:r w:rsidRPr="00A55E6A">
        <w:rPr>
          <w:b/>
          <w:szCs w:val="24"/>
          <w:lang w:eastAsia="en-US"/>
        </w:rPr>
        <w:t>, Břetislav</w:t>
      </w:r>
      <w:r w:rsidRPr="00232BD7">
        <w:rPr>
          <w:szCs w:val="24"/>
          <w:lang w:eastAsia="en-US"/>
        </w:rPr>
        <w:t xml:space="preserve"> a </w:t>
      </w:r>
      <w:r w:rsidRPr="00A55E6A">
        <w:rPr>
          <w:b/>
          <w:szCs w:val="24"/>
          <w:lang w:eastAsia="en-US"/>
        </w:rPr>
        <w:t>P</w:t>
      </w:r>
      <w:r w:rsidR="00A55E6A" w:rsidRPr="00A55E6A">
        <w:rPr>
          <w:b/>
          <w:szCs w:val="24"/>
          <w:lang w:eastAsia="en-US"/>
        </w:rPr>
        <w:t>avlincová</w:t>
      </w:r>
      <w:r w:rsidRPr="00A55E6A">
        <w:rPr>
          <w:b/>
          <w:szCs w:val="24"/>
          <w:lang w:eastAsia="en-US"/>
        </w:rPr>
        <w:t>, Helena</w:t>
      </w:r>
      <w:r w:rsidRPr="00232BD7">
        <w:rPr>
          <w:szCs w:val="24"/>
          <w:lang w:eastAsia="en-US"/>
        </w:rPr>
        <w:t xml:space="preserve">. </w:t>
      </w:r>
      <w:r w:rsidRPr="00232BD7">
        <w:rPr>
          <w:i/>
          <w:iCs/>
          <w:szCs w:val="24"/>
          <w:lang w:eastAsia="en-US"/>
        </w:rPr>
        <w:t>Dějiny religionistiky: antologie</w:t>
      </w:r>
      <w:r w:rsidRPr="00232BD7">
        <w:rPr>
          <w:szCs w:val="24"/>
          <w:lang w:eastAsia="en-US"/>
        </w:rPr>
        <w:t>. Olomouc: Nakladatelství</w:t>
      </w:r>
      <w:r>
        <w:rPr>
          <w:szCs w:val="24"/>
          <w:lang w:eastAsia="en-US"/>
        </w:rPr>
        <w:t xml:space="preserve"> </w:t>
      </w:r>
      <w:r w:rsidRPr="00232BD7">
        <w:rPr>
          <w:szCs w:val="24"/>
          <w:lang w:eastAsia="en-US"/>
        </w:rPr>
        <w:t xml:space="preserve">Olomouc, 2001. 462 s. </w:t>
      </w:r>
    </w:p>
    <w:p w:rsidR="00A55E6A" w:rsidRDefault="00A55E6A" w:rsidP="00232BD7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</w:p>
    <w:p w:rsidR="00AA0D15" w:rsidRDefault="00AA0D15" w:rsidP="00AA0D15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  <w:r w:rsidRPr="00A55E6A">
        <w:rPr>
          <w:b/>
          <w:szCs w:val="24"/>
          <w:lang w:eastAsia="en-US"/>
        </w:rPr>
        <w:t>Soukup, V</w:t>
      </w:r>
      <w:r w:rsidR="00A55E6A">
        <w:rPr>
          <w:b/>
          <w:szCs w:val="24"/>
          <w:lang w:eastAsia="en-US"/>
        </w:rPr>
        <w:t>áclav</w:t>
      </w:r>
      <w:r>
        <w:rPr>
          <w:szCs w:val="24"/>
          <w:lang w:eastAsia="en-US"/>
        </w:rPr>
        <w:t xml:space="preserve">. </w:t>
      </w:r>
      <w:r w:rsidRPr="00A55E6A">
        <w:rPr>
          <w:i/>
          <w:szCs w:val="24"/>
          <w:lang w:eastAsia="en-US"/>
        </w:rPr>
        <w:t>Dějiny sociální a kulturní antropologie</w:t>
      </w:r>
      <w:r>
        <w:rPr>
          <w:szCs w:val="24"/>
          <w:lang w:eastAsia="en-US"/>
        </w:rPr>
        <w:t xml:space="preserve">. Praha: Univerzita Karlova. </w:t>
      </w:r>
      <w:r w:rsidR="00A55E6A">
        <w:rPr>
          <w:szCs w:val="24"/>
          <w:lang w:eastAsia="en-US"/>
        </w:rPr>
        <w:t xml:space="preserve">1994. </w:t>
      </w:r>
      <w:r>
        <w:rPr>
          <w:szCs w:val="24"/>
          <w:lang w:eastAsia="en-US"/>
        </w:rPr>
        <w:t xml:space="preserve">225 s. </w:t>
      </w:r>
    </w:p>
    <w:p w:rsidR="00AA0D15" w:rsidRDefault="00AA0D15" w:rsidP="00AA0D15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  <w:lang w:eastAsia="en-US"/>
        </w:rPr>
      </w:pPr>
    </w:p>
    <w:p w:rsidR="00AA0D15" w:rsidRDefault="00AA0D15" w:rsidP="00AA0D15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</w:rPr>
      </w:pPr>
      <w:r w:rsidRPr="00A55E6A">
        <w:rPr>
          <w:b/>
          <w:szCs w:val="24"/>
          <w:lang w:eastAsia="en-US"/>
        </w:rPr>
        <w:t>Soukup, V</w:t>
      </w:r>
      <w:r w:rsidR="00A55E6A">
        <w:rPr>
          <w:b/>
          <w:szCs w:val="24"/>
          <w:lang w:eastAsia="en-US"/>
        </w:rPr>
        <w:t>áclav</w:t>
      </w:r>
      <w:r>
        <w:rPr>
          <w:szCs w:val="24"/>
        </w:rPr>
        <w:t xml:space="preserve">. </w:t>
      </w:r>
      <w:r w:rsidRPr="00A55E6A">
        <w:rPr>
          <w:i/>
          <w:szCs w:val="24"/>
          <w:lang w:eastAsia="en-US"/>
        </w:rPr>
        <w:t xml:space="preserve">Přehled antropologických teorií </w:t>
      </w:r>
      <w:r w:rsidRPr="00A55E6A">
        <w:rPr>
          <w:szCs w:val="24"/>
          <w:lang w:eastAsia="en-US"/>
        </w:rPr>
        <w:t>kultury</w:t>
      </w:r>
      <w:r>
        <w:rPr>
          <w:szCs w:val="24"/>
        </w:rPr>
        <w:t xml:space="preserve">. Praha: Portál. 1. vyd. </w:t>
      </w:r>
      <w:r w:rsidR="00A55E6A">
        <w:rPr>
          <w:szCs w:val="24"/>
        </w:rPr>
        <w:t xml:space="preserve">2000. </w:t>
      </w:r>
      <w:r>
        <w:rPr>
          <w:szCs w:val="24"/>
        </w:rPr>
        <w:t xml:space="preserve">229 s. </w:t>
      </w:r>
    </w:p>
    <w:p w:rsidR="00D170FC" w:rsidRDefault="00D170FC" w:rsidP="00AA0D15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</w:rPr>
      </w:pPr>
    </w:p>
    <w:p w:rsidR="00D170FC" w:rsidRPr="00D170FC" w:rsidRDefault="00D170FC" w:rsidP="00AA0D15">
      <w:pPr>
        <w:autoSpaceDE w:val="0"/>
        <w:autoSpaceDN w:val="0"/>
        <w:adjustRightInd w:val="0"/>
        <w:spacing w:before="0" w:after="0" w:line="240" w:lineRule="auto"/>
        <w:ind w:left="0" w:firstLine="0"/>
        <w:rPr>
          <w:szCs w:val="24"/>
        </w:rPr>
      </w:pPr>
      <w:r w:rsidRPr="00D170FC">
        <w:rPr>
          <w:b/>
          <w:szCs w:val="24"/>
        </w:rPr>
        <w:t xml:space="preserve">Turner, Victor Witter. </w:t>
      </w:r>
      <w:r>
        <w:rPr>
          <w:i/>
          <w:szCs w:val="24"/>
        </w:rPr>
        <w:t>Průběh rituálu.</w:t>
      </w:r>
      <w:r>
        <w:rPr>
          <w:szCs w:val="24"/>
        </w:rPr>
        <w:t xml:space="preserve"> Brno: Computer press. 2004. 1. vyd. </w:t>
      </w:r>
    </w:p>
    <w:sectPr w:rsidR="00D170FC" w:rsidRPr="00D170FC" w:rsidSect="00AE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991" w:rsidRDefault="00C94991" w:rsidP="000904E9">
      <w:pPr>
        <w:spacing w:before="0" w:after="0" w:line="240" w:lineRule="auto"/>
      </w:pPr>
      <w:r>
        <w:separator/>
      </w:r>
    </w:p>
  </w:endnote>
  <w:endnote w:type="continuationSeparator" w:id="1">
    <w:p w:rsidR="00C94991" w:rsidRDefault="00C94991" w:rsidP="000904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lloon Bd AT">
    <w:panose1 w:val="02000806020000090004"/>
    <w:charset w:val="EE"/>
    <w:family w:val="auto"/>
    <w:pitch w:val="variable"/>
    <w:sig w:usb0="800002A7" w:usb1="00000000" w:usb2="00000000" w:usb3="00000000" w:csb0="0000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991" w:rsidRDefault="00C94991" w:rsidP="000904E9">
      <w:pPr>
        <w:spacing w:before="0" w:after="0" w:line="240" w:lineRule="auto"/>
      </w:pPr>
      <w:r>
        <w:separator/>
      </w:r>
    </w:p>
  </w:footnote>
  <w:footnote w:type="continuationSeparator" w:id="1">
    <w:p w:rsidR="00C94991" w:rsidRDefault="00C94991" w:rsidP="000904E9">
      <w:pPr>
        <w:spacing w:before="0" w:after="0" w:line="240" w:lineRule="auto"/>
      </w:pPr>
      <w:r>
        <w:continuationSeparator/>
      </w:r>
    </w:p>
  </w:footnote>
  <w:footnote w:id="2">
    <w:p w:rsidR="00C17281" w:rsidRDefault="00C17281" w:rsidP="00C17281">
      <w:pPr>
        <w:pStyle w:val="Textpoznpodarou"/>
      </w:pPr>
      <w:r>
        <w:rPr>
          <w:rStyle w:val="Znakapoznpodarou"/>
        </w:rPr>
        <w:footnoteRef/>
      </w:r>
      <w:r>
        <w:t xml:space="preserve"> J. G. Frazer, 1994, str. 50</w:t>
      </w:r>
    </w:p>
  </w:footnote>
  <w:footnote w:id="3">
    <w:p w:rsidR="00C17281" w:rsidRDefault="00C17281" w:rsidP="00C17281">
      <w:pPr>
        <w:pStyle w:val="Textpoznpodarou"/>
      </w:pPr>
      <w:r>
        <w:rPr>
          <w:rStyle w:val="Znakapoznpodarou"/>
        </w:rPr>
        <w:footnoteRef/>
      </w:r>
      <w:r>
        <w:t xml:space="preserve"> J. G. Frazer, 1994, str. 50</w:t>
      </w:r>
    </w:p>
  </w:footnote>
  <w:footnote w:id="4">
    <w:p w:rsidR="000904E9" w:rsidRDefault="000904E9">
      <w:pPr>
        <w:pStyle w:val="Textpoznpodarou"/>
      </w:pPr>
      <w:r>
        <w:rPr>
          <w:rStyle w:val="Znakapoznpodarou"/>
        </w:rPr>
        <w:footnoteRef/>
      </w:r>
      <w:r>
        <w:t xml:space="preserve"> V. W. Turner, 2004, str. 97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8B7"/>
    <w:multiLevelType w:val="hybridMultilevel"/>
    <w:tmpl w:val="587AD356"/>
    <w:lvl w:ilvl="0" w:tplc="F08A5CB0">
      <w:start w:val="1"/>
      <w:numFmt w:val="bullet"/>
      <w:pStyle w:val="tex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BD67248">
      <w:start w:val="1"/>
      <w:numFmt w:val="bullet"/>
      <w:lvlText w:val="­"/>
      <w:lvlJc w:val="left"/>
      <w:pPr>
        <w:ind w:left="1637" w:hanging="360"/>
      </w:pPr>
      <w:rPr>
        <w:rFonts w:ascii="Courier New" w:hAnsi="Courier New" w:hint="default"/>
      </w:rPr>
    </w:lvl>
    <w:lvl w:ilvl="2" w:tplc="BBD6724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67248">
      <w:start w:val="1"/>
      <w:numFmt w:val="bullet"/>
      <w:lvlText w:val="­"/>
      <w:lvlJc w:val="left"/>
      <w:pPr>
        <w:ind w:left="4320" w:hanging="360"/>
      </w:pPr>
      <w:rPr>
        <w:rFonts w:ascii="Courier New" w:hAnsi="Courier New" w:hint="default"/>
      </w:rPr>
    </w:lvl>
    <w:lvl w:ilvl="6" w:tplc="BBD67248">
      <w:start w:val="1"/>
      <w:numFmt w:val="bullet"/>
      <w:lvlText w:val="­"/>
      <w:lvlJc w:val="left"/>
      <w:pPr>
        <w:ind w:left="5040" w:hanging="360"/>
      </w:pPr>
      <w:rPr>
        <w:rFonts w:ascii="Courier New" w:hAnsi="Courier New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60825"/>
    <w:multiLevelType w:val="hybridMultilevel"/>
    <w:tmpl w:val="EDEC08D8"/>
    <w:lvl w:ilvl="0" w:tplc="8A8A531A">
      <w:start w:val="1"/>
      <w:numFmt w:val="decimal"/>
      <w:pStyle w:val="N1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8D534A0"/>
    <w:multiLevelType w:val="hybridMultilevel"/>
    <w:tmpl w:val="E65C0348"/>
    <w:lvl w:ilvl="0" w:tplc="8D42AC5C">
      <w:start w:val="1"/>
      <w:numFmt w:val="lowerLetter"/>
      <w:pStyle w:val="N2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6D5F17EE"/>
    <w:multiLevelType w:val="hybridMultilevel"/>
    <w:tmpl w:val="D090CD4E"/>
    <w:lvl w:ilvl="0" w:tplc="A6AE15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90B"/>
    <w:rsid w:val="00010F17"/>
    <w:rsid w:val="000904E9"/>
    <w:rsid w:val="000F7B01"/>
    <w:rsid w:val="001543A2"/>
    <w:rsid w:val="0017090B"/>
    <w:rsid w:val="001A4257"/>
    <w:rsid w:val="001D6A92"/>
    <w:rsid w:val="00232BD7"/>
    <w:rsid w:val="0028666C"/>
    <w:rsid w:val="002C2039"/>
    <w:rsid w:val="0032078C"/>
    <w:rsid w:val="003264B8"/>
    <w:rsid w:val="003E188F"/>
    <w:rsid w:val="004638FE"/>
    <w:rsid w:val="00545458"/>
    <w:rsid w:val="00567B86"/>
    <w:rsid w:val="00577145"/>
    <w:rsid w:val="005A6DD7"/>
    <w:rsid w:val="005E2DD7"/>
    <w:rsid w:val="00654ADE"/>
    <w:rsid w:val="00654FE3"/>
    <w:rsid w:val="006C029B"/>
    <w:rsid w:val="00742368"/>
    <w:rsid w:val="008577F7"/>
    <w:rsid w:val="0090193C"/>
    <w:rsid w:val="009C2A8E"/>
    <w:rsid w:val="00A55E6A"/>
    <w:rsid w:val="00A60883"/>
    <w:rsid w:val="00A72E6B"/>
    <w:rsid w:val="00AA0D15"/>
    <w:rsid w:val="00AA77B0"/>
    <w:rsid w:val="00AE05A7"/>
    <w:rsid w:val="00B17F5A"/>
    <w:rsid w:val="00B96DBB"/>
    <w:rsid w:val="00BF294B"/>
    <w:rsid w:val="00C0707C"/>
    <w:rsid w:val="00C17281"/>
    <w:rsid w:val="00C94991"/>
    <w:rsid w:val="00CA3B66"/>
    <w:rsid w:val="00CD29F5"/>
    <w:rsid w:val="00CE6AAE"/>
    <w:rsid w:val="00D042DD"/>
    <w:rsid w:val="00D16E59"/>
    <w:rsid w:val="00D170FC"/>
    <w:rsid w:val="00DC1EC2"/>
    <w:rsid w:val="00E62EE6"/>
    <w:rsid w:val="00E6563D"/>
    <w:rsid w:val="00E8183E"/>
    <w:rsid w:val="00EA01C4"/>
    <w:rsid w:val="00F43CC5"/>
    <w:rsid w:val="00F8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60" w:line="288" w:lineRule="auto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EE6"/>
    <w:pPr>
      <w:ind w:firstLine="397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0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1EC2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DC1EC2"/>
    <w:pPr>
      <w:ind w:left="720"/>
      <w:contextualSpacing/>
    </w:pPr>
  </w:style>
  <w:style w:type="paragraph" w:customStyle="1" w:styleId="text">
    <w:name w:val="text"/>
    <w:basedOn w:val="Odstavecseseznamem"/>
    <w:next w:val="Normln"/>
    <w:qFormat/>
    <w:rsid w:val="003264B8"/>
    <w:pPr>
      <w:numPr>
        <w:numId w:val="7"/>
      </w:numPr>
    </w:pPr>
    <w:rPr>
      <w:rFonts w:eastAsiaTheme="minorHAnsi"/>
      <w:szCs w:val="24"/>
      <w:lang w:eastAsia="en-US"/>
    </w:rPr>
  </w:style>
  <w:style w:type="paragraph" w:customStyle="1" w:styleId="N1">
    <w:name w:val="N1"/>
    <w:basedOn w:val="text"/>
    <w:next w:val="Normln"/>
    <w:qFormat/>
    <w:rsid w:val="003264B8"/>
    <w:pPr>
      <w:numPr>
        <w:numId w:val="8"/>
      </w:numPr>
      <w:outlineLvl w:val="0"/>
    </w:pPr>
    <w:rPr>
      <w:b/>
      <w:sz w:val="32"/>
      <w:szCs w:val="32"/>
    </w:rPr>
  </w:style>
  <w:style w:type="paragraph" w:customStyle="1" w:styleId="N2">
    <w:name w:val="N2"/>
    <w:basedOn w:val="text"/>
    <w:next w:val="Normln"/>
    <w:qFormat/>
    <w:rsid w:val="003264B8"/>
    <w:pPr>
      <w:numPr>
        <w:numId w:val="9"/>
      </w:numPr>
    </w:pPr>
    <w:rPr>
      <w:sz w:val="28"/>
    </w:rPr>
  </w:style>
  <w:style w:type="paragraph" w:customStyle="1" w:styleId="N3">
    <w:name w:val="N3"/>
    <w:basedOn w:val="text"/>
    <w:next w:val="text"/>
    <w:qFormat/>
    <w:rsid w:val="00DC1EC2"/>
    <w:pPr>
      <w:numPr>
        <w:numId w:val="0"/>
      </w:numPr>
      <w:ind w:left="714"/>
      <w:jc w:val="center"/>
    </w:pPr>
    <w:rPr>
      <w:rFonts w:ascii="Balloon Bd AT" w:hAnsi="Balloon Bd AT"/>
      <w:sz w:val="26"/>
      <w:szCs w:val="28"/>
    </w:rPr>
  </w:style>
  <w:style w:type="paragraph" w:styleId="Normlnweb">
    <w:name w:val="Normal (Web)"/>
    <w:basedOn w:val="Normln"/>
    <w:uiPriority w:val="99"/>
    <w:semiHidden/>
    <w:unhideWhenUsed/>
    <w:rsid w:val="0017090B"/>
    <w:pPr>
      <w:spacing w:before="100" w:beforeAutospacing="1" w:after="100" w:afterAutospacing="1" w:line="240" w:lineRule="auto"/>
      <w:ind w:left="0" w:firstLine="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4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4E9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04E9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04E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904E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AA0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D928-90E9-4ADF-8FC8-DAA024FF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5</Pages>
  <Words>1194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8</cp:revision>
  <dcterms:created xsi:type="dcterms:W3CDTF">2012-12-24T12:32:00Z</dcterms:created>
  <dcterms:modified xsi:type="dcterms:W3CDTF">2012-12-29T00:16:00Z</dcterms:modified>
</cp:coreProperties>
</file>