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A1F" w:rsidRPr="007D6A1F" w:rsidRDefault="007D6A1F">
      <w:pPr>
        <w:pStyle w:val="normal"/>
        <w:rPr>
          <w:rFonts w:asciiTheme="minorHAnsi" w:eastAsia="Calibri" w:hAnsiTheme="minorHAnsi" w:cs="Calibri"/>
        </w:rPr>
      </w:pPr>
    </w:p>
    <w:tbl>
      <w:tblPr>
        <w:tblpPr w:leftFromText="141" w:rightFromText="141" w:bottomFromText="200" w:horzAnchor="margin" w:tblpY="442"/>
        <w:tblW w:w="0" w:type="auto"/>
        <w:tblLayout w:type="fixed"/>
        <w:tblCellMar>
          <w:left w:w="70" w:type="dxa"/>
          <w:right w:w="70" w:type="dxa"/>
        </w:tblCellMar>
        <w:tblLook w:val="04A0"/>
      </w:tblPr>
      <w:tblGrid>
        <w:gridCol w:w="2338"/>
        <w:gridCol w:w="6874"/>
      </w:tblGrid>
      <w:tr w:rsidR="007D6A1F" w:rsidRPr="007D6A1F" w:rsidTr="007D6A1F">
        <w:tc>
          <w:tcPr>
            <w:tcW w:w="2338" w:type="dxa"/>
            <w:hideMark/>
          </w:tcPr>
          <w:p w:rsidR="007D6A1F" w:rsidRPr="007D6A1F" w:rsidRDefault="007D6A1F">
            <w:pPr>
              <w:rPr>
                <w:rFonts w:eastAsia="Times New Roman" w:cstheme="minorHAnsi"/>
                <w:sz w:val="24"/>
                <w:szCs w:val="24"/>
              </w:rPr>
            </w:pPr>
            <w:bookmarkStart w:id="0" w:name="_GoBack"/>
            <w:bookmarkEnd w:id="0"/>
            <w:r w:rsidRPr="007D6A1F">
              <w:rPr>
                <w:rFonts w:cstheme="minorHAnsi"/>
                <w:noProof/>
              </w:rPr>
              <w:drawing>
                <wp:inline distT="0" distB="0" distL="0" distR="0">
                  <wp:extent cx="1076325" cy="1076325"/>
                  <wp:effectExtent l="19050" t="0" r="9525"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tc>
        <w:tc>
          <w:tcPr>
            <w:tcW w:w="6874" w:type="dxa"/>
          </w:tcPr>
          <w:p w:rsidR="007D6A1F" w:rsidRPr="007D6A1F" w:rsidRDefault="007D6A1F">
            <w:pPr>
              <w:pStyle w:val="Nadpis6"/>
              <w:jc w:val="both"/>
              <w:rPr>
                <w:rFonts w:asciiTheme="minorHAnsi" w:eastAsiaTheme="majorEastAsia" w:hAnsiTheme="minorHAnsi" w:cstheme="minorHAnsi"/>
                <w:b/>
                <w:color w:val="auto"/>
                <w:sz w:val="24"/>
                <w:szCs w:val="24"/>
              </w:rPr>
            </w:pPr>
            <w:r w:rsidRPr="007D6A1F">
              <w:rPr>
                <w:rFonts w:asciiTheme="minorHAnsi" w:hAnsiTheme="minorHAnsi" w:cstheme="minorHAnsi"/>
                <w:b/>
                <w:color w:val="auto"/>
              </w:rPr>
              <w:t>Katedra sociologie</w:t>
            </w:r>
          </w:p>
          <w:p w:rsidR="007D6A1F" w:rsidRPr="007D6A1F" w:rsidRDefault="007D6A1F">
            <w:pPr>
              <w:pStyle w:val="Nadpis6"/>
              <w:spacing w:before="30" w:after="30"/>
              <w:jc w:val="both"/>
              <w:rPr>
                <w:rFonts w:asciiTheme="minorHAnsi" w:hAnsiTheme="minorHAnsi" w:cstheme="minorHAnsi"/>
                <w:b/>
                <w:color w:val="auto"/>
              </w:rPr>
            </w:pPr>
            <w:r w:rsidRPr="007D6A1F">
              <w:rPr>
                <w:rFonts w:asciiTheme="minorHAnsi" w:hAnsiTheme="minorHAnsi" w:cstheme="minorHAnsi"/>
                <w:b/>
                <w:color w:val="auto"/>
              </w:rPr>
              <w:t>Fakulta sociálních studií</w:t>
            </w:r>
          </w:p>
          <w:p w:rsidR="007D6A1F" w:rsidRPr="007D6A1F" w:rsidRDefault="007D6A1F">
            <w:pPr>
              <w:spacing w:before="30" w:after="30"/>
              <w:rPr>
                <w:rFonts w:cstheme="minorHAnsi"/>
              </w:rPr>
            </w:pPr>
            <w:r w:rsidRPr="007D6A1F">
              <w:rPr>
                <w:rFonts w:cstheme="minorHAnsi"/>
                <w:b/>
              </w:rPr>
              <w:t>MASARYKOVA UNIVERSITA</w:t>
            </w:r>
          </w:p>
          <w:p w:rsidR="007D6A1F" w:rsidRPr="007D6A1F" w:rsidRDefault="007D6A1F">
            <w:pPr>
              <w:spacing w:before="30" w:after="30"/>
              <w:rPr>
                <w:rFonts w:cstheme="minorHAnsi"/>
                <w:b/>
              </w:rPr>
            </w:pPr>
            <w:r w:rsidRPr="007D6A1F">
              <w:rPr>
                <w:rFonts w:cstheme="minorHAnsi"/>
                <w:b/>
              </w:rPr>
              <w:t>Brno</w:t>
            </w:r>
            <w:r w:rsidRPr="007D6A1F">
              <w:rPr>
                <w:rFonts w:cstheme="minorHAnsi"/>
              </w:rPr>
              <w:t>,</w:t>
            </w:r>
            <w:r w:rsidRPr="007D6A1F">
              <w:rPr>
                <w:rFonts w:cstheme="minorHAnsi"/>
                <w:b/>
              </w:rPr>
              <w:t xml:space="preserve"> </w:t>
            </w:r>
            <w:r w:rsidRPr="007D6A1F">
              <w:rPr>
                <w:rFonts w:cstheme="minorHAnsi"/>
              </w:rPr>
              <w:t xml:space="preserve">Joštova 10, 602 00, </w:t>
            </w:r>
            <w:r w:rsidRPr="007D6A1F">
              <w:rPr>
                <w:rFonts w:cstheme="minorHAnsi"/>
                <w:b/>
              </w:rPr>
              <w:t>Česká republika</w:t>
            </w:r>
          </w:p>
          <w:p w:rsidR="007D6A1F" w:rsidRPr="007D6A1F" w:rsidRDefault="007D6A1F">
            <w:pPr>
              <w:spacing w:before="30" w:after="30"/>
              <w:rPr>
                <w:rFonts w:cstheme="minorHAnsi"/>
              </w:rPr>
            </w:pPr>
            <w:r w:rsidRPr="007D6A1F">
              <w:rPr>
                <w:rFonts w:cstheme="minorHAnsi"/>
              </w:rPr>
              <w:t>telefon: 549 493 750</w:t>
            </w:r>
          </w:p>
          <w:p w:rsidR="007D6A1F" w:rsidRPr="007D6A1F" w:rsidRDefault="007D6A1F">
            <w:pPr>
              <w:spacing w:before="30" w:after="30"/>
              <w:rPr>
                <w:rFonts w:cstheme="minorHAnsi"/>
              </w:rPr>
            </w:pPr>
          </w:p>
          <w:p w:rsidR="007D6A1F" w:rsidRPr="007D6A1F" w:rsidRDefault="007D6A1F">
            <w:pPr>
              <w:spacing w:before="30" w:after="30"/>
              <w:rPr>
                <w:rFonts w:cstheme="minorHAnsi"/>
              </w:rPr>
            </w:pPr>
          </w:p>
          <w:p w:rsidR="007D6A1F" w:rsidRPr="007D6A1F" w:rsidRDefault="007D6A1F">
            <w:pPr>
              <w:spacing w:before="30" w:after="30"/>
              <w:rPr>
                <w:rFonts w:cstheme="minorHAnsi"/>
              </w:rPr>
            </w:pPr>
          </w:p>
          <w:p w:rsidR="007D6A1F" w:rsidRPr="007D6A1F" w:rsidRDefault="007D6A1F">
            <w:pPr>
              <w:spacing w:before="30" w:after="30"/>
              <w:rPr>
                <w:rFonts w:cstheme="minorHAnsi"/>
              </w:rPr>
            </w:pPr>
          </w:p>
          <w:p w:rsidR="007D6A1F" w:rsidRPr="007D6A1F" w:rsidRDefault="007D6A1F">
            <w:pPr>
              <w:spacing w:before="30" w:after="30"/>
              <w:rPr>
                <w:rFonts w:cstheme="minorHAnsi"/>
              </w:rPr>
            </w:pPr>
          </w:p>
          <w:p w:rsidR="007D6A1F" w:rsidRPr="007D6A1F" w:rsidRDefault="007D6A1F">
            <w:pPr>
              <w:spacing w:before="30" w:after="30"/>
              <w:rPr>
                <w:rFonts w:cstheme="minorHAnsi"/>
              </w:rPr>
            </w:pPr>
          </w:p>
          <w:p w:rsidR="007D6A1F" w:rsidRPr="007D6A1F" w:rsidRDefault="007D6A1F">
            <w:pPr>
              <w:spacing w:before="30" w:after="30"/>
              <w:jc w:val="right"/>
              <w:rPr>
                <w:rFonts w:cstheme="minorHAnsi"/>
              </w:rPr>
            </w:pPr>
          </w:p>
          <w:tbl>
            <w:tblPr>
              <w:tblW w:w="2850" w:type="dxa"/>
              <w:shd w:val="clear" w:color="auto" w:fill="FFFFFF"/>
              <w:tblLayout w:type="fixed"/>
              <w:tblLook w:val="04A0"/>
            </w:tblPr>
            <w:tblGrid>
              <w:gridCol w:w="1159"/>
              <w:gridCol w:w="1691"/>
            </w:tblGrid>
            <w:tr w:rsidR="007D6A1F" w:rsidRPr="007D6A1F">
              <w:trPr>
                <w:gridAfter w:val="1"/>
                <w:wAfter w:w="1691" w:type="dxa"/>
              </w:trPr>
              <w:tc>
                <w:tcPr>
                  <w:tcW w:w="1159" w:type="dxa"/>
                  <w:shd w:val="clear" w:color="auto" w:fill="FFFFFF"/>
                  <w:tcMar>
                    <w:top w:w="15" w:type="dxa"/>
                    <w:left w:w="15" w:type="dxa"/>
                    <w:bottom w:w="15" w:type="dxa"/>
                    <w:right w:w="15" w:type="dxa"/>
                  </w:tcMar>
                  <w:vAlign w:val="center"/>
                  <w:hideMark/>
                </w:tcPr>
                <w:p w:rsidR="007D6A1F" w:rsidRPr="007D6A1F" w:rsidRDefault="007D6A1F" w:rsidP="001D1A9A">
                  <w:pPr>
                    <w:framePr w:hSpace="141" w:wrap="around" w:hAnchor="margin" w:y="442"/>
                    <w:rPr>
                      <w:rFonts w:cs="Times New Roman"/>
                    </w:rPr>
                  </w:pPr>
                </w:p>
              </w:tc>
            </w:tr>
            <w:tr w:rsidR="007D6A1F" w:rsidRPr="007D6A1F">
              <w:tc>
                <w:tcPr>
                  <w:tcW w:w="1159" w:type="dxa"/>
                  <w:shd w:val="clear" w:color="auto" w:fill="FFFFFF"/>
                  <w:tcMar>
                    <w:top w:w="15" w:type="dxa"/>
                    <w:left w:w="15" w:type="dxa"/>
                    <w:bottom w:w="15" w:type="dxa"/>
                    <w:right w:w="15" w:type="dxa"/>
                  </w:tcMar>
                  <w:vAlign w:val="center"/>
                  <w:hideMark/>
                </w:tcPr>
                <w:p w:rsidR="007D6A1F" w:rsidRPr="007D6A1F" w:rsidRDefault="007D6A1F" w:rsidP="001D1A9A">
                  <w:pPr>
                    <w:framePr w:hSpace="141" w:wrap="around" w:hAnchor="margin" w:y="442"/>
                    <w:rPr>
                      <w:rFonts w:cs="Times New Roman"/>
                    </w:rPr>
                  </w:pPr>
                </w:p>
              </w:tc>
              <w:tc>
                <w:tcPr>
                  <w:tcW w:w="1691" w:type="dxa"/>
                  <w:shd w:val="clear" w:color="auto" w:fill="FFFFFF"/>
                  <w:tcMar>
                    <w:top w:w="15" w:type="dxa"/>
                    <w:left w:w="15" w:type="dxa"/>
                    <w:bottom w:w="15" w:type="dxa"/>
                    <w:right w:w="15" w:type="dxa"/>
                  </w:tcMar>
                  <w:vAlign w:val="center"/>
                  <w:hideMark/>
                </w:tcPr>
                <w:p w:rsidR="007D6A1F" w:rsidRPr="007D6A1F" w:rsidRDefault="007D6A1F" w:rsidP="001D1A9A">
                  <w:pPr>
                    <w:framePr w:hSpace="141" w:wrap="around" w:hAnchor="margin" w:y="442"/>
                    <w:rPr>
                      <w:rFonts w:cs="Times New Roman"/>
                    </w:rPr>
                  </w:pPr>
                </w:p>
              </w:tc>
            </w:tr>
          </w:tbl>
          <w:p w:rsidR="007D6A1F" w:rsidRPr="007D6A1F" w:rsidRDefault="007D6A1F">
            <w:pPr>
              <w:spacing w:before="30" w:after="30"/>
              <w:rPr>
                <w:rFonts w:eastAsia="Times New Roman" w:cstheme="minorHAnsi"/>
                <w:sz w:val="24"/>
                <w:szCs w:val="24"/>
              </w:rPr>
            </w:pPr>
          </w:p>
        </w:tc>
      </w:tr>
    </w:tbl>
    <w:p w:rsidR="007D6A1F" w:rsidRPr="007D6A1F" w:rsidRDefault="007D6A1F" w:rsidP="007D6A1F">
      <w:pPr>
        <w:spacing w:before="30" w:after="30"/>
        <w:ind w:left="3540" w:firstLine="708"/>
        <w:rPr>
          <w:rFonts w:eastAsia="Times New Roman" w:cstheme="minorHAnsi"/>
          <w:sz w:val="36"/>
          <w:szCs w:val="36"/>
        </w:rPr>
      </w:pPr>
    </w:p>
    <w:p w:rsidR="007D6A1F" w:rsidRPr="007D6A1F" w:rsidRDefault="007D6A1F" w:rsidP="007D6A1F">
      <w:pPr>
        <w:pStyle w:val="normal"/>
        <w:jc w:val="center"/>
        <w:rPr>
          <w:rFonts w:asciiTheme="minorHAnsi" w:hAnsiTheme="minorHAnsi"/>
          <w:b/>
          <w:sz w:val="36"/>
          <w:szCs w:val="36"/>
        </w:rPr>
      </w:pPr>
      <w:r w:rsidRPr="007D6A1F">
        <w:rPr>
          <w:rFonts w:asciiTheme="minorHAnsi" w:eastAsia="Calibri" w:hAnsiTheme="minorHAnsi" w:cs="Calibri"/>
          <w:b/>
          <w:sz w:val="36"/>
          <w:szCs w:val="36"/>
        </w:rPr>
        <w:t>“Zhodnocení a srovnání přístupu M. Harnera, J. Frazera, V.</w:t>
      </w:r>
      <w:r w:rsidR="00DD638C">
        <w:rPr>
          <w:rFonts w:asciiTheme="minorHAnsi" w:eastAsia="Calibri" w:hAnsiTheme="minorHAnsi" w:cs="Calibri"/>
          <w:b/>
          <w:sz w:val="36"/>
          <w:szCs w:val="36"/>
        </w:rPr>
        <w:t> </w:t>
      </w:r>
      <w:r w:rsidRPr="007D6A1F">
        <w:rPr>
          <w:rFonts w:asciiTheme="minorHAnsi" w:eastAsia="Calibri" w:hAnsiTheme="minorHAnsi" w:cs="Calibri"/>
          <w:b/>
          <w:sz w:val="36"/>
          <w:szCs w:val="36"/>
        </w:rPr>
        <w:t>Turnera a E. Evanse-Pritcharda ke studiu náboženství.”</w:t>
      </w:r>
    </w:p>
    <w:p w:rsidR="007D6A1F" w:rsidRPr="007D6A1F" w:rsidRDefault="007D6A1F" w:rsidP="007D6A1F">
      <w:pPr>
        <w:spacing w:before="30" w:after="30"/>
        <w:jc w:val="center"/>
        <w:rPr>
          <w:rFonts w:cstheme="minorHAnsi"/>
          <w:sz w:val="32"/>
          <w:szCs w:val="32"/>
        </w:rPr>
      </w:pPr>
      <w:r w:rsidRPr="007D6A1F">
        <w:rPr>
          <w:rFonts w:cstheme="minorHAnsi"/>
          <w:sz w:val="32"/>
          <w:szCs w:val="32"/>
        </w:rPr>
        <w:t>Seminář k Úvodu do sociální antropologie (SAN301)</w:t>
      </w:r>
    </w:p>
    <w:p w:rsidR="007D6A1F" w:rsidRPr="007D6A1F" w:rsidRDefault="007D6A1F" w:rsidP="007D6A1F">
      <w:pPr>
        <w:jc w:val="center"/>
        <w:rPr>
          <w:rFonts w:cs="Times New Roman"/>
          <w:sz w:val="24"/>
          <w:szCs w:val="24"/>
        </w:rPr>
      </w:pPr>
    </w:p>
    <w:p w:rsidR="007D6A1F" w:rsidRPr="007D6A1F" w:rsidRDefault="007D6A1F" w:rsidP="007D6A1F">
      <w:pPr>
        <w:jc w:val="center"/>
      </w:pPr>
    </w:p>
    <w:p w:rsidR="007D6A1F" w:rsidRPr="007D6A1F" w:rsidRDefault="007D6A1F" w:rsidP="007D6A1F">
      <w:pPr>
        <w:jc w:val="center"/>
      </w:pPr>
    </w:p>
    <w:p w:rsidR="007D6A1F" w:rsidRPr="007D6A1F" w:rsidRDefault="007D6A1F" w:rsidP="007D6A1F">
      <w:pPr>
        <w:jc w:val="center"/>
      </w:pPr>
    </w:p>
    <w:p w:rsidR="007D6A1F" w:rsidRPr="007D6A1F" w:rsidRDefault="007D6A1F" w:rsidP="007D6A1F">
      <w:pPr>
        <w:jc w:val="center"/>
      </w:pPr>
    </w:p>
    <w:p w:rsidR="007D6A1F" w:rsidRPr="007D6A1F" w:rsidRDefault="007D6A1F" w:rsidP="007D6A1F">
      <w:pPr>
        <w:jc w:val="center"/>
      </w:pPr>
    </w:p>
    <w:p w:rsidR="007D6A1F" w:rsidRPr="007D6A1F" w:rsidRDefault="007D6A1F" w:rsidP="007D6A1F">
      <w:pPr>
        <w:jc w:val="center"/>
      </w:pPr>
    </w:p>
    <w:p w:rsidR="007D6A1F" w:rsidRPr="007D6A1F" w:rsidRDefault="007D6A1F" w:rsidP="007D6A1F">
      <w:pPr>
        <w:jc w:val="center"/>
      </w:pPr>
    </w:p>
    <w:p w:rsidR="007D6A1F" w:rsidRPr="007D6A1F" w:rsidRDefault="007D6A1F" w:rsidP="007D6A1F">
      <w:pPr>
        <w:jc w:val="center"/>
      </w:pPr>
    </w:p>
    <w:p w:rsidR="007D6A1F" w:rsidRPr="007D6A1F" w:rsidRDefault="007D6A1F" w:rsidP="007D6A1F">
      <w:pPr>
        <w:jc w:val="center"/>
      </w:pPr>
    </w:p>
    <w:p w:rsidR="007D6A1F" w:rsidRPr="007D6A1F" w:rsidRDefault="007D6A1F" w:rsidP="007D6A1F">
      <w:pPr>
        <w:jc w:val="center"/>
      </w:pPr>
    </w:p>
    <w:p w:rsidR="007D6A1F" w:rsidRDefault="007D6A1F" w:rsidP="007D6A1F">
      <w:r w:rsidRPr="007D6A1F">
        <w:t>Denisa Králová (414 975)</w:t>
      </w:r>
      <w:r w:rsidRPr="007D6A1F">
        <w:tab/>
      </w:r>
      <w:r w:rsidRPr="007D6A1F">
        <w:tab/>
      </w:r>
      <w:r w:rsidRPr="007D6A1F">
        <w:tab/>
      </w:r>
      <w:r w:rsidRPr="007D6A1F">
        <w:tab/>
      </w:r>
      <w:r w:rsidRPr="007D6A1F">
        <w:tab/>
      </w:r>
      <w:r w:rsidRPr="007D6A1F">
        <w:tab/>
      </w:r>
      <w:r w:rsidRPr="007D6A1F">
        <w:tab/>
      </w:r>
      <w:r w:rsidRPr="007D6A1F">
        <w:tab/>
      </w:r>
      <w:r w:rsidR="005F29A0" w:rsidRPr="007D6A1F">
        <w:t>28. 12. 2012</w:t>
      </w:r>
    </w:p>
    <w:p w:rsidR="00827536" w:rsidRPr="007D6A1F" w:rsidRDefault="00B10018" w:rsidP="00630F17">
      <w:pPr>
        <w:ind w:firstLine="720"/>
        <w:jc w:val="both"/>
      </w:pPr>
      <w:r w:rsidRPr="007D6A1F">
        <w:rPr>
          <w:rFonts w:eastAsia="Calibri" w:cs="Calibri"/>
        </w:rPr>
        <w:lastRenderedPageBreak/>
        <w:t>Náboženství je již dlouhou dobu nezbytnou součástí lidské kultury. Rov</w:t>
      </w:r>
      <w:r w:rsidR="007D6A1F">
        <w:rPr>
          <w:rFonts w:eastAsia="Calibri" w:cs="Calibri"/>
        </w:rPr>
        <w:t>něž je předmětem vědeckých výzku</w:t>
      </w:r>
      <w:r w:rsidR="00EC4D80">
        <w:rPr>
          <w:rFonts w:eastAsia="Calibri" w:cs="Calibri"/>
        </w:rPr>
        <w:t>mů a úvah, proto</w:t>
      </w:r>
      <w:r w:rsidRPr="007D6A1F">
        <w:rPr>
          <w:rFonts w:eastAsia="Calibri" w:cs="Calibri"/>
        </w:rPr>
        <w:t xml:space="preserve"> často zajímá a provokuje právě </w:t>
      </w:r>
      <w:r w:rsidR="00EC4D80">
        <w:rPr>
          <w:rFonts w:eastAsia="Calibri" w:cs="Calibri"/>
        </w:rPr>
        <w:t>ty, kteří sami žádnou víru</w:t>
      </w:r>
      <w:r w:rsidRPr="007D6A1F">
        <w:rPr>
          <w:rFonts w:eastAsia="Calibri" w:cs="Calibri"/>
        </w:rPr>
        <w:t xml:space="preserve"> nevyznávají. Existuje mnoho názorů a dohadů o jeho počátku, o vysvětlení jádra náboženství, obřadů, rituálů, modliteb atd., ve kterých se antropologové snažili objevit co nejmenšího společného jmenovatele náboženské zkušenosti. U hledání univerzálních znaků náboženství hrají významnou roli také dějiny lidstva.  </w:t>
      </w:r>
      <w:r w:rsidR="00630F17" w:rsidRPr="007D6A1F">
        <w:rPr>
          <w:rFonts w:eastAsia="Calibri" w:cs="Calibri"/>
        </w:rPr>
        <w:t>(Murphy, 1998) V této eseji se budu zabývat srovnáním p</w:t>
      </w:r>
      <w:r w:rsidR="00630F17">
        <w:rPr>
          <w:rFonts w:eastAsia="Calibri" w:cs="Calibri"/>
        </w:rPr>
        <w:t xml:space="preserve">řístupu Jamese George Frazera, </w:t>
      </w:r>
      <w:r w:rsidR="00630F17" w:rsidRPr="007D6A1F">
        <w:rPr>
          <w:rFonts w:eastAsia="Calibri" w:cs="Calibri"/>
        </w:rPr>
        <w:t xml:space="preserve">Edwarda Evanse-Pritcharda, </w:t>
      </w:r>
      <w:r w:rsidR="00EC4D80">
        <w:rPr>
          <w:rFonts w:eastAsia="Calibri" w:cs="Calibri"/>
        </w:rPr>
        <w:t xml:space="preserve">Victora Turnera a </w:t>
      </w:r>
      <w:r w:rsidR="00630F17" w:rsidRPr="007D6A1F">
        <w:rPr>
          <w:rFonts w:eastAsia="Calibri" w:cs="Calibri"/>
        </w:rPr>
        <w:t>Mich</w:t>
      </w:r>
      <w:r w:rsidR="00EC4D80">
        <w:rPr>
          <w:rFonts w:eastAsia="Calibri" w:cs="Calibri"/>
        </w:rPr>
        <w:t>aela Harnera</w:t>
      </w:r>
      <w:r w:rsidR="00630F17">
        <w:rPr>
          <w:rFonts w:eastAsia="Calibri" w:cs="Calibri"/>
        </w:rPr>
        <w:t xml:space="preserve"> </w:t>
      </w:r>
      <w:r w:rsidR="00630F17" w:rsidRPr="007D6A1F">
        <w:rPr>
          <w:rFonts w:eastAsia="Calibri" w:cs="Calibri"/>
        </w:rPr>
        <w:t>ke studiu náboženství a</w:t>
      </w:r>
      <w:r w:rsidR="00630F17">
        <w:rPr>
          <w:rFonts w:eastAsia="Calibri" w:cs="Calibri"/>
        </w:rPr>
        <w:t> </w:t>
      </w:r>
      <w:r w:rsidR="00630F17" w:rsidRPr="007D6A1F">
        <w:rPr>
          <w:rFonts w:eastAsia="Calibri" w:cs="Calibri"/>
        </w:rPr>
        <w:t xml:space="preserve">následným zhodnocením jejich pohledu na danou problematiku. </w:t>
      </w:r>
    </w:p>
    <w:p w:rsidR="00827536" w:rsidRPr="007D6A1F" w:rsidRDefault="00B10018" w:rsidP="00630F17">
      <w:pPr>
        <w:pStyle w:val="normal"/>
        <w:ind w:firstLine="720"/>
        <w:jc w:val="both"/>
        <w:rPr>
          <w:rFonts w:asciiTheme="minorHAnsi" w:hAnsiTheme="minorHAnsi"/>
        </w:rPr>
      </w:pPr>
      <w:r w:rsidRPr="007D6A1F">
        <w:rPr>
          <w:rFonts w:asciiTheme="minorHAnsi" w:eastAsia="Calibri" w:hAnsiTheme="minorHAnsi" w:cs="Calibri"/>
        </w:rPr>
        <w:t xml:space="preserve">Sir James George Frazer (1854-1941) byl skotský antropolog, původem z Glasgow, jeho učitelem byl, rovněž evolucionista, E. Tylor. Frazer je jedním z nejznámějších vědců zabývajících se náboženstvím. Jeho kniha </w:t>
      </w:r>
      <w:r w:rsidRPr="00630F17">
        <w:rPr>
          <w:rFonts w:asciiTheme="minorHAnsi" w:eastAsia="Calibri" w:hAnsiTheme="minorHAnsi" w:cs="Calibri"/>
          <w:i/>
        </w:rPr>
        <w:t>Zlatá ratolest</w:t>
      </w:r>
      <w:r w:rsidRPr="007D6A1F">
        <w:rPr>
          <w:rFonts w:asciiTheme="minorHAnsi" w:eastAsia="Calibri" w:hAnsiTheme="minorHAnsi" w:cs="Calibri"/>
        </w:rPr>
        <w:t xml:space="preserve"> (1890) vycházela z příběhů misionářů a objevitelů, na kterých Frazer stavěl svoji práci a pokusil se vytvořit univerzální teorii magie, náboženství a společnosti. Jde v ní především o</w:t>
      </w:r>
      <w:r w:rsidR="00AC40C5">
        <w:rPr>
          <w:rFonts w:asciiTheme="minorHAnsi" w:eastAsia="Calibri" w:hAnsiTheme="minorHAnsi" w:cs="Calibri"/>
        </w:rPr>
        <w:t> </w:t>
      </w:r>
      <w:r w:rsidRPr="007D6A1F">
        <w:rPr>
          <w:rFonts w:asciiTheme="minorHAnsi" w:eastAsia="Calibri" w:hAnsiTheme="minorHAnsi" w:cs="Calibri"/>
        </w:rPr>
        <w:t xml:space="preserve">srovnání povahy archaického náboženství. V knize nashromáždil spoustu údajů o magických úkonech, mýtech a rituálech kultur ze všech kontinentů. Zabýval se fenoménem tabu napříč primitivními náboženstvími. Tvrdil, že tabu sehrálo klíčovou roli ve vývoji společnosti a civilizované národy jsou prý již na něm nezávislé. Důležitou </w:t>
      </w:r>
      <w:r w:rsidR="005F29A0" w:rsidRPr="007D6A1F">
        <w:rPr>
          <w:rFonts w:asciiTheme="minorHAnsi" w:eastAsia="Calibri" w:hAnsiTheme="minorHAnsi" w:cs="Calibri"/>
        </w:rPr>
        <w:t>součástí</w:t>
      </w:r>
      <w:r w:rsidRPr="007D6A1F">
        <w:rPr>
          <w:rFonts w:asciiTheme="minorHAnsi" w:eastAsia="Calibri" w:hAnsiTheme="minorHAnsi" w:cs="Calibri"/>
        </w:rPr>
        <w:t xml:space="preserve"> díla je také popis principu instituce posvátného krále, </w:t>
      </w:r>
      <w:r w:rsidR="005F29A0">
        <w:rPr>
          <w:rFonts w:asciiTheme="minorHAnsi" w:eastAsia="Calibri" w:hAnsiTheme="minorHAnsi" w:cs="Calibri"/>
        </w:rPr>
        <w:t>objevený</w:t>
      </w:r>
      <w:r w:rsidRPr="007D6A1F">
        <w:rPr>
          <w:rFonts w:asciiTheme="minorHAnsi" w:eastAsia="Calibri" w:hAnsiTheme="minorHAnsi" w:cs="Calibri"/>
        </w:rPr>
        <w:t xml:space="preserve"> v</w:t>
      </w:r>
      <w:r w:rsidR="005F29A0">
        <w:rPr>
          <w:rFonts w:asciiTheme="minorHAnsi" w:eastAsia="Calibri" w:hAnsiTheme="minorHAnsi" w:cs="Calibri"/>
        </w:rPr>
        <w:t> </w:t>
      </w:r>
      <w:r w:rsidRPr="007D6A1F">
        <w:rPr>
          <w:rFonts w:asciiTheme="minorHAnsi" w:eastAsia="Calibri" w:hAnsiTheme="minorHAnsi" w:cs="Calibri"/>
        </w:rPr>
        <w:t>záznamech jednoho cestovatele, kdy byl král každoročně obětován a nahrazen novým kandidátem.</w:t>
      </w:r>
      <w:r w:rsidR="007D6A1F">
        <w:rPr>
          <w:rStyle w:val="Znakapoznpodarou"/>
          <w:rFonts w:asciiTheme="minorHAnsi" w:eastAsia="Calibri" w:hAnsiTheme="minorHAnsi" w:cs="Calibri"/>
        </w:rPr>
        <w:footnoteReference w:id="1"/>
      </w:r>
      <w:r w:rsidRPr="007D6A1F">
        <w:rPr>
          <w:rFonts w:asciiTheme="minorHAnsi" w:eastAsia="Calibri" w:hAnsiTheme="minorHAnsi" w:cs="Calibri"/>
        </w:rPr>
        <w:t xml:space="preserve">  </w:t>
      </w:r>
    </w:p>
    <w:p w:rsidR="00827536" w:rsidRPr="007D6A1F" w:rsidRDefault="00B10018" w:rsidP="00630F17">
      <w:pPr>
        <w:pStyle w:val="normal"/>
        <w:ind w:firstLine="720"/>
        <w:jc w:val="both"/>
        <w:rPr>
          <w:rFonts w:asciiTheme="minorHAnsi" w:hAnsiTheme="minorHAnsi"/>
        </w:rPr>
      </w:pPr>
      <w:r w:rsidRPr="007D6A1F">
        <w:rPr>
          <w:rFonts w:asciiTheme="minorHAnsi" w:eastAsia="Calibri" w:hAnsiTheme="minorHAnsi" w:cs="Calibri"/>
        </w:rPr>
        <w:t xml:space="preserve">Frazer věřil, že magie předchází náboženství. Pokud je na magii pohlíženo jako na něco falešného či mylného, lidé hledají další prostředky psychologické podpory a podléhají iluzi, že spiritualismus jim může pomoci. Když vidí, že náboženství nefunguje, obrací se k vědě. </w:t>
      </w:r>
      <w:r w:rsidR="005F29A0" w:rsidRPr="007D6A1F">
        <w:rPr>
          <w:rFonts w:asciiTheme="minorHAnsi" w:eastAsia="Calibri" w:hAnsiTheme="minorHAnsi" w:cs="Calibri"/>
        </w:rPr>
        <w:t>Věda i magie jsou založeny na víře v manipulac</w:t>
      </w:r>
      <w:r w:rsidR="005F29A0">
        <w:rPr>
          <w:rFonts w:asciiTheme="minorHAnsi" w:eastAsia="Calibri" w:hAnsiTheme="minorHAnsi" w:cs="Calibri"/>
        </w:rPr>
        <w:t xml:space="preserve">i s přírodními zákony, zatímco </w:t>
      </w:r>
      <w:r w:rsidR="005F29A0" w:rsidRPr="007D6A1F">
        <w:rPr>
          <w:rFonts w:asciiTheme="minorHAnsi" w:eastAsia="Calibri" w:hAnsiTheme="minorHAnsi" w:cs="Calibri"/>
        </w:rPr>
        <w:t xml:space="preserve">náboženství je založeno na víře v duchovno. </w:t>
      </w:r>
      <w:r w:rsidRPr="007D6A1F">
        <w:rPr>
          <w:rFonts w:asciiTheme="minorHAnsi" w:eastAsia="Calibri" w:hAnsiTheme="minorHAnsi" w:cs="Calibri"/>
        </w:rPr>
        <w:t xml:space="preserve">(Bowie, 2006) </w:t>
      </w:r>
    </w:p>
    <w:p w:rsidR="00827536" w:rsidRPr="007D6A1F" w:rsidRDefault="00EC4D80" w:rsidP="00630F17">
      <w:pPr>
        <w:pStyle w:val="normal"/>
        <w:ind w:firstLine="720"/>
        <w:jc w:val="both"/>
        <w:rPr>
          <w:rFonts w:asciiTheme="minorHAnsi" w:hAnsiTheme="minorHAnsi"/>
        </w:rPr>
      </w:pPr>
      <w:r>
        <w:rPr>
          <w:rFonts w:asciiTheme="minorHAnsi" w:eastAsia="Calibri" w:hAnsiTheme="minorHAnsi" w:cs="Calibri"/>
        </w:rPr>
        <w:t>„</w:t>
      </w:r>
      <w:r w:rsidR="00B10018" w:rsidRPr="007D6A1F">
        <w:rPr>
          <w:rFonts w:asciiTheme="minorHAnsi" w:eastAsia="Calibri" w:hAnsiTheme="minorHAnsi" w:cs="Calibri"/>
        </w:rPr>
        <w:t>Vidíme, že mezi magickou a vědeckou koncepcí světa je těsná analogie. V obou případech se vychází z naprosto pravidelné a spolehlivé následnosti jevů, určené neměnnými zákony, jejichž působení lze předpovídat a přesně odhadnout; v přírodě není místo pro prvky rozmaru, osudu a náhody.” (Frazer, 1994, str. 49)</w:t>
      </w:r>
    </w:p>
    <w:p w:rsidR="00827536" w:rsidRPr="007D6A1F" w:rsidRDefault="00B10018" w:rsidP="00630F17">
      <w:pPr>
        <w:pStyle w:val="normal"/>
        <w:ind w:firstLine="720"/>
        <w:jc w:val="both"/>
        <w:rPr>
          <w:rFonts w:asciiTheme="minorHAnsi" w:hAnsiTheme="minorHAnsi"/>
        </w:rPr>
      </w:pPr>
      <w:r w:rsidRPr="007D6A1F">
        <w:rPr>
          <w:rFonts w:asciiTheme="minorHAnsi" w:eastAsia="Calibri" w:hAnsiTheme="minorHAnsi" w:cs="Calibri"/>
        </w:rPr>
        <w:t xml:space="preserve">Frazer obecně hodnotil náboženství jako primitivní filozofický systém, jehož omyly se dají lehce vysvětlit ve světle moderní vědy. Zlatá ratolest byla přijata se smíšenými pocity, spíše než za vědecké, byla nejprve pokládána za umělecké dílo a také inspirovala mnoho umělců. </w:t>
      </w:r>
      <w:r w:rsidRPr="007D6A1F">
        <w:rPr>
          <w:rFonts w:asciiTheme="minorHAnsi" w:eastAsia="Calibri" w:hAnsiTheme="minorHAnsi" w:cs="Calibri"/>
          <w:vertAlign w:val="superscript"/>
        </w:rPr>
        <w:t>1</w:t>
      </w:r>
    </w:p>
    <w:p w:rsidR="00827536" w:rsidRPr="007D6A1F" w:rsidRDefault="00827536" w:rsidP="00630F17">
      <w:pPr>
        <w:pStyle w:val="normal"/>
        <w:jc w:val="both"/>
        <w:rPr>
          <w:rFonts w:asciiTheme="minorHAnsi" w:hAnsiTheme="minorHAnsi"/>
        </w:rPr>
      </w:pPr>
    </w:p>
    <w:p w:rsidR="00827536" w:rsidRPr="007D6A1F" w:rsidRDefault="005F29A0" w:rsidP="00630F17">
      <w:pPr>
        <w:pStyle w:val="normal"/>
        <w:ind w:firstLine="720"/>
        <w:jc w:val="both"/>
        <w:rPr>
          <w:rFonts w:asciiTheme="minorHAnsi" w:hAnsiTheme="minorHAnsi"/>
        </w:rPr>
      </w:pPr>
      <w:r w:rsidRPr="007D6A1F">
        <w:rPr>
          <w:rFonts w:asciiTheme="minorHAnsi" w:eastAsia="Calibri" w:hAnsiTheme="minorHAnsi" w:cs="Calibri"/>
        </w:rPr>
        <w:t>Sir Edward Evan Evans-Pritchard (1902-1973) byl profesorem sociální antropologie na Oxfordu a</w:t>
      </w:r>
      <w:r>
        <w:rPr>
          <w:rFonts w:asciiTheme="minorHAnsi" w:eastAsia="Calibri" w:hAnsiTheme="minorHAnsi" w:cs="Calibri"/>
        </w:rPr>
        <w:t> </w:t>
      </w:r>
      <w:r w:rsidRPr="007D6A1F">
        <w:rPr>
          <w:rFonts w:asciiTheme="minorHAnsi" w:eastAsia="Calibri" w:hAnsiTheme="minorHAnsi" w:cs="Calibri"/>
        </w:rPr>
        <w:t>je spojen s</w:t>
      </w:r>
      <w:r>
        <w:rPr>
          <w:rFonts w:asciiTheme="minorHAnsi" w:eastAsia="Calibri" w:hAnsiTheme="minorHAnsi" w:cs="Calibri"/>
        </w:rPr>
        <w:t>e</w:t>
      </w:r>
      <w:r w:rsidRPr="007D6A1F">
        <w:rPr>
          <w:rFonts w:asciiTheme="minorHAnsi" w:eastAsia="Calibri" w:hAnsiTheme="minorHAnsi" w:cs="Calibri"/>
        </w:rPr>
        <w:t xml:space="preserve"> st</w:t>
      </w:r>
      <w:r>
        <w:rPr>
          <w:rFonts w:asciiTheme="minorHAnsi" w:eastAsia="Calibri" w:hAnsiTheme="minorHAnsi" w:cs="Calibri"/>
        </w:rPr>
        <w:t>ruktura</w:t>
      </w:r>
      <w:r w:rsidRPr="007D6A1F">
        <w:rPr>
          <w:rFonts w:asciiTheme="minorHAnsi" w:eastAsia="Calibri" w:hAnsiTheme="minorHAnsi" w:cs="Calibri"/>
        </w:rPr>
        <w:t xml:space="preserve">listicko-funkcionalistickou školou britské sociální antropologie. </w:t>
      </w:r>
      <w:r w:rsidR="00B10018" w:rsidRPr="007D6A1F">
        <w:rPr>
          <w:rFonts w:asciiTheme="minorHAnsi" w:eastAsia="Calibri" w:hAnsiTheme="minorHAnsi" w:cs="Calibri"/>
        </w:rPr>
        <w:t xml:space="preserve">Většina jeho práce byla prováděna v koloniální Africe. V jeho studii </w:t>
      </w:r>
      <w:r w:rsidR="00B10018" w:rsidRPr="00630F17">
        <w:rPr>
          <w:rFonts w:asciiTheme="minorHAnsi" w:eastAsia="Calibri" w:hAnsiTheme="minorHAnsi" w:cs="Calibri"/>
          <w:i/>
        </w:rPr>
        <w:t>Witchcraft, Magic and Oracles among the Azande</w:t>
      </w:r>
      <w:r w:rsidR="00B10018" w:rsidRPr="007D6A1F">
        <w:rPr>
          <w:rFonts w:asciiTheme="minorHAnsi" w:eastAsia="Calibri" w:hAnsiTheme="minorHAnsi" w:cs="Calibri"/>
        </w:rPr>
        <w:t xml:space="preserve"> (1937) popisuje nejen funkci čarodějnictví, ale hlavně jeho logiku.  (Bowie, 2006) Mezi jeho další díla patří </w:t>
      </w:r>
      <w:r w:rsidR="00630F17">
        <w:rPr>
          <w:rFonts w:asciiTheme="minorHAnsi" w:eastAsia="Calibri" w:hAnsiTheme="minorHAnsi" w:cs="Calibri"/>
          <w:i/>
        </w:rPr>
        <w:t>Theories of Primitive R</w:t>
      </w:r>
      <w:r w:rsidR="00B10018" w:rsidRPr="00630F17">
        <w:rPr>
          <w:rFonts w:asciiTheme="minorHAnsi" w:eastAsia="Calibri" w:hAnsiTheme="minorHAnsi" w:cs="Calibri"/>
          <w:i/>
        </w:rPr>
        <w:t>eligion</w:t>
      </w:r>
      <w:r w:rsidR="00B10018" w:rsidRPr="007D6A1F">
        <w:rPr>
          <w:rFonts w:asciiTheme="minorHAnsi" w:eastAsia="Calibri" w:hAnsiTheme="minorHAnsi" w:cs="Calibri"/>
        </w:rPr>
        <w:t xml:space="preserve">, vydané v roce 1965. </w:t>
      </w:r>
    </w:p>
    <w:p w:rsidR="00827536" w:rsidRPr="007D6A1F" w:rsidRDefault="00B10018" w:rsidP="00630F17">
      <w:pPr>
        <w:pStyle w:val="normal"/>
        <w:ind w:firstLine="720"/>
        <w:jc w:val="both"/>
        <w:rPr>
          <w:rFonts w:asciiTheme="minorHAnsi" w:hAnsiTheme="minorHAnsi"/>
        </w:rPr>
      </w:pPr>
      <w:r w:rsidRPr="007D6A1F">
        <w:rPr>
          <w:rFonts w:asciiTheme="minorHAnsi" w:eastAsia="Calibri" w:hAnsiTheme="minorHAnsi" w:cs="Calibri"/>
        </w:rPr>
        <w:t>Funkcionalistická antropologie vytýkala evolucionisticky založeným badatelům, což byl i Frazer, že jsou jejich práce v zásadě spekulacemi, jeli</w:t>
      </w:r>
      <w:r w:rsidR="00EC4D80">
        <w:rPr>
          <w:rFonts w:asciiTheme="minorHAnsi" w:eastAsia="Calibri" w:hAnsiTheme="minorHAnsi" w:cs="Calibri"/>
        </w:rPr>
        <w:t xml:space="preserve">kož nezahrnují terénní výzkum. </w:t>
      </w:r>
      <w:r w:rsidRPr="007D6A1F">
        <w:rPr>
          <w:rFonts w:asciiTheme="minorHAnsi" w:eastAsia="Calibri" w:hAnsiTheme="minorHAnsi" w:cs="Calibri"/>
        </w:rPr>
        <w:t xml:space="preserve">Podstatou funkcionalistického přístupu tedy bylo získávání dat z první ruky. </w:t>
      </w:r>
      <w:r w:rsidR="005F29A0" w:rsidRPr="007D6A1F">
        <w:rPr>
          <w:rFonts w:asciiTheme="minorHAnsi" w:eastAsia="Calibri" w:hAnsiTheme="minorHAnsi" w:cs="Calibri"/>
        </w:rPr>
        <w:t>Ve svých výzkumech se zaměřil ješt</w:t>
      </w:r>
      <w:r w:rsidR="005F29A0">
        <w:rPr>
          <w:rFonts w:asciiTheme="minorHAnsi" w:eastAsia="Calibri" w:hAnsiTheme="minorHAnsi" w:cs="Calibri"/>
        </w:rPr>
        <w:t xml:space="preserve">ě na Súdán a především tamější </w:t>
      </w:r>
      <w:r w:rsidR="005F29A0" w:rsidRPr="007D6A1F">
        <w:rPr>
          <w:rFonts w:asciiTheme="minorHAnsi" w:eastAsia="Calibri" w:hAnsiTheme="minorHAnsi" w:cs="Calibri"/>
        </w:rPr>
        <w:t>kulturu Nuerů, o kterých rovněž napsal knihu. Právě k</w:t>
      </w:r>
      <w:r w:rsidR="005F29A0">
        <w:rPr>
          <w:rFonts w:asciiTheme="minorHAnsi" w:eastAsia="Calibri" w:hAnsiTheme="minorHAnsi" w:cs="Calibri"/>
        </w:rPr>
        <w:t xml:space="preserve">men Nuerů nezná </w:t>
      </w:r>
      <w:r w:rsidR="005F29A0">
        <w:rPr>
          <w:rFonts w:asciiTheme="minorHAnsi" w:eastAsia="Calibri" w:hAnsiTheme="minorHAnsi" w:cs="Calibri"/>
        </w:rPr>
        <w:lastRenderedPageBreak/>
        <w:t xml:space="preserve">spojení </w:t>
      </w:r>
      <w:r w:rsidR="005F29A0" w:rsidRPr="007D6A1F">
        <w:rPr>
          <w:rFonts w:asciiTheme="minorHAnsi" w:eastAsia="Calibri" w:hAnsiTheme="minorHAnsi" w:cs="Calibri"/>
        </w:rPr>
        <w:t>přeložitelné jako “Já věřím” a na tom poukazuje na fakt, že</w:t>
      </w:r>
      <w:r w:rsidR="005F29A0">
        <w:rPr>
          <w:rFonts w:asciiTheme="minorHAnsi" w:eastAsia="Calibri" w:hAnsiTheme="minorHAnsi" w:cs="Calibri"/>
        </w:rPr>
        <w:t xml:space="preserve"> západní civilizace jsou touto </w:t>
      </w:r>
      <w:r w:rsidR="005F29A0" w:rsidRPr="007D6A1F">
        <w:rPr>
          <w:rFonts w:asciiTheme="minorHAnsi" w:eastAsia="Calibri" w:hAnsiTheme="minorHAnsi" w:cs="Calibri"/>
        </w:rPr>
        <w:t>skutečností vyvedeny z míry. Koncept víry jako vnitřní osobní zkušenosti je jednou z velice kulturně relativních věcí, typickou pro západní společnost a to, že není dohádatelná v jiných civilizacích</w:t>
      </w:r>
      <w:r w:rsidR="005F29A0">
        <w:rPr>
          <w:rFonts w:asciiTheme="minorHAnsi" w:eastAsia="Calibri" w:hAnsiTheme="minorHAnsi" w:cs="Calibri"/>
        </w:rPr>
        <w:t xml:space="preserve">, </w:t>
      </w:r>
      <w:r w:rsidR="005F29A0" w:rsidRPr="007D6A1F">
        <w:rPr>
          <w:rFonts w:asciiTheme="minorHAnsi" w:eastAsia="Calibri" w:hAnsiTheme="minorHAnsi" w:cs="Calibri"/>
        </w:rPr>
        <w:t xml:space="preserve">ukazuje, že náboženství lze zkoumat i jinak a skrz odlišné projevy. </w:t>
      </w:r>
      <w:r w:rsidRPr="007D6A1F">
        <w:rPr>
          <w:rFonts w:asciiTheme="minorHAnsi" w:eastAsia="Calibri" w:hAnsiTheme="minorHAnsi" w:cs="Calibri"/>
        </w:rPr>
        <w:t xml:space="preserve">Obecně se domníval, že je potřeba získávat informace a data přímou účastí v životě pozorované skupiny a až pak je možné vyvodit obecné </w:t>
      </w:r>
      <w:r w:rsidR="005F29A0">
        <w:rPr>
          <w:rFonts w:asciiTheme="minorHAnsi" w:eastAsia="Calibri" w:hAnsiTheme="minorHAnsi" w:cs="Calibri"/>
        </w:rPr>
        <w:t>zákoni</w:t>
      </w:r>
      <w:r w:rsidR="005F29A0" w:rsidRPr="007D6A1F">
        <w:rPr>
          <w:rFonts w:asciiTheme="minorHAnsi" w:eastAsia="Calibri" w:hAnsiTheme="minorHAnsi" w:cs="Calibri"/>
        </w:rPr>
        <w:t>tosti</w:t>
      </w:r>
      <w:r w:rsidRPr="007D6A1F">
        <w:rPr>
          <w:rFonts w:asciiTheme="minorHAnsi" w:eastAsia="Calibri" w:hAnsiTheme="minorHAnsi" w:cs="Calibri"/>
        </w:rPr>
        <w:t xml:space="preserve"> o fungování daných kultur. Avšak jeho závěry bývají </w:t>
      </w:r>
      <w:r w:rsidR="00630F17">
        <w:rPr>
          <w:rFonts w:asciiTheme="minorHAnsi" w:eastAsia="Calibri" w:hAnsiTheme="minorHAnsi" w:cs="Calibri"/>
        </w:rPr>
        <w:t xml:space="preserve">někdy </w:t>
      </w:r>
      <w:r w:rsidRPr="007D6A1F">
        <w:rPr>
          <w:rFonts w:asciiTheme="minorHAnsi" w:eastAsia="Calibri" w:hAnsiTheme="minorHAnsi" w:cs="Calibri"/>
        </w:rPr>
        <w:t xml:space="preserve">považovány za ahistorické. </w:t>
      </w:r>
      <w:r w:rsidR="007D6A1F">
        <w:rPr>
          <w:rStyle w:val="Znakapoznpodarou"/>
          <w:rFonts w:asciiTheme="minorHAnsi" w:eastAsia="Calibri" w:hAnsiTheme="minorHAnsi" w:cs="Calibri"/>
        </w:rPr>
        <w:footnoteReference w:id="2"/>
      </w:r>
      <w:r w:rsidRPr="007D6A1F">
        <w:rPr>
          <w:rFonts w:asciiTheme="minorHAnsi" w:eastAsia="Calibri" w:hAnsiTheme="minorHAnsi" w:cs="Calibri"/>
        </w:rPr>
        <w:t xml:space="preserve"> Říkal také, že je třeba k otázkám víry přistupovat jako k sociologickým, ne teologickým fak</w:t>
      </w:r>
      <w:r w:rsidR="00630F17">
        <w:rPr>
          <w:rFonts w:asciiTheme="minorHAnsi" w:eastAsia="Calibri" w:hAnsiTheme="minorHAnsi" w:cs="Calibri"/>
        </w:rPr>
        <w:t>tům. (Bowie, 2006) Za chybu rovněž</w:t>
      </w:r>
      <w:r w:rsidRPr="007D6A1F">
        <w:rPr>
          <w:rFonts w:asciiTheme="minorHAnsi" w:eastAsia="Calibri" w:hAnsiTheme="minorHAnsi" w:cs="Calibri"/>
        </w:rPr>
        <w:t xml:space="preserve"> považuje soustředění se na jeden aspekt náboženství, protože je třeba vnímat ho jako celek, jedině tak se dá pochopit.</w:t>
      </w:r>
    </w:p>
    <w:p w:rsidR="00827536" w:rsidRPr="007D6A1F" w:rsidRDefault="00827536" w:rsidP="00630F17">
      <w:pPr>
        <w:pStyle w:val="normal"/>
        <w:jc w:val="both"/>
        <w:rPr>
          <w:rFonts w:asciiTheme="minorHAnsi" w:hAnsiTheme="minorHAnsi"/>
        </w:rPr>
      </w:pPr>
    </w:p>
    <w:p w:rsidR="00630F17" w:rsidRDefault="00B10018" w:rsidP="00630F17">
      <w:pPr>
        <w:pStyle w:val="normal"/>
        <w:ind w:firstLine="720"/>
        <w:jc w:val="both"/>
        <w:rPr>
          <w:rFonts w:asciiTheme="minorHAnsi" w:eastAsia="Calibri" w:hAnsiTheme="minorHAnsi" w:cs="Calibri"/>
        </w:rPr>
      </w:pPr>
      <w:r w:rsidRPr="007D6A1F">
        <w:rPr>
          <w:rFonts w:asciiTheme="minorHAnsi" w:eastAsia="Calibri" w:hAnsiTheme="minorHAnsi" w:cs="Calibri"/>
        </w:rPr>
        <w:t>V</w:t>
      </w:r>
      <w:r w:rsidR="00630F17">
        <w:rPr>
          <w:rFonts w:asciiTheme="minorHAnsi" w:eastAsia="Calibri" w:hAnsiTheme="minorHAnsi" w:cs="Calibri"/>
        </w:rPr>
        <w:t xml:space="preserve">ictor Witter Turner (1920-1983) </w:t>
      </w:r>
      <w:r w:rsidRPr="007D6A1F">
        <w:rPr>
          <w:rFonts w:asciiTheme="minorHAnsi" w:eastAsia="Calibri" w:hAnsiTheme="minorHAnsi" w:cs="Calibri"/>
        </w:rPr>
        <w:t xml:space="preserve">byl britský kulturní antropolog, spolupracovník Maxe Gluckmana, který se zabýval hlavně studiem symbolů a přechodových rituálů. Byl vyučen ve strukturalisticko-funkcionalistické tradici stejně jako E.-Pritchard. Byl katolík, kvůli čemuž byla později některá jeho díla kritizována jako ovlivněná jeho pohledem na svět.  </w:t>
      </w:r>
      <w:r w:rsidR="00630F17" w:rsidRPr="007D6A1F">
        <w:rPr>
          <w:rFonts w:asciiTheme="minorHAnsi" w:eastAsia="Calibri" w:hAnsiTheme="minorHAnsi" w:cs="Calibri"/>
        </w:rPr>
        <w:t>Spolu s manželkou Edith pracovali v</w:t>
      </w:r>
      <w:r w:rsidR="00AC40C5">
        <w:rPr>
          <w:rFonts w:asciiTheme="minorHAnsi" w:eastAsia="Calibri" w:hAnsiTheme="minorHAnsi" w:cs="Calibri"/>
        </w:rPr>
        <w:t> </w:t>
      </w:r>
      <w:r w:rsidR="00630F17" w:rsidRPr="007D6A1F">
        <w:rPr>
          <w:rFonts w:asciiTheme="minorHAnsi" w:eastAsia="Calibri" w:hAnsiTheme="minorHAnsi" w:cs="Calibri"/>
        </w:rPr>
        <w:t xml:space="preserve">50. a 60. letech v kmeni Ndembu na území dnešní Zambie a Turner o nich napsal mnoho prací.  </w:t>
      </w:r>
      <w:r w:rsidRPr="007D6A1F">
        <w:rPr>
          <w:rFonts w:asciiTheme="minorHAnsi" w:eastAsia="Calibri" w:hAnsiTheme="minorHAnsi" w:cs="Calibri"/>
        </w:rPr>
        <w:t>(Bowie, 2006)</w:t>
      </w:r>
    </w:p>
    <w:p w:rsidR="00827536" w:rsidRPr="00630F17" w:rsidRDefault="00B10018" w:rsidP="00630F17">
      <w:pPr>
        <w:pStyle w:val="normal"/>
        <w:ind w:firstLine="720"/>
        <w:jc w:val="both"/>
        <w:rPr>
          <w:rFonts w:asciiTheme="minorHAnsi" w:eastAsia="Calibri" w:hAnsiTheme="minorHAnsi" w:cs="Calibri"/>
        </w:rPr>
      </w:pPr>
      <w:r w:rsidRPr="007D6A1F">
        <w:rPr>
          <w:rFonts w:asciiTheme="minorHAnsi" w:eastAsia="Calibri" w:hAnsiTheme="minorHAnsi" w:cs="Calibri"/>
        </w:rPr>
        <w:t xml:space="preserve">Rozpracoval komplexní analýzu iniciačních rituálů kmene Ndembu a poukázal na jejich funkčně sjednocující aspekty, na aspekty užitečné pro účastníky rituálů a na jejich hlubší symbolický význam. (Eriksen, 2008) Ve svém díle </w:t>
      </w:r>
      <w:r w:rsidRPr="00DD638C">
        <w:rPr>
          <w:rFonts w:asciiTheme="minorHAnsi" w:eastAsia="Calibri" w:hAnsiTheme="minorHAnsi" w:cs="Calibri"/>
          <w:i/>
        </w:rPr>
        <w:t>Průběh rituál</w:t>
      </w:r>
      <w:r w:rsidR="00DD638C">
        <w:rPr>
          <w:rFonts w:asciiTheme="minorHAnsi" w:eastAsia="Calibri" w:hAnsiTheme="minorHAnsi" w:cs="Calibri"/>
          <w:i/>
        </w:rPr>
        <w:t>u</w:t>
      </w:r>
      <w:r w:rsidRPr="007D6A1F">
        <w:rPr>
          <w:rFonts w:asciiTheme="minorHAnsi" w:eastAsia="Calibri" w:hAnsiTheme="minorHAnsi" w:cs="Calibri"/>
        </w:rPr>
        <w:t xml:space="preserve"> zdůrazňuje fakt, že neexistují jednodušší národy, ale pouze některé národy mají jednodušší technologie.  Navazuje na Arnolda van Gennepa (ten rozčlenil každý rituál do 3 fází - odloučení, pomezí, přijetí) a rozšiřuje jeho teorii přechodových rituálů. Porovnává konflikt struktury a liminarity, rozpracovává termín  liminarita neboli pomezí a zavádí nový termín  communitas, jímž označuje skupinu osob nacházejících se v liminaritě.</w:t>
      </w:r>
      <w:r w:rsidR="007D6A1F">
        <w:rPr>
          <w:rStyle w:val="Znakapoznpodarou"/>
          <w:rFonts w:asciiTheme="minorHAnsi" w:eastAsia="Calibri" w:hAnsiTheme="minorHAnsi" w:cs="Calibri"/>
        </w:rPr>
        <w:footnoteReference w:id="3"/>
      </w:r>
      <w:r w:rsidRPr="007D6A1F">
        <w:rPr>
          <w:rFonts w:asciiTheme="minorHAnsi" w:eastAsia="Calibri" w:hAnsiTheme="minorHAnsi" w:cs="Calibri"/>
        </w:rPr>
        <w:t xml:space="preserve"> Liminární bytosti nejsou ani tady ani tam, nacházejí se mezi postaveními určenými a uspořádanými zákony, zvyklostmi, konvencemi a</w:t>
      </w:r>
      <w:r w:rsidR="00AC40C5">
        <w:rPr>
          <w:rFonts w:asciiTheme="minorHAnsi" w:eastAsia="Calibri" w:hAnsiTheme="minorHAnsi" w:cs="Calibri"/>
        </w:rPr>
        <w:t> </w:t>
      </w:r>
      <w:r w:rsidRPr="007D6A1F">
        <w:rPr>
          <w:rFonts w:asciiTheme="minorHAnsi" w:eastAsia="Calibri" w:hAnsiTheme="minorHAnsi" w:cs="Calibri"/>
        </w:rPr>
        <w:t xml:space="preserve">obřady. </w:t>
      </w:r>
      <w:r w:rsidR="00630F17">
        <w:rPr>
          <w:rFonts w:asciiTheme="minorHAnsi" w:eastAsia="Calibri" w:hAnsiTheme="minorHAnsi" w:cs="Calibri"/>
        </w:rPr>
        <w:t>„</w:t>
      </w:r>
      <w:r w:rsidR="005F29A0" w:rsidRPr="007D6A1F">
        <w:rPr>
          <w:rFonts w:asciiTheme="minorHAnsi" w:eastAsia="Calibri" w:hAnsiTheme="minorHAnsi" w:cs="Calibri"/>
        </w:rPr>
        <w:t>Liminarita znamená, že vyšší po</w:t>
      </w:r>
      <w:r w:rsidR="005F29A0">
        <w:rPr>
          <w:rFonts w:asciiTheme="minorHAnsi" w:eastAsia="Calibri" w:hAnsiTheme="minorHAnsi" w:cs="Calibri"/>
        </w:rPr>
        <w:t xml:space="preserve">stavení neexistuje bez nižšího </w:t>
      </w:r>
      <w:r w:rsidR="005F29A0" w:rsidRPr="007D6A1F">
        <w:rPr>
          <w:rFonts w:asciiTheme="minorHAnsi" w:eastAsia="Calibri" w:hAnsiTheme="minorHAnsi" w:cs="Calibri"/>
        </w:rPr>
        <w:t xml:space="preserve">a ten kdo zastává vyšší pozici, musí rovněž zažít stav poníženého, proto např. princ Philip poslal svého syna, následníka britského trůnu do školy v australské buši, aby poznal “obyčejný život”. “ </w:t>
      </w:r>
    </w:p>
    <w:p w:rsidR="00827536" w:rsidRPr="007D6A1F" w:rsidRDefault="00630F17" w:rsidP="00630F17">
      <w:pPr>
        <w:pStyle w:val="normal"/>
        <w:jc w:val="both"/>
        <w:rPr>
          <w:rFonts w:asciiTheme="minorHAnsi" w:hAnsiTheme="minorHAnsi"/>
        </w:rPr>
      </w:pPr>
      <w:r>
        <w:rPr>
          <w:rFonts w:asciiTheme="minorHAnsi" w:eastAsia="Calibri" w:hAnsiTheme="minorHAnsi" w:cs="Calibri"/>
        </w:rPr>
        <w:t>„</w:t>
      </w:r>
      <w:r w:rsidR="00B10018" w:rsidRPr="007D6A1F">
        <w:rPr>
          <w:rFonts w:asciiTheme="minorHAnsi" w:eastAsia="Calibri" w:hAnsiTheme="minorHAnsi" w:cs="Calibri"/>
        </w:rPr>
        <w:t>V životě každého člověka se střídají prožitky struktury a</w:t>
      </w:r>
      <w:r>
        <w:rPr>
          <w:rFonts w:asciiTheme="minorHAnsi" w:eastAsia="Calibri" w:hAnsiTheme="minorHAnsi" w:cs="Calibri"/>
        </w:rPr>
        <w:t xml:space="preserve"> communitas, stavy a přechody.“ </w:t>
      </w:r>
      <w:r w:rsidR="00EC4D80">
        <w:rPr>
          <w:rFonts w:asciiTheme="minorHAnsi" w:eastAsia="Calibri" w:hAnsiTheme="minorHAnsi" w:cs="Calibri"/>
        </w:rPr>
        <w:t>(Turner, 2004</w:t>
      </w:r>
      <w:r w:rsidR="005F29A0">
        <w:rPr>
          <w:rFonts w:asciiTheme="minorHAnsi" w:eastAsia="Calibri" w:hAnsiTheme="minorHAnsi" w:cs="Calibri"/>
        </w:rPr>
        <w:t xml:space="preserve">, </w:t>
      </w:r>
      <w:r w:rsidR="005F29A0" w:rsidRPr="007D6A1F">
        <w:rPr>
          <w:rFonts w:asciiTheme="minorHAnsi" w:eastAsia="Calibri" w:hAnsiTheme="minorHAnsi" w:cs="Calibri"/>
        </w:rPr>
        <w:t>str. 97, 98)</w:t>
      </w:r>
      <w:r w:rsidR="005F29A0" w:rsidRPr="007D6A1F">
        <w:rPr>
          <w:rFonts w:asciiTheme="minorHAnsi" w:hAnsiTheme="minorHAnsi"/>
          <w:highlight w:val="white"/>
          <w:vertAlign w:val="superscript"/>
        </w:rPr>
        <w:t xml:space="preserve"> </w:t>
      </w:r>
      <w:r w:rsidR="005F29A0" w:rsidRPr="007D6A1F">
        <w:rPr>
          <w:rFonts w:asciiTheme="minorHAnsi" w:hAnsiTheme="minorHAnsi"/>
          <w:highlight w:val="white"/>
        </w:rPr>
        <w:t xml:space="preserve"> </w:t>
      </w:r>
    </w:p>
    <w:p w:rsidR="00827536" w:rsidRPr="007D6A1F" w:rsidRDefault="00827536" w:rsidP="00630F17">
      <w:pPr>
        <w:pStyle w:val="normal"/>
        <w:jc w:val="both"/>
        <w:rPr>
          <w:rFonts w:asciiTheme="minorHAnsi" w:hAnsiTheme="minorHAnsi"/>
        </w:rPr>
      </w:pPr>
    </w:p>
    <w:p w:rsidR="00630F17" w:rsidRDefault="00B10018" w:rsidP="00630F17">
      <w:pPr>
        <w:pStyle w:val="normal"/>
        <w:ind w:firstLine="720"/>
        <w:jc w:val="both"/>
        <w:rPr>
          <w:rFonts w:asciiTheme="minorHAnsi" w:eastAsia="Calibri" w:hAnsiTheme="minorHAnsi" w:cs="Calibri"/>
        </w:rPr>
      </w:pPr>
      <w:r w:rsidRPr="007D6A1F">
        <w:rPr>
          <w:rFonts w:asciiTheme="minorHAnsi" w:eastAsia="Calibri" w:hAnsiTheme="minorHAnsi" w:cs="Calibri"/>
        </w:rPr>
        <w:t xml:space="preserve">Naprosto odlišný přístup ke studiu náboženství zaujal Michael Harner (narozen 1929), akademický antropolog, který se zabýval šamanismem. </w:t>
      </w:r>
      <w:r w:rsidR="005F29A0" w:rsidRPr="007D6A1F">
        <w:rPr>
          <w:rFonts w:asciiTheme="minorHAnsi" w:eastAsia="Calibri" w:hAnsiTheme="minorHAnsi" w:cs="Calibri"/>
        </w:rPr>
        <w:t>Na</w:t>
      </w:r>
      <w:r w:rsidR="005F29A0">
        <w:rPr>
          <w:rFonts w:asciiTheme="minorHAnsi" w:eastAsia="Calibri" w:hAnsiTheme="minorHAnsi" w:cs="Calibri"/>
        </w:rPr>
        <w:t xml:space="preserve"> </w:t>
      </w:r>
      <w:r w:rsidR="005F29A0" w:rsidRPr="007D6A1F">
        <w:rPr>
          <w:rFonts w:asciiTheme="minorHAnsi" w:eastAsia="Calibri" w:hAnsiTheme="minorHAnsi" w:cs="Calibri"/>
        </w:rPr>
        <w:t>rozdíl</w:t>
      </w:r>
      <w:r w:rsidRPr="007D6A1F">
        <w:rPr>
          <w:rFonts w:asciiTheme="minorHAnsi" w:eastAsia="Calibri" w:hAnsiTheme="minorHAnsi" w:cs="Calibri"/>
        </w:rPr>
        <w:t xml:space="preserve"> od výše zmíněných antropologů, kteří </w:t>
      </w:r>
      <w:r w:rsidR="00630F17">
        <w:rPr>
          <w:rFonts w:asciiTheme="minorHAnsi" w:eastAsia="Calibri" w:hAnsiTheme="minorHAnsi" w:cs="Calibri"/>
        </w:rPr>
        <w:t> </w:t>
      </w:r>
      <w:r w:rsidRPr="007D6A1F">
        <w:rPr>
          <w:rFonts w:asciiTheme="minorHAnsi" w:eastAsia="Calibri" w:hAnsiTheme="minorHAnsi" w:cs="Calibri"/>
        </w:rPr>
        <w:t>k</w:t>
      </w:r>
      <w:r w:rsidR="00630F17">
        <w:rPr>
          <w:rFonts w:asciiTheme="minorHAnsi" w:eastAsia="Calibri" w:hAnsiTheme="minorHAnsi" w:cs="Calibri"/>
        </w:rPr>
        <w:t> </w:t>
      </w:r>
      <w:r w:rsidRPr="007D6A1F">
        <w:rPr>
          <w:rFonts w:asciiTheme="minorHAnsi" w:eastAsia="Calibri" w:hAnsiTheme="minorHAnsi" w:cs="Calibri"/>
        </w:rPr>
        <w:t>výzkumu náboženství přistupovali čistě jako k objektu vědeckého zkoumání, on se do své práce opravdu ponořil a stal se její součástí. Strávil mnoho let výzkumem šamanských technik v Americe a</w:t>
      </w:r>
      <w:r w:rsidR="00AC40C5">
        <w:rPr>
          <w:rFonts w:asciiTheme="minorHAnsi" w:eastAsia="Calibri" w:hAnsiTheme="minorHAnsi" w:cs="Calibri"/>
        </w:rPr>
        <w:t> </w:t>
      </w:r>
      <w:r w:rsidRPr="007D6A1F">
        <w:rPr>
          <w:rFonts w:asciiTheme="minorHAnsi" w:eastAsia="Calibri" w:hAnsiTheme="minorHAnsi" w:cs="Calibri"/>
        </w:rPr>
        <w:t xml:space="preserve">severní Evropě. Sám dokonce absolvoval trénink šamanských dovedností od kmene Jivaro Indiánů na Horní Amazonce během jeho práce v šedesátých letech a nabyl přesvědčení, že přehled a porozumění, které získal, je aplikovatelné na všechny lidi a že předkové Američanů a Evropanů kdysi měli stejné schopnosti. Tvrdil, že práce šamana je stejná, stejně jako lidská mysl, srdce a tělo, jen kultury jsou </w:t>
      </w:r>
      <w:r w:rsidRPr="007D6A1F">
        <w:rPr>
          <w:rFonts w:asciiTheme="minorHAnsi" w:eastAsia="Calibri" w:hAnsiTheme="minorHAnsi" w:cs="Calibri"/>
        </w:rPr>
        <w:lastRenderedPageBreak/>
        <w:t xml:space="preserve">odlišné. (Bowie, 2006) Sám se tedy stal tzv. going nativ, jedním z nich, a chtěl znovu přiblížit šamanské praktiky a kouzla západnímu světu. </w:t>
      </w:r>
    </w:p>
    <w:p w:rsidR="00827536" w:rsidRPr="007D6A1F" w:rsidRDefault="00B10018" w:rsidP="00630F17">
      <w:pPr>
        <w:pStyle w:val="normal"/>
        <w:ind w:firstLine="720"/>
        <w:jc w:val="both"/>
        <w:rPr>
          <w:rFonts w:asciiTheme="minorHAnsi" w:hAnsiTheme="minorHAnsi"/>
        </w:rPr>
      </w:pPr>
      <w:r w:rsidRPr="007D6A1F">
        <w:rPr>
          <w:rFonts w:asciiTheme="minorHAnsi" w:eastAsia="Calibri" w:hAnsiTheme="minorHAnsi" w:cs="Calibri"/>
        </w:rPr>
        <w:t xml:space="preserve"> </w:t>
      </w:r>
      <w:r w:rsidR="005F29A0" w:rsidRPr="007D6A1F">
        <w:rPr>
          <w:rFonts w:asciiTheme="minorHAnsi" w:eastAsia="Calibri" w:hAnsiTheme="minorHAnsi" w:cs="Calibri"/>
        </w:rPr>
        <w:t xml:space="preserve">Ve své knize </w:t>
      </w:r>
      <w:r w:rsidR="005F29A0" w:rsidRPr="00DD638C">
        <w:rPr>
          <w:rFonts w:asciiTheme="minorHAnsi" w:eastAsia="Calibri" w:hAnsiTheme="minorHAnsi" w:cs="Calibri"/>
          <w:i/>
        </w:rPr>
        <w:t>The Way of Shaman</w:t>
      </w:r>
      <w:r w:rsidR="005F29A0" w:rsidRPr="007D6A1F">
        <w:rPr>
          <w:rFonts w:asciiTheme="minorHAnsi" w:eastAsia="Calibri" w:hAnsiTheme="minorHAnsi" w:cs="Calibri"/>
        </w:rPr>
        <w:t xml:space="preserve"> podrobně po</w:t>
      </w:r>
      <w:r w:rsidR="005F29A0">
        <w:rPr>
          <w:rFonts w:asciiTheme="minorHAnsi" w:eastAsia="Calibri" w:hAnsiTheme="minorHAnsi" w:cs="Calibri"/>
        </w:rPr>
        <w:t>pisuje vlastní zážitky a osobní</w:t>
      </w:r>
      <w:r w:rsidR="005F29A0" w:rsidRPr="007D6A1F">
        <w:rPr>
          <w:rFonts w:asciiTheme="minorHAnsi" w:eastAsia="Calibri" w:hAnsiTheme="minorHAnsi" w:cs="Calibri"/>
        </w:rPr>
        <w:t xml:space="preserve"> zkušenosti se šamanskými praktikami. </w:t>
      </w:r>
      <w:r w:rsidRPr="007D6A1F">
        <w:rPr>
          <w:rFonts w:asciiTheme="minorHAnsi" w:eastAsia="Calibri" w:hAnsiTheme="minorHAnsi" w:cs="Calibri"/>
        </w:rPr>
        <w:t xml:space="preserve">Upozorňuje, že nedílnou součástí šamanské schopnosti je užívání drog, ovšem tím způsobem, že šaman ovládá drogu, ne ona jeho. </w:t>
      </w:r>
      <w:r w:rsidR="005F29A0" w:rsidRPr="007D6A1F">
        <w:rPr>
          <w:rFonts w:asciiTheme="minorHAnsi" w:eastAsia="Calibri" w:hAnsiTheme="minorHAnsi" w:cs="Calibri"/>
        </w:rPr>
        <w:t>Zmiňuje problém západní společnosti</w:t>
      </w:r>
      <w:r w:rsidR="005F29A0">
        <w:rPr>
          <w:rFonts w:asciiTheme="minorHAnsi" w:eastAsia="Calibri" w:hAnsiTheme="minorHAnsi" w:cs="Calibri"/>
        </w:rPr>
        <w:t>,</w:t>
      </w:r>
      <w:r w:rsidR="005F29A0" w:rsidRPr="007D6A1F">
        <w:rPr>
          <w:rFonts w:asciiTheme="minorHAnsi" w:eastAsia="Calibri" w:hAnsiTheme="minorHAnsi" w:cs="Calibri"/>
        </w:rPr>
        <w:t xml:space="preserve"> a sice její dohad</w:t>
      </w:r>
      <w:r w:rsidR="00EC4D80">
        <w:rPr>
          <w:rFonts w:asciiTheme="minorHAnsi" w:eastAsia="Calibri" w:hAnsiTheme="minorHAnsi" w:cs="Calibri"/>
        </w:rPr>
        <w:t>y</w:t>
      </w:r>
      <w:r w:rsidR="005F29A0" w:rsidRPr="007D6A1F">
        <w:rPr>
          <w:rFonts w:asciiTheme="minorHAnsi" w:eastAsia="Calibri" w:hAnsiTheme="minorHAnsi" w:cs="Calibri"/>
        </w:rPr>
        <w:t xml:space="preserve">, že šaman musí být fyzická osoba a nabízí řešení v podobě představení si šamanství jako vlastnosti, kterou tvor </w:t>
      </w:r>
      <w:r w:rsidR="005F29A0">
        <w:rPr>
          <w:rFonts w:asciiTheme="minorHAnsi" w:eastAsia="Calibri" w:hAnsiTheme="minorHAnsi" w:cs="Calibri"/>
        </w:rPr>
        <w:t>nabu</w:t>
      </w:r>
      <w:r w:rsidR="005F29A0" w:rsidRPr="007D6A1F">
        <w:rPr>
          <w:rFonts w:asciiTheme="minorHAnsi" w:eastAsia="Calibri" w:hAnsiTheme="minorHAnsi" w:cs="Calibri"/>
        </w:rPr>
        <w:t xml:space="preserve">de poté, co překoná sám sebe.   </w:t>
      </w:r>
    </w:p>
    <w:p w:rsidR="00827536" w:rsidRPr="007D6A1F" w:rsidRDefault="005F29A0" w:rsidP="00630F17">
      <w:pPr>
        <w:pStyle w:val="normal"/>
        <w:ind w:firstLine="720"/>
        <w:jc w:val="both"/>
        <w:rPr>
          <w:rFonts w:asciiTheme="minorHAnsi" w:hAnsiTheme="minorHAnsi"/>
        </w:rPr>
      </w:pPr>
      <w:r w:rsidRPr="007D6A1F">
        <w:rPr>
          <w:rFonts w:asciiTheme="minorHAnsi" w:eastAsia="Calibri" w:hAnsiTheme="minorHAnsi" w:cs="Calibri"/>
        </w:rPr>
        <w:t>Díky úplně odlišnému metodologickému přístupu pak Har</w:t>
      </w:r>
      <w:r>
        <w:rPr>
          <w:rFonts w:asciiTheme="minorHAnsi" w:eastAsia="Calibri" w:hAnsiTheme="minorHAnsi" w:cs="Calibri"/>
        </w:rPr>
        <w:t xml:space="preserve">ner kritizuje vědecké zkoumání </w:t>
      </w:r>
      <w:r w:rsidRPr="007D6A1F">
        <w:rPr>
          <w:rFonts w:asciiTheme="minorHAnsi" w:eastAsia="Calibri" w:hAnsiTheme="minorHAnsi" w:cs="Calibri"/>
        </w:rPr>
        <w:t xml:space="preserve">a tvrdí, že za všemi teoriemi se vytrácí skutečná realita, když věda odmítá celou řadu fenoménů, které se nehodí jejím předpokladům, jaký svět může být. </w:t>
      </w:r>
      <w:r w:rsidR="00B10018" w:rsidRPr="007D6A1F">
        <w:rPr>
          <w:rFonts w:asciiTheme="minorHAnsi" w:eastAsia="Calibri" w:hAnsiTheme="minorHAnsi" w:cs="Calibri"/>
        </w:rPr>
        <w:t>Zdůrazňuje, že šamanismus není náboženství, ale určitá metoda:</w:t>
      </w:r>
      <w:r w:rsidR="00630F17">
        <w:rPr>
          <w:rFonts w:asciiTheme="minorHAnsi" w:hAnsiTheme="minorHAnsi"/>
        </w:rPr>
        <w:t xml:space="preserve"> </w:t>
      </w:r>
      <w:r w:rsidR="00630F17">
        <w:rPr>
          <w:rFonts w:asciiTheme="minorHAnsi" w:eastAsia="Georgia" w:hAnsiTheme="minorHAnsi" w:cs="Georgia"/>
        </w:rPr>
        <w:t>„</w:t>
      </w:r>
      <w:r w:rsidR="00B10018" w:rsidRPr="007D6A1F">
        <w:rPr>
          <w:rFonts w:asciiTheme="minorHAnsi" w:eastAsia="Georgia" w:hAnsiTheme="minorHAnsi" w:cs="Georgia"/>
        </w:rPr>
        <w:t xml:space="preserve">Šamanismus </w:t>
      </w:r>
      <w:r w:rsidR="00B10018" w:rsidRPr="007D6A1F">
        <w:rPr>
          <w:rFonts w:asciiTheme="minorHAnsi" w:eastAsia="Georgia" w:hAnsiTheme="minorHAnsi" w:cs="Georgia"/>
          <w:i/>
        </w:rPr>
        <w:t>koexistuje s ustavenými náboženstvími mnoha kultur. Na Sibiři najdete šamanismus žijící s buddhismem a lamaismem a v Japonsku zase s buddhismem. Je pravda, že šamani se často vyskytují v animistických kulturách. Animismus znamená, že lidé tam věří v duchy. Takže v</w:t>
      </w:r>
      <w:r w:rsidR="00AC40C5">
        <w:rPr>
          <w:rFonts w:asciiTheme="minorHAnsi" w:eastAsia="Georgia" w:hAnsiTheme="minorHAnsi" w:cs="Georgia"/>
          <w:i/>
        </w:rPr>
        <w:t> </w:t>
      </w:r>
      <w:r w:rsidR="00B10018" w:rsidRPr="007D6A1F">
        <w:rPr>
          <w:rFonts w:asciiTheme="minorHAnsi" w:eastAsia="Georgia" w:hAnsiTheme="minorHAnsi" w:cs="Georgia"/>
          <w:i/>
        </w:rPr>
        <w:t xml:space="preserve">šamanských kulturách, kde se šamani stýkají s duchy, aby dosáhli třeba vyléčení, není nic překvapivého, že lidé v duchy věří. Ale šamani v duchy nevěří. Šamani s nimi mluví a stýkají se. Nevěří v duchy o nic víc, než nevěří v dům, v němž žijí, nebo v rodinu, kterou mají. To je velmi důležitý bod, protože šamanismus není systémem víry.” </w:t>
      </w:r>
      <w:r w:rsidR="007D6A1F">
        <w:rPr>
          <w:rStyle w:val="Znakapoznpodarou"/>
          <w:rFonts w:asciiTheme="minorHAnsi" w:eastAsia="Georgia" w:hAnsiTheme="minorHAnsi" w:cs="Georgia"/>
          <w:i/>
        </w:rPr>
        <w:footnoteReference w:id="4"/>
      </w:r>
    </w:p>
    <w:p w:rsidR="00630F17" w:rsidRDefault="00630F17" w:rsidP="00630F17">
      <w:pPr>
        <w:pStyle w:val="normal"/>
        <w:jc w:val="both"/>
        <w:rPr>
          <w:rFonts w:asciiTheme="minorHAnsi" w:eastAsia="Calibri" w:hAnsiTheme="minorHAnsi" w:cs="Calibri"/>
        </w:rPr>
      </w:pPr>
    </w:p>
    <w:p w:rsidR="00827536" w:rsidRPr="007D6A1F" w:rsidRDefault="00B10018" w:rsidP="00630F17">
      <w:pPr>
        <w:pStyle w:val="normal"/>
        <w:ind w:firstLine="720"/>
        <w:jc w:val="both"/>
        <w:rPr>
          <w:rFonts w:asciiTheme="minorHAnsi" w:hAnsiTheme="minorHAnsi"/>
        </w:rPr>
      </w:pPr>
      <w:r w:rsidRPr="007D6A1F">
        <w:rPr>
          <w:rFonts w:asciiTheme="minorHAnsi" w:eastAsia="Calibri" w:hAnsiTheme="minorHAnsi" w:cs="Calibri"/>
        </w:rPr>
        <w:t xml:space="preserve">Na výše zmíněných příkladech je vidět, jak moc se může lišit zkoumání jedné problematiky z více pohledů a v odlišném časovém úseku. Zatímco Frazer, evolucionista, narozený ještě v 19. století </w:t>
      </w:r>
      <w:r w:rsidR="00A5345A">
        <w:rPr>
          <w:rFonts w:asciiTheme="minorHAnsi" w:eastAsia="Calibri" w:hAnsiTheme="minorHAnsi" w:cs="Calibri"/>
        </w:rPr>
        <w:t xml:space="preserve">se zabýval magií, tabu a </w:t>
      </w:r>
      <w:r w:rsidRPr="007D6A1F">
        <w:rPr>
          <w:rFonts w:asciiTheme="minorHAnsi" w:eastAsia="Calibri" w:hAnsiTheme="minorHAnsi" w:cs="Calibri"/>
        </w:rPr>
        <w:t xml:space="preserve">upřednostňoval </w:t>
      </w:r>
      <w:r w:rsidR="003A4418">
        <w:rPr>
          <w:rFonts w:asciiTheme="minorHAnsi" w:eastAsia="Calibri" w:hAnsiTheme="minorHAnsi" w:cs="Calibri"/>
        </w:rPr>
        <w:t xml:space="preserve">pouhé </w:t>
      </w:r>
      <w:r w:rsidRPr="007D6A1F">
        <w:rPr>
          <w:rFonts w:asciiTheme="minorHAnsi" w:eastAsia="Calibri" w:hAnsiTheme="minorHAnsi" w:cs="Calibri"/>
        </w:rPr>
        <w:t xml:space="preserve">zpracování údajů, které objevili jiní, E.-Pritchard tento přístup </w:t>
      </w:r>
      <w:r w:rsidR="003A4418">
        <w:rPr>
          <w:rFonts w:asciiTheme="minorHAnsi" w:eastAsia="Calibri" w:hAnsiTheme="minorHAnsi" w:cs="Calibri"/>
        </w:rPr>
        <w:t xml:space="preserve">kompletně </w:t>
      </w:r>
      <w:r w:rsidRPr="007D6A1F">
        <w:rPr>
          <w:rFonts w:asciiTheme="minorHAnsi" w:eastAsia="Calibri" w:hAnsiTheme="minorHAnsi" w:cs="Calibri"/>
        </w:rPr>
        <w:t>odmítal a prosazoval důležitost terénního výzkumu a osobního podílení se na zkoumání problematiky v dané společnosti. Stejně tak Turner postavil svou práci n</w:t>
      </w:r>
      <w:r w:rsidR="003A4418">
        <w:rPr>
          <w:rFonts w:asciiTheme="minorHAnsi" w:eastAsia="Calibri" w:hAnsiTheme="minorHAnsi" w:cs="Calibri"/>
        </w:rPr>
        <w:t xml:space="preserve">a zúčastněném pozorování a zavítal zase do jiné oblasti náboženství, když zkoumal symboly a rituály. </w:t>
      </w:r>
      <w:r w:rsidRPr="007D6A1F">
        <w:rPr>
          <w:rFonts w:asciiTheme="minorHAnsi" w:eastAsia="Calibri" w:hAnsiTheme="minorHAnsi" w:cs="Calibri"/>
        </w:rPr>
        <w:t>S</w:t>
      </w:r>
      <w:r w:rsidR="00AC40C5">
        <w:rPr>
          <w:rFonts w:asciiTheme="minorHAnsi" w:eastAsia="Calibri" w:hAnsiTheme="minorHAnsi" w:cs="Calibri"/>
        </w:rPr>
        <w:t> </w:t>
      </w:r>
      <w:r w:rsidRPr="007D6A1F">
        <w:rPr>
          <w:rFonts w:asciiTheme="minorHAnsi" w:eastAsia="Calibri" w:hAnsiTheme="minorHAnsi" w:cs="Calibri"/>
        </w:rPr>
        <w:t xml:space="preserve">úplně převratným přístupem přišel Harner, který </w:t>
      </w:r>
      <w:r w:rsidR="003A4418">
        <w:rPr>
          <w:rFonts w:asciiTheme="minorHAnsi" w:eastAsia="Calibri" w:hAnsiTheme="minorHAnsi" w:cs="Calibri"/>
        </w:rPr>
        <w:t xml:space="preserve">zasvětil svou práci šamanismu, </w:t>
      </w:r>
      <w:r w:rsidRPr="007D6A1F">
        <w:rPr>
          <w:rFonts w:asciiTheme="minorHAnsi" w:eastAsia="Calibri" w:hAnsiTheme="minorHAnsi" w:cs="Calibri"/>
        </w:rPr>
        <w:t xml:space="preserve">přímo </w:t>
      </w:r>
      <w:r w:rsidR="003A4418">
        <w:rPr>
          <w:rFonts w:asciiTheme="minorHAnsi" w:eastAsia="Calibri" w:hAnsiTheme="minorHAnsi" w:cs="Calibri"/>
        </w:rPr>
        <w:t xml:space="preserve">se </w:t>
      </w:r>
      <w:r w:rsidRPr="007D6A1F">
        <w:rPr>
          <w:rFonts w:asciiTheme="minorHAnsi" w:eastAsia="Calibri" w:hAnsiTheme="minorHAnsi" w:cs="Calibri"/>
        </w:rPr>
        <w:t>stal souč</w:t>
      </w:r>
      <w:r w:rsidR="003A4418">
        <w:rPr>
          <w:rFonts w:asciiTheme="minorHAnsi" w:eastAsia="Calibri" w:hAnsiTheme="minorHAnsi" w:cs="Calibri"/>
        </w:rPr>
        <w:t>ástí svého výzkumu a osobně vyzkoušel šamanské praktiky</w:t>
      </w:r>
      <w:r w:rsidRPr="007D6A1F">
        <w:rPr>
          <w:rFonts w:asciiTheme="minorHAnsi" w:eastAsia="Calibri" w:hAnsiTheme="minorHAnsi" w:cs="Calibri"/>
        </w:rPr>
        <w:t>. Je tedy znát, že čas hraje významnou roli ve změně přístupu ke zkoumání, k čemuž se přidávají i</w:t>
      </w:r>
      <w:r w:rsidR="003A4418">
        <w:rPr>
          <w:rFonts w:asciiTheme="minorHAnsi" w:eastAsia="Calibri" w:hAnsiTheme="minorHAnsi" w:cs="Calibri"/>
        </w:rPr>
        <w:t> </w:t>
      </w:r>
      <w:r w:rsidRPr="007D6A1F">
        <w:rPr>
          <w:rFonts w:asciiTheme="minorHAnsi" w:eastAsia="Calibri" w:hAnsiTheme="minorHAnsi" w:cs="Calibri"/>
        </w:rPr>
        <w:t xml:space="preserve">další faktory jako celkový vývoj společnosti a názorů. Problematika </w:t>
      </w:r>
      <w:r w:rsidR="003A4418">
        <w:rPr>
          <w:rFonts w:asciiTheme="minorHAnsi" w:eastAsia="Calibri" w:hAnsiTheme="minorHAnsi" w:cs="Calibri"/>
        </w:rPr>
        <w:t>náboženství je bohatou</w:t>
      </w:r>
      <w:r w:rsidR="00AC40C5">
        <w:rPr>
          <w:rFonts w:asciiTheme="minorHAnsi" w:eastAsia="Calibri" w:hAnsiTheme="minorHAnsi" w:cs="Calibri"/>
        </w:rPr>
        <w:t> </w:t>
      </w:r>
      <w:r w:rsidRPr="007D6A1F">
        <w:rPr>
          <w:rFonts w:asciiTheme="minorHAnsi" w:eastAsia="Calibri" w:hAnsiTheme="minorHAnsi" w:cs="Calibri"/>
        </w:rPr>
        <w:t xml:space="preserve">studnicí informací a myslím, že vždy se najdou další různorodé aspekty hodné prozkoumání. </w:t>
      </w:r>
    </w:p>
    <w:p w:rsidR="007D6A1F" w:rsidRPr="007D6A1F" w:rsidRDefault="007D6A1F" w:rsidP="00630F17">
      <w:pPr>
        <w:pStyle w:val="normal"/>
        <w:jc w:val="both"/>
        <w:rPr>
          <w:rFonts w:asciiTheme="minorHAnsi" w:eastAsia="Calibri" w:hAnsiTheme="minorHAnsi" w:cs="Calibri"/>
        </w:rPr>
      </w:pPr>
    </w:p>
    <w:p w:rsidR="00827536" w:rsidRPr="007D6A1F" w:rsidRDefault="00827536" w:rsidP="00630F17">
      <w:pPr>
        <w:pStyle w:val="normal"/>
        <w:jc w:val="both"/>
      </w:pPr>
    </w:p>
    <w:p w:rsidR="00827536" w:rsidRPr="007D6A1F" w:rsidRDefault="00827536" w:rsidP="00630F17">
      <w:pPr>
        <w:pStyle w:val="normal"/>
        <w:jc w:val="both"/>
      </w:pPr>
    </w:p>
    <w:p w:rsidR="00827536" w:rsidRPr="007D6A1F" w:rsidRDefault="00827536" w:rsidP="00630F17">
      <w:pPr>
        <w:pStyle w:val="normal"/>
        <w:jc w:val="both"/>
      </w:pPr>
    </w:p>
    <w:p w:rsidR="00827536" w:rsidRPr="007D6A1F" w:rsidRDefault="00827536" w:rsidP="00630F17">
      <w:pPr>
        <w:pStyle w:val="normal"/>
        <w:jc w:val="both"/>
      </w:pPr>
    </w:p>
    <w:p w:rsidR="00827536" w:rsidRPr="007D6A1F" w:rsidRDefault="00827536" w:rsidP="00630F17">
      <w:pPr>
        <w:pStyle w:val="normal"/>
        <w:jc w:val="both"/>
      </w:pPr>
    </w:p>
    <w:p w:rsidR="00827536" w:rsidRDefault="00827536" w:rsidP="00630F17">
      <w:pPr>
        <w:pStyle w:val="normal"/>
        <w:jc w:val="both"/>
      </w:pPr>
    </w:p>
    <w:p w:rsidR="00827536" w:rsidRDefault="00827536" w:rsidP="00630F17">
      <w:pPr>
        <w:pStyle w:val="normal"/>
        <w:jc w:val="both"/>
      </w:pPr>
    </w:p>
    <w:p w:rsidR="007D6A1F" w:rsidRDefault="007D6A1F" w:rsidP="00630F17">
      <w:pPr>
        <w:pStyle w:val="normal"/>
        <w:jc w:val="both"/>
      </w:pPr>
    </w:p>
    <w:p w:rsidR="007D6A1F" w:rsidRDefault="007D6A1F" w:rsidP="00630F17">
      <w:pPr>
        <w:pStyle w:val="normal"/>
        <w:jc w:val="both"/>
      </w:pPr>
    </w:p>
    <w:p w:rsidR="00F15D76" w:rsidRDefault="00F15D76" w:rsidP="00630F17">
      <w:pPr>
        <w:pStyle w:val="normal"/>
        <w:jc w:val="both"/>
      </w:pPr>
    </w:p>
    <w:p w:rsidR="00630F17" w:rsidRPr="00630F17" w:rsidRDefault="00630F17" w:rsidP="00630F17">
      <w:pPr>
        <w:pStyle w:val="normal"/>
        <w:jc w:val="both"/>
        <w:rPr>
          <w:rFonts w:ascii="Calibri" w:hAnsi="Calibri"/>
          <w:b/>
          <w:sz w:val="23"/>
          <w:szCs w:val="23"/>
        </w:rPr>
      </w:pPr>
      <w:r w:rsidRPr="00630F17">
        <w:rPr>
          <w:rFonts w:ascii="Calibri" w:hAnsi="Calibri"/>
          <w:b/>
          <w:sz w:val="23"/>
          <w:szCs w:val="23"/>
        </w:rPr>
        <w:lastRenderedPageBreak/>
        <w:t>Použité zdroje</w:t>
      </w:r>
    </w:p>
    <w:p w:rsidR="007D6A1F" w:rsidRDefault="007D6A1F" w:rsidP="00630F17">
      <w:pPr>
        <w:pStyle w:val="normal"/>
        <w:rPr>
          <w:rFonts w:ascii="Calibri" w:hAnsi="Calibri"/>
          <w:sz w:val="23"/>
          <w:szCs w:val="23"/>
        </w:rPr>
      </w:pPr>
      <w:r>
        <w:rPr>
          <w:rFonts w:ascii="Calibri" w:hAnsi="Calibri"/>
          <w:sz w:val="23"/>
          <w:szCs w:val="23"/>
        </w:rPr>
        <w:t>MURPHY, Robert F., 1998. Úvod do kulturní a sociální antropologie. Praha: Sociologické</w:t>
      </w:r>
      <w:r>
        <w:br/>
      </w:r>
      <w:r w:rsidR="00630F17">
        <w:rPr>
          <w:rFonts w:ascii="Calibri" w:hAnsi="Calibri"/>
          <w:sz w:val="23"/>
          <w:szCs w:val="23"/>
        </w:rPr>
        <w:t xml:space="preserve">nakladatelství </w:t>
      </w:r>
      <w:r>
        <w:rPr>
          <w:rFonts w:ascii="Calibri" w:hAnsi="Calibri"/>
          <w:sz w:val="23"/>
          <w:szCs w:val="23"/>
        </w:rPr>
        <w:t>SLON</w:t>
      </w:r>
      <w:r>
        <w:br/>
      </w:r>
      <w:r>
        <w:rPr>
          <w:rFonts w:ascii="Calibri" w:hAnsi="Calibri"/>
          <w:sz w:val="23"/>
          <w:szCs w:val="23"/>
        </w:rPr>
        <w:t>ERIKSEN, Thomas Hylland, 2008. Sociální a kulturní antropologie. Praha: Portál</w:t>
      </w:r>
      <w:r>
        <w:br/>
      </w:r>
      <w:r>
        <w:rPr>
          <w:rFonts w:ascii="Calibri" w:hAnsi="Calibri"/>
          <w:sz w:val="23"/>
          <w:szCs w:val="23"/>
        </w:rPr>
        <w:t>FRAZER, James George, 1994. Zlatá ratolest. Praha: Mladá fronta</w:t>
      </w:r>
      <w:r>
        <w:br/>
      </w:r>
      <w:r>
        <w:rPr>
          <w:rFonts w:ascii="Calibri" w:hAnsi="Calibri"/>
          <w:sz w:val="23"/>
          <w:szCs w:val="23"/>
        </w:rPr>
        <w:t>TURNER, Victor, 2004. Průběh rituálu. Brno: Computer Press</w:t>
      </w:r>
    </w:p>
    <w:p w:rsidR="007D6A1F" w:rsidRPr="005F29A0" w:rsidRDefault="00DA3E61" w:rsidP="00630F17">
      <w:pPr>
        <w:pStyle w:val="normal"/>
        <w:rPr>
          <w:rFonts w:asciiTheme="minorHAnsi" w:hAnsiTheme="minorHAnsi"/>
          <w:color w:val="0070C0"/>
        </w:rPr>
      </w:pPr>
      <w:hyperlink r:id="rId8">
        <w:r w:rsidR="007D6A1F" w:rsidRPr="005F29A0">
          <w:rPr>
            <w:rFonts w:asciiTheme="minorHAnsi" w:eastAsia="Calibri" w:hAnsiTheme="minorHAnsi" w:cs="Calibri"/>
            <w:color w:val="0070C0"/>
            <w:u w:val="single"/>
          </w:rPr>
          <w:t>http://antropologie.zcu.cz/james-george-frazer</w:t>
        </w:r>
      </w:hyperlink>
    </w:p>
    <w:p w:rsidR="007D6A1F" w:rsidRPr="005F29A0" w:rsidRDefault="00DA3E61" w:rsidP="00630F17">
      <w:pPr>
        <w:pStyle w:val="Textpoznpodarou"/>
        <w:rPr>
          <w:color w:val="0070C0"/>
        </w:rPr>
      </w:pPr>
      <w:hyperlink r:id="rId9">
        <w:r w:rsidR="007D6A1F" w:rsidRPr="005F29A0">
          <w:rPr>
            <w:rFonts w:eastAsia="Calibri" w:cs="Calibri"/>
            <w:color w:val="0070C0"/>
            <w:sz w:val="22"/>
            <w:szCs w:val="22"/>
            <w:u w:val="single"/>
          </w:rPr>
          <w:t>http://www.david-zbiral.cz/Socialni-antropologie.htm</w:t>
        </w:r>
      </w:hyperlink>
    </w:p>
    <w:p w:rsidR="007D6A1F" w:rsidRPr="005F29A0" w:rsidRDefault="00DA3E61" w:rsidP="00630F17">
      <w:pPr>
        <w:pStyle w:val="normal"/>
        <w:rPr>
          <w:rFonts w:asciiTheme="minorHAnsi" w:eastAsia="Calibri" w:hAnsiTheme="minorHAnsi" w:cs="Calibri"/>
          <w:color w:val="0070C0"/>
        </w:rPr>
      </w:pPr>
      <w:hyperlink r:id="rId10" w:history="1">
        <w:r w:rsidR="005F29A0" w:rsidRPr="005F29A0">
          <w:rPr>
            <w:rStyle w:val="Hypertextovodkaz"/>
            <w:rFonts w:asciiTheme="minorHAnsi" w:eastAsia="Calibri" w:hAnsiTheme="minorHAnsi" w:cs="Calibri"/>
            <w:color w:val="0070C0"/>
          </w:rPr>
          <w:t>http://is.muni.cz/th/74821/ff_m/Magisterska_diplomova_prace.pdf</w:t>
        </w:r>
      </w:hyperlink>
    </w:p>
    <w:p w:rsidR="005F29A0" w:rsidRDefault="005F29A0" w:rsidP="007D6A1F">
      <w:pPr>
        <w:pStyle w:val="normal"/>
      </w:pPr>
    </w:p>
    <w:p w:rsidR="00827536" w:rsidRDefault="00827536">
      <w:pPr>
        <w:pStyle w:val="normal"/>
      </w:pPr>
    </w:p>
    <w:p w:rsidR="00827536" w:rsidRDefault="00827536">
      <w:pPr>
        <w:pStyle w:val="normal"/>
      </w:pPr>
    </w:p>
    <w:p w:rsidR="00827536" w:rsidRDefault="00827536">
      <w:pPr>
        <w:pStyle w:val="normal"/>
      </w:pPr>
    </w:p>
    <w:p w:rsidR="00827536" w:rsidRDefault="00827536">
      <w:pPr>
        <w:pStyle w:val="normal"/>
      </w:pPr>
    </w:p>
    <w:p w:rsidR="00827536" w:rsidRDefault="00827536">
      <w:pPr>
        <w:pStyle w:val="normal"/>
        <w:ind w:firstLine="720"/>
      </w:pPr>
    </w:p>
    <w:p w:rsidR="00827536" w:rsidRDefault="00827536">
      <w:pPr>
        <w:pStyle w:val="normal"/>
      </w:pPr>
    </w:p>
    <w:p w:rsidR="00827536" w:rsidRDefault="00827536">
      <w:pPr>
        <w:pStyle w:val="normal"/>
      </w:pPr>
    </w:p>
    <w:p w:rsidR="00827536" w:rsidRDefault="00827536">
      <w:pPr>
        <w:pStyle w:val="normal"/>
      </w:pPr>
    </w:p>
    <w:p w:rsidR="00827536" w:rsidRDefault="00827536">
      <w:pPr>
        <w:pStyle w:val="normal"/>
      </w:pPr>
    </w:p>
    <w:p w:rsidR="00827536" w:rsidRDefault="00827536">
      <w:pPr>
        <w:pStyle w:val="normal"/>
      </w:pPr>
    </w:p>
    <w:sectPr w:rsidR="00827536" w:rsidSect="00827536">
      <w:pgSz w:w="12240" w:h="15840"/>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61A" w:rsidRDefault="0030161A" w:rsidP="007D6A1F">
      <w:pPr>
        <w:spacing w:after="0" w:line="240" w:lineRule="auto"/>
      </w:pPr>
      <w:r>
        <w:separator/>
      </w:r>
    </w:p>
  </w:endnote>
  <w:endnote w:type="continuationSeparator" w:id="0">
    <w:p w:rsidR="0030161A" w:rsidRDefault="0030161A" w:rsidP="007D6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61A" w:rsidRDefault="0030161A" w:rsidP="007D6A1F">
      <w:pPr>
        <w:spacing w:after="0" w:line="240" w:lineRule="auto"/>
      </w:pPr>
      <w:r>
        <w:separator/>
      </w:r>
    </w:p>
  </w:footnote>
  <w:footnote w:type="continuationSeparator" w:id="0">
    <w:p w:rsidR="0030161A" w:rsidRDefault="0030161A" w:rsidP="007D6A1F">
      <w:pPr>
        <w:spacing w:after="0" w:line="240" w:lineRule="auto"/>
      </w:pPr>
      <w:r>
        <w:continuationSeparator/>
      </w:r>
    </w:p>
  </w:footnote>
  <w:footnote w:id="1">
    <w:p w:rsidR="007D6A1F" w:rsidRDefault="007D6A1F">
      <w:pPr>
        <w:pStyle w:val="Textpoznpodarou"/>
      </w:pPr>
      <w:r>
        <w:rPr>
          <w:rStyle w:val="Znakapoznpodarou"/>
        </w:rPr>
        <w:footnoteRef/>
      </w:r>
      <w:r>
        <w:t xml:space="preserve"> </w:t>
      </w:r>
      <w:hyperlink r:id="rId1">
        <w:r w:rsidRPr="007D6A1F">
          <w:rPr>
            <w:rFonts w:eastAsia="Calibri" w:cs="Calibri"/>
            <w:color w:val="1155CC"/>
            <w:sz w:val="22"/>
            <w:szCs w:val="22"/>
            <w:u w:val="single"/>
          </w:rPr>
          <w:t>http://antropologie.zcu.cz/james-george-frazer</w:t>
        </w:r>
      </w:hyperlink>
    </w:p>
  </w:footnote>
  <w:footnote w:id="2">
    <w:p w:rsidR="007D6A1F" w:rsidRPr="00630F17" w:rsidRDefault="007D6A1F">
      <w:pPr>
        <w:pStyle w:val="Textpoznpodarou"/>
        <w:rPr>
          <w:color w:val="0070C0"/>
        </w:rPr>
      </w:pPr>
      <w:r>
        <w:rPr>
          <w:rStyle w:val="Znakapoznpodarou"/>
        </w:rPr>
        <w:footnoteRef/>
      </w:r>
      <w:r>
        <w:t xml:space="preserve"> </w:t>
      </w:r>
      <w:hyperlink r:id="rId2">
        <w:r w:rsidRPr="00630F17">
          <w:rPr>
            <w:rFonts w:eastAsia="Calibri" w:cs="Calibri"/>
            <w:color w:val="0070C0"/>
            <w:sz w:val="22"/>
            <w:szCs w:val="22"/>
            <w:u w:val="single"/>
          </w:rPr>
          <w:t>http://www.david-zbiral.cz/Socialni-antropologie.htm</w:t>
        </w:r>
      </w:hyperlink>
    </w:p>
  </w:footnote>
  <w:footnote w:id="3">
    <w:p w:rsidR="007D6A1F" w:rsidRDefault="007D6A1F">
      <w:pPr>
        <w:pStyle w:val="Textpoznpodarou"/>
      </w:pPr>
      <w:r w:rsidRPr="00630F17">
        <w:rPr>
          <w:rStyle w:val="Znakapoznpodarou"/>
          <w:color w:val="0070C0"/>
        </w:rPr>
        <w:footnoteRef/>
      </w:r>
      <w:r w:rsidRPr="00630F17">
        <w:rPr>
          <w:color w:val="0070C0"/>
        </w:rPr>
        <w:t xml:space="preserve"> </w:t>
      </w:r>
      <w:hyperlink r:id="rId3" w:history="1">
        <w:r w:rsidR="00630F17" w:rsidRPr="00630F17">
          <w:rPr>
            <w:rStyle w:val="Hypertextovodkaz"/>
            <w:rFonts w:eastAsia="Calibri" w:cs="Calibri"/>
            <w:color w:val="0070C0"/>
            <w:sz w:val="22"/>
            <w:szCs w:val="22"/>
          </w:rPr>
          <w:t>http://is.muni.cz/th/74821/ff_m/Magisterska_diplomova_prace.pdf</w:t>
        </w:r>
      </w:hyperlink>
      <w:r w:rsidR="00630F17">
        <w:rPr>
          <w:rFonts w:eastAsia="Calibri" w:cs="Calibri"/>
          <w:sz w:val="22"/>
          <w:szCs w:val="22"/>
        </w:rPr>
        <w:t xml:space="preserve"> </w:t>
      </w:r>
    </w:p>
  </w:footnote>
  <w:footnote w:id="4">
    <w:p w:rsidR="007D6A1F" w:rsidRDefault="007D6A1F">
      <w:pPr>
        <w:pStyle w:val="Textpoznpodarou"/>
      </w:pPr>
      <w:r>
        <w:rPr>
          <w:rStyle w:val="Znakapoznpodarou"/>
        </w:rPr>
        <w:footnoteRef/>
      </w:r>
      <w:r>
        <w:t xml:space="preserve"> </w:t>
      </w:r>
      <w:r w:rsidRPr="007D6A1F">
        <w:rPr>
          <w:rFonts w:eastAsia="Georgia" w:cs="Georgia"/>
          <w:sz w:val="22"/>
          <w:szCs w:val="22"/>
        </w:rPr>
        <w:t xml:space="preserve">Rozhovor Bonnie Horrigan s M. Harnerem in </w:t>
      </w:r>
      <w:r w:rsidRPr="007D6A1F">
        <w:rPr>
          <w:rFonts w:eastAsia="Georgia" w:cs="Georgia"/>
          <w:i/>
          <w:sz w:val="22"/>
          <w:szCs w:val="22"/>
        </w:rPr>
        <w:t>Shamanism</w:t>
      </w:r>
      <w:r w:rsidRPr="007D6A1F">
        <w:rPr>
          <w:rFonts w:eastAsia="Georgia" w:cs="Georgia"/>
          <w:sz w:val="22"/>
          <w:szCs w:val="22"/>
        </w:rPr>
        <w:t>, Vol. 10, No. 1 (Spring-Summer) 1997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827536"/>
    <w:rsid w:val="0030161A"/>
    <w:rsid w:val="003A4418"/>
    <w:rsid w:val="005F29A0"/>
    <w:rsid w:val="00630F17"/>
    <w:rsid w:val="007D6A1F"/>
    <w:rsid w:val="00827536"/>
    <w:rsid w:val="00A5345A"/>
    <w:rsid w:val="00AC40C5"/>
    <w:rsid w:val="00B10018"/>
    <w:rsid w:val="00B57204"/>
    <w:rsid w:val="00DA3E61"/>
    <w:rsid w:val="00DD638C"/>
    <w:rsid w:val="00EC4D80"/>
    <w:rsid w:val="00F15D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E61"/>
  </w:style>
  <w:style w:type="paragraph" w:styleId="Nadpis1">
    <w:name w:val="heading 1"/>
    <w:basedOn w:val="normal"/>
    <w:next w:val="normal"/>
    <w:rsid w:val="00827536"/>
    <w:pPr>
      <w:spacing w:before="480" w:after="120"/>
      <w:outlineLvl w:val="0"/>
    </w:pPr>
    <w:rPr>
      <w:b/>
      <w:sz w:val="36"/>
    </w:rPr>
  </w:style>
  <w:style w:type="paragraph" w:styleId="Nadpis2">
    <w:name w:val="heading 2"/>
    <w:basedOn w:val="normal"/>
    <w:next w:val="normal"/>
    <w:rsid w:val="00827536"/>
    <w:pPr>
      <w:spacing w:before="360" w:after="80"/>
      <w:outlineLvl w:val="1"/>
    </w:pPr>
    <w:rPr>
      <w:b/>
      <w:sz w:val="28"/>
    </w:rPr>
  </w:style>
  <w:style w:type="paragraph" w:styleId="Nadpis3">
    <w:name w:val="heading 3"/>
    <w:basedOn w:val="normal"/>
    <w:next w:val="normal"/>
    <w:rsid w:val="00827536"/>
    <w:pPr>
      <w:spacing w:before="280" w:after="80"/>
      <w:outlineLvl w:val="2"/>
    </w:pPr>
    <w:rPr>
      <w:b/>
      <w:color w:val="666666"/>
      <w:sz w:val="24"/>
    </w:rPr>
  </w:style>
  <w:style w:type="paragraph" w:styleId="Nadpis4">
    <w:name w:val="heading 4"/>
    <w:basedOn w:val="normal"/>
    <w:next w:val="normal"/>
    <w:rsid w:val="00827536"/>
    <w:pPr>
      <w:spacing w:before="240" w:after="40"/>
      <w:outlineLvl w:val="3"/>
    </w:pPr>
    <w:rPr>
      <w:i/>
      <w:color w:val="666666"/>
    </w:rPr>
  </w:style>
  <w:style w:type="paragraph" w:styleId="Nadpis5">
    <w:name w:val="heading 5"/>
    <w:basedOn w:val="normal"/>
    <w:next w:val="normal"/>
    <w:rsid w:val="00827536"/>
    <w:pPr>
      <w:spacing w:before="220" w:after="40"/>
      <w:outlineLvl w:val="4"/>
    </w:pPr>
    <w:rPr>
      <w:b/>
      <w:color w:val="666666"/>
      <w:sz w:val="20"/>
    </w:rPr>
  </w:style>
  <w:style w:type="paragraph" w:styleId="Nadpis6">
    <w:name w:val="heading 6"/>
    <w:basedOn w:val="normal"/>
    <w:next w:val="normal"/>
    <w:rsid w:val="00827536"/>
    <w:pPr>
      <w:spacing w:before="200" w:after="40"/>
      <w:outlineLvl w:val="5"/>
    </w:pPr>
    <w:rPr>
      <w:i/>
      <w:color w:val="666666"/>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827536"/>
    <w:pPr>
      <w:spacing w:after="0"/>
    </w:pPr>
    <w:rPr>
      <w:rFonts w:ascii="Arial" w:eastAsia="Arial" w:hAnsi="Arial" w:cs="Arial"/>
      <w:color w:val="000000"/>
    </w:rPr>
  </w:style>
  <w:style w:type="paragraph" w:styleId="Nzev">
    <w:name w:val="Title"/>
    <w:basedOn w:val="normal"/>
    <w:next w:val="normal"/>
    <w:rsid w:val="00827536"/>
    <w:pPr>
      <w:spacing w:before="480" w:after="120"/>
    </w:pPr>
    <w:rPr>
      <w:b/>
      <w:sz w:val="72"/>
    </w:rPr>
  </w:style>
  <w:style w:type="paragraph" w:styleId="Podtitul">
    <w:name w:val="Subtitle"/>
    <w:basedOn w:val="normal"/>
    <w:next w:val="normal"/>
    <w:rsid w:val="00827536"/>
    <w:pPr>
      <w:spacing w:before="360" w:after="80"/>
    </w:pPr>
    <w:rPr>
      <w:rFonts w:ascii="Georgia" w:eastAsia="Georgia" w:hAnsi="Georgia" w:cs="Georgia"/>
      <w:i/>
      <w:color w:val="666666"/>
      <w:sz w:val="48"/>
    </w:rPr>
  </w:style>
  <w:style w:type="paragraph" w:styleId="Textbubliny">
    <w:name w:val="Balloon Text"/>
    <w:basedOn w:val="Normln"/>
    <w:link w:val="TextbublinyChar"/>
    <w:uiPriority w:val="99"/>
    <w:semiHidden/>
    <w:unhideWhenUsed/>
    <w:rsid w:val="007D6A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6A1F"/>
    <w:rPr>
      <w:rFonts w:ascii="Tahoma" w:hAnsi="Tahoma" w:cs="Tahoma"/>
      <w:sz w:val="16"/>
      <w:szCs w:val="16"/>
    </w:rPr>
  </w:style>
  <w:style w:type="paragraph" w:styleId="Textpoznpodarou">
    <w:name w:val="footnote text"/>
    <w:basedOn w:val="Normln"/>
    <w:link w:val="TextpoznpodarouChar"/>
    <w:uiPriority w:val="99"/>
    <w:semiHidden/>
    <w:unhideWhenUsed/>
    <w:rsid w:val="007D6A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D6A1F"/>
    <w:rPr>
      <w:sz w:val="20"/>
      <w:szCs w:val="20"/>
    </w:rPr>
  </w:style>
  <w:style w:type="character" w:styleId="Znakapoznpodarou">
    <w:name w:val="footnote reference"/>
    <w:basedOn w:val="Standardnpsmoodstavce"/>
    <w:uiPriority w:val="99"/>
    <w:semiHidden/>
    <w:unhideWhenUsed/>
    <w:rsid w:val="007D6A1F"/>
    <w:rPr>
      <w:vertAlign w:val="superscript"/>
    </w:rPr>
  </w:style>
  <w:style w:type="character" w:styleId="Hypertextovodkaz">
    <w:name w:val="Hyperlink"/>
    <w:basedOn w:val="Standardnpsmoodstavce"/>
    <w:uiPriority w:val="99"/>
    <w:unhideWhenUsed/>
    <w:rsid w:val="005F29A0"/>
    <w:rPr>
      <w:color w:val="0000FF" w:themeColor="hyperlink"/>
      <w:u w:val="single"/>
    </w:rPr>
  </w:style>
  <w:style w:type="paragraph" w:styleId="Zhlav">
    <w:name w:val="header"/>
    <w:basedOn w:val="Normln"/>
    <w:link w:val="ZhlavChar"/>
    <w:uiPriority w:val="99"/>
    <w:semiHidden/>
    <w:unhideWhenUsed/>
    <w:rsid w:val="00630F1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30F17"/>
  </w:style>
  <w:style w:type="paragraph" w:styleId="Zpat">
    <w:name w:val="footer"/>
    <w:basedOn w:val="Normln"/>
    <w:link w:val="ZpatChar"/>
    <w:uiPriority w:val="99"/>
    <w:semiHidden/>
    <w:unhideWhenUsed/>
    <w:rsid w:val="00630F1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30F17"/>
  </w:style>
</w:styles>
</file>

<file path=word/webSettings.xml><?xml version="1.0" encoding="utf-8"?>
<w:webSettings xmlns:r="http://schemas.openxmlformats.org/officeDocument/2006/relationships" xmlns:w="http://schemas.openxmlformats.org/wordprocessingml/2006/main">
  <w:divs>
    <w:div w:id="42685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ntropologie.zcu.cz/james-george-fraz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s.muni.cz/th/74821/ff_m/Magisterska_diplomova_prace.pdf" TargetMode="External"/><Relationship Id="rId4" Type="http://schemas.openxmlformats.org/officeDocument/2006/relationships/webSettings" Target="webSettings.xml"/><Relationship Id="rId9" Type="http://schemas.openxmlformats.org/officeDocument/2006/relationships/hyperlink" Target="http://www.david-zbiral.cz/Socialni-antropologie.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s.muni.cz/th/74821/ff_m/Magisterska_diplomova_prace.pdf" TargetMode="External"/><Relationship Id="rId2" Type="http://schemas.openxmlformats.org/officeDocument/2006/relationships/hyperlink" Target="http://www.david-zbiral.cz/Socialni-antropologie.htm" TargetMode="External"/><Relationship Id="rId1" Type="http://schemas.openxmlformats.org/officeDocument/2006/relationships/hyperlink" Target="http://antropologie.zcu.cz/james-george-fraze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C37B8-0B9B-44C5-8CB6-3112381A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1504</Words>
  <Characters>8875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Zhodnocení a srovnání přístupu k náboženství, Králová.docx</vt:lpstr>
    </vt:vector>
  </TitlesOfParts>
  <Company>Hewlett-Packard</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Zhodnocení a srovnání přístupu k náboženství, Králová.docx</dc:title>
  <dc:creator>Těstovina</dc:creator>
  <cp:lastModifiedBy>HP</cp:lastModifiedBy>
  <cp:revision>5</cp:revision>
  <dcterms:created xsi:type="dcterms:W3CDTF">2012-12-28T18:06:00Z</dcterms:created>
  <dcterms:modified xsi:type="dcterms:W3CDTF">2012-12-28T18:31:00Z</dcterms:modified>
</cp:coreProperties>
</file>