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  <w:r w:rsidRPr="00EB0772">
        <w:rPr>
          <w:b/>
          <w:sz w:val="24"/>
          <w:szCs w:val="24"/>
        </w:rPr>
        <w:t>Masarykova univerzita</w:t>
      </w: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  <w:r w:rsidRPr="00EB0772">
        <w:rPr>
          <w:b/>
          <w:sz w:val="24"/>
          <w:szCs w:val="24"/>
        </w:rPr>
        <w:t>Fakulta sociálních studií</w:t>
      </w: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  <w:r w:rsidRPr="00EB0772">
        <w:rPr>
          <w:b/>
          <w:sz w:val="24"/>
          <w:szCs w:val="24"/>
        </w:rPr>
        <w:t>Obor Sociální antropologie</w:t>
      </w: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tabs>
          <w:tab w:val="left" w:pos="360"/>
        </w:tabs>
        <w:spacing w:before="100" w:beforeAutospacing="1" w:after="100" w:afterAutospacing="1" w:line="360" w:lineRule="auto"/>
        <w:ind w:left="357"/>
        <w:jc w:val="center"/>
        <w:rPr>
          <w:b/>
          <w:sz w:val="24"/>
          <w:szCs w:val="24"/>
        </w:rPr>
      </w:pPr>
    </w:p>
    <w:p w:rsidR="00E23D0F" w:rsidRDefault="00E23D0F" w:rsidP="00EB0772">
      <w:pPr>
        <w:tabs>
          <w:tab w:val="left" w:pos="360"/>
        </w:tabs>
        <w:jc w:val="center"/>
        <w:rPr>
          <w:b/>
          <w:sz w:val="28"/>
        </w:rPr>
      </w:pPr>
    </w:p>
    <w:p w:rsidR="00E23D0F" w:rsidRDefault="00E23D0F" w:rsidP="00EB0772">
      <w:pPr>
        <w:tabs>
          <w:tab w:val="left" w:pos="360"/>
        </w:tabs>
        <w:jc w:val="center"/>
        <w:rPr>
          <w:b/>
          <w:sz w:val="28"/>
        </w:rPr>
      </w:pPr>
    </w:p>
    <w:p w:rsidR="00E23D0F" w:rsidRDefault="00E23D0F" w:rsidP="00EB0772">
      <w:pPr>
        <w:tabs>
          <w:tab w:val="left" w:pos="360"/>
        </w:tabs>
        <w:jc w:val="center"/>
        <w:rPr>
          <w:b/>
          <w:sz w:val="28"/>
        </w:rPr>
      </w:pPr>
    </w:p>
    <w:p w:rsidR="00EB0772" w:rsidRPr="00EB0772" w:rsidRDefault="00EB0772" w:rsidP="00EB0772">
      <w:pPr>
        <w:tabs>
          <w:tab w:val="left" w:pos="360"/>
        </w:tabs>
        <w:jc w:val="center"/>
        <w:rPr>
          <w:b/>
          <w:sz w:val="28"/>
        </w:rPr>
      </w:pPr>
      <w:r w:rsidRPr="00EB0772">
        <w:rPr>
          <w:b/>
          <w:sz w:val="28"/>
        </w:rPr>
        <w:t>Vývoj prístupu antropol</w:t>
      </w:r>
      <w:r w:rsidRPr="00EB0772">
        <w:rPr>
          <w:b/>
          <w:sz w:val="28"/>
        </w:rPr>
        <w:t>ó</w:t>
      </w:r>
      <w:r w:rsidRPr="00EB0772">
        <w:rPr>
          <w:b/>
          <w:sz w:val="28"/>
        </w:rPr>
        <w:t>gie k</w:t>
      </w:r>
      <w:r w:rsidRPr="00EB0772">
        <w:rPr>
          <w:b/>
          <w:sz w:val="28"/>
        </w:rPr>
        <w:t>u</w:t>
      </w:r>
      <w:r w:rsidRPr="00EB0772">
        <w:rPr>
          <w:b/>
          <w:sz w:val="28"/>
        </w:rPr>
        <w:t xml:space="preserve"> </w:t>
      </w:r>
      <w:r w:rsidRPr="00EB0772">
        <w:rPr>
          <w:b/>
          <w:sz w:val="28"/>
        </w:rPr>
        <w:t>štú</w:t>
      </w:r>
      <w:r w:rsidRPr="00EB0772">
        <w:rPr>
          <w:b/>
          <w:sz w:val="28"/>
        </w:rPr>
        <w:t>diu rituálu</w:t>
      </w: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23D0F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</w:p>
    <w:p w:rsidR="00EB0772" w:rsidRPr="00EB0772" w:rsidRDefault="00E23D0F" w:rsidP="00EB0772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 301: </w:t>
      </w:r>
      <w:r w:rsidR="00EB0772" w:rsidRPr="00EB0772">
        <w:rPr>
          <w:b/>
          <w:sz w:val="24"/>
          <w:szCs w:val="24"/>
        </w:rPr>
        <w:t>Seminár k úvodu do sociálnej antropológie</w:t>
      </w:r>
    </w:p>
    <w:p w:rsidR="00EB0772" w:rsidRPr="00EB0772" w:rsidRDefault="00EB0772" w:rsidP="00EB0772">
      <w:pPr>
        <w:spacing w:after="200" w:line="276" w:lineRule="auto"/>
        <w:jc w:val="center"/>
        <w:rPr>
          <w:b/>
          <w:sz w:val="24"/>
          <w:szCs w:val="24"/>
        </w:rPr>
      </w:pPr>
      <w:r w:rsidRPr="00EB0772">
        <w:rPr>
          <w:b/>
          <w:sz w:val="24"/>
          <w:szCs w:val="24"/>
        </w:rPr>
        <w:t>Katarína Teplická (385979)</w:t>
      </w:r>
    </w:p>
    <w:p w:rsidR="00EB0772" w:rsidRPr="00EB0772" w:rsidRDefault="00EB0772" w:rsidP="00EB0772">
      <w:pPr>
        <w:tabs>
          <w:tab w:val="left" w:pos="360"/>
        </w:tabs>
        <w:jc w:val="center"/>
        <w:rPr>
          <w:b/>
        </w:rPr>
      </w:pPr>
      <w:r w:rsidRPr="00EB0772">
        <w:rPr>
          <w:b/>
          <w:sz w:val="24"/>
          <w:szCs w:val="24"/>
        </w:rPr>
        <w:t xml:space="preserve">V Brne </w:t>
      </w:r>
      <w:r w:rsidRPr="00EB0772">
        <w:rPr>
          <w:b/>
          <w:sz w:val="24"/>
          <w:szCs w:val="24"/>
        </w:rPr>
        <w:t>29</w:t>
      </w:r>
      <w:r w:rsidRPr="00EB0772">
        <w:rPr>
          <w:b/>
          <w:sz w:val="24"/>
          <w:szCs w:val="24"/>
        </w:rPr>
        <w:t>.1</w:t>
      </w:r>
      <w:r w:rsidRPr="00EB0772">
        <w:rPr>
          <w:b/>
          <w:sz w:val="24"/>
          <w:szCs w:val="24"/>
        </w:rPr>
        <w:t>2</w:t>
      </w:r>
      <w:r w:rsidRPr="00EB0772">
        <w:rPr>
          <w:b/>
          <w:sz w:val="24"/>
          <w:szCs w:val="24"/>
        </w:rPr>
        <w:t>.2012</w:t>
      </w:r>
    </w:p>
    <w:p w:rsidR="00956621" w:rsidRPr="00EB0772" w:rsidRDefault="00956621"/>
    <w:p w:rsidR="00EB0772" w:rsidRPr="00EB0772" w:rsidRDefault="00EB0772">
      <w:pPr>
        <w:rPr>
          <w:b/>
        </w:rPr>
      </w:pPr>
    </w:p>
    <w:p w:rsidR="00EB0772" w:rsidRPr="00EB0772" w:rsidRDefault="00EB0772">
      <w:pPr>
        <w:rPr>
          <w:b/>
        </w:rPr>
      </w:pPr>
    </w:p>
    <w:p w:rsidR="00A71AC4" w:rsidRPr="00EB0772" w:rsidRDefault="00EB0772" w:rsidP="00EB0772">
      <w:pPr>
        <w:pStyle w:val="Heading1"/>
      </w:pPr>
      <w:r>
        <w:lastRenderedPageBreak/>
        <w:t>Ú</w:t>
      </w:r>
      <w:r w:rsidRPr="00EB0772">
        <w:t>vod</w:t>
      </w:r>
    </w:p>
    <w:p w:rsidR="00A71AC4" w:rsidRPr="00EB0772" w:rsidRDefault="00A71AC4" w:rsidP="00EB0772">
      <w:pPr>
        <w:spacing w:line="360" w:lineRule="auto"/>
        <w:rPr>
          <w:sz w:val="24"/>
          <w:szCs w:val="24"/>
        </w:rPr>
      </w:pPr>
    </w:p>
    <w:p w:rsidR="00414984" w:rsidRPr="00EB0772" w:rsidRDefault="006A04E3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</w:rPr>
        <w:t>Ritualizovaná činnosť je v súčasnom laickom povedomí chápaná ako akákoľvek činnosť, ktorá sa pravidelne opakuje. Antropol</w:t>
      </w:r>
      <w:r w:rsidR="00AA4F2E" w:rsidRPr="00EB0772">
        <w:rPr>
          <w:sz w:val="24"/>
          <w:szCs w:val="24"/>
        </w:rPr>
        <w:t>o</w:t>
      </w:r>
      <w:r w:rsidRPr="00EB0772">
        <w:rPr>
          <w:sz w:val="24"/>
          <w:szCs w:val="24"/>
        </w:rPr>
        <w:t>gické chápanie rituálu sa odlišuje od toho laického primárne v tom, že za rituálne činnosti považuje tie, ktoré su spojené s</w:t>
      </w:r>
      <w:r w:rsidR="00BA143E" w:rsidRPr="00EB0772">
        <w:rPr>
          <w:sz w:val="24"/>
          <w:szCs w:val="24"/>
        </w:rPr>
        <w:t> posvätným a nadprirodzeným. Rituály sa vykonávajú kolektívne a riadia sa súborom pravidiel. Pre ľudí účastniacich sa rituálu má tento akt hlboký osobný</w:t>
      </w:r>
      <w:r w:rsidRPr="00EB0772">
        <w:rPr>
          <w:sz w:val="24"/>
          <w:szCs w:val="24"/>
        </w:rPr>
        <w:t xml:space="preserve"> </w:t>
      </w:r>
      <w:r w:rsidR="00BA143E" w:rsidRPr="00EB0772">
        <w:rPr>
          <w:sz w:val="24"/>
          <w:szCs w:val="24"/>
        </w:rPr>
        <w:t>význam</w:t>
      </w:r>
      <w:r w:rsidR="00F46F28" w:rsidRPr="00EB0772">
        <w:rPr>
          <w:sz w:val="24"/>
          <w:szCs w:val="24"/>
        </w:rPr>
        <w:t xml:space="preserve">, ich súčasťou je potlačenie samého seba a následný prechod do zmeneného stavu. </w:t>
      </w:r>
      <w:r w:rsidR="00414984" w:rsidRPr="00EB0772">
        <w:rPr>
          <w:sz w:val="24"/>
          <w:szCs w:val="24"/>
        </w:rPr>
        <w:t xml:space="preserve">(Murphy 1999) </w:t>
      </w:r>
      <w:r w:rsidR="00A71AC4" w:rsidRPr="00EB0772">
        <w:rPr>
          <w:sz w:val="24"/>
          <w:szCs w:val="24"/>
        </w:rPr>
        <w:t xml:space="preserve">Výskum rituálu je úzko spätý s výskumom náboženstva. </w:t>
      </w:r>
      <w:r w:rsidR="00AA4F2E" w:rsidRPr="00EB0772">
        <w:rPr>
          <w:sz w:val="24"/>
          <w:szCs w:val="24"/>
        </w:rPr>
        <w:t xml:space="preserve">Podobne ako náboženstvo, rituály </w:t>
      </w:r>
      <w:r w:rsidR="00274856" w:rsidRPr="00EB0772">
        <w:rPr>
          <w:sz w:val="24"/>
          <w:szCs w:val="24"/>
        </w:rPr>
        <w:t>sú jedným zo základných rysov ľudských kul</w:t>
      </w:r>
      <w:r w:rsidR="00414984" w:rsidRPr="00EB0772">
        <w:rPr>
          <w:sz w:val="24"/>
          <w:szCs w:val="24"/>
        </w:rPr>
        <w:t>túr, čo</w:t>
      </w:r>
      <w:r w:rsidR="00274856" w:rsidRPr="00EB0772">
        <w:rPr>
          <w:sz w:val="24"/>
          <w:szCs w:val="24"/>
        </w:rPr>
        <w:t xml:space="preserve"> dokazuje fakt, že v každej </w:t>
      </w:r>
      <w:r w:rsidR="00414984" w:rsidRPr="00EB0772">
        <w:rPr>
          <w:sz w:val="24"/>
          <w:szCs w:val="24"/>
        </w:rPr>
        <w:t>známej</w:t>
      </w:r>
      <w:r w:rsidR="00274856" w:rsidRPr="00EB0772">
        <w:rPr>
          <w:sz w:val="24"/>
          <w:szCs w:val="24"/>
        </w:rPr>
        <w:t xml:space="preserve"> kultúre existuje nejaká forma ritualizovanej činnosti.</w:t>
      </w:r>
      <w:r w:rsidR="00C35C16">
        <w:rPr>
          <w:sz w:val="24"/>
          <w:szCs w:val="24"/>
        </w:rPr>
        <w:t xml:space="preserve"> V tejto práci sa pokúsim popísať niektoré hlavné prístupy ku štúdium rituálu a jeho funkcie a významu pre spoločnosť. </w:t>
      </w:r>
      <w:r w:rsidR="00EB362C" w:rsidRPr="00EB0772">
        <w:rPr>
          <w:sz w:val="24"/>
          <w:szCs w:val="24"/>
        </w:rPr>
        <w:t xml:space="preserve"> </w:t>
      </w:r>
    </w:p>
    <w:p w:rsidR="00A71AC4" w:rsidRPr="00EB0772" w:rsidRDefault="00EB0772" w:rsidP="00E23D0F">
      <w:pPr>
        <w:pStyle w:val="Heading1"/>
        <w:ind w:firstLine="284"/>
        <w:jc w:val="both"/>
        <w:rPr>
          <w:rFonts w:ascii="Times New Roman" w:hAnsi="Times New Roman" w:cs="Times New Roman"/>
        </w:rPr>
      </w:pPr>
      <w:r>
        <w:t>P</w:t>
      </w:r>
      <w:r w:rsidR="00A71AC4" w:rsidRPr="00EB0772">
        <w:rPr>
          <w:rFonts w:ascii="Times New Roman" w:hAnsi="Times New Roman" w:cs="Times New Roman"/>
        </w:rPr>
        <w:t>rístupy</w:t>
      </w:r>
      <w:r>
        <w:t xml:space="preserve"> ku štúdiu rituálu</w:t>
      </w:r>
      <w:r w:rsidR="00C83A45">
        <w:t>: funkcionalizmus, štrukturalizmus, symbolizmus</w:t>
      </w:r>
    </w:p>
    <w:p w:rsidR="00A71AC4" w:rsidRPr="00EB0772" w:rsidRDefault="00A71AC4" w:rsidP="00E23D0F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F46F28" w:rsidRPr="00EB0772" w:rsidRDefault="00F46F28" w:rsidP="00E23D0F">
      <w:pPr>
        <w:spacing w:line="360" w:lineRule="auto"/>
        <w:ind w:firstLine="284"/>
        <w:jc w:val="both"/>
        <w:rPr>
          <w:sz w:val="24"/>
          <w:szCs w:val="24"/>
        </w:rPr>
      </w:pPr>
    </w:p>
    <w:p w:rsidR="00EE61FC" w:rsidRPr="00EB0772" w:rsidRDefault="00AE5576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EB0772">
        <w:rPr>
          <w:sz w:val="24"/>
          <w:szCs w:val="24"/>
        </w:rPr>
        <w:t xml:space="preserve">Sociológ Émile Durkheim, inšpirovaný R. Smithom a J. Frazerom, hľadal odpovede na pôvod rituálu </w:t>
      </w:r>
      <w:r w:rsidRPr="00EB0772">
        <w:rPr>
          <w:sz w:val="24"/>
          <w:szCs w:val="24"/>
        </w:rPr>
        <w:t>v</w:t>
      </w:r>
      <w:r w:rsidRPr="00EB0772">
        <w:rPr>
          <w:sz w:val="24"/>
          <w:szCs w:val="24"/>
        </w:rPr>
        <w:t> totemických spoločnostiach.</w:t>
      </w:r>
      <w:r w:rsidR="00D4661E" w:rsidRPr="00EB0772">
        <w:rPr>
          <w:sz w:val="24"/>
          <w:szCs w:val="24"/>
        </w:rPr>
        <w:t xml:space="preserve"> Posvätná obeta je jednou z najčastejších foriem rituálneho správania v týchto s</w:t>
      </w:r>
      <w:r w:rsidR="00E23D0F">
        <w:rPr>
          <w:sz w:val="24"/>
          <w:szCs w:val="24"/>
        </w:rPr>
        <w:t>p</w:t>
      </w:r>
      <w:r w:rsidR="00D4661E" w:rsidRPr="00EB0772">
        <w:rPr>
          <w:sz w:val="24"/>
          <w:szCs w:val="24"/>
        </w:rPr>
        <w:t xml:space="preserve">oločnostiach. </w:t>
      </w:r>
      <w:r w:rsidR="007C571A" w:rsidRPr="00EB0772">
        <w:rPr>
          <w:sz w:val="24"/>
          <w:szCs w:val="24"/>
        </w:rPr>
        <w:t>Durkheim</w:t>
      </w:r>
      <w:r w:rsidR="00C83A45">
        <w:rPr>
          <w:sz w:val="24"/>
          <w:szCs w:val="24"/>
        </w:rPr>
        <w:t xml:space="preserve"> </w:t>
      </w:r>
      <w:r w:rsidR="007C571A" w:rsidRPr="00EB0772">
        <w:rPr>
          <w:sz w:val="24"/>
          <w:szCs w:val="24"/>
        </w:rPr>
        <w:t xml:space="preserve">tvrdil, že každá spoločnosť obsahuje v sebe prvky svetského a prvky náboženského. Rituály </w:t>
      </w:r>
      <w:r w:rsidR="00F608C5" w:rsidRPr="00EB0772">
        <w:rPr>
          <w:sz w:val="24"/>
          <w:szCs w:val="24"/>
        </w:rPr>
        <w:t>existujú</w:t>
      </w:r>
      <w:r w:rsidR="007C571A" w:rsidRPr="00EB0772">
        <w:rPr>
          <w:sz w:val="24"/>
          <w:szCs w:val="24"/>
        </w:rPr>
        <w:t xml:space="preserve"> ako spoločenské reprezentácie posvätn</w:t>
      </w:r>
      <w:r w:rsidR="00F608C5" w:rsidRPr="00EB0772">
        <w:rPr>
          <w:sz w:val="24"/>
          <w:szCs w:val="24"/>
        </w:rPr>
        <w:t>ej zložky spoločnosti</w:t>
      </w:r>
      <w:r w:rsidR="007C571A" w:rsidRPr="00EB0772">
        <w:rPr>
          <w:sz w:val="24"/>
          <w:szCs w:val="24"/>
        </w:rPr>
        <w:t xml:space="preserve">, slúžiac na posilňovanie solidarity a integrity spoločnosti. </w:t>
      </w:r>
      <w:r w:rsidR="007415AB" w:rsidRPr="00EB0772">
        <w:rPr>
          <w:sz w:val="24"/>
          <w:szCs w:val="24"/>
        </w:rPr>
        <w:t>Prístup Durkheima a spolu s ním mnohých ďalších autorov</w:t>
      </w:r>
      <w:r w:rsidR="00D252DC">
        <w:rPr>
          <w:sz w:val="24"/>
          <w:szCs w:val="24"/>
        </w:rPr>
        <w:t xml:space="preserve"> (</w:t>
      </w:r>
      <w:r w:rsidR="00D252DC" w:rsidRPr="00EB0772">
        <w:rPr>
          <w:sz w:val="24"/>
          <w:szCs w:val="24"/>
          <w:shd w:val="clear" w:color="auto" w:fill="FFFFFF"/>
        </w:rPr>
        <w:t>A.R. Radcliffe-Brown, E.E. Evans-Pritchard, Max Gluckman či Edmund Leach</w:t>
      </w:r>
      <w:r w:rsidR="00D252DC">
        <w:rPr>
          <w:sz w:val="24"/>
          <w:szCs w:val="24"/>
          <w:shd w:val="clear" w:color="auto" w:fill="FFFFFF"/>
        </w:rPr>
        <w:t>)</w:t>
      </w:r>
      <w:r w:rsidR="007415AB" w:rsidRPr="00EB0772">
        <w:rPr>
          <w:sz w:val="24"/>
          <w:szCs w:val="24"/>
        </w:rPr>
        <w:t xml:space="preserve"> patrí do oblasti fu</w:t>
      </w:r>
      <w:r w:rsidR="00AA4F2E" w:rsidRPr="00EB0772">
        <w:rPr>
          <w:sz w:val="24"/>
          <w:szCs w:val="24"/>
          <w:shd w:val="clear" w:color="auto" w:fill="FFFFFF"/>
        </w:rPr>
        <w:t>nkcionalizmu</w:t>
      </w:r>
      <w:r w:rsidR="007415AB" w:rsidRPr="00EB0772">
        <w:rPr>
          <w:sz w:val="24"/>
          <w:szCs w:val="24"/>
          <w:shd w:val="clear" w:color="auto" w:fill="FFFFFF"/>
        </w:rPr>
        <w:t>, ktorý</w:t>
      </w:r>
      <w:r w:rsidR="00AA4F2E" w:rsidRPr="00EB0772">
        <w:rPr>
          <w:sz w:val="24"/>
          <w:szCs w:val="24"/>
          <w:shd w:val="clear" w:color="auto" w:fill="FFFFFF"/>
        </w:rPr>
        <w:t xml:space="preserve"> </w:t>
      </w:r>
      <w:r w:rsidR="00AA4F2E" w:rsidRPr="00EB0772">
        <w:rPr>
          <w:sz w:val="24"/>
          <w:szCs w:val="24"/>
          <w:shd w:val="clear" w:color="auto" w:fill="FFFFFF"/>
        </w:rPr>
        <w:t xml:space="preserve">hľadá vysvetlenie rituálu v jeho spoločenskej funkcii. </w:t>
      </w:r>
      <w:r w:rsidR="00D252DC" w:rsidRPr="00EB0772">
        <w:rPr>
          <w:sz w:val="24"/>
          <w:szCs w:val="24"/>
        </w:rPr>
        <w:t>(Eriksen 2001)</w:t>
      </w:r>
      <w:r w:rsidR="00D252DC">
        <w:rPr>
          <w:sz w:val="24"/>
          <w:szCs w:val="24"/>
        </w:rPr>
        <w:t xml:space="preserve"> </w:t>
      </w:r>
      <w:r w:rsidR="00AA4F2E" w:rsidRPr="00EB0772">
        <w:rPr>
          <w:sz w:val="24"/>
          <w:szCs w:val="24"/>
          <w:shd w:val="clear" w:color="auto" w:fill="FFFFFF"/>
        </w:rPr>
        <w:t xml:space="preserve">Podľa </w:t>
      </w:r>
      <w:r w:rsidR="00EB7720" w:rsidRPr="00EB0772">
        <w:rPr>
          <w:sz w:val="24"/>
          <w:szCs w:val="24"/>
          <w:shd w:val="clear" w:color="auto" w:fill="FFFFFF"/>
        </w:rPr>
        <w:t>tohto</w:t>
      </w:r>
      <w:r w:rsidR="00AA4F2E" w:rsidRPr="00EB0772">
        <w:rPr>
          <w:sz w:val="24"/>
          <w:szCs w:val="24"/>
          <w:shd w:val="clear" w:color="auto" w:fill="FFFFFF"/>
        </w:rPr>
        <w:t xml:space="preserve"> prístup</w:t>
      </w:r>
      <w:r w:rsidR="00EB7720" w:rsidRPr="00EB0772">
        <w:rPr>
          <w:sz w:val="24"/>
          <w:szCs w:val="24"/>
          <w:shd w:val="clear" w:color="auto" w:fill="FFFFFF"/>
        </w:rPr>
        <w:t>u</w:t>
      </w:r>
      <w:r w:rsidR="00AA4F2E" w:rsidRPr="00EB0772">
        <w:rPr>
          <w:sz w:val="24"/>
          <w:szCs w:val="24"/>
          <w:shd w:val="clear" w:color="auto" w:fill="FFFFFF"/>
        </w:rPr>
        <w:t xml:space="preserve"> má rituál napomáhať udržovaniu </w:t>
      </w:r>
      <w:r w:rsidR="00EB7720" w:rsidRPr="00EB0772">
        <w:rPr>
          <w:sz w:val="24"/>
          <w:szCs w:val="24"/>
          <w:shd w:val="clear" w:color="auto" w:fill="FFFFFF"/>
        </w:rPr>
        <w:t xml:space="preserve">existujúcich </w:t>
      </w:r>
      <w:r w:rsidR="00AA4F2E" w:rsidRPr="00EB0772">
        <w:rPr>
          <w:sz w:val="24"/>
          <w:szCs w:val="24"/>
          <w:shd w:val="clear" w:color="auto" w:fill="FFFFFF"/>
        </w:rPr>
        <w:t>spoločenských štruktúr.</w:t>
      </w:r>
      <w:r w:rsidR="007415AB" w:rsidRPr="00EB0772">
        <w:rPr>
          <w:sz w:val="24"/>
          <w:szCs w:val="24"/>
          <w:shd w:val="clear" w:color="auto" w:fill="FFFFFF"/>
        </w:rPr>
        <w:t xml:space="preserve"> </w:t>
      </w:r>
    </w:p>
    <w:p w:rsidR="00EE61FC" w:rsidRPr="00EB0772" w:rsidRDefault="00EE61FC" w:rsidP="00E23D0F">
      <w:pPr>
        <w:pStyle w:val="ListParagraph"/>
        <w:spacing w:line="360" w:lineRule="auto"/>
        <w:ind w:left="0" w:firstLine="284"/>
        <w:jc w:val="both"/>
        <w:rPr>
          <w:sz w:val="24"/>
          <w:szCs w:val="24"/>
          <w:shd w:val="clear" w:color="auto" w:fill="FFFFFF"/>
        </w:rPr>
      </w:pPr>
    </w:p>
    <w:p w:rsidR="003627D9" w:rsidRDefault="00C83A45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Alfred </w:t>
      </w:r>
      <w:r w:rsidR="003507A6" w:rsidRPr="00EB0772">
        <w:rPr>
          <w:sz w:val="24"/>
          <w:szCs w:val="24"/>
          <w:shd w:val="clear" w:color="auto" w:fill="FFFFFF"/>
        </w:rPr>
        <w:t>R</w:t>
      </w:r>
      <w:r>
        <w:rPr>
          <w:sz w:val="24"/>
          <w:szCs w:val="24"/>
          <w:shd w:val="clear" w:color="auto" w:fill="FFFFFF"/>
        </w:rPr>
        <w:t>eginald</w:t>
      </w:r>
      <w:r w:rsidR="003507A6" w:rsidRPr="00EB0772">
        <w:rPr>
          <w:sz w:val="24"/>
          <w:szCs w:val="24"/>
          <w:shd w:val="clear" w:color="auto" w:fill="FFFFFF"/>
        </w:rPr>
        <w:t xml:space="preserve"> Radcliffe</w:t>
      </w:r>
      <w:r w:rsidR="00FE4AB7" w:rsidRPr="00EB0772">
        <w:rPr>
          <w:sz w:val="24"/>
          <w:szCs w:val="24"/>
          <w:shd w:val="clear" w:color="auto" w:fill="FFFFFF"/>
        </w:rPr>
        <w:t xml:space="preserve"> – </w:t>
      </w:r>
      <w:r w:rsidR="003507A6" w:rsidRPr="00EB0772">
        <w:rPr>
          <w:sz w:val="24"/>
          <w:szCs w:val="24"/>
          <w:shd w:val="clear" w:color="auto" w:fill="FFFFFF"/>
        </w:rPr>
        <w:t>Brown</w:t>
      </w:r>
      <w:r w:rsidR="00FE4AB7" w:rsidRPr="00EB0772">
        <w:rPr>
          <w:sz w:val="24"/>
          <w:szCs w:val="24"/>
          <w:shd w:val="clear" w:color="auto" w:fill="FFFFFF"/>
        </w:rPr>
        <w:t xml:space="preserve"> sa podobne ako Durkheim pýta, </w:t>
      </w:r>
      <w:r w:rsidR="00FE4AB7" w:rsidRPr="00EB0772">
        <w:rPr>
          <w:sz w:val="24"/>
          <w:szCs w:val="24"/>
          <w:shd w:val="clear" w:color="auto" w:fill="FFFFFF"/>
        </w:rPr>
        <w:t>akú rolu majú kultúrne javy pre zachovanie štruktú</w:t>
      </w:r>
      <w:r w:rsidR="00FE4AB7" w:rsidRPr="00EB0772">
        <w:rPr>
          <w:sz w:val="24"/>
          <w:szCs w:val="24"/>
          <w:shd w:val="clear" w:color="auto" w:fill="FFFFFF"/>
        </w:rPr>
        <w:t xml:space="preserve">ry a pre integráciu spoločnosti. Podľa neho </w:t>
      </w:r>
      <w:r w:rsidR="00FE4AB7" w:rsidRPr="00E23D0F">
        <w:rPr>
          <w:i/>
          <w:sz w:val="24"/>
          <w:szCs w:val="24"/>
          <w:shd w:val="clear" w:color="auto" w:fill="FFFFFF"/>
        </w:rPr>
        <w:t>„zvyky a rituály fungujú ako nástroje posilnenia stability spoločnosti a uchovania integrity kultúry.“</w:t>
      </w:r>
      <w:r w:rsidR="005B7A38" w:rsidRPr="00EB0772">
        <w:rPr>
          <w:sz w:val="24"/>
          <w:szCs w:val="24"/>
          <w:shd w:val="clear" w:color="auto" w:fill="FFFFFF"/>
        </w:rPr>
        <w:t xml:space="preserve"> </w:t>
      </w:r>
      <w:r w:rsidR="00FE4AB7" w:rsidRPr="00EB0772">
        <w:rPr>
          <w:sz w:val="24"/>
          <w:szCs w:val="24"/>
          <w:shd w:val="clear" w:color="auto" w:fill="FFFFFF"/>
        </w:rPr>
        <w:t xml:space="preserve">(Soukup </w:t>
      </w:r>
      <w:r w:rsidR="00E416C3" w:rsidRPr="00EB0772">
        <w:rPr>
          <w:sz w:val="24"/>
          <w:szCs w:val="24"/>
          <w:shd w:val="clear" w:color="auto" w:fill="FFFFFF"/>
        </w:rPr>
        <w:t xml:space="preserve">2000: </w:t>
      </w:r>
      <w:r w:rsidR="00FE4AB7" w:rsidRPr="00EB0772">
        <w:rPr>
          <w:sz w:val="24"/>
          <w:szCs w:val="24"/>
          <w:shd w:val="clear" w:color="auto" w:fill="FFFFFF"/>
        </w:rPr>
        <w:t xml:space="preserve">109) </w:t>
      </w:r>
      <w:r w:rsidR="00FE4AB7" w:rsidRPr="00EB0772">
        <w:rPr>
          <w:sz w:val="24"/>
          <w:szCs w:val="24"/>
          <w:shd w:val="clear" w:color="auto" w:fill="FFFFFF"/>
        </w:rPr>
        <w:t xml:space="preserve">Základnou myšlienkou jeho štúdia kultúry a rituálu je, že </w:t>
      </w:r>
      <w:r w:rsidR="00FE4AB7" w:rsidRPr="00E23D0F">
        <w:rPr>
          <w:i/>
          <w:sz w:val="24"/>
          <w:szCs w:val="24"/>
          <w:shd w:val="clear" w:color="auto" w:fill="FFFFFF"/>
        </w:rPr>
        <w:t>„</w:t>
      </w:r>
      <w:r w:rsidR="00FE4AB7" w:rsidRPr="00E23D0F">
        <w:rPr>
          <w:i/>
          <w:sz w:val="24"/>
          <w:szCs w:val="24"/>
          <w:shd w:val="clear" w:color="auto" w:fill="FFFFFF"/>
        </w:rPr>
        <w:t>k</w:t>
      </w:r>
      <w:r w:rsidR="00FE4AB7" w:rsidRPr="00E23D0F">
        <w:rPr>
          <w:i/>
          <w:sz w:val="24"/>
          <w:szCs w:val="24"/>
          <w:shd w:val="clear" w:color="auto" w:fill="FFFFFF"/>
        </w:rPr>
        <w:t xml:space="preserve">ultúrne prvky, ako sú zvyky </w:t>
      </w:r>
      <w:r w:rsidR="00FE4AB7" w:rsidRPr="00E23D0F">
        <w:rPr>
          <w:i/>
          <w:sz w:val="24"/>
          <w:szCs w:val="24"/>
          <w:shd w:val="clear" w:color="auto" w:fill="FFFFFF"/>
        </w:rPr>
        <w:t>a obyčaje, nie je možn</w:t>
      </w:r>
      <w:r w:rsidR="00FE4AB7" w:rsidRPr="00E23D0F">
        <w:rPr>
          <w:i/>
          <w:sz w:val="24"/>
          <w:szCs w:val="24"/>
          <w:shd w:val="clear" w:color="auto" w:fill="FFFFFF"/>
        </w:rPr>
        <w:t>é pochopiť štúdiom ich samotných, ale analýzou funkčnej role, ktorú ktorú hrajú vo vzťahu k sociálnej štruktúre.“</w:t>
      </w:r>
      <w:r w:rsidR="00FE4AB7" w:rsidRPr="00EB0772">
        <w:rPr>
          <w:sz w:val="24"/>
          <w:szCs w:val="24"/>
          <w:shd w:val="clear" w:color="auto" w:fill="FFFFFF"/>
        </w:rPr>
        <w:t xml:space="preserve"> (Soukup </w:t>
      </w:r>
      <w:r w:rsidR="00E416C3" w:rsidRPr="00EB0772">
        <w:rPr>
          <w:sz w:val="24"/>
          <w:szCs w:val="24"/>
          <w:shd w:val="clear" w:color="auto" w:fill="FFFFFF"/>
        </w:rPr>
        <w:t>2000:</w:t>
      </w:r>
      <w:r w:rsidR="00E416C3" w:rsidRPr="00EB0772">
        <w:rPr>
          <w:sz w:val="24"/>
          <w:szCs w:val="24"/>
          <w:shd w:val="clear" w:color="auto" w:fill="FFFFFF"/>
        </w:rPr>
        <w:t xml:space="preserve"> </w:t>
      </w:r>
      <w:r w:rsidR="00FE4AB7" w:rsidRPr="00EB0772">
        <w:rPr>
          <w:sz w:val="24"/>
          <w:szCs w:val="24"/>
          <w:shd w:val="clear" w:color="auto" w:fill="FFFFFF"/>
        </w:rPr>
        <w:t>109)</w:t>
      </w:r>
      <w:r w:rsidR="00FE4AB7" w:rsidRPr="00EB0772">
        <w:rPr>
          <w:sz w:val="24"/>
          <w:szCs w:val="24"/>
          <w:shd w:val="clear" w:color="auto" w:fill="FFFFFF"/>
        </w:rPr>
        <w:t xml:space="preserve"> </w:t>
      </w:r>
      <w:r w:rsidR="003627D9">
        <w:rPr>
          <w:sz w:val="24"/>
          <w:szCs w:val="24"/>
          <w:shd w:val="clear" w:color="auto" w:fill="FFFFFF"/>
        </w:rPr>
        <w:t>Ako príklad takéhoto funkčného rituálu uvediem rituál</w:t>
      </w:r>
      <w:r w:rsidR="00E76251">
        <w:rPr>
          <w:sz w:val="24"/>
          <w:szCs w:val="24"/>
          <w:shd w:val="clear" w:color="auto" w:fill="FFFFFF"/>
        </w:rPr>
        <w:t xml:space="preserve"> </w:t>
      </w:r>
      <w:r w:rsidR="00E76251" w:rsidRPr="00E76251">
        <w:rPr>
          <w:i/>
          <w:sz w:val="24"/>
          <w:szCs w:val="24"/>
          <w:shd w:val="clear" w:color="auto" w:fill="FFFFFF"/>
        </w:rPr>
        <w:t>Salat</w:t>
      </w:r>
      <w:r w:rsidR="003627D9">
        <w:rPr>
          <w:sz w:val="24"/>
          <w:szCs w:val="24"/>
          <w:shd w:val="clear" w:color="auto" w:fill="FFFFFF"/>
        </w:rPr>
        <w:t xml:space="preserve"> praktizovaný medzi moslimskými veriacimi. </w:t>
      </w:r>
      <w:r w:rsidR="00D65C19">
        <w:rPr>
          <w:sz w:val="24"/>
          <w:szCs w:val="24"/>
          <w:shd w:val="clear" w:color="auto" w:fill="FFFFFF"/>
        </w:rPr>
        <w:t>Sala</w:t>
      </w:r>
      <w:r w:rsidR="00E76251">
        <w:rPr>
          <w:sz w:val="24"/>
          <w:szCs w:val="24"/>
          <w:shd w:val="clear" w:color="auto" w:fill="FFFFFF"/>
        </w:rPr>
        <w:t>t</w:t>
      </w:r>
      <w:r w:rsidR="00D65C19">
        <w:rPr>
          <w:sz w:val="24"/>
          <w:szCs w:val="24"/>
          <w:shd w:val="clear" w:color="auto" w:fill="FFFFFF"/>
        </w:rPr>
        <w:t xml:space="preserve"> je </w:t>
      </w:r>
      <w:r w:rsidR="00D65C19">
        <w:rPr>
          <w:sz w:val="24"/>
          <w:szCs w:val="24"/>
          <w:shd w:val="clear" w:color="auto" w:fill="FFFFFF"/>
        </w:rPr>
        <w:lastRenderedPageBreak/>
        <w:t>modlitba ktorú veriaci praktizujú päť krát denne</w:t>
      </w:r>
      <w:r w:rsidR="006812A6">
        <w:rPr>
          <w:sz w:val="24"/>
          <w:szCs w:val="24"/>
          <w:shd w:val="clear" w:color="auto" w:fill="FFFFFF"/>
        </w:rPr>
        <w:t>. Deti sú už odmalička vedené k tomu, aby vedeli kedy a ako sa majú modliť, keďže rituál Sala</w:t>
      </w:r>
      <w:r w:rsidR="00E76251">
        <w:rPr>
          <w:sz w:val="24"/>
          <w:szCs w:val="24"/>
          <w:shd w:val="clear" w:color="auto" w:fill="FFFFFF"/>
        </w:rPr>
        <w:t>t</w:t>
      </w:r>
      <w:r w:rsidR="006812A6">
        <w:rPr>
          <w:sz w:val="24"/>
          <w:szCs w:val="24"/>
          <w:shd w:val="clear" w:color="auto" w:fill="FFFFFF"/>
        </w:rPr>
        <w:t xml:space="preserve"> má prísne </w:t>
      </w:r>
      <w:r w:rsidR="00E76251">
        <w:rPr>
          <w:sz w:val="24"/>
          <w:szCs w:val="24"/>
          <w:shd w:val="clear" w:color="auto" w:fill="FFFFFF"/>
        </w:rPr>
        <w:t xml:space="preserve">dané </w:t>
      </w:r>
      <w:r w:rsidR="006812A6">
        <w:rPr>
          <w:sz w:val="24"/>
          <w:szCs w:val="24"/>
          <w:shd w:val="clear" w:color="auto" w:fill="FFFFFF"/>
        </w:rPr>
        <w:t>pravidlá. Jeho funkcia spočíva v tom, že praktizujúcim dáva pocit spoločne zdieľanej morálnej hodnoty, funguje teda ako stmeľujúci a int</w:t>
      </w:r>
      <w:r w:rsidR="00E76251">
        <w:rPr>
          <w:sz w:val="24"/>
          <w:szCs w:val="24"/>
          <w:shd w:val="clear" w:color="auto" w:fill="FFFFFF"/>
        </w:rPr>
        <w:t>egrujúci prvok. Okrem toho Salat</w:t>
      </w:r>
      <w:r w:rsidR="006812A6">
        <w:rPr>
          <w:sz w:val="24"/>
          <w:szCs w:val="24"/>
          <w:shd w:val="clear" w:color="auto" w:fill="FFFFFF"/>
        </w:rPr>
        <w:t xml:space="preserve"> utvrdzuje náboženské presvedčenie</w:t>
      </w:r>
      <w:r w:rsidR="00E76251">
        <w:rPr>
          <w:sz w:val="24"/>
          <w:szCs w:val="24"/>
          <w:shd w:val="clear" w:color="auto" w:fill="FFFFFF"/>
        </w:rPr>
        <w:t xml:space="preserve"> u moslimov, čím spĺňa svoju náboženskú funkciu v posilňovaní viery. (Henkel 2005)</w:t>
      </w:r>
    </w:p>
    <w:p w:rsidR="00E76251" w:rsidRDefault="00E76251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</w:p>
    <w:p w:rsidR="0019437D" w:rsidRPr="00EB0772" w:rsidRDefault="00FE4AB7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EB0772">
        <w:rPr>
          <w:sz w:val="24"/>
          <w:szCs w:val="24"/>
          <w:shd w:val="clear" w:color="auto" w:fill="FFFFFF"/>
        </w:rPr>
        <w:t>K myšli</w:t>
      </w:r>
      <w:r w:rsidR="0019437D" w:rsidRPr="00EB0772">
        <w:rPr>
          <w:sz w:val="24"/>
          <w:szCs w:val="24"/>
          <w:shd w:val="clear" w:color="auto" w:fill="FFFFFF"/>
        </w:rPr>
        <w:t>e</w:t>
      </w:r>
      <w:r w:rsidRPr="00EB0772">
        <w:rPr>
          <w:sz w:val="24"/>
          <w:szCs w:val="24"/>
          <w:shd w:val="clear" w:color="auto" w:fill="FFFFFF"/>
        </w:rPr>
        <w:t xml:space="preserve">nkám </w:t>
      </w:r>
      <w:r w:rsidRPr="00EB0772">
        <w:rPr>
          <w:sz w:val="24"/>
          <w:szCs w:val="24"/>
          <w:shd w:val="clear" w:color="auto" w:fill="FFFFFF"/>
        </w:rPr>
        <w:t>Radcliffa – Browna</w:t>
      </w:r>
      <w:r w:rsidRPr="00EB0772">
        <w:rPr>
          <w:sz w:val="24"/>
          <w:szCs w:val="24"/>
          <w:shd w:val="clear" w:color="auto" w:fill="FFFFFF"/>
        </w:rPr>
        <w:t xml:space="preserve"> sa hlási </w:t>
      </w:r>
      <w:r w:rsidR="00C83A45">
        <w:rPr>
          <w:sz w:val="24"/>
          <w:szCs w:val="24"/>
          <w:shd w:val="clear" w:color="auto" w:fill="FFFFFF"/>
        </w:rPr>
        <w:t xml:space="preserve">aj Edward Evan </w:t>
      </w:r>
      <w:r w:rsidRPr="00EB0772">
        <w:rPr>
          <w:sz w:val="24"/>
          <w:szCs w:val="24"/>
          <w:shd w:val="clear" w:color="auto" w:fill="FFFFFF"/>
        </w:rPr>
        <w:t xml:space="preserve">Evans </w:t>
      </w:r>
      <w:r w:rsidR="0019437D" w:rsidRPr="00EB0772">
        <w:rPr>
          <w:sz w:val="24"/>
          <w:szCs w:val="24"/>
          <w:shd w:val="clear" w:color="auto" w:fill="FFFFFF"/>
        </w:rPr>
        <w:t>–</w:t>
      </w:r>
      <w:r w:rsidRPr="00EB0772">
        <w:rPr>
          <w:sz w:val="24"/>
          <w:szCs w:val="24"/>
          <w:shd w:val="clear" w:color="auto" w:fill="FFFFFF"/>
        </w:rPr>
        <w:t xml:space="preserve"> Pritchard</w:t>
      </w:r>
      <w:r w:rsidR="0019437D" w:rsidRPr="00EB0772">
        <w:rPr>
          <w:sz w:val="24"/>
          <w:szCs w:val="24"/>
          <w:shd w:val="clear" w:color="auto" w:fill="FFFFFF"/>
        </w:rPr>
        <w:t xml:space="preserve">, no namiesto analýzy funkcií, ktoré rituál plní pre spoločnosť, sa zameriava na jeho význam pre jednotlivých </w:t>
      </w:r>
      <w:r w:rsidR="004E7D84">
        <w:rPr>
          <w:sz w:val="24"/>
          <w:szCs w:val="24"/>
          <w:shd w:val="clear" w:color="auto" w:fill="FFFFFF"/>
        </w:rPr>
        <w:t xml:space="preserve">jej </w:t>
      </w:r>
      <w:r w:rsidR="0019437D" w:rsidRPr="00EB0772">
        <w:rPr>
          <w:sz w:val="24"/>
          <w:szCs w:val="24"/>
          <w:shd w:val="clear" w:color="auto" w:fill="FFFFFF"/>
        </w:rPr>
        <w:t xml:space="preserve">členov. </w:t>
      </w:r>
      <w:r w:rsidR="0019437D" w:rsidRPr="00EB0772">
        <w:rPr>
          <w:sz w:val="24"/>
          <w:szCs w:val="24"/>
          <w:shd w:val="clear" w:color="auto" w:fill="FFFFFF"/>
        </w:rPr>
        <w:t>Inštitúcie</w:t>
      </w:r>
      <w:r w:rsidR="00BB362C">
        <w:rPr>
          <w:sz w:val="24"/>
          <w:szCs w:val="24"/>
          <w:shd w:val="clear" w:color="auto" w:fill="FFFFFF"/>
        </w:rPr>
        <w:t>,</w:t>
      </w:r>
      <w:r w:rsidR="0019437D" w:rsidRPr="00EB0772">
        <w:rPr>
          <w:sz w:val="24"/>
          <w:szCs w:val="24"/>
          <w:shd w:val="clear" w:color="auto" w:fill="FFFFFF"/>
        </w:rPr>
        <w:t xml:space="preserve"> akými </w:t>
      </w:r>
      <w:r w:rsidR="004E7D84">
        <w:rPr>
          <w:sz w:val="24"/>
          <w:szCs w:val="24"/>
          <w:shd w:val="clear" w:color="auto" w:fill="FFFFFF"/>
        </w:rPr>
        <w:t>sú</w:t>
      </w:r>
      <w:r w:rsidR="0019437D" w:rsidRPr="00EB0772">
        <w:rPr>
          <w:sz w:val="24"/>
          <w:szCs w:val="24"/>
          <w:shd w:val="clear" w:color="auto" w:fill="FFFFFF"/>
        </w:rPr>
        <w:t xml:space="preserve"> rituál</w:t>
      </w:r>
      <w:r w:rsidR="004E7D84">
        <w:rPr>
          <w:sz w:val="24"/>
          <w:szCs w:val="24"/>
          <w:shd w:val="clear" w:color="auto" w:fill="FFFFFF"/>
        </w:rPr>
        <w:t>y</w:t>
      </w:r>
      <w:r w:rsidR="00BB362C">
        <w:rPr>
          <w:sz w:val="24"/>
          <w:szCs w:val="24"/>
          <w:shd w:val="clear" w:color="auto" w:fill="FFFFFF"/>
        </w:rPr>
        <w:t>,</w:t>
      </w:r>
      <w:r w:rsidR="0019437D" w:rsidRPr="00EB0772">
        <w:rPr>
          <w:sz w:val="24"/>
          <w:szCs w:val="24"/>
          <w:shd w:val="clear" w:color="auto" w:fill="FFFFFF"/>
        </w:rPr>
        <w:t xml:space="preserve"> vyjadrujú hodnoty a idey</w:t>
      </w:r>
      <w:r w:rsidR="0019437D" w:rsidRPr="00EB0772">
        <w:rPr>
          <w:sz w:val="24"/>
          <w:szCs w:val="24"/>
          <w:shd w:val="clear" w:color="auto" w:fill="FFFFFF"/>
        </w:rPr>
        <w:t xml:space="preserve"> spoločnosti, a pre ich pochopenie je rozhodujúci výskum ich symbolických dimenzií, nielen funkcií, ktoré plnia. </w:t>
      </w:r>
      <w:r w:rsidR="005B7A38" w:rsidRPr="00EB0772">
        <w:rPr>
          <w:sz w:val="24"/>
          <w:szCs w:val="24"/>
          <w:shd w:val="clear" w:color="auto" w:fill="FFFFFF"/>
        </w:rPr>
        <w:t xml:space="preserve">Evans – Pritchard objasňuje </w:t>
      </w:r>
      <w:r w:rsidR="004E7D84">
        <w:rPr>
          <w:sz w:val="24"/>
          <w:szCs w:val="24"/>
          <w:shd w:val="clear" w:color="auto" w:fill="FFFFFF"/>
        </w:rPr>
        <w:t xml:space="preserve">v diele </w:t>
      </w:r>
      <w:r w:rsidR="004E7D84" w:rsidRPr="004E7D84">
        <w:rPr>
          <w:i/>
          <w:sz w:val="24"/>
        </w:rPr>
        <w:t>Č</w:t>
      </w:r>
      <w:r w:rsidR="004E7D84" w:rsidRPr="004E7D84">
        <w:rPr>
          <w:i/>
          <w:sz w:val="24"/>
          <w:szCs w:val="22"/>
          <w:shd w:val="clear" w:color="auto" w:fill="FFFFFF"/>
        </w:rPr>
        <w:t>arodejníctví, věštby a magie u Azandů</w:t>
      </w:r>
      <w:r w:rsidR="004E7D84" w:rsidRPr="004E7D84">
        <w:rPr>
          <w:sz w:val="32"/>
          <w:szCs w:val="24"/>
          <w:shd w:val="clear" w:color="auto" w:fill="FFFFFF"/>
        </w:rPr>
        <w:t xml:space="preserve">  </w:t>
      </w:r>
      <w:r w:rsidR="005B7A38" w:rsidRPr="00EB0772">
        <w:rPr>
          <w:sz w:val="24"/>
          <w:szCs w:val="24"/>
          <w:shd w:val="clear" w:color="auto" w:fill="FFFFFF"/>
        </w:rPr>
        <w:t xml:space="preserve">význam rituálu u Azandov, kde vypozoroval silnú vieru v čarodejníctvo a mágiu. </w:t>
      </w:r>
      <w:r w:rsidR="005B7A38" w:rsidRPr="00BB362C">
        <w:rPr>
          <w:i/>
          <w:sz w:val="24"/>
          <w:szCs w:val="24"/>
          <w:shd w:val="clear" w:color="auto" w:fill="FFFFFF"/>
        </w:rPr>
        <w:t>„Viera v čarodejníctvo u Azandov na jednej strane funguje ako výklad sveta, na strane druhej ako sociokultúrny regulatív podporujúci žiadúce modely chovania.“</w:t>
      </w:r>
      <w:r w:rsidR="005B7A38" w:rsidRPr="00EB0772">
        <w:rPr>
          <w:sz w:val="24"/>
          <w:szCs w:val="24"/>
          <w:shd w:val="clear" w:color="auto" w:fill="FFFFFF"/>
        </w:rPr>
        <w:t xml:space="preserve"> (</w:t>
      </w:r>
      <w:r w:rsidR="005B7A38" w:rsidRPr="00EB0772">
        <w:rPr>
          <w:sz w:val="24"/>
          <w:szCs w:val="24"/>
          <w:shd w:val="clear" w:color="auto" w:fill="FFFFFF"/>
        </w:rPr>
        <w:t xml:space="preserve">Soukup </w:t>
      </w:r>
      <w:r w:rsidR="00E416C3" w:rsidRPr="00EB0772">
        <w:rPr>
          <w:sz w:val="24"/>
          <w:szCs w:val="24"/>
          <w:shd w:val="clear" w:color="auto" w:fill="FFFFFF"/>
        </w:rPr>
        <w:t>2000:</w:t>
      </w:r>
      <w:r w:rsidR="00E416C3" w:rsidRPr="00EB0772">
        <w:rPr>
          <w:sz w:val="24"/>
          <w:szCs w:val="24"/>
          <w:shd w:val="clear" w:color="auto" w:fill="FFFFFF"/>
        </w:rPr>
        <w:t xml:space="preserve"> </w:t>
      </w:r>
      <w:r w:rsidR="005B7A38" w:rsidRPr="00EB0772">
        <w:rPr>
          <w:sz w:val="24"/>
          <w:szCs w:val="24"/>
          <w:shd w:val="clear" w:color="auto" w:fill="FFFFFF"/>
        </w:rPr>
        <w:t>114)</w:t>
      </w:r>
      <w:r w:rsidR="004B3DC2">
        <w:rPr>
          <w:sz w:val="24"/>
          <w:szCs w:val="24"/>
          <w:shd w:val="clear" w:color="auto" w:fill="FFFFFF"/>
        </w:rPr>
        <w:t xml:space="preserve"> Azandovia sa obracajú na ča</w:t>
      </w:r>
      <w:r w:rsidR="00C96C68">
        <w:rPr>
          <w:sz w:val="24"/>
          <w:szCs w:val="24"/>
          <w:shd w:val="clear" w:color="auto" w:fill="FFFFFF"/>
        </w:rPr>
        <w:t xml:space="preserve">rodejnícke rituály pri každom nešťastí, ktoré sa nedá vysvetliť inak než vplyvom magických síl. Pri odhaľovaní vinníka nešťastia Azandovia používajú veštby za pomoci jedu. </w:t>
      </w:r>
      <w:r w:rsidR="00C80839">
        <w:rPr>
          <w:sz w:val="24"/>
          <w:szCs w:val="24"/>
          <w:shd w:val="clear" w:color="auto" w:fill="FFFFFF"/>
        </w:rPr>
        <w:t>Príbuzný osoby ktorej sa stalo nešťastie spolu s odborníkom na jedy ide do lesa, kde je jed podaný sliepkam. Následne sa vyslovujú m</w:t>
      </w:r>
      <w:r w:rsidR="00BB362C">
        <w:rPr>
          <w:sz w:val="24"/>
          <w:szCs w:val="24"/>
          <w:shd w:val="clear" w:color="auto" w:fill="FFFFFF"/>
        </w:rPr>
        <w:t>ená</w:t>
      </w:r>
      <w:r w:rsidR="00C80839">
        <w:rPr>
          <w:sz w:val="24"/>
          <w:szCs w:val="24"/>
          <w:shd w:val="clear" w:color="auto" w:fill="FFFFFF"/>
        </w:rPr>
        <w:t xml:space="preserve"> podozrivých osôb, až kým pri niektorom z nich sliepka neumrie. Na zozname podozrivých sú len tí, ktorí nejak vybočujú z uznávanej normy. </w:t>
      </w:r>
      <w:r w:rsidR="004B3DC2">
        <w:rPr>
          <w:sz w:val="24"/>
          <w:szCs w:val="24"/>
          <w:shd w:val="clear" w:color="auto" w:fill="FFFFFF"/>
        </w:rPr>
        <w:t xml:space="preserve">Funkcia tohto obvinenia je dôležitá v tom, že upozorní obvineného na to, že jeho chovanie je deviantné a vymyká sa spoločenskej norme. </w:t>
      </w:r>
      <w:r w:rsidR="00BB362C" w:rsidRPr="00EB0772">
        <w:rPr>
          <w:sz w:val="24"/>
          <w:szCs w:val="24"/>
          <w:shd w:val="clear" w:color="auto" w:fill="FFFFFF"/>
        </w:rPr>
        <w:t>(Soukup 2000</w:t>
      </w:r>
      <w:r w:rsidR="00BB362C">
        <w:rPr>
          <w:sz w:val="24"/>
          <w:szCs w:val="24"/>
          <w:shd w:val="clear" w:color="auto" w:fill="FFFFFF"/>
        </w:rPr>
        <w:t>)</w:t>
      </w:r>
    </w:p>
    <w:p w:rsidR="00FE4AB7" w:rsidRPr="00EB0772" w:rsidRDefault="00FE4AB7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</w:p>
    <w:p w:rsidR="0010637B" w:rsidRPr="00EB0772" w:rsidRDefault="0010637B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  <w:shd w:val="clear" w:color="auto" w:fill="FFFFFF"/>
        </w:rPr>
        <w:t>Či</w:t>
      </w:r>
      <w:r w:rsidR="00C96C68">
        <w:rPr>
          <w:sz w:val="24"/>
          <w:szCs w:val="24"/>
          <w:shd w:val="clear" w:color="auto" w:fill="FFFFFF"/>
        </w:rPr>
        <w:t>a</w:t>
      </w:r>
      <w:r w:rsidRPr="00EB0772">
        <w:rPr>
          <w:sz w:val="24"/>
          <w:szCs w:val="24"/>
          <w:shd w:val="clear" w:color="auto" w:fill="FFFFFF"/>
        </w:rPr>
        <w:t xml:space="preserve">stočný odklon od funkcionalistického prístupu predstavuje </w:t>
      </w:r>
      <w:r w:rsidRPr="00EB0772">
        <w:rPr>
          <w:sz w:val="24"/>
          <w:szCs w:val="24"/>
          <w:shd w:val="clear" w:color="auto" w:fill="FFFFFF"/>
        </w:rPr>
        <w:t>Edmund Ronald Leach</w:t>
      </w:r>
      <w:r w:rsidRPr="00EB0772">
        <w:rPr>
          <w:sz w:val="24"/>
          <w:szCs w:val="24"/>
          <w:shd w:val="clear" w:color="auto" w:fill="FFFFFF"/>
        </w:rPr>
        <w:t xml:space="preserve">, podľa ktorého </w:t>
      </w:r>
      <w:r w:rsidRPr="00EB0772">
        <w:rPr>
          <w:sz w:val="24"/>
          <w:szCs w:val="24"/>
        </w:rPr>
        <w:t>rituály nepodporujú stabilitu spoločnosti.</w:t>
      </w:r>
      <w:r w:rsidRPr="00EB0772">
        <w:rPr>
          <w:sz w:val="24"/>
          <w:szCs w:val="24"/>
        </w:rPr>
        <w:t xml:space="preserve"> </w:t>
      </w:r>
      <w:r w:rsidR="00E416C3" w:rsidRPr="00EB0772">
        <w:rPr>
          <w:sz w:val="24"/>
          <w:szCs w:val="24"/>
        </w:rPr>
        <w:t>Leach spoch</w:t>
      </w:r>
      <w:r w:rsidR="00E416C3" w:rsidRPr="00EB0772">
        <w:rPr>
          <w:sz w:val="24"/>
          <w:szCs w:val="24"/>
        </w:rPr>
        <w:t>y</w:t>
      </w:r>
      <w:r w:rsidR="00E416C3" w:rsidRPr="00EB0772">
        <w:rPr>
          <w:sz w:val="24"/>
          <w:szCs w:val="24"/>
        </w:rPr>
        <w:t>bňuje názor, že sociálny systém je organizovaný a v rovnovážnom stave. (Soukup 2000)</w:t>
      </w:r>
      <w:r w:rsidR="00E416C3" w:rsidRPr="00EB0772">
        <w:rPr>
          <w:sz w:val="24"/>
          <w:szCs w:val="24"/>
        </w:rPr>
        <w:t xml:space="preserve"> Svoj pohľad na rituál popisuje v diele</w:t>
      </w:r>
      <w:r w:rsidRPr="00EB0772">
        <w:rPr>
          <w:sz w:val="24"/>
          <w:szCs w:val="24"/>
          <w:shd w:val="clear" w:color="auto" w:fill="FFFFFF"/>
        </w:rPr>
        <w:t xml:space="preserve"> </w:t>
      </w:r>
      <w:r w:rsidRPr="00EB0772">
        <w:rPr>
          <w:i/>
          <w:sz w:val="24"/>
          <w:szCs w:val="24"/>
          <w:shd w:val="clear" w:color="auto" w:fill="FFFFFF"/>
        </w:rPr>
        <w:t>Politické sys</w:t>
      </w:r>
      <w:r w:rsidR="00E416C3" w:rsidRPr="00EB0772">
        <w:rPr>
          <w:i/>
          <w:sz w:val="24"/>
          <w:szCs w:val="24"/>
          <w:shd w:val="clear" w:color="auto" w:fill="FFFFFF"/>
        </w:rPr>
        <w:t>témy horskej</w:t>
      </w:r>
      <w:r w:rsidRPr="00EB0772">
        <w:rPr>
          <w:i/>
          <w:sz w:val="24"/>
          <w:szCs w:val="24"/>
          <w:shd w:val="clear" w:color="auto" w:fill="FFFFFF"/>
        </w:rPr>
        <w:t xml:space="preserve"> Barmy. </w:t>
      </w:r>
    </w:p>
    <w:p w:rsidR="0020614F" w:rsidRPr="00EB0772" w:rsidRDefault="00332129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EB0772">
        <w:rPr>
          <w:sz w:val="24"/>
          <w:szCs w:val="24"/>
          <w:shd w:val="clear" w:color="auto" w:fill="FFFFFF"/>
        </w:rPr>
        <w:t>Prístup ku spoločnosti ako neorganizovanej jednotky, plnej rozvratov a konfliktov</w:t>
      </w:r>
      <w:r w:rsidR="002B49E8" w:rsidRPr="00EB0772">
        <w:rPr>
          <w:sz w:val="24"/>
          <w:szCs w:val="24"/>
          <w:shd w:val="clear" w:color="auto" w:fill="FFFFFF"/>
        </w:rPr>
        <w:t>, je charakteristický aj pre marxistov</w:t>
      </w:r>
      <w:r w:rsidR="0020614F" w:rsidRPr="00EB0772">
        <w:rPr>
          <w:sz w:val="24"/>
          <w:szCs w:val="24"/>
          <w:shd w:val="clear" w:color="auto" w:fill="FFFFFF"/>
        </w:rPr>
        <w:t>. Z nich sa budem bližšie venovať Maxovi G. Gluckmanovi.</w:t>
      </w:r>
    </w:p>
    <w:p w:rsidR="0020614F" w:rsidRPr="00EB0772" w:rsidRDefault="0020614F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  <w:shd w:val="clear" w:color="auto" w:fill="FFFFFF"/>
        </w:rPr>
        <w:t xml:space="preserve"> </w:t>
      </w:r>
    </w:p>
    <w:p w:rsidR="001004A8" w:rsidRPr="004E7D84" w:rsidRDefault="00EC0BE3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4E7D84">
        <w:rPr>
          <w:sz w:val="24"/>
          <w:szCs w:val="24"/>
          <w:shd w:val="clear" w:color="auto" w:fill="FFFFFF"/>
        </w:rPr>
        <w:t>Gluckman</w:t>
      </w:r>
      <w:r w:rsidRPr="004E7D84">
        <w:rPr>
          <w:sz w:val="24"/>
          <w:szCs w:val="24"/>
          <w:shd w:val="clear" w:color="auto" w:fill="FFFFFF"/>
        </w:rPr>
        <w:t xml:space="preserve"> </w:t>
      </w:r>
      <w:r w:rsidR="0020614F" w:rsidRPr="004E7D84">
        <w:rPr>
          <w:sz w:val="24"/>
          <w:szCs w:val="24"/>
          <w:shd w:val="clear" w:color="auto" w:fill="FFFFFF"/>
        </w:rPr>
        <w:t xml:space="preserve">pozerá na konflikt ako na </w:t>
      </w:r>
      <w:r w:rsidR="0020614F" w:rsidRPr="00BB362C">
        <w:rPr>
          <w:i/>
          <w:sz w:val="24"/>
          <w:szCs w:val="24"/>
          <w:shd w:val="clear" w:color="auto" w:fill="FFFFFF"/>
        </w:rPr>
        <w:t>„</w:t>
      </w:r>
      <w:r w:rsidR="0020614F" w:rsidRPr="00BB362C">
        <w:rPr>
          <w:i/>
          <w:sz w:val="24"/>
          <w:szCs w:val="24"/>
          <w:shd w:val="clear" w:color="auto" w:fill="FFFFFF"/>
        </w:rPr>
        <w:t>významný činiteľ integrácie a diferenciácie spoločnosti.“</w:t>
      </w:r>
      <w:r w:rsidR="0020614F" w:rsidRPr="004E7D84">
        <w:rPr>
          <w:sz w:val="24"/>
          <w:szCs w:val="24"/>
          <w:shd w:val="clear" w:color="auto" w:fill="FFFFFF"/>
        </w:rPr>
        <w:t xml:space="preserve"> (Soukup </w:t>
      </w:r>
      <w:r w:rsidR="0020614F" w:rsidRPr="004E7D84">
        <w:rPr>
          <w:sz w:val="24"/>
          <w:szCs w:val="24"/>
          <w:shd w:val="clear" w:color="auto" w:fill="FFFFFF"/>
        </w:rPr>
        <w:t xml:space="preserve">2000: </w:t>
      </w:r>
      <w:r w:rsidR="0020614F" w:rsidRPr="004E7D84">
        <w:rPr>
          <w:sz w:val="24"/>
          <w:szCs w:val="24"/>
          <w:shd w:val="clear" w:color="auto" w:fill="FFFFFF"/>
        </w:rPr>
        <w:t>117</w:t>
      </w:r>
      <w:r w:rsidR="0020614F" w:rsidRPr="004E7D84">
        <w:rPr>
          <w:sz w:val="24"/>
          <w:szCs w:val="24"/>
          <w:shd w:val="clear" w:color="auto" w:fill="FFFFFF"/>
        </w:rPr>
        <w:t>)</w:t>
      </w:r>
      <w:r w:rsidR="00FD1AFF" w:rsidRPr="004E7D84">
        <w:rPr>
          <w:sz w:val="24"/>
          <w:szCs w:val="24"/>
          <w:shd w:val="clear" w:color="auto" w:fill="FFFFFF"/>
        </w:rPr>
        <w:t xml:space="preserve"> </w:t>
      </w:r>
      <w:r w:rsidR="00FD1AFF" w:rsidRPr="004E7D84">
        <w:rPr>
          <w:sz w:val="24"/>
          <w:szCs w:val="24"/>
          <w:shd w:val="clear" w:color="auto" w:fill="FFFFFF"/>
        </w:rPr>
        <w:t>Môže síce na jednej strane byť symbolom spoločenského rozvratu, na s</w:t>
      </w:r>
      <w:r w:rsidR="004E7D84">
        <w:rPr>
          <w:sz w:val="24"/>
          <w:szCs w:val="24"/>
          <w:shd w:val="clear" w:color="auto" w:fill="FFFFFF"/>
        </w:rPr>
        <w:t>t</w:t>
      </w:r>
      <w:r w:rsidR="00FD1AFF" w:rsidRPr="004E7D84">
        <w:rPr>
          <w:sz w:val="24"/>
          <w:szCs w:val="24"/>
          <w:shd w:val="clear" w:color="auto" w:fill="FFFFFF"/>
        </w:rPr>
        <w:t xml:space="preserve">rane druhej ale môže </w:t>
      </w:r>
      <w:r w:rsidR="004E7D84">
        <w:rPr>
          <w:sz w:val="24"/>
          <w:szCs w:val="24"/>
          <w:shd w:val="clear" w:color="auto" w:fill="FFFFFF"/>
        </w:rPr>
        <w:t>prispievať</w:t>
      </w:r>
      <w:r w:rsidR="00FD1AFF" w:rsidRPr="004E7D84">
        <w:rPr>
          <w:sz w:val="24"/>
          <w:szCs w:val="24"/>
          <w:shd w:val="clear" w:color="auto" w:fill="FFFFFF"/>
        </w:rPr>
        <w:t xml:space="preserve"> k posilneniu solidarity alebo zníženiu sociálneho napätia.</w:t>
      </w:r>
      <w:r w:rsidR="00FD1AFF" w:rsidRPr="004E7D84">
        <w:rPr>
          <w:sz w:val="24"/>
          <w:szCs w:val="24"/>
          <w:shd w:val="clear" w:color="auto" w:fill="FFFFFF"/>
        </w:rPr>
        <w:t xml:space="preserve"> Svoju tézu vysvetľuje na príklade kontrolovaného konfliktu. </w:t>
      </w:r>
      <w:r w:rsidR="00E56E3B" w:rsidRPr="004E7D84">
        <w:rPr>
          <w:sz w:val="24"/>
          <w:szCs w:val="24"/>
          <w:shd w:val="clear" w:color="auto" w:fill="FFFFFF"/>
        </w:rPr>
        <w:t>Je</w:t>
      </w:r>
      <w:r w:rsidR="00FD1AFF" w:rsidRPr="004E7D84">
        <w:rPr>
          <w:sz w:val="24"/>
          <w:szCs w:val="24"/>
          <w:shd w:val="clear" w:color="auto" w:fill="FFFFFF"/>
        </w:rPr>
        <w:t>d</w:t>
      </w:r>
      <w:r w:rsidR="00E56E3B" w:rsidRPr="004E7D84">
        <w:rPr>
          <w:sz w:val="24"/>
          <w:szCs w:val="24"/>
          <w:shd w:val="clear" w:color="auto" w:fill="FFFFFF"/>
        </w:rPr>
        <w:t>n</w:t>
      </w:r>
      <w:r w:rsidR="00FD1AFF" w:rsidRPr="004E7D84">
        <w:rPr>
          <w:sz w:val="24"/>
          <w:szCs w:val="24"/>
          <w:shd w:val="clear" w:color="auto" w:fill="FFFFFF"/>
        </w:rPr>
        <w:t xml:space="preserve">ým </w:t>
      </w:r>
      <w:r w:rsidR="00FD1AFF" w:rsidRPr="004E7D84">
        <w:rPr>
          <w:sz w:val="24"/>
          <w:szCs w:val="24"/>
          <w:shd w:val="clear" w:color="auto" w:fill="FFFFFF"/>
        </w:rPr>
        <w:lastRenderedPageBreak/>
        <w:t xml:space="preserve">z najznámejších príkladov kontrolovaného konfliktu, ktorý Gluckman uvádza, je rituál napodobňovania vzbury proti kráľovi v Južnej Afrike. </w:t>
      </w:r>
      <w:r w:rsidR="00EC040F" w:rsidRPr="004E7D84">
        <w:rPr>
          <w:sz w:val="24"/>
          <w:szCs w:val="24"/>
          <w:shd w:val="clear" w:color="auto" w:fill="FFFFFF"/>
        </w:rPr>
        <w:t xml:space="preserve">Autorita vládcu môže niekedy byť nalomená až ohrozená. </w:t>
      </w:r>
      <w:r w:rsidR="001004A8" w:rsidRPr="004E7D84">
        <w:rPr>
          <w:sz w:val="24"/>
          <w:szCs w:val="24"/>
          <w:shd w:val="clear" w:color="auto" w:fill="FFFFFF"/>
        </w:rPr>
        <w:t>Prostredníctvom</w:t>
      </w:r>
      <w:r w:rsidR="004E7D84">
        <w:rPr>
          <w:sz w:val="24"/>
          <w:szCs w:val="24"/>
          <w:shd w:val="clear" w:color="auto" w:fill="FFFFFF"/>
        </w:rPr>
        <w:t xml:space="preserve"> tohto</w:t>
      </w:r>
      <w:r w:rsidR="001004A8" w:rsidRPr="004E7D84">
        <w:rPr>
          <w:sz w:val="24"/>
          <w:szCs w:val="24"/>
          <w:shd w:val="clear" w:color="auto" w:fill="FFFFFF"/>
        </w:rPr>
        <w:t xml:space="preserve"> rituálu</w:t>
      </w:r>
      <w:r w:rsidR="001004A8" w:rsidRPr="004E7D84">
        <w:rPr>
          <w:sz w:val="24"/>
          <w:szCs w:val="24"/>
          <w:shd w:val="clear" w:color="auto" w:fill="FFFFFF"/>
        </w:rPr>
        <w:t xml:space="preserve"> je </w:t>
      </w:r>
      <w:r w:rsidR="001004A8" w:rsidRPr="004E7D84">
        <w:rPr>
          <w:sz w:val="24"/>
          <w:szCs w:val="24"/>
          <w:shd w:val="clear" w:color="auto" w:fill="FFFFFF"/>
        </w:rPr>
        <w:t>skutočná t</w:t>
      </w:r>
      <w:r w:rsidR="001004A8" w:rsidRPr="004E7D84">
        <w:rPr>
          <w:sz w:val="24"/>
          <w:szCs w:val="24"/>
          <w:shd w:val="clear" w:color="auto" w:fill="FFFFFF"/>
        </w:rPr>
        <w:t>úžba povstať vyčerpaná</w:t>
      </w:r>
      <w:r w:rsidR="001004A8" w:rsidRPr="004E7D84">
        <w:rPr>
          <w:sz w:val="24"/>
          <w:szCs w:val="24"/>
          <w:shd w:val="clear" w:color="auto" w:fill="FFFFFF"/>
        </w:rPr>
        <w:t>.</w:t>
      </w:r>
    </w:p>
    <w:p w:rsidR="001004A8" w:rsidRPr="004E7D84" w:rsidRDefault="00EC040F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4E7D84">
        <w:rPr>
          <w:sz w:val="24"/>
          <w:szCs w:val="24"/>
        </w:rPr>
        <w:t xml:space="preserve">V období zberu úrody ženy v Swazijsku „hrajú“ mužov, obliekjaú sa ako muži, </w:t>
      </w:r>
      <w:r w:rsidRPr="004E7D84">
        <w:rPr>
          <w:sz w:val="24"/>
          <w:szCs w:val="24"/>
        </w:rPr>
        <w:t>vykonávajú</w:t>
      </w:r>
      <w:r w:rsidRPr="004E7D84">
        <w:rPr>
          <w:sz w:val="24"/>
          <w:szCs w:val="24"/>
        </w:rPr>
        <w:t xml:space="preserve"> mužskú </w:t>
      </w:r>
      <w:r w:rsidRPr="004E7D84">
        <w:rPr>
          <w:sz w:val="24"/>
          <w:szCs w:val="24"/>
        </w:rPr>
        <w:t>prácu</w:t>
      </w:r>
      <w:r w:rsidRPr="004E7D84">
        <w:rPr>
          <w:sz w:val="24"/>
          <w:szCs w:val="24"/>
        </w:rPr>
        <w:t xml:space="preserve"> a správajú sa ako oni. V tomto období sa spievajú piesne verejne vyjadrujúce kritiku a posmech kráľovi.</w:t>
      </w:r>
      <w:r w:rsidRPr="004E7D84">
        <w:rPr>
          <w:sz w:val="24"/>
          <w:szCs w:val="24"/>
        </w:rPr>
        <w:t xml:space="preserve"> </w:t>
      </w:r>
      <w:r w:rsidRPr="004E7D84">
        <w:rPr>
          <w:sz w:val="24"/>
          <w:szCs w:val="24"/>
        </w:rPr>
        <w:t>Tento rituál je podľa Gluckmana vyjadrením rebélie, prostredníctvom ktorej je umocňovaný sociálny rád spoločnosti, tým že dočasne umožňuje občanom vstúpiť na pozíciu symbolickej moci, kedy formou inštituci</w:t>
      </w:r>
      <w:r w:rsidR="00B0185B">
        <w:rPr>
          <w:sz w:val="24"/>
          <w:szCs w:val="24"/>
        </w:rPr>
        <w:t>on</w:t>
      </w:r>
      <w:r w:rsidRPr="004E7D84">
        <w:rPr>
          <w:sz w:val="24"/>
          <w:szCs w:val="24"/>
        </w:rPr>
        <w:t>alizovaného protestu spoločnosť posilňuje svoju uniformitu</w:t>
      </w:r>
      <w:r w:rsidRPr="004E7D84">
        <w:rPr>
          <w:sz w:val="24"/>
          <w:szCs w:val="24"/>
        </w:rPr>
        <w:t xml:space="preserve"> a zároveň je posilnená </w:t>
      </w:r>
      <w:r w:rsidR="001004A8" w:rsidRPr="004E7D84">
        <w:rPr>
          <w:sz w:val="24"/>
          <w:szCs w:val="24"/>
        </w:rPr>
        <w:t xml:space="preserve">pozícia panovníka. </w:t>
      </w:r>
      <w:r w:rsidRPr="004E7D84">
        <w:rPr>
          <w:sz w:val="24"/>
          <w:szCs w:val="24"/>
        </w:rPr>
        <w:t>Rituál v tomto chápaní spĺňa spoločenskú funkciu, a zároveň znamená emocionálny zážitok pre jedincov.</w:t>
      </w:r>
      <w:r w:rsidRPr="004E7D84">
        <w:rPr>
          <w:sz w:val="24"/>
          <w:szCs w:val="24"/>
        </w:rPr>
        <w:t xml:space="preserve"> </w:t>
      </w:r>
    </w:p>
    <w:p w:rsidR="00F705BA" w:rsidRDefault="00F705BA" w:rsidP="00E23D0F">
      <w:pPr>
        <w:spacing w:line="360" w:lineRule="auto"/>
        <w:ind w:firstLine="284"/>
        <w:jc w:val="both"/>
        <w:rPr>
          <w:sz w:val="24"/>
          <w:szCs w:val="24"/>
        </w:rPr>
      </w:pPr>
    </w:p>
    <w:p w:rsidR="00312886" w:rsidRDefault="00E964E9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F705BA">
        <w:rPr>
          <w:sz w:val="24"/>
          <w:szCs w:val="24"/>
        </w:rPr>
        <w:t>V súlade s Gluckmanovým</w:t>
      </w:r>
      <w:r w:rsidR="001004A8" w:rsidRPr="00F705BA">
        <w:rPr>
          <w:sz w:val="24"/>
          <w:szCs w:val="24"/>
        </w:rPr>
        <w:t xml:space="preserve"> pohľad</w:t>
      </w:r>
      <w:r w:rsidRPr="00F705BA">
        <w:rPr>
          <w:sz w:val="24"/>
          <w:szCs w:val="24"/>
        </w:rPr>
        <w:t>om</w:t>
      </w:r>
      <w:r w:rsidR="001004A8" w:rsidRPr="00F705BA">
        <w:rPr>
          <w:sz w:val="24"/>
          <w:szCs w:val="24"/>
        </w:rPr>
        <w:t xml:space="preserve"> na štúdium rituálu </w:t>
      </w:r>
      <w:r w:rsidRPr="00F705BA">
        <w:rPr>
          <w:sz w:val="24"/>
          <w:szCs w:val="24"/>
        </w:rPr>
        <w:t xml:space="preserve">sú </w:t>
      </w:r>
      <w:r w:rsidR="001004A8" w:rsidRPr="00F705BA">
        <w:rPr>
          <w:sz w:val="24"/>
          <w:szCs w:val="24"/>
        </w:rPr>
        <w:t xml:space="preserve">symbolisti </w:t>
      </w:r>
      <w:r w:rsidR="008D01A6" w:rsidRPr="00F705BA">
        <w:rPr>
          <w:sz w:val="24"/>
          <w:szCs w:val="24"/>
        </w:rPr>
        <w:t>Victor  W. Turner</w:t>
      </w:r>
      <w:r w:rsidR="00F705BA">
        <w:rPr>
          <w:sz w:val="24"/>
          <w:szCs w:val="24"/>
        </w:rPr>
        <w:t xml:space="preserve"> a Clifford</w:t>
      </w:r>
      <w:r w:rsidR="008D01A6" w:rsidRPr="00F705BA">
        <w:rPr>
          <w:sz w:val="24"/>
          <w:szCs w:val="24"/>
        </w:rPr>
        <w:t xml:space="preserve"> Geertz. </w:t>
      </w:r>
      <w:r w:rsidR="00A00409" w:rsidRPr="00EB0772">
        <w:rPr>
          <w:sz w:val="24"/>
          <w:szCs w:val="24"/>
        </w:rPr>
        <w:t xml:space="preserve">Victor </w:t>
      </w:r>
      <w:r w:rsidR="00EF027D" w:rsidRPr="00EB0772">
        <w:rPr>
          <w:sz w:val="24"/>
          <w:szCs w:val="24"/>
        </w:rPr>
        <w:t xml:space="preserve"> </w:t>
      </w:r>
      <w:r w:rsidR="00A00409" w:rsidRPr="00EB0772">
        <w:rPr>
          <w:sz w:val="24"/>
          <w:szCs w:val="24"/>
        </w:rPr>
        <w:t>W. Turner</w:t>
      </w:r>
      <w:r w:rsidR="008D01A6" w:rsidRPr="00EB0772">
        <w:rPr>
          <w:sz w:val="24"/>
          <w:szCs w:val="24"/>
        </w:rPr>
        <w:t xml:space="preserve"> sa vo svojej teórii inšpiroval </w:t>
      </w:r>
      <w:r w:rsidR="008D01A6" w:rsidRPr="00EB0772">
        <w:rPr>
          <w:sz w:val="24"/>
          <w:szCs w:val="24"/>
        </w:rPr>
        <w:t>Radcliffom –</w:t>
      </w:r>
      <w:r w:rsidR="008D01A6" w:rsidRPr="00EB0772">
        <w:rPr>
          <w:sz w:val="24"/>
          <w:szCs w:val="24"/>
        </w:rPr>
        <w:t xml:space="preserve"> Brownom a</w:t>
      </w:r>
      <w:r w:rsidR="008D01A6" w:rsidRPr="00EB0772">
        <w:rPr>
          <w:sz w:val="24"/>
          <w:szCs w:val="24"/>
        </w:rPr>
        <w:t xml:space="preserve"> Gluckmanom.</w:t>
      </w:r>
      <w:r w:rsidR="008D01A6" w:rsidRPr="00EB0772">
        <w:rPr>
          <w:sz w:val="24"/>
          <w:szCs w:val="24"/>
        </w:rPr>
        <w:t xml:space="preserve"> Symboliku rituálov interpretoval na </w:t>
      </w:r>
      <w:r w:rsidR="003F0980">
        <w:rPr>
          <w:sz w:val="24"/>
          <w:szCs w:val="24"/>
        </w:rPr>
        <w:t>štúdii</w:t>
      </w:r>
      <w:r w:rsidR="008D01A6" w:rsidRPr="00EB0772">
        <w:rPr>
          <w:sz w:val="24"/>
          <w:szCs w:val="24"/>
        </w:rPr>
        <w:t xml:space="preserve"> kmeňa</w:t>
      </w:r>
      <w:r w:rsidR="004B22DE" w:rsidRPr="00EB0772">
        <w:rPr>
          <w:sz w:val="24"/>
          <w:szCs w:val="24"/>
        </w:rPr>
        <w:t xml:space="preserve"> Ndembu</w:t>
      </w:r>
      <w:r w:rsidR="008D01A6" w:rsidRPr="00EB0772">
        <w:rPr>
          <w:sz w:val="24"/>
          <w:szCs w:val="24"/>
        </w:rPr>
        <w:t xml:space="preserve">. </w:t>
      </w:r>
      <w:r w:rsidR="005A4F56" w:rsidRPr="00EB0772">
        <w:rPr>
          <w:sz w:val="24"/>
          <w:szCs w:val="24"/>
        </w:rPr>
        <w:t xml:space="preserve">Rituál bol medzi príslušníkmi </w:t>
      </w:r>
      <w:r w:rsidR="008D01A6" w:rsidRPr="00EB0772">
        <w:rPr>
          <w:sz w:val="24"/>
          <w:szCs w:val="24"/>
        </w:rPr>
        <w:t xml:space="preserve">kmeňa </w:t>
      </w:r>
      <w:r w:rsidR="005A4F56" w:rsidRPr="00EB0772">
        <w:rPr>
          <w:sz w:val="24"/>
          <w:szCs w:val="24"/>
        </w:rPr>
        <w:t>Ndembu najčastejš</w:t>
      </w:r>
      <w:r w:rsidR="00223E68" w:rsidRPr="00EB0772">
        <w:rPr>
          <w:sz w:val="24"/>
          <w:szCs w:val="24"/>
        </w:rPr>
        <w:t>í spôsob urovnávania konfliktov, p</w:t>
      </w:r>
      <w:r w:rsidR="008D01A6" w:rsidRPr="00EB0772">
        <w:rPr>
          <w:sz w:val="24"/>
          <w:szCs w:val="24"/>
        </w:rPr>
        <w:t xml:space="preserve">rostredníctvom </w:t>
      </w:r>
      <w:r w:rsidR="00223E68" w:rsidRPr="00EB0772">
        <w:rPr>
          <w:sz w:val="24"/>
          <w:szCs w:val="24"/>
        </w:rPr>
        <w:t>neho</w:t>
      </w:r>
      <w:r w:rsidR="008D01A6" w:rsidRPr="00EB0772">
        <w:rPr>
          <w:sz w:val="24"/>
          <w:szCs w:val="24"/>
        </w:rPr>
        <w:t xml:space="preserve"> sú vyjadrené abstraktné hodnoty spoločnosti, ktoré tvoria základ jej organizačnej štruktúry. </w:t>
      </w:r>
      <w:r w:rsidR="00223E68" w:rsidRPr="00EB0772">
        <w:rPr>
          <w:sz w:val="24"/>
          <w:szCs w:val="24"/>
        </w:rPr>
        <w:t>Turner sa sú</w:t>
      </w:r>
      <w:r w:rsidR="00223E68" w:rsidRPr="00EB0772">
        <w:rPr>
          <w:sz w:val="24"/>
          <w:szCs w:val="24"/>
        </w:rPr>
        <w:t>stredil na interpretácie symbolov</w:t>
      </w:r>
      <w:r w:rsidR="00223E68" w:rsidRPr="00EB0772">
        <w:rPr>
          <w:sz w:val="24"/>
          <w:szCs w:val="24"/>
        </w:rPr>
        <w:t>,</w:t>
      </w:r>
      <w:r w:rsidR="00223E68" w:rsidRPr="00EB0772">
        <w:rPr>
          <w:sz w:val="24"/>
          <w:szCs w:val="24"/>
        </w:rPr>
        <w:t xml:space="preserve"> ak</w:t>
      </w:r>
      <w:r w:rsidR="00223E68" w:rsidRPr="00EB0772">
        <w:rPr>
          <w:sz w:val="24"/>
          <w:szCs w:val="24"/>
        </w:rPr>
        <w:t>ými</w:t>
      </w:r>
      <w:r w:rsidR="00223E68" w:rsidRPr="00EB0772">
        <w:rPr>
          <w:sz w:val="24"/>
          <w:szCs w:val="24"/>
        </w:rPr>
        <w:t xml:space="preserve"> sú farby</w:t>
      </w:r>
      <w:r w:rsidR="00223E68" w:rsidRPr="00EB0772">
        <w:rPr>
          <w:sz w:val="24"/>
          <w:szCs w:val="24"/>
        </w:rPr>
        <w:t xml:space="preserve"> </w:t>
      </w:r>
      <w:r w:rsidR="00223E68" w:rsidRPr="00EB0772">
        <w:rPr>
          <w:sz w:val="24"/>
          <w:szCs w:val="24"/>
        </w:rPr>
        <w:t>používané</w:t>
      </w:r>
      <w:r w:rsidR="00223E68" w:rsidRPr="00EB0772">
        <w:rPr>
          <w:sz w:val="24"/>
          <w:szCs w:val="24"/>
        </w:rPr>
        <w:t xml:space="preserve"> v rituáloch</w:t>
      </w:r>
      <w:r w:rsidR="00223E68" w:rsidRPr="00EB0772">
        <w:rPr>
          <w:sz w:val="24"/>
          <w:szCs w:val="24"/>
        </w:rPr>
        <w:t xml:space="preserve">, </w:t>
      </w:r>
      <w:r w:rsidR="00223E68" w:rsidRPr="00EB0772">
        <w:rPr>
          <w:sz w:val="24"/>
          <w:szCs w:val="24"/>
        </w:rPr>
        <w:t>významné</w:t>
      </w:r>
      <w:r w:rsidR="00223E68" w:rsidRPr="00EB0772">
        <w:rPr>
          <w:sz w:val="24"/>
          <w:szCs w:val="24"/>
        </w:rPr>
        <w:t xml:space="preserve"> stromy, byliny a ďalšie špecifické objekty.</w:t>
      </w:r>
      <w:r w:rsidR="00223E68" w:rsidRPr="00EB0772">
        <w:rPr>
          <w:sz w:val="24"/>
          <w:szCs w:val="24"/>
        </w:rPr>
        <w:t xml:space="preserve"> Kladie dôraz na v</w:t>
      </w:r>
      <w:r w:rsidR="00223E68" w:rsidRPr="00EB0772">
        <w:rPr>
          <w:sz w:val="24"/>
          <w:szCs w:val="24"/>
        </w:rPr>
        <w:t>zťahy medzi symbolmi</w:t>
      </w:r>
      <w:r w:rsidR="00223E68" w:rsidRPr="00EB0772">
        <w:rPr>
          <w:sz w:val="24"/>
          <w:szCs w:val="24"/>
        </w:rPr>
        <w:t xml:space="preserve">. </w:t>
      </w:r>
      <w:r w:rsidR="00722FB7">
        <w:rPr>
          <w:sz w:val="24"/>
          <w:szCs w:val="24"/>
        </w:rPr>
        <w:t>Rolu s</w:t>
      </w:r>
      <w:r w:rsidRPr="00EB0772">
        <w:rPr>
          <w:sz w:val="24"/>
          <w:szCs w:val="24"/>
        </w:rPr>
        <w:t>y</w:t>
      </w:r>
      <w:r w:rsidR="00722FB7">
        <w:rPr>
          <w:sz w:val="24"/>
          <w:szCs w:val="24"/>
        </w:rPr>
        <w:t>m</w:t>
      </w:r>
      <w:r w:rsidRPr="00EB0772">
        <w:rPr>
          <w:sz w:val="24"/>
          <w:szCs w:val="24"/>
        </w:rPr>
        <w:t xml:space="preserve">boliky </w:t>
      </w:r>
      <w:r w:rsidR="00722FB7">
        <w:rPr>
          <w:sz w:val="24"/>
          <w:szCs w:val="24"/>
        </w:rPr>
        <w:t xml:space="preserve">v rituále </w:t>
      </w:r>
      <w:r w:rsidRPr="00EB0772">
        <w:rPr>
          <w:sz w:val="24"/>
          <w:szCs w:val="24"/>
        </w:rPr>
        <w:t xml:space="preserve">ilustruje Turner na takzvanom mliečnom strome, ktorého význam pre členov spoločnosti Ndembu sa nedá pochopiť rozlúštením jediného izolovaného symbolu, ale iba vo vzťahu </w:t>
      </w:r>
      <w:r w:rsidR="005C16A2" w:rsidRPr="00EB0772">
        <w:rPr>
          <w:sz w:val="24"/>
          <w:szCs w:val="24"/>
        </w:rPr>
        <w:t>všetkých vzájomne prepojených s</w:t>
      </w:r>
      <w:r w:rsidRPr="00EB0772">
        <w:rPr>
          <w:sz w:val="24"/>
          <w:szCs w:val="24"/>
        </w:rPr>
        <w:t>y</w:t>
      </w:r>
      <w:r w:rsidR="005C16A2" w:rsidRPr="00EB0772">
        <w:rPr>
          <w:sz w:val="24"/>
          <w:szCs w:val="24"/>
        </w:rPr>
        <w:t>m</w:t>
      </w:r>
      <w:r w:rsidRPr="00EB0772">
        <w:rPr>
          <w:sz w:val="24"/>
          <w:szCs w:val="24"/>
        </w:rPr>
        <w:t xml:space="preserve">bolov. </w:t>
      </w:r>
      <w:r w:rsidR="003F0980">
        <w:rPr>
          <w:sz w:val="24"/>
          <w:szCs w:val="24"/>
        </w:rPr>
        <w:t>(Soukup 2000)</w:t>
      </w:r>
    </w:p>
    <w:p w:rsidR="00BB61AE" w:rsidRDefault="00BB61AE" w:rsidP="00E23D0F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Mliečny strom zohráva dôležitú symbolickú úlohu v r</w:t>
      </w:r>
      <w:r w:rsidR="00312886">
        <w:rPr>
          <w:sz w:val="24"/>
          <w:szCs w:val="24"/>
        </w:rPr>
        <w:t>ituál</w:t>
      </w:r>
      <w:r>
        <w:rPr>
          <w:sz w:val="24"/>
          <w:szCs w:val="24"/>
        </w:rPr>
        <w:t>e</w:t>
      </w:r>
      <w:r w:rsidR="00312886">
        <w:rPr>
          <w:sz w:val="24"/>
          <w:szCs w:val="24"/>
        </w:rPr>
        <w:t xml:space="preserve"> </w:t>
      </w:r>
      <w:r w:rsidR="00312886" w:rsidRPr="00BB61AE">
        <w:rPr>
          <w:i/>
          <w:sz w:val="24"/>
          <w:szCs w:val="24"/>
        </w:rPr>
        <w:t>Nkang’a</w:t>
      </w:r>
      <w:r w:rsidR="00312886">
        <w:rPr>
          <w:sz w:val="24"/>
          <w:szCs w:val="24"/>
        </w:rPr>
        <w:t>, ktorý podstupujú dievčatá v pu</w:t>
      </w:r>
      <w:r>
        <w:rPr>
          <w:sz w:val="24"/>
          <w:szCs w:val="24"/>
        </w:rPr>
        <w:t>b</w:t>
      </w:r>
      <w:r w:rsidR="00312886">
        <w:rPr>
          <w:sz w:val="24"/>
          <w:szCs w:val="24"/>
        </w:rPr>
        <w:t xml:space="preserve">erte. </w:t>
      </w:r>
      <w:r>
        <w:rPr>
          <w:sz w:val="24"/>
          <w:szCs w:val="24"/>
        </w:rPr>
        <w:t>Tento rituál symbolizuje premenu z dievčaťa na ženu</w:t>
      </w:r>
      <w:r w:rsidR="00D5123E">
        <w:rPr>
          <w:sz w:val="24"/>
          <w:szCs w:val="24"/>
        </w:rPr>
        <w:t>, a je v ňom zdôrazňovaný vzťah matky a dcéry.</w:t>
      </w:r>
      <w:r w:rsidR="00D252DC">
        <w:rPr>
          <w:sz w:val="24"/>
          <w:szCs w:val="24"/>
        </w:rPr>
        <w:t xml:space="preserve"> (Turner 1967)</w:t>
      </w:r>
    </w:p>
    <w:p w:rsidR="008D01A6" w:rsidRPr="00EB0772" w:rsidRDefault="00BB61AE" w:rsidP="00E23D0F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22FB7">
        <w:rPr>
          <w:sz w:val="24"/>
          <w:szCs w:val="24"/>
        </w:rPr>
        <w:t xml:space="preserve">eď sa kôra </w:t>
      </w:r>
      <w:r>
        <w:rPr>
          <w:sz w:val="24"/>
          <w:szCs w:val="24"/>
        </w:rPr>
        <w:t xml:space="preserve">mliečneho </w:t>
      </w:r>
      <w:r w:rsidR="00722FB7">
        <w:rPr>
          <w:sz w:val="24"/>
          <w:szCs w:val="24"/>
        </w:rPr>
        <w:t xml:space="preserve">stromu poškodí, vyteká z neho biela tekutina podobná materskému mlieku. </w:t>
      </w:r>
      <w:r w:rsidR="00016E31">
        <w:rPr>
          <w:sz w:val="24"/>
          <w:szCs w:val="24"/>
        </w:rPr>
        <w:t xml:space="preserve">Symbol materského mlieka je spojený so ženou, saním mlieka a matkou. Matka je úzko spojená s rodinou, a tá pre členov kmeňa Ndembu symbolizuje ich spoločnosť ako celok. (Soukup 2000) Analýzou symbolov používaných v rituále a ich vzťahov môžeme podľa Turnera dospieť ku porozumeniu hodnotám danej spoločnosti. </w:t>
      </w:r>
    </w:p>
    <w:p w:rsidR="00223E68" w:rsidRPr="00EB0772" w:rsidRDefault="00223E68" w:rsidP="00E23D0F">
      <w:pPr>
        <w:spacing w:line="360" w:lineRule="auto"/>
        <w:ind w:firstLine="284"/>
        <w:jc w:val="both"/>
        <w:rPr>
          <w:sz w:val="24"/>
          <w:szCs w:val="24"/>
        </w:rPr>
      </w:pPr>
    </w:p>
    <w:p w:rsidR="001B6FDD" w:rsidRPr="00EB0772" w:rsidRDefault="00BA5DBA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</w:rPr>
        <w:t>C</w:t>
      </w:r>
      <w:r w:rsidR="005C16A2" w:rsidRPr="00EB0772">
        <w:rPr>
          <w:sz w:val="24"/>
          <w:szCs w:val="24"/>
        </w:rPr>
        <w:t>lifford</w:t>
      </w:r>
      <w:r w:rsidRPr="00EB0772">
        <w:rPr>
          <w:sz w:val="24"/>
          <w:szCs w:val="24"/>
        </w:rPr>
        <w:t xml:space="preserve"> </w:t>
      </w:r>
      <w:r w:rsidR="005C16A2" w:rsidRPr="00EB0772">
        <w:rPr>
          <w:sz w:val="24"/>
          <w:szCs w:val="24"/>
        </w:rPr>
        <w:t>G</w:t>
      </w:r>
      <w:r w:rsidRPr="00EB0772">
        <w:rPr>
          <w:sz w:val="24"/>
          <w:szCs w:val="24"/>
        </w:rPr>
        <w:t>eertz</w:t>
      </w:r>
      <w:r w:rsidR="001B6FDD" w:rsidRPr="00EB0772">
        <w:rPr>
          <w:sz w:val="24"/>
          <w:szCs w:val="24"/>
        </w:rPr>
        <w:t xml:space="preserve"> podobne ako Turner vidí v rituáloch symbolické významy. Jeho najznámejšou analýzou rituálu sú</w:t>
      </w:r>
      <w:r w:rsidR="000F1763" w:rsidRPr="00EB0772">
        <w:rPr>
          <w:sz w:val="24"/>
          <w:szCs w:val="24"/>
        </w:rPr>
        <w:t xml:space="preserve"> balijské</w:t>
      </w:r>
      <w:r w:rsidR="001B6FDD" w:rsidRPr="00EB0772">
        <w:rPr>
          <w:sz w:val="24"/>
          <w:szCs w:val="24"/>
        </w:rPr>
        <w:t xml:space="preserve"> kohútie zápasy. Zápasy sú organizované ako </w:t>
      </w:r>
      <w:r w:rsidR="001B6FDD" w:rsidRPr="00EB0772">
        <w:rPr>
          <w:sz w:val="24"/>
          <w:szCs w:val="24"/>
        </w:rPr>
        <w:lastRenderedPageBreak/>
        <w:t>reakci</w:t>
      </w:r>
      <w:r w:rsidR="000F1763" w:rsidRPr="00EB0772">
        <w:rPr>
          <w:sz w:val="24"/>
          <w:szCs w:val="24"/>
        </w:rPr>
        <w:t>e</w:t>
      </w:r>
      <w:r w:rsidR="001B6FDD" w:rsidRPr="00EB0772">
        <w:rPr>
          <w:sz w:val="24"/>
          <w:szCs w:val="24"/>
        </w:rPr>
        <w:t xml:space="preserve"> na nepríjemné udalosti</w:t>
      </w:r>
      <w:r w:rsidR="000F1763" w:rsidRPr="00EB0772">
        <w:rPr>
          <w:sz w:val="24"/>
          <w:szCs w:val="24"/>
        </w:rPr>
        <w:t xml:space="preserve"> rôzneho druhu: či už sa jedná o choroby, zlú úrodu alebo prírodné katastrofy. Kohúti tu symbolizujú mužnosť, muži sa stotožňujú s tým, čo ich fascinuje a zároveň desí – tým sú temné sily. Kohútí zápas je totiž chápaný ako krvavá obeť démonom. </w:t>
      </w:r>
    </w:p>
    <w:p w:rsidR="00376267" w:rsidRPr="00EB0772" w:rsidRDefault="00BA5DBA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</w:rPr>
        <w:t xml:space="preserve">Podľa Geertza sú kohútie zápasy </w:t>
      </w:r>
      <w:r w:rsidR="000F1763" w:rsidRPr="0036014E">
        <w:rPr>
          <w:i/>
          <w:sz w:val="24"/>
          <w:szCs w:val="24"/>
        </w:rPr>
        <w:t>„</w:t>
      </w:r>
      <w:r w:rsidRPr="0036014E">
        <w:rPr>
          <w:i/>
          <w:sz w:val="24"/>
          <w:szCs w:val="24"/>
        </w:rPr>
        <w:t xml:space="preserve">symbolickou odpoveďou na agresiu a rivalitu skrytú pod povrchom balijskej kultúry.“ </w:t>
      </w:r>
      <w:r w:rsidRPr="00EB0772">
        <w:rPr>
          <w:sz w:val="24"/>
          <w:szCs w:val="24"/>
        </w:rPr>
        <w:t xml:space="preserve">(Soukup </w:t>
      </w:r>
      <w:r w:rsidR="000F1763" w:rsidRPr="00EB0772">
        <w:rPr>
          <w:sz w:val="24"/>
          <w:szCs w:val="24"/>
        </w:rPr>
        <w:t xml:space="preserve">2000: </w:t>
      </w:r>
      <w:r w:rsidRPr="00EB0772">
        <w:rPr>
          <w:sz w:val="24"/>
          <w:szCs w:val="24"/>
        </w:rPr>
        <w:t>183)</w:t>
      </w:r>
      <w:r w:rsidR="009E18BA" w:rsidRPr="00EB0772">
        <w:rPr>
          <w:sz w:val="24"/>
          <w:szCs w:val="24"/>
        </w:rPr>
        <w:t xml:space="preserve"> Rozsah práce mi neumožňuje, aby som popísala priebeh celého zápasu, ale k tomu odporúčam prečítať si Geertzovo dielo venované tejto témetike</w:t>
      </w:r>
      <w:r w:rsidR="00E56E3B" w:rsidRPr="00EB0772">
        <w:rPr>
          <w:sz w:val="24"/>
          <w:szCs w:val="24"/>
        </w:rPr>
        <w:t>-</w:t>
      </w:r>
      <w:r w:rsidR="009E18BA" w:rsidRPr="00EB0772">
        <w:rPr>
          <w:sz w:val="24"/>
          <w:szCs w:val="24"/>
        </w:rPr>
        <w:t xml:space="preserve"> </w:t>
      </w:r>
      <w:r w:rsidR="009E18BA" w:rsidRPr="00EB0772">
        <w:rPr>
          <w:i/>
          <w:sz w:val="24"/>
          <w:szCs w:val="24"/>
        </w:rPr>
        <w:t xml:space="preserve">Deep Play: Notes on the Balinese Cockfight. </w:t>
      </w:r>
      <w:r w:rsidR="00376267" w:rsidRPr="00EB0772">
        <w:rPr>
          <w:sz w:val="24"/>
          <w:szCs w:val="24"/>
        </w:rPr>
        <w:t>Balijci prostredníctvom zápasov vyjadrujú to, čo inokedy nemôžu: divokos</w:t>
      </w:r>
      <w:r w:rsidR="00E56E3B" w:rsidRPr="00EB0772">
        <w:rPr>
          <w:sz w:val="24"/>
          <w:szCs w:val="24"/>
        </w:rPr>
        <w:t>ť, rivalitu, bojovosť, mužský narcizmus a</w:t>
      </w:r>
      <w:r w:rsidR="00376267" w:rsidRPr="00EB0772">
        <w:rPr>
          <w:sz w:val="24"/>
          <w:szCs w:val="24"/>
        </w:rPr>
        <w:t xml:space="preserve"> vášeň. </w:t>
      </w:r>
    </w:p>
    <w:p w:rsidR="00E56E3B" w:rsidRPr="00EB0772" w:rsidRDefault="00E56E3B" w:rsidP="00E23D0F">
      <w:pPr>
        <w:spacing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</w:rPr>
        <w:t xml:space="preserve">Táto interpretácia rituálu je podobná Gluckmanovému pojatiu rituálu ako </w:t>
      </w:r>
      <w:r w:rsidR="008A66D3">
        <w:rPr>
          <w:sz w:val="24"/>
          <w:szCs w:val="24"/>
        </w:rPr>
        <w:t>i</w:t>
      </w:r>
      <w:r w:rsidRPr="00EB0772">
        <w:rPr>
          <w:sz w:val="24"/>
          <w:szCs w:val="24"/>
          <w:shd w:val="clear" w:color="auto" w:fill="FFFFFF"/>
        </w:rPr>
        <w:t>nštitucio</w:t>
      </w:r>
      <w:bookmarkStart w:id="0" w:name="_GoBack"/>
      <w:bookmarkEnd w:id="0"/>
      <w:r w:rsidRPr="00EB0772">
        <w:rPr>
          <w:sz w:val="24"/>
          <w:szCs w:val="24"/>
          <w:shd w:val="clear" w:color="auto" w:fill="FFFFFF"/>
        </w:rPr>
        <w:t>n</w:t>
      </w:r>
      <w:r w:rsidRPr="00EB0772">
        <w:rPr>
          <w:sz w:val="24"/>
          <w:szCs w:val="24"/>
          <w:shd w:val="clear" w:color="auto" w:fill="FFFFFF"/>
        </w:rPr>
        <w:t>alizovaného konfliktu</w:t>
      </w:r>
      <w:r w:rsidR="008A66D3">
        <w:rPr>
          <w:sz w:val="24"/>
          <w:szCs w:val="24"/>
          <w:shd w:val="clear" w:color="auto" w:fill="FFFFFF"/>
        </w:rPr>
        <w:t xml:space="preserve">. </w:t>
      </w:r>
    </w:p>
    <w:p w:rsidR="001004A8" w:rsidRPr="00EB0772" w:rsidRDefault="00E56E3B" w:rsidP="00E23D0F">
      <w:pPr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EB0772">
        <w:rPr>
          <w:sz w:val="24"/>
          <w:szCs w:val="24"/>
        </w:rPr>
        <w:t>Obdobou kohútich zápasov</w:t>
      </w:r>
      <w:r w:rsidR="00376267" w:rsidRPr="00EB0772">
        <w:rPr>
          <w:sz w:val="24"/>
          <w:szCs w:val="24"/>
        </w:rPr>
        <w:t xml:space="preserve"> sú športové podujatia, ako napríklad hokejové či futbalové zápasy</w:t>
      </w:r>
      <w:r w:rsidRPr="00EB0772">
        <w:rPr>
          <w:sz w:val="24"/>
          <w:szCs w:val="24"/>
        </w:rPr>
        <w:t xml:space="preserve"> alebo olympjiské hry</w:t>
      </w:r>
      <w:r w:rsidR="00376267" w:rsidRPr="00EB0772">
        <w:rPr>
          <w:sz w:val="24"/>
          <w:szCs w:val="24"/>
        </w:rPr>
        <w:t xml:space="preserve">. </w:t>
      </w:r>
      <w:r w:rsidRPr="00EB0772">
        <w:rPr>
          <w:sz w:val="24"/>
          <w:szCs w:val="24"/>
        </w:rPr>
        <w:t>Tieto</w:t>
      </w:r>
      <w:r w:rsidR="008A66D3">
        <w:rPr>
          <w:sz w:val="24"/>
          <w:szCs w:val="24"/>
        </w:rPr>
        <w:t xml:space="preserve"> kontrolované formy zápasenia u</w:t>
      </w:r>
      <w:r w:rsidRPr="00EB0772">
        <w:rPr>
          <w:sz w:val="24"/>
          <w:szCs w:val="24"/>
          <w:shd w:val="clear" w:color="auto" w:fill="FFFFFF"/>
        </w:rPr>
        <w:t>možňujú</w:t>
      </w:r>
      <w:r w:rsidR="001004A8" w:rsidRPr="00EB0772">
        <w:rPr>
          <w:sz w:val="24"/>
          <w:szCs w:val="24"/>
          <w:shd w:val="clear" w:color="auto" w:fill="FFFFFF"/>
        </w:rPr>
        <w:t xml:space="preserve"> účastníkom a divákom ventilovať agresivitu a napätie, ktoré v bežnom živote nie sú tolerované.</w:t>
      </w:r>
    </w:p>
    <w:p w:rsidR="00E54444" w:rsidRPr="00AD011E" w:rsidRDefault="001004A8" w:rsidP="00E23D0F">
      <w:pPr>
        <w:pStyle w:val="Heading1"/>
        <w:ind w:firstLine="284"/>
        <w:jc w:val="both"/>
        <w:rPr>
          <w:szCs w:val="22"/>
          <w:shd w:val="clear" w:color="auto" w:fill="FFFFFF"/>
        </w:rPr>
      </w:pPr>
      <w:r w:rsidRPr="00EB0772">
        <w:rPr>
          <w:rFonts w:ascii="Times New Roman" w:hAnsi="Times New Roman" w:cs="Times New Roman"/>
          <w:szCs w:val="22"/>
          <w:shd w:val="clear" w:color="auto" w:fill="FFFFFF"/>
        </w:rPr>
        <w:br/>
      </w:r>
      <w:r w:rsidR="00E54444" w:rsidRPr="00EB0772">
        <w:t>Záver</w:t>
      </w:r>
    </w:p>
    <w:p w:rsidR="00C35C16" w:rsidRDefault="00C35C16" w:rsidP="00E23D0F">
      <w:pPr>
        <w:spacing w:after="200" w:line="360" w:lineRule="auto"/>
        <w:ind w:firstLine="284"/>
        <w:jc w:val="both"/>
        <w:rPr>
          <w:sz w:val="24"/>
          <w:szCs w:val="24"/>
        </w:rPr>
      </w:pPr>
    </w:p>
    <w:p w:rsidR="00007801" w:rsidRDefault="00C35C16" w:rsidP="00E23D0F">
      <w:pPr>
        <w:spacing w:after="200" w:line="360" w:lineRule="auto"/>
        <w:ind w:firstLine="284"/>
        <w:jc w:val="both"/>
        <w:rPr>
          <w:sz w:val="24"/>
          <w:szCs w:val="24"/>
        </w:rPr>
      </w:pPr>
      <w:r w:rsidRPr="00EB0772">
        <w:rPr>
          <w:sz w:val="24"/>
          <w:szCs w:val="24"/>
        </w:rPr>
        <w:t>Pohľady na funkciu a dôvody vzniku</w:t>
      </w:r>
      <w:r w:rsidR="00DE731F">
        <w:rPr>
          <w:sz w:val="24"/>
          <w:szCs w:val="24"/>
        </w:rPr>
        <w:t xml:space="preserve"> rituálu</w:t>
      </w:r>
      <w:r w:rsidRPr="00EB0772">
        <w:rPr>
          <w:sz w:val="24"/>
          <w:szCs w:val="24"/>
        </w:rPr>
        <w:t xml:space="preserve"> dodnes nie sú </w:t>
      </w:r>
      <w:r w:rsidR="00DE731F">
        <w:rPr>
          <w:sz w:val="24"/>
          <w:szCs w:val="24"/>
        </w:rPr>
        <w:t xml:space="preserve">v antropológii </w:t>
      </w:r>
      <w:r w:rsidRPr="00EB0772">
        <w:rPr>
          <w:sz w:val="24"/>
          <w:szCs w:val="24"/>
        </w:rPr>
        <w:t xml:space="preserve">jednotné. Najpočetnejšie interpretácie vznikli od autorov bežne zaradzovaných do štrukturálneho funkcionalizmu, akými sú E. Durkheim, </w:t>
      </w:r>
      <w:r w:rsidRPr="00EB0772">
        <w:rPr>
          <w:sz w:val="24"/>
          <w:szCs w:val="24"/>
          <w:shd w:val="clear" w:color="auto" w:fill="FFFFFF"/>
        </w:rPr>
        <w:t xml:space="preserve">A.R. Radcliffe-Brown, E.E. Evans-Pritchard, Max Gluckman či Edmund Leach. </w:t>
      </w:r>
      <w:r w:rsidRPr="00EB0772">
        <w:rPr>
          <w:sz w:val="24"/>
          <w:szCs w:val="24"/>
        </w:rPr>
        <w:t xml:space="preserve">Jedným z moderných prístupov k štúdiu rituálu je symbolizmus, ktorý neinterpretuje rituál z pohľadu jeho funkcie </w:t>
      </w:r>
      <w:r>
        <w:rPr>
          <w:sz w:val="24"/>
          <w:szCs w:val="24"/>
        </w:rPr>
        <w:t xml:space="preserve">v </w:t>
      </w:r>
      <w:r w:rsidRPr="00EB0772">
        <w:rPr>
          <w:sz w:val="24"/>
          <w:szCs w:val="24"/>
        </w:rPr>
        <w:t xml:space="preserve">spoločnosti, ale snaží sa o interpretáciu jeho symbolických významov pre spoločnosť. Je reprezentovaný V. Turnerom a C. Geertzom. </w:t>
      </w:r>
      <w:r>
        <w:rPr>
          <w:sz w:val="24"/>
          <w:szCs w:val="24"/>
        </w:rPr>
        <w:t xml:space="preserve">V práci </w:t>
      </w:r>
      <w:r w:rsidR="00DE731F">
        <w:rPr>
          <w:sz w:val="24"/>
          <w:szCs w:val="24"/>
        </w:rPr>
        <w:t>som popísala</w:t>
      </w:r>
      <w:r>
        <w:rPr>
          <w:sz w:val="24"/>
          <w:szCs w:val="24"/>
        </w:rPr>
        <w:t xml:space="preserve"> </w:t>
      </w:r>
      <w:r w:rsidR="00DE731F">
        <w:rPr>
          <w:sz w:val="24"/>
          <w:szCs w:val="24"/>
        </w:rPr>
        <w:t xml:space="preserve">iba niektoré </w:t>
      </w:r>
      <w:r>
        <w:rPr>
          <w:sz w:val="24"/>
          <w:szCs w:val="24"/>
        </w:rPr>
        <w:t xml:space="preserve">prístupy </w:t>
      </w:r>
      <w:r w:rsidRPr="00EB0772">
        <w:rPr>
          <w:sz w:val="24"/>
          <w:szCs w:val="24"/>
        </w:rPr>
        <w:t xml:space="preserve"> </w:t>
      </w:r>
      <w:r>
        <w:rPr>
          <w:sz w:val="24"/>
          <w:szCs w:val="24"/>
        </w:rPr>
        <w:t>ku rituálu</w:t>
      </w:r>
      <w:r w:rsidR="00DE731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avšak existuje ešte široké spektrum tých, ktoré som </w:t>
      </w:r>
      <w:r w:rsidR="00DE731F">
        <w:rPr>
          <w:sz w:val="24"/>
          <w:szCs w:val="24"/>
        </w:rPr>
        <w:t>tu kvôli kratši</w:t>
      </w:r>
      <w:r>
        <w:rPr>
          <w:sz w:val="24"/>
          <w:szCs w:val="24"/>
        </w:rPr>
        <w:t xml:space="preserve">emu rozsahu nepopisovala. </w:t>
      </w:r>
      <w:r w:rsidR="00D252DC">
        <w:rPr>
          <w:sz w:val="24"/>
          <w:szCs w:val="24"/>
        </w:rPr>
        <w:t>Patrí medzi</w:t>
      </w:r>
      <w:r w:rsidR="00DE731F">
        <w:rPr>
          <w:sz w:val="24"/>
          <w:szCs w:val="24"/>
        </w:rPr>
        <w:t xml:space="preserve"> ne</w:t>
      </w:r>
      <w:r w:rsidR="00D252DC">
        <w:rPr>
          <w:sz w:val="24"/>
          <w:szCs w:val="24"/>
        </w:rPr>
        <w:t xml:space="preserve"> aj prístup kognitívnej antropológie, marxistické prístupy a ďalšie. </w:t>
      </w:r>
      <w:r w:rsidR="00DE731F">
        <w:rPr>
          <w:sz w:val="24"/>
          <w:szCs w:val="24"/>
        </w:rPr>
        <w:t xml:space="preserve">Štúdium rituálu je komplexná a široká oblasť, preto verím, že moja práca poslúži ako uvedenie do tejto problematiky. </w:t>
      </w:r>
    </w:p>
    <w:p w:rsidR="00696173" w:rsidRDefault="00696173" w:rsidP="00E23D0F">
      <w:pPr>
        <w:spacing w:after="200" w:line="360" w:lineRule="auto"/>
        <w:ind w:firstLine="284"/>
        <w:jc w:val="both"/>
        <w:rPr>
          <w:sz w:val="24"/>
          <w:szCs w:val="24"/>
        </w:rPr>
      </w:pPr>
    </w:p>
    <w:p w:rsidR="00696173" w:rsidRDefault="00696173" w:rsidP="00EB0772">
      <w:pPr>
        <w:spacing w:after="200" w:line="360" w:lineRule="auto"/>
        <w:rPr>
          <w:sz w:val="24"/>
          <w:szCs w:val="24"/>
        </w:rPr>
      </w:pPr>
    </w:p>
    <w:p w:rsidR="00696173" w:rsidRDefault="00696173" w:rsidP="00EB0772">
      <w:pPr>
        <w:spacing w:after="200" w:line="360" w:lineRule="auto"/>
      </w:pPr>
    </w:p>
    <w:p w:rsidR="00AD011E" w:rsidRPr="00EB0772" w:rsidRDefault="00AD011E" w:rsidP="00EB0772">
      <w:pPr>
        <w:spacing w:after="200" w:line="360" w:lineRule="auto"/>
      </w:pPr>
    </w:p>
    <w:p w:rsidR="001004A8" w:rsidRDefault="00E54444" w:rsidP="00E54444">
      <w:pPr>
        <w:pStyle w:val="Heading1"/>
      </w:pPr>
      <w:r>
        <w:lastRenderedPageBreak/>
        <w:t>Literatúra</w:t>
      </w:r>
    </w:p>
    <w:p w:rsidR="00E54444" w:rsidRPr="00EB0772" w:rsidRDefault="00E54444" w:rsidP="00EB0772">
      <w:pPr>
        <w:spacing w:line="360" w:lineRule="auto"/>
      </w:pPr>
    </w:p>
    <w:p w:rsidR="00AD011E" w:rsidRPr="00AD011E" w:rsidRDefault="00AD011E" w:rsidP="00AD011E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AD011E">
        <w:rPr>
          <w:sz w:val="22"/>
        </w:rPr>
        <w:t xml:space="preserve">ERIKSEN, Thomas Hylland. </w:t>
      </w:r>
      <w:r w:rsidRPr="00AD011E">
        <w:rPr>
          <w:i/>
          <w:sz w:val="22"/>
        </w:rPr>
        <w:t>Small Places Large Issues.</w:t>
      </w:r>
      <w:r w:rsidRPr="00AD011E">
        <w:rPr>
          <w:sz w:val="22"/>
        </w:rPr>
        <w:t>London : Pluto Press. 2001. pp. 209 - 226</w:t>
      </w:r>
    </w:p>
    <w:p w:rsidR="00E54444" w:rsidRPr="00AD011E" w:rsidRDefault="00E54444" w:rsidP="00AD011E">
      <w:pPr>
        <w:pStyle w:val="ListParagraph"/>
        <w:numPr>
          <w:ilvl w:val="0"/>
          <w:numId w:val="3"/>
        </w:numPr>
        <w:spacing w:line="360" w:lineRule="auto"/>
      </w:pPr>
      <w:r w:rsidRPr="00AD011E">
        <w:rPr>
          <w:sz w:val="24"/>
          <w:szCs w:val="24"/>
          <w:lang w:val="en-US"/>
        </w:rPr>
        <w:t xml:space="preserve">HENKEL, </w:t>
      </w:r>
      <w:proofErr w:type="spellStart"/>
      <w:r w:rsidRPr="00AD011E">
        <w:rPr>
          <w:sz w:val="24"/>
          <w:szCs w:val="24"/>
          <w:lang w:val="en-US"/>
        </w:rPr>
        <w:t>Heiko</w:t>
      </w:r>
      <w:proofErr w:type="spellEnd"/>
      <w:r w:rsidRPr="00AD011E">
        <w:rPr>
          <w:sz w:val="24"/>
          <w:szCs w:val="24"/>
          <w:lang w:val="en-US"/>
        </w:rPr>
        <w:t>, „</w:t>
      </w:r>
      <w:r w:rsidR="00E76251" w:rsidRPr="00AD011E">
        <w:rPr>
          <w:sz w:val="24"/>
          <w:szCs w:val="24"/>
          <w:lang w:val="en-US"/>
        </w:rPr>
        <w:t xml:space="preserve">Between Belief and Unbelief lies the Performance of </w:t>
      </w:r>
      <w:proofErr w:type="spellStart"/>
      <w:r w:rsidR="00E76251" w:rsidRPr="00AD011E">
        <w:rPr>
          <w:i/>
          <w:sz w:val="24"/>
          <w:szCs w:val="24"/>
          <w:lang w:val="en-US"/>
        </w:rPr>
        <w:t>Salāt</w:t>
      </w:r>
      <w:proofErr w:type="spellEnd"/>
      <w:r w:rsidR="00E76251" w:rsidRPr="00AD011E">
        <w:rPr>
          <w:sz w:val="24"/>
          <w:szCs w:val="24"/>
          <w:lang w:val="en-US"/>
        </w:rPr>
        <w:t xml:space="preserve">: Meaning and Efficacy of a Muslim Ritual“, </w:t>
      </w:r>
      <w:r w:rsidR="00E76251" w:rsidRPr="00AD011E">
        <w:rPr>
          <w:i/>
          <w:sz w:val="24"/>
          <w:szCs w:val="24"/>
          <w:lang w:val="en-US"/>
        </w:rPr>
        <w:t>Journal of the Royal Anthropological Institute</w:t>
      </w:r>
      <w:r w:rsidR="00E76251" w:rsidRPr="00AD011E">
        <w:rPr>
          <w:sz w:val="24"/>
          <w:szCs w:val="24"/>
          <w:lang w:val="en-US"/>
        </w:rPr>
        <w:t>, vol. 11 no. 3</w:t>
      </w:r>
      <w:r w:rsidR="00813388" w:rsidRPr="00AD011E">
        <w:rPr>
          <w:sz w:val="24"/>
          <w:szCs w:val="24"/>
          <w:lang w:val="en-US"/>
        </w:rPr>
        <w:t>.</w:t>
      </w:r>
      <w:r w:rsidR="00E76251" w:rsidRPr="00AD011E">
        <w:rPr>
          <w:sz w:val="24"/>
          <w:szCs w:val="24"/>
          <w:lang w:val="en-US"/>
        </w:rPr>
        <w:t xml:space="preserve"> September 2005, pp. 487–507.</w:t>
      </w:r>
    </w:p>
    <w:p w:rsidR="00AD011E" w:rsidRDefault="00AD011E" w:rsidP="00AD011E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AD011E">
        <w:rPr>
          <w:sz w:val="22"/>
        </w:rPr>
        <w:t xml:space="preserve">MURPHY, R.F. </w:t>
      </w:r>
      <w:r w:rsidRPr="00AD011E">
        <w:rPr>
          <w:i/>
          <w:sz w:val="22"/>
        </w:rPr>
        <w:t>Úvod do kulturní a sociální antropologie</w:t>
      </w:r>
      <w:r w:rsidRPr="00AD011E">
        <w:rPr>
          <w:sz w:val="22"/>
        </w:rPr>
        <w:t>. Praha: Slon. 1999. s</w:t>
      </w:r>
      <w:r>
        <w:rPr>
          <w:sz w:val="22"/>
        </w:rPr>
        <w:t>. 170-194</w:t>
      </w:r>
    </w:p>
    <w:p w:rsidR="00AD011E" w:rsidRPr="00AD011E" w:rsidRDefault="00AD011E" w:rsidP="00AD011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D011E">
        <w:rPr>
          <w:sz w:val="24"/>
          <w:szCs w:val="24"/>
          <w:lang w:val="en-US"/>
        </w:rPr>
        <w:t>Ritual. In:</w:t>
      </w:r>
      <w:r w:rsidRPr="00AD011E">
        <w:rPr>
          <w:i/>
          <w:sz w:val="24"/>
          <w:szCs w:val="24"/>
          <w:lang w:val="en-US"/>
        </w:rPr>
        <w:t xml:space="preserve"> </w:t>
      </w:r>
      <w:proofErr w:type="spellStart"/>
      <w:r w:rsidRPr="00AD011E">
        <w:rPr>
          <w:i/>
          <w:sz w:val="24"/>
          <w:szCs w:val="24"/>
          <w:lang w:val="en-US"/>
        </w:rPr>
        <w:t>Encyclopaedia</w:t>
      </w:r>
      <w:proofErr w:type="spellEnd"/>
      <w:r w:rsidRPr="00AD011E">
        <w:rPr>
          <w:i/>
          <w:sz w:val="24"/>
          <w:szCs w:val="24"/>
          <w:lang w:val="en-US"/>
        </w:rPr>
        <w:t xml:space="preserve"> Britannica</w:t>
      </w:r>
      <w:r w:rsidRPr="00AD011E">
        <w:rPr>
          <w:sz w:val="24"/>
          <w:szCs w:val="24"/>
          <w:lang w:val="en-US"/>
        </w:rPr>
        <w:t xml:space="preserve"> [online]. [</w:t>
      </w:r>
      <w:proofErr w:type="spellStart"/>
      <w:proofErr w:type="gramStart"/>
      <w:r w:rsidRPr="00AD011E">
        <w:rPr>
          <w:sz w:val="24"/>
          <w:szCs w:val="24"/>
          <w:lang w:val="en-US"/>
        </w:rPr>
        <w:t>citované</w:t>
      </w:r>
      <w:proofErr w:type="spellEnd"/>
      <w:proofErr w:type="gramEnd"/>
      <w:r w:rsidRPr="00AD011E">
        <w:rPr>
          <w:sz w:val="24"/>
          <w:szCs w:val="24"/>
          <w:lang w:val="en-US"/>
        </w:rPr>
        <w:t xml:space="preserve"> 29.12.2012]. </w:t>
      </w:r>
      <w:proofErr w:type="spellStart"/>
      <w:r w:rsidRPr="00AD011E">
        <w:rPr>
          <w:sz w:val="24"/>
          <w:szCs w:val="24"/>
          <w:lang w:val="en-US"/>
        </w:rPr>
        <w:t>Dostupné</w:t>
      </w:r>
      <w:proofErr w:type="spellEnd"/>
      <w:r w:rsidRPr="00AD011E">
        <w:rPr>
          <w:sz w:val="24"/>
          <w:szCs w:val="24"/>
          <w:lang w:val="en-US"/>
        </w:rPr>
        <w:t xml:space="preserve"> </w:t>
      </w:r>
      <w:proofErr w:type="spellStart"/>
      <w:r w:rsidRPr="00AD011E">
        <w:rPr>
          <w:sz w:val="24"/>
          <w:szCs w:val="24"/>
          <w:lang w:val="en-US"/>
        </w:rPr>
        <w:t>na</w:t>
      </w:r>
      <w:proofErr w:type="spellEnd"/>
      <w:r w:rsidRPr="00AD011E">
        <w:rPr>
          <w:sz w:val="24"/>
          <w:szCs w:val="24"/>
          <w:lang w:val="en-US"/>
        </w:rPr>
        <w:t>:</w:t>
      </w:r>
    </w:p>
    <w:p w:rsidR="00AD011E" w:rsidRPr="00AD011E" w:rsidRDefault="00AD011E" w:rsidP="00AD011E">
      <w:pPr>
        <w:pStyle w:val="ListParagraph"/>
        <w:spacing w:line="360" w:lineRule="auto"/>
        <w:rPr>
          <w:sz w:val="24"/>
          <w:szCs w:val="24"/>
          <w:lang w:val="en-US"/>
        </w:rPr>
      </w:pPr>
      <w:hyperlink r:id="rId9" w:history="1">
        <w:r w:rsidRPr="00AD011E">
          <w:rPr>
            <w:rStyle w:val="Hyperlink"/>
            <w:sz w:val="24"/>
            <w:szCs w:val="24"/>
            <w:lang w:val="en-US"/>
          </w:rPr>
          <w:t>http://www.britannica.com/EBchecked/topic/504688/ritual</w:t>
        </w:r>
      </w:hyperlink>
    </w:p>
    <w:p w:rsidR="00AD011E" w:rsidRPr="00AD011E" w:rsidRDefault="00813388" w:rsidP="00AD011E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AD011E">
        <w:rPr>
          <w:sz w:val="24"/>
          <w:szCs w:val="24"/>
          <w:lang w:val="en-US"/>
        </w:rPr>
        <w:t xml:space="preserve">SOUKUP, </w:t>
      </w:r>
      <w:proofErr w:type="spellStart"/>
      <w:r w:rsidRPr="00AD011E">
        <w:rPr>
          <w:sz w:val="24"/>
          <w:szCs w:val="24"/>
          <w:lang w:val="en-US"/>
        </w:rPr>
        <w:t>Václav</w:t>
      </w:r>
      <w:proofErr w:type="spellEnd"/>
      <w:r w:rsidRPr="00AD011E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AD011E">
        <w:rPr>
          <w:i/>
          <w:sz w:val="24"/>
          <w:szCs w:val="24"/>
          <w:lang w:val="en-US"/>
        </w:rPr>
        <w:t>Přehled</w:t>
      </w:r>
      <w:proofErr w:type="spellEnd"/>
      <w:r w:rsidRPr="00AD011E">
        <w:rPr>
          <w:i/>
          <w:sz w:val="24"/>
          <w:szCs w:val="24"/>
          <w:lang w:val="en-US"/>
        </w:rPr>
        <w:t xml:space="preserve"> </w:t>
      </w:r>
      <w:proofErr w:type="spellStart"/>
      <w:r w:rsidRPr="00AD011E">
        <w:rPr>
          <w:i/>
          <w:sz w:val="24"/>
          <w:szCs w:val="24"/>
          <w:lang w:val="en-US"/>
        </w:rPr>
        <w:t>antropologických</w:t>
      </w:r>
      <w:proofErr w:type="spellEnd"/>
      <w:r w:rsidRPr="00AD011E">
        <w:rPr>
          <w:i/>
          <w:sz w:val="24"/>
          <w:szCs w:val="24"/>
          <w:lang w:val="en-US"/>
        </w:rPr>
        <w:t xml:space="preserve"> </w:t>
      </w:r>
      <w:proofErr w:type="spellStart"/>
      <w:r w:rsidRPr="00AD011E">
        <w:rPr>
          <w:i/>
          <w:sz w:val="24"/>
          <w:szCs w:val="24"/>
          <w:lang w:val="en-US"/>
        </w:rPr>
        <w:t>teorií</w:t>
      </w:r>
      <w:proofErr w:type="spellEnd"/>
      <w:r w:rsidRPr="00AD011E">
        <w:rPr>
          <w:i/>
          <w:sz w:val="24"/>
          <w:szCs w:val="24"/>
          <w:lang w:val="en-US"/>
        </w:rPr>
        <w:t xml:space="preserve"> </w:t>
      </w:r>
      <w:proofErr w:type="spellStart"/>
      <w:r w:rsidRPr="00AD011E">
        <w:rPr>
          <w:i/>
          <w:sz w:val="24"/>
          <w:szCs w:val="24"/>
          <w:lang w:val="en-US"/>
        </w:rPr>
        <w:t>kultury</w:t>
      </w:r>
      <w:proofErr w:type="spellEnd"/>
      <w:r w:rsidRPr="00AD011E">
        <w:rPr>
          <w:sz w:val="24"/>
          <w:szCs w:val="24"/>
          <w:lang w:val="en-US"/>
        </w:rPr>
        <w:t>.</w:t>
      </w:r>
      <w:proofErr w:type="gramEnd"/>
      <w:r w:rsidRPr="00AD011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D011E">
        <w:rPr>
          <w:sz w:val="24"/>
          <w:szCs w:val="24"/>
          <w:lang w:val="en-US"/>
        </w:rPr>
        <w:t>Praha</w:t>
      </w:r>
      <w:proofErr w:type="spellEnd"/>
      <w:r w:rsidRPr="00AD011E">
        <w:rPr>
          <w:sz w:val="24"/>
          <w:szCs w:val="24"/>
          <w:lang w:val="en-US"/>
        </w:rPr>
        <w:t xml:space="preserve"> :</w:t>
      </w:r>
      <w:proofErr w:type="gramEnd"/>
      <w:r w:rsidRPr="00AD011E">
        <w:rPr>
          <w:sz w:val="24"/>
          <w:szCs w:val="24"/>
          <w:lang w:val="en-US"/>
        </w:rPr>
        <w:t xml:space="preserve"> </w:t>
      </w:r>
      <w:proofErr w:type="spellStart"/>
      <w:r w:rsidRPr="00AD011E">
        <w:rPr>
          <w:sz w:val="24"/>
          <w:szCs w:val="24"/>
          <w:lang w:val="en-US"/>
        </w:rPr>
        <w:t>Portál</w:t>
      </w:r>
      <w:proofErr w:type="spellEnd"/>
      <w:r w:rsidRPr="00AD011E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AD011E">
        <w:rPr>
          <w:sz w:val="24"/>
          <w:szCs w:val="24"/>
          <w:lang w:val="en-US"/>
        </w:rPr>
        <w:t>Vyd</w:t>
      </w:r>
      <w:proofErr w:type="spellEnd"/>
      <w:r w:rsidRPr="00AD011E">
        <w:rPr>
          <w:sz w:val="24"/>
          <w:szCs w:val="24"/>
          <w:lang w:val="en-US"/>
        </w:rPr>
        <w:t>.</w:t>
      </w:r>
      <w:proofErr w:type="gramEnd"/>
      <w:r w:rsidRPr="00AD011E">
        <w:rPr>
          <w:sz w:val="24"/>
          <w:szCs w:val="24"/>
          <w:lang w:val="en-US"/>
        </w:rPr>
        <w:t xml:space="preserve"> 1. 2000. 232 s. </w:t>
      </w:r>
    </w:p>
    <w:p w:rsidR="00A66670" w:rsidRPr="00AD011E" w:rsidRDefault="00A66670" w:rsidP="00AD011E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AD011E">
        <w:rPr>
          <w:sz w:val="24"/>
          <w:szCs w:val="24"/>
          <w:lang w:val="en-US"/>
        </w:rPr>
        <w:t xml:space="preserve">TURNER, V. W. </w:t>
      </w:r>
      <w:r w:rsidRPr="00AD011E">
        <w:rPr>
          <w:i/>
          <w:sz w:val="24"/>
          <w:szCs w:val="24"/>
        </w:rPr>
        <w:t>The Forest of Symbols: Aspects of Ndembu Ritual</w:t>
      </w:r>
      <w:r w:rsidRPr="00AD011E">
        <w:rPr>
          <w:i/>
          <w:sz w:val="24"/>
          <w:szCs w:val="24"/>
        </w:rPr>
        <w:t xml:space="preserve">. </w:t>
      </w:r>
      <w:r w:rsidRPr="00AD011E">
        <w:rPr>
          <w:sz w:val="24"/>
          <w:szCs w:val="24"/>
        </w:rPr>
        <w:t xml:space="preserve">Ithaca : Cornell University Press. 1967. 405 p. </w:t>
      </w:r>
    </w:p>
    <w:p w:rsidR="00813388" w:rsidRDefault="00813388" w:rsidP="00813388">
      <w:pPr>
        <w:spacing w:line="360" w:lineRule="auto"/>
        <w:rPr>
          <w:sz w:val="24"/>
          <w:szCs w:val="24"/>
          <w:lang w:val="en-US"/>
        </w:rPr>
      </w:pPr>
    </w:p>
    <w:sectPr w:rsidR="0081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AE" w:rsidRDefault="004054AE" w:rsidP="005B7A38">
      <w:r>
        <w:separator/>
      </w:r>
    </w:p>
  </w:endnote>
  <w:endnote w:type="continuationSeparator" w:id="0">
    <w:p w:rsidR="004054AE" w:rsidRDefault="004054AE" w:rsidP="005B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AE" w:rsidRDefault="004054AE" w:rsidP="005B7A38">
      <w:r>
        <w:separator/>
      </w:r>
    </w:p>
  </w:footnote>
  <w:footnote w:type="continuationSeparator" w:id="0">
    <w:p w:rsidR="004054AE" w:rsidRDefault="004054AE" w:rsidP="005B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F3"/>
    <w:multiLevelType w:val="hybridMultilevel"/>
    <w:tmpl w:val="1980C284"/>
    <w:lvl w:ilvl="0" w:tplc="632C2BC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5E13BA5"/>
    <w:multiLevelType w:val="hybridMultilevel"/>
    <w:tmpl w:val="8E86571E"/>
    <w:lvl w:ilvl="0" w:tplc="97B0DB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7787"/>
    <w:multiLevelType w:val="hybridMultilevel"/>
    <w:tmpl w:val="3828AB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9B"/>
    <w:rsid w:val="00007801"/>
    <w:rsid w:val="00016E31"/>
    <w:rsid w:val="00022ED1"/>
    <w:rsid w:val="00027882"/>
    <w:rsid w:val="00047286"/>
    <w:rsid w:val="000518EA"/>
    <w:rsid w:val="000D1033"/>
    <w:rsid w:val="000F1763"/>
    <w:rsid w:val="001004A8"/>
    <w:rsid w:val="0010637B"/>
    <w:rsid w:val="00124134"/>
    <w:rsid w:val="0015548C"/>
    <w:rsid w:val="0019437D"/>
    <w:rsid w:val="00194428"/>
    <w:rsid w:val="001B6FDD"/>
    <w:rsid w:val="001F2814"/>
    <w:rsid w:val="0020614F"/>
    <w:rsid w:val="00223E68"/>
    <w:rsid w:val="00256646"/>
    <w:rsid w:val="00274856"/>
    <w:rsid w:val="002B49E8"/>
    <w:rsid w:val="002C06AC"/>
    <w:rsid w:val="002D1AD8"/>
    <w:rsid w:val="002F20E5"/>
    <w:rsid w:val="00312886"/>
    <w:rsid w:val="00332129"/>
    <w:rsid w:val="003507A6"/>
    <w:rsid w:val="0035323D"/>
    <w:rsid w:val="00353377"/>
    <w:rsid w:val="0036014E"/>
    <w:rsid w:val="003627D9"/>
    <w:rsid w:val="00376267"/>
    <w:rsid w:val="003C4C16"/>
    <w:rsid w:val="003F0980"/>
    <w:rsid w:val="004054AE"/>
    <w:rsid w:val="00414984"/>
    <w:rsid w:val="00472204"/>
    <w:rsid w:val="004B22DE"/>
    <w:rsid w:val="004B3DC2"/>
    <w:rsid w:val="004E7D84"/>
    <w:rsid w:val="00526CAB"/>
    <w:rsid w:val="005712FA"/>
    <w:rsid w:val="005953D4"/>
    <w:rsid w:val="005A1E41"/>
    <w:rsid w:val="005A4F56"/>
    <w:rsid w:val="005B7A38"/>
    <w:rsid w:val="005C16A2"/>
    <w:rsid w:val="0060386E"/>
    <w:rsid w:val="00665F25"/>
    <w:rsid w:val="006812A6"/>
    <w:rsid w:val="00694231"/>
    <w:rsid w:val="00696173"/>
    <w:rsid w:val="006A04E3"/>
    <w:rsid w:val="00702143"/>
    <w:rsid w:val="00722FB7"/>
    <w:rsid w:val="007415AB"/>
    <w:rsid w:val="007575FE"/>
    <w:rsid w:val="007C571A"/>
    <w:rsid w:val="00813388"/>
    <w:rsid w:val="00814042"/>
    <w:rsid w:val="008166A3"/>
    <w:rsid w:val="00865110"/>
    <w:rsid w:val="008A66D3"/>
    <w:rsid w:val="008B7A05"/>
    <w:rsid w:val="008D01A6"/>
    <w:rsid w:val="0094291F"/>
    <w:rsid w:val="00956621"/>
    <w:rsid w:val="00981EA1"/>
    <w:rsid w:val="009E18BA"/>
    <w:rsid w:val="00A00409"/>
    <w:rsid w:val="00A20F10"/>
    <w:rsid w:val="00A244E9"/>
    <w:rsid w:val="00A66670"/>
    <w:rsid w:val="00A71AC4"/>
    <w:rsid w:val="00AA4F2E"/>
    <w:rsid w:val="00AA5888"/>
    <w:rsid w:val="00AC649B"/>
    <w:rsid w:val="00AD011E"/>
    <w:rsid w:val="00AE1F37"/>
    <w:rsid w:val="00AE5576"/>
    <w:rsid w:val="00B0185B"/>
    <w:rsid w:val="00B06B41"/>
    <w:rsid w:val="00BA09B4"/>
    <w:rsid w:val="00BA143E"/>
    <w:rsid w:val="00BA5DBA"/>
    <w:rsid w:val="00BB362C"/>
    <w:rsid w:val="00BB61AE"/>
    <w:rsid w:val="00C35C16"/>
    <w:rsid w:val="00C561CE"/>
    <w:rsid w:val="00C719A1"/>
    <w:rsid w:val="00C71A1D"/>
    <w:rsid w:val="00C80839"/>
    <w:rsid w:val="00C83A45"/>
    <w:rsid w:val="00C96C68"/>
    <w:rsid w:val="00D252DC"/>
    <w:rsid w:val="00D4661E"/>
    <w:rsid w:val="00D5123E"/>
    <w:rsid w:val="00D65C19"/>
    <w:rsid w:val="00D8729C"/>
    <w:rsid w:val="00D91632"/>
    <w:rsid w:val="00DD2543"/>
    <w:rsid w:val="00DE731F"/>
    <w:rsid w:val="00E14FD9"/>
    <w:rsid w:val="00E23D0F"/>
    <w:rsid w:val="00E349FF"/>
    <w:rsid w:val="00E36825"/>
    <w:rsid w:val="00E416C3"/>
    <w:rsid w:val="00E53E86"/>
    <w:rsid w:val="00E54444"/>
    <w:rsid w:val="00E56E3B"/>
    <w:rsid w:val="00E76251"/>
    <w:rsid w:val="00E964E9"/>
    <w:rsid w:val="00EB0772"/>
    <w:rsid w:val="00EB362C"/>
    <w:rsid w:val="00EB7178"/>
    <w:rsid w:val="00EB7720"/>
    <w:rsid w:val="00EC040F"/>
    <w:rsid w:val="00EC0BE3"/>
    <w:rsid w:val="00EE61FC"/>
    <w:rsid w:val="00EF027D"/>
    <w:rsid w:val="00F21213"/>
    <w:rsid w:val="00F46F28"/>
    <w:rsid w:val="00F608C5"/>
    <w:rsid w:val="00F705BA"/>
    <w:rsid w:val="00F825D2"/>
    <w:rsid w:val="00F9144F"/>
    <w:rsid w:val="00FC21CA"/>
    <w:rsid w:val="00FD1AFF"/>
    <w:rsid w:val="00FE4AB7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2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3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23D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2D1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E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B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B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B7"/>
    <w:rPr>
      <w:rFonts w:ascii="Tahoma" w:eastAsia="Times New Roman" w:hAnsi="Tahoma" w:cs="Tahoma"/>
      <w:sz w:val="16"/>
      <w:szCs w:val="16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A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A3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B7A3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63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D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2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3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23D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2D1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E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B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B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B7"/>
    <w:rPr>
      <w:rFonts w:ascii="Tahoma" w:eastAsia="Times New Roman" w:hAnsi="Tahoma" w:cs="Tahoma"/>
      <w:sz w:val="16"/>
      <w:szCs w:val="16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A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A3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B7A3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63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D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itannica.com/EBchecked/topic/504688/rit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E56E-AB74-4A2F-9897-2B3CC61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Izaac</dc:creator>
  <cp:lastModifiedBy>Izaac</cp:lastModifiedBy>
  <cp:revision>2</cp:revision>
  <dcterms:created xsi:type="dcterms:W3CDTF">2012-12-29T15:44:00Z</dcterms:created>
  <dcterms:modified xsi:type="dcterms:W3CDTF">2012-12-29T15:44:00Z</dcterms:modified>
</cp:coreProperties>
</file>