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A9E" w:rsidRPr="00DD4A9E" w:rsidRDefault="00DD4A9E" w:rsidP="00DD4A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</w:pPr>
      <w:proofErr w:type="spellStart"/>
      <w:r w:rsidRPr="00DD4A9E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Hodnocení</w:t>
      </w:r>
      <w:proofErr w:type="spellEnd"/>
      <w:r w:rsidRPr="00DD4A9E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Výborně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se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vám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podařilo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zaměřit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se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na jednu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výzkumnou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oblast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a 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dobře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využít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nasbíraných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dat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ve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spojení s 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relevantními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teoriemi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. Text je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napsán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čtivým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a dobrým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jazykem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, je z 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něj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znát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průběžná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práce týmu.</w:t>
      </w:r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Je tam celá </w:t>
      </w:r>
      <w:proofErr w:type="spellStart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řada</w:t>
      </w:r>
      <w:proofErr w:type="spellEnd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momentů</w:t>
      </w:r>
      <w:proofErr w:type="spellEnd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k </w:t>
      </w:r>
      <w:proofErr w:type="spellStart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dalšímu</w:t>
      </w:r>
      <w:proofErr w:type="spellEnd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</w:t>
      </w:r>
      <w:proofErr w:type="spellStart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rozpracování</w:t>
      </w:r>
      <w:proofErr w:type="spellEnd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, </w:t>
      </w:r>
      <w:proofErr w:type="spellStart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věřím</w:t>
      </w:r>
      <w:proofErr w:type="spellEnd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, že </w:t>
      </w:r>
      <w:proofErr w:type="spellStart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dosavadní</w:t>
      </w:r>
      <w:proofErr w:type="spellEnd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práci </w:t>
      </w:r>
      <w:proofErr w:type="spellStart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>dál</w:t>
      </w:r>
      <w:proofErr w:type="spellEnd"/>
      <w:r w:rsidR="00ED1B66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sk-SK"/>
        </w:rPr>
        <w:t xml:space="preserve"> využijete.</w:t>
      </w:r>
      <w:bookmarkStart w:id="0" w:name="_GoBack"/>
      <w:bookmarkEnd w:id="0"/>
    </w:p>
    <w:p w:rsidR="00DD4A9E" w:rsidRDefault="00DD4A9E" w:rsidP="004D6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</w:p>
    <w:p w:rsidR="00DD4A9E" w:rsidRDefault="00DD4A9E" w:rsidP="004D6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</w:p>
    <w:p w:rsidR="00DD4A9E" w:rsidRDefault="00DD4A9E" w:rsidP="004D6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</w:p>
    <w:p w:rsidR="004D6CE9" w:rsidRPr="004D6CE9" w:rsidRDefault="004D6CE9" w:rsidP="004D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Záverečná práca</w:t>
      </w:r>
    </w:p>
    <w:p w:rsidR="004D6CE9" w:rsidRPr="004D6CE9" w:rsidRDefault="004D6CE9" w:rsidP="004D6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  <w:proofErr w:type="spellStart"/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Gender</w:t>
      </w:r>
      <w:proofErr w:type="spellEnd"/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 v teréne</w:t>
      </w:r>
    </w:p>
    <w:p w:rsidR="004D6CE9" w:rsidRPr="004D6CE9" w:rsidRDefault="004D6CE9" w:rsidP="004D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GEN 107</w:t>
      </w:r>
    </w:p>
    <w:p w:rsidR="004D6CE9" w:rsidRPr="004D6CE9" w:rsidRDefault="004D6CE9" w:rsidP="004D6C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25.1.2014</w:t>
      </w:r>
    </w:p>
    <w:p w:rsidR="004D6CE9" w:rsidRPr="00B25ACF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proofErr w:type="spellStart"/>
      <w:r w:rsidRPr="00B25ACF">
        <w:rPr>
          <w:rFonts w:ascii="Times New Roman" w:eastAsia="Times New Roman" w:hAnsi="Times New Roman" w:cs="Times New Roman"/>
          <w:color w:val="000000"/>
          <w:lang w:eastAsia="sk-SK"/>
        </w:rPr>
        <w:t>Laurincová</w:t>
      </w:r>
      <w:proofErr w:type="spellEnd"/>
      <w:r w:rsidRPr="00B25ACF">
        <w:rPr>
          <w:rFonts w:ascii="Times New Roman" w:eastAsia="Times New Roman" w:hAnsi="Times New Roman" w:cs="Times New Roman"/>
          <w:color w:val="000000"/>
          <w:lang w:eastAsia="sk-SK"/>
        </w:rPr>
        <w:t xml:space="preserve"> Monika</w:t>
      </w:r>
    </w:p>
    <w:p w:rsidR="004D6CE9" w:rsidRPr="00B25ACF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25ACF">
        <w:rPr>
          <w:rFonts w:ascii="Times New Roman" w:eastAsia="Times New Roman" w:hAnsi="Times New Roman" w:cs="Times New Roman"/>
          <w:color w:val="000000"/>
          <w:lang w:eastAsia="sk-SK"/>
        </w:rPr>
        <w:t>Moravanská Lucia</w:t>
      </w:r>
    </w:p>
    <w:p w:rsidR="004D6CE9" w:rsidRPr="00B25ACF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B25ACF">
        <w:rPr>
          <w:rFonts w:ascii="Times New Roman" w:eastAsia="Times New Roman" w:hAnsi="Times New Roman" w:cs="Times New Roman"/>
          <w:color w:val="000000"/>
          <w:lang w:eastAsia="sk-SK"/>
        </w:rPr>
        <w:t>Slezáková Katarína</w:t>
      </w:r>
    </w:p>
    <w:p w:rsidR="004D6CE9" w:rsidRPr="00B25ACF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proofErr w:type="spellStart"/>
      <w:r w:rsidRPr="00B25ACF">
        <w:rPr>
          <w:rFonts w:ascii="Times New Roman" w:eastAsia="Times New Roman" w:hAnsi="Times New Roman" w:cs="Times New Roman"/>
          <w:color w:val="000000"/>
          <w:lang w:eastAsia="sk-SK"/>
        </w:rPr>
        <w:t>Štefečková</w:t>
      </w:r>
      <w:proofErr w:type="spellEnd"/>
      <w:r w:rsidRPr="00B25ACF">
        <w:rPr>
          <w:rFonts w:ascii="Times New Roman" w:eastAsia="Times New Roman" w:hAnsi="Times New Roman" w:cs="Times New Roman"/>
          <w:color w:val="000000"/>
          <w:lang w:eastAsia="sk-SK"/>
        </w:rPr>
        <w:t xml:space="preserve"> Veronika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25ACF" w:rsidRPr="00B25ACF" w:rsidRDefault="00B25ACF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D6CE9" w:rsidRPr="00B25ACF" w:rsidRDefault="004D6CE9" w:rsidP="00B25ACF">
      <w:pPr>
        <w:pStyle w:val="Nzev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proofErr w:type="spellStart"/>
      <w:r w:rsidRPr="00B25A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JobChellenge</w:t>
      </w:r>
      <w:proofErr w:type="spellEnd"/>
      <w:r w:rsidRPr="00B25A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ako reprezentácia </w:t>
      </w:r>
      <w:proofErr w:type="spellStart"/>
      <w:r w:rsidRPr="00B25A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gendrovanosti</w:t>
      </w:r>
      <w:proofErr w:type="spellEnd"/>
      <w:r w:rsidRPr="00B25ACF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trhu práce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     Pracovný trh je jednou z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normatívnych spoločenských inštitúcií, na čo už poukázali viaceré autorky a autori (Acker 1991). Čermáková (1995, 1997) upozornila na to, že rozdiely v odmeňovaní a šanciach nie sú v pracovnom systéme viazané iba na odlišnú úroveň kvalifikácie a zodpovednosti vyžadovanej p</w:t>
      </w:r>
      <w:r w:rsidR="003108E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re danú profesiu, ale sú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aj na všeobecné vnímanie istej práce ako mužskej alebo ženskej. Participácia žien na trhu práce síce narastá, je ale </w:t>
      </w:r>
      <w:r w:rsidR="003108E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otázne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či zastávajú muži a ženy pozície na všetkých úrovniach zamestnaneckej hierarchie. Prípadne do ktorých oblastí trhu práce ženy vstúpili a vstupujú, do akej miery je zastúpenie mužov a žien v jednotlivých povolaniach rovnomerné a či existujú typicky ženské a typicky mužské domény trhu práce (Valentová,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Šmídová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Katrňák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2007: 43). V súčasnosti stále existuje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genderová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segregácia na trhu práce: horizontálna i vertikálna. Okrem iného to súvisí najmä s pretrvávajúcou horizontálnou segregá</w:t>
      </w:r>
      <w:r w:rsidR="003108E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ciou vzdelávania. Ženy a muži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sú smerovaní k tomu, aby volili odlišné obory vzdelania (ibidem: 43-44). Znalosť toho, ako a či prichádza na trhu práce k určitému </w:t>
      </w:r>
      <w:commentRangeStart w:id="1"/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podmienenému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štruktúrovaniu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môže potom pomôcť minimalizovať možné dopady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genderového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znevýhodnenia.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     </w:t>
      </w:r>
      <w:r w:rsidR="003108E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My sme si pre tento účel </w:t>
      </w:r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vybrali </w:t>
      </w:r>
      <w:proofErr w:type="spellStart"/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Challenge</w:t>
      </w:r>
      <w:commentRangeEnd w:id="1"/>
      <w:proofErr w:type="spellEnd"/>
      <w:r w:rsidR="00B224B2">
        <w:rPr>
          <w:rStyle w:val="Odkaznakoment"/>
        </w:rPr>
        <w:commentReference w:id="1"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- veľtrh práce organizovaný Kariérnym centrom </w:t>
      </w:r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MUNI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ktorého 7. ročník sa uskutočnil 13. októbra 2013 v Brne vo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Wannieck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Gallery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Na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JobChallange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majú študenti/študentky a absolventi/absolventky možnosť stretnúť sa so zástupcami </w:t>
      </w:r>
      <w:proofErr w:type="spellStart"/>
      <w:r w:rsidR="003108E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korporátnych</w:t>
      </w:r>
      <w:proofErr w:type="spellEnd"/>
      <w:r w:rsidR="003108E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spoločností. F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irmy tu predstavujú ponúkané pracovné príležitosti a uplatnenie mladých ľudí, ktorí disponujú vysokoškolským vzdelaním. Toto podujatie je tak priestorom, na ktorom hraničí pracovný trh so vzdelávacím systémom.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JobChallenge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tak predstavuje akýsi </w:t>
      </w:r>
      <w:commentRangeStart w:id="2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trh práce v menšom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merítku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commentRangeEnd w:id="2"/>
      <w:r w:rsidR="00B224B2">
        <w:rPr>
          <w:rStyle w:val="Odkaznakoment"/>
        </w:rPr>
        <w:commentReference w:id="2"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 je príhodným miestom pre prevede</w:t>
      </w:r>
      <w:r w:rsidR="003108E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nie etnografického výskumu. Naše hlavné výskumn</w:t>
      </w:r>
      <w:r w:rsidR="00B224B2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á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otázka je: </w:t>
      </w:r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 xml:space="preserve">Akým spôsobom je </w:t>
      </w:r>
      <w:proofErr w:type="spellStart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>genderovanosť</w:t>
      </w:r>
      <w:proofErr w:type="spellEnd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 xml:space="preserve"> trhu práce reprodukovaná na podujatí </w:t>
      </w:r>
      <w:proofErr w:type="spellStart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>Job</w:t>
      </w:r>
      <w:proofErr w:type="spellEnd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>Challenge</w:t>
      </w:r>
      <w:proofErr w:type="spellEnd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 xml:space="preserve">? Akým spôsobom sa prejavuje </w:t>
      </w:r>
      <w:proofErr w:type="spellStart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>genderová</w:t>
      </w:r>
      <w:proofErr w:type="spellEnd"/>
      <w:r w:rsidRPr="004D6CE9">
        <w:rPr>
          <w:rFonts w:ascii="Times New Roman" w:eastAsia="Times New Roman" w:hAnsi="Times New Roman" w:cs="Times New Roman"/>
          <w:i/>
          <w:color w:val="000000"/>
          <w:sz w:val="23"/>
          <w:szCs w:val="23"/>
          <w:lang w:eastAsia="sk-SK"/>
        </w:rPr>
        <w:t xml:space="preserve"> segregácia na trhu práce na tomto podujatí?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    Pre uskutočnenie nášho výskumu na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Challenge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sme použili metódu skrytého zúčastneného pozorovania. Vystavované firmy boli rozdelené do troch kategórií a </w:t>
      </w:r>
      <w:r w:rsidR="007F304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následne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sme vybrali z každej kategórie tri firmy, na ktoré sme upriamili svoju pozornosť. Išlo o tieto kategórie a firmy: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Ø      IT, technológie –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Honeywell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Unify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Ø      Financie a marketing – ČSOB,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Deloitte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Kaufland</w:t>
      </w:r>
      <w:proofErr w:type="spellEnd"/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Ø      služby –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Adp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Employer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Service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Global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Tele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Sales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Dům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zahraniční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</w:t>
      </w:r>
      <w:r w:rsidR="00B25AC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lužeb</w:t>
      </w:r>
      <w:proofErr w:type="spellEnd"/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lastRenderedPageBreak/>
        <w:t xml:space="preserve">     Tieto kategórie reprezentujú typy firiem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účastniacich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sa veľtrhu</w:t>
      </w:r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Firmy samotné si vyberali do akej sekcie budú zaradené v rámci veľtržného katalógu, podľa toho, aké pozície najčastejšie obsadzujú.</w:t>
      </w:r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V rámci pozorovania sme si všímali, akým spôsobom vybrané firmy oslovovali študentov, či ich prezentácia bola mierená na mužov alebo ženy a aké konkrétne taktiky využívali (hostesky, a pod.). Okrem toho sme mali k dispozícii tiež propagačné materiály firiem a fotografie jednotlivých stánkov, ktoré dokumentujú vizuálnu prezentáciu jednotlivých firiem.</w:t>
      </w:r>
    </w:p>
    <w:p w:rsidR="00D7212C" w:rsidRDefault="00D7212C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7212C" w:rsidRDefault="00D7212C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7212C" w:rsidRDefault="00D7212C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Materiálna úroveň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    Prvá kategória firiem zameraná</w:t>
      </w: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>IT a TECHNIKA</w:t>
      </w: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využívala k svojej prezentácií </w:t>
      </w:r>
      <w:commentRangeStart w:id="3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prevažne rôzne typy</w:t>
      </w:r>
      <w:commentRangeEnd w:id="3"/>
      <w:r w:rsidR="00B224B2">
        <w:rPr>
          <w:rStyle w:val="Odkaznakoment"/>
        </w:rPr>
        <w:commentReference w:id="3"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stánkov. Firmy </w:t>
      </w:r>
      <w:proofErr w:type="spellStart"/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Honeywell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</w:t>
      </w:r>
      <w:proofErr w:type="spellStart"/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Unify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využívali na rozdiel od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Agrostroja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väčšie  stánky, veľký priestor, viacero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roll-upov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pult. </w:t>
      </w:r>
      <w:proofErr w:type="spellStart"/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nevyužil ani jeden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ich stánok bol jedným z najmenších a najstrohejších na veľtrhu. Čo sa týka farieb, firmy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Unify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 rámci svojej prezentácie na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roll-upoch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banneroch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propagačných materiáloch použili nízky kontrast achromatických farieb so zelenou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) či prípadne so sýtou tmavo modrou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Unify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).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Honeywell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rovnako využil kontrast s modrou, ale predovšetkým červenou, resp.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červeno-orandžovou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Vo všetkých propagačných materiáloch sa nachádzajú ženy značne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stereotypizované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sa v letákoch a katalógoch zameriava najmä na reprezentáciu pracovného nasadenia vo firme a ženy vyobrazuje len v časti venovanej zamestnaneckým výhodám, </w:t>
      </w:r>
      <w:commentRangeStart w:id="4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kde sú vyobrazené ako kuchárky vo firemnej kantíne. </w:t>
      </w:r>
      <w:commentRangeEnd w:id="4"/>
      <w:r w:rsidR="00B224B2">
        <w:rPr>
          <w:rStyle w:val="Odkaznakoment"/>
        </w:rPr>
        <w:commentReference w:id="4"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Muži sú vyobrazovaní pri aktívnej manuálnej práci či sediaci za PC. Podobné vyobrazenie nachádzame i pri firme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Honeywell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kde pri pozícii týkajúcej sa „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strategic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corporate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functions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“ je vyobrazený mladý biely muž okolo 25 rokov a pri pozícií majúcej na starosti „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customer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&amp;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product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support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“ vidíme usmievajúcu sa ženu. Vo zvyšku katalógu či i v ďalších letákoch sú fotografie technologických inovácií, ktoré sú zvýraznené, pričom ľudia sú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upozadení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Možno badať fotografie mužských rúk, avšak aj fotografie pracovného kolektívu, kde sú ženy vyrovnane zastúpené.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Honeywell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využívala propagačné video, na ktorom bola zobrazená konštrukcia lietadla, avšak na záberoch sa objavovali len muži. Ďalej sa vo videu objavovali muži ako biznismeni, letci a žena sa mihla len raz, a to ako letuška. I firma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Unify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vo svojich propagačných materiáloch dala ľudí do pozadia a vyzdvihla materiálne objekty. Vidíme fotografie nočného veľkomesta, moderných budov, </w:t>
      </w:r>
      <w:commentRangeStart w:id="5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áut, jácht či rugbyového týmu</w:t>
      </w:r>
      <w:commentRangeEnd w:id="5"/>
      <w:r w:rsidR="00B224B2">
        <w:rPr>
          <w:rStyle w:val="Odkaznakoment"/>
        </w:rPr>
        <w:commentReference w:id="5"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Postáv je tu málo, ide však o mužské elegantne oblečené postavy, </w:t>
      </w:r>
      <w:commentRangeStart w:id="6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ktoré sú useknuté (nie sú vidno hlavy) za PC v práci.</w:t>
      </w:r>
      <w:commentRangeEnd w:id="6"/>
      <w:r w:rsidR="00B224B2">
        <w:rPr>
          <w:rStyle w:val="Odkaznakoment"/>
        </w:rPr>
        <w:commentReference w:id="6"/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</w:pPr>
      <w:r w:rsidRPr="004D6CE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Firmy, ktoré sme zaradili do kategórie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>FINANCIE A MARKETING,</w:t>
      </w: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taktiež využívali rôzne typy a rozloženie stánkov pre svoju reprezentáciu. </w:t>
      </w: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ČSOB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</w:t>
      </w:r>
      <w:proofErr w:type="spellStart"/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Deloitte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využili malé stánky s jedným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roll-upom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pričom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Deloitte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využil i propagačné video, kde je možno sledovať rovnomerne zastúpených mladých mužov a ženy ako robia rôzne športové aktivity (hrajú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fresbee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jojo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). Naproti tomu stánok </w:t>
      </w:r>
      <w:proofErr w:type="spellStart"/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Kauflandu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je väčší a ponúkajúci veľké množstvo darčekových predmetov vo farbách firmy. Dané firmy vo svojich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roll-upoch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i ostatných propagačných materiáloch používajú achromatickej bielej farby v nízkom kontraste so sýtou bledomodrou farbou či tmavomod</w:t>
      </w:r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rou (ČSOB, </w:t>
      </w:r>
      <w:proofErr w:type="spellStart"/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Deloitte</w:t>
      </w:r>
      <w:proofErr w:type="spellEnd"/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). </w:t>
      </w:r>
      <w:proofErr w:type="spellStart"/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Kaufland</w:t>
      </w:r>
      <w:proofErr w:type="spellEnd"/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využíva kontrast tmavočervenej farby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</w:t>
      </w:r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na svojich </w:t>
      </w:r>
      <w:proofErr w:type="spellStart"/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roll-upoch</w:t>
      </w:r>
      <w:proofErr w:type="spellEnd"/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vyobrazuje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stereotypne na pravej strane muža a na ľavej ženu. No firmy vo svojich letákoch a brožúrach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vyrovnane zobrazujú pracujúcich mužov i ženy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 vyvážené pracovné kolektívy.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    </w:t>
      </w:r>
      <w:r w:rsidR="003349DA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F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irmy zameriavajúce sa na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>SLUŽBY</w:t>
      </w:r>
      <w:r w:rsidR="003349DA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mali malý, jednoduchý stánok s 1-2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roll-upmi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no ponúkali pomerne veľa darčekových predmetov a nevyužívali videá. Pre svoju propagáciu opätovne využívali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výsokého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kontrastu achromatickej bielej so sýtou červenou (</w:t>
      </w: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ADP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) či červenou v kombinácii so žltou, hnedou či modrou (DZS). DZS má svoje svojej propagačné materiály vystavané na rovnom zastúpení a vyobrazovaní mužov a žien. Firma ADP ako jediná na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roll-upe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zobrazuje černocha a mulatku. Avšak firm</w:t>
      </w:r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="00455C9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GTS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využíva malý kontrast achromatickej bielej a šedej farby s bledomodrou. I v tejto firmy a v ich letákoch, brožúrach sú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upozadené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fotografie ľudí a zvýrazňované zábery na lietadlá, nebo či zábery z diaľky na masu ľudí. Nakoniec, všetky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lastRenderedPageBreak/>
        <w:t>firmy vo všetkých kategóriách vo svojich propagačných materiáloch, pokiaľ neboli písané v anglickom jazyku, využívali generického maskulína.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  <w:r w:rsidRPr="004D6CE9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Interakčná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úroveň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    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V tejto časti práce budeme pojednávať o rozdielnostiach z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genderového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hľadiska v komunikácii, ktoré sme spozorovali u vystavovateľov na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JobChallenge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Na úvod je potrebné uviesť, že komunikáciu chápeme v jej širokom zmysle, a teda nie len ako výmenu informácií pomocou verbálnych a neverbálnych prejavov komunikujúcich, ale aj využitie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zdieľanej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sústavy symbolov. 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     </w:t>
      </w:r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F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irmy môžeme podľa pohlavia prezentujúcich rozdeliť do troch skupín, kde 1) tvoria spoločnosti, ktoré zastupovali výhradne ženy (ČSOB,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Kaufland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ADP, DZS), v 2) zástupcami boli muži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) a 3), kde zástupcami boli ako osoby mužského, tak aj ženského pohlavia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Honeywell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Unify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Deloitte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). Z hľadiska kategórii je zastúpenie mužov a žien prezentujúcich firmu nasledovné: 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>IT A</w:t>
      </w:r>
      <w:r w:rsidR="00D323FE" w:rsidRPr="00D323FE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> 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>TECHNOLÓGIE</w:t>
      </w:r>
      <w:r w:rsidR="00D323FE"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- najviac mužov, jednu firmu zastupujú výhradne muži, ostatné dve sú zastupované mužmi i ženami. V kategórii FINANCIE A MARKETING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len jednu firmu zastupujú obe pohlavia, vo zvyšných dvoch sú zástupkyne.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Katagória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  <w:lang w:eastAsia="sk-SK"/>
        </w:rPr>
        <w:t>SLUŽBY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je zastupovaná výhradne ženami.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Sledovali sme aj pasivitu a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aktivitu reprezentantov/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tiek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firieim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 snahe nadviazať komunikáciu, ďalej rovnocennosť dialógu (kto má v dialógu väčší priestor, kto kladie otázky, kto na ne len odpovedá) 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proxemiku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personalistov/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tiek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vybraných firiem. Na základe pozorovania môžeme zástupcov/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kyne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rozdeliť do dvoch skupín. Prvou je tá, kde personalisti/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tky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neoslovujú okoloidúcich, pasívne stoja pri stánku, často za pultom a oslovia až vtedy, keď</w:t>
      </w:r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sa pri nich niekto zastaví. Sem patrili firmy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GTS,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Kaufland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ADP a DZS. Druhú skupinu tvoria aktívne oslovujúci/e personalisti/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tky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ktorí iniciujú rozhovor a oslovujú aj tých jednotlivcov, ktorí nestoja bezprostredne pri stá</w:t>
      </w:r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nku (všetky ostatné firmy). Akti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vitu v zahájení konverzácie sme sledovali ako u personalistov, tak aj u personalistiek. V stánkoch firiem, kde sú zastúpení muži a ženy, ženy neiniciovali, neviedli konverzáciu so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študentami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tkami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zdržiavali sa vo vnútri stánku.</w:t>
      </w:r>
      <w:r w:rsid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Z hľadiska rovnocennosti vedenia rozhovorov </w:t>
      </w:r>
      <w:r w:rsidR="00D323FE"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mažeme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rozhovory medzi personalistami/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tkami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študentmi/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tkami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taktiež rozdeliť,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tentokrát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na tri skupiny. Pre prvú je </w:t>
      </w:r>
      <w:r w:rsidR="00644D2B"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typick</w:t>
      </w:r>
      <w:r w:rsidR="00644D2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é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že väčší priestor v rozhovore majú personalisti/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tky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tí/é podávajú informácie o spoločnosti a zdôrazňujú výhody práce pre ňu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Honeywell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Unify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Deloitte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). Pre druhú skupinu je charakteristický taký dialóg, kde je priestor v komunikácii vyrovnaný pre obe strany, kde obe jednak informujú o sebe, jednak kladú otázky (ČSOB,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Kaufland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AES). </w:t>
      </w:r>
      <w:r w:rsidR="00644D2B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Tretia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skupina je typická pasívnosťou personalistov/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tiek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ktorí/é len odpovedajú na otázky kladené záujemcami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Agrostroj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GTS, DZS). Z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genderového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hľadiska v žiadnej z týchto skupín neprevláda jedno z pohlaví. Zaujímavá je však posledná kategória, kde zastúpenie pasívnych personalistov a pasívnych personalistiek je pomerne vyrovnané, avšak diferencia medzi pasívnymi mužmi a ženami sa týka veku. Pasívni muži boli vyššieho stredného veku (55-60r), zatiaľ čo pasívne ženy vo veku do tridsať rokov.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t>Záver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JobChellenge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považujeme  za  zmenšenú verziu pracovného trhu. To znamená, že na základe: a) interakcií medzi účastníkmi a b) materiálnej prezentácií firiem, sme schopné vyvodzovať aspoň niektoré základné závery o fungovaní pracovného trhu. Domnievame sa, že materiálna prezentácia firiem vypovedá o tom, aké majú očakávania ohľadom svojich budúcich zamestnancov/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kýň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. Na druhej strane interakčná úroveň svedčí o habituálnom chovaní mužov a žien na pracovisku.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 Podľa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Harding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(1986) spoločenský život v rovine symbolického univerza vychádza z tendencie chápať a popisovať svet iba v dvoch protikladných dichotomických kategóriách, ktoré sú priradené buďto k ženskému, alebo k mužskému princípu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zrov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Šmaus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2002: 17). Tento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genderový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dualizmus sa premieta aj do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genderovanosti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farieb či priestoru. S týmto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genderovým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ponímaním farieb, ich pôsobením na jedinca pracujú najmä personálne oddelenia firiem (Rose 1992, 1996). </w:t>
      </w:r>
      <w:commentRangeStart w:id="7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Tie vychádzajú z početných psychologických štúdií</w:t>
      </w:r>
      <w:commentRangeEnd w:id="7"/>
      <w:r w:rsidR="00DD4A9E">
        <w:rPr>
          <w:rStyle w:val="Odkaznakoment"/>
        </w:rPr>
        <w:commentReference w:id="7"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ktoré im vo väčšine prípadov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lastRenderedPageBreak/>
        <w:t xml:space="preserve">potvrdzujú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genderovanosť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vnímania farieb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Eysenck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1941;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Green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1995). Studené farby ako modrá, zelená a fialová sú spájané s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maskulinitou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a teplé farby ako žltá, červená, oranžová sú kódované žensky. Predpokladá sa, že muži o niečo intenzívnejšie vnímajú na farby, pričom omnoho lepšie reagujú na achromatické farby než ženy. Preferujú zelenú a modrú a najmenej preferované medzi mužmi sú žltá a zelenožltá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Guilford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,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Smith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1959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: 502).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Khouw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(2012) pripomína v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náväznosti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na </w:t>
      </w:r>
      <w:proofErr w:type="spellStart"/>
      <w:r w:rsidRPr="004D6CE9">
        <w:rPr>
          <w:rFonts w:ascii="Times New Roman" w:eastAsia="Times New Roman" w:hAnsi="Times New Roman" w:cs="Times New Roman"/>
          <w:color w:val="222222"/>
          <w:sz w:val="23"/>
          <w:szCs w:val="23"/>
          <w:shd w:val="clear" w:color="auto" w:fill="FFFFFF"/>
          <w:lang w:eastAsia="sk-SK"/>
        </w:rPr>
        <w:t>Guerin</w:t>
      </w:r>
      <w:proofErr w:type="spellEnd"/>
      <w:r w:rsidRPr="004D6CE9">
        <w:rPr>
          <w:rFonts w:ascii="Times New Roman" w:eastAsia="Times New Roman" w:hAnsi="Times New Roman" w:cs="Times New Roman"/>
          <w:color w:val="222222"/>
          <w:sz w:val="23"/>
          <w:szCs w:val="23"/>
          <w:shd w:val="clear" w:color="auto" w:fill="FFFFFF"/>
          <w:lang w:eastAsia="sk-SK"/>
        </w:rPr>
        <w:t xml:space="preserve">, Park a </w:t>
      </w:r>
      <w:proofErr w:type="spellStart"/>
      <w:r w:rsidRPr="004D6CE9">
        <w:rPr>
          <w:rFonts w:ascii="Times New Roman" w:eastAsia="Times New Roman" w:hAnsi="Times New Roman" w:cs="Times New Roman"/>
          <w:color w:val="222222"/>
          <w:sz w:val="23"/>
          <w:szCs w:val="23"/>
          <w:shd w:val="clear" w:color="auto" w:fill="FFFFFF"/>
          <w:lang w:eastAsia="sk-SK"/>
        </w:rPr>
        <w:t>Yang</w:t>
      </w:r>
      <w:proofErr w:type="spellEnd"/>
      <w:r w:rsidRPr="004D6CE9">
        <w:rPr>
          <w:rFonts w:ascii="Times New Roman" w:eastAsia="Times New Roman" w:hAnsi="Times New Roman" w:cs="Times New Roman"/>
          <w:color w:val="222222"/>
          <w:sz w:val="23"/>
          <w:szCs w:val="23"/>
          <w:shd w:val="clear" w:color="auto" w:fill="FFFFFF"/>
          <w:lang w:eastAsia="sk-SK"/>
        </w:rPr>
        <w:t xml:space="preserve"> (1995)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že 80 % informácií, ktoré prijímame sú informácie vizuálne a predmety a prostredie </w:t>
      </w:r>
      <w:r w:rsidR="00455C90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v teplých farbách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r w:rsidR="0012166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sú menej atraktívne než studene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 farby. Pokiaľ sa jedná o IT, jej kampaň bude smerovať k mužskej cieľovej skupine, čo sa prejaví vo zvolenej farebnej škále či v pohlaví modelov/modeli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ek na propagačných materiáloch.</w:t>
      </w:r>
    </w:p>
    <w:p w:rsid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   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Interakčná úroveň viac poukazuje na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genderovanosť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vzťahov v rámci firmy. Najbadateľnejšie sa prejavovali rozdiely v jednaní na stánkoch firiem, kde boli prítomní reprezentujúci mužského aj ženského pohlavia. </w:t>
      </w:r>
      <w:commentRangeStart w:id="8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Z hľadiska priestoru, bola  pre ženu typická imanentnosť “v privátnej sfére” (známe prostredie stánku), pre muža transcendencia a komunikácia s prvkami agresivity ohľadom vzájomnej vzdialenosti medzi aktérmi komunikácie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Young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2005). </w:t>
      </w:r>
      <w:commentRangeEnd w:id="8"/>
      <w:r w:rsidR="00DD4A9E">
        <w:rPr>
          <w:rStyle w:val="Odkaznakoment"/>
        </w:rPr>
        <w:commentReference w:id="8"/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Personalisti, na rozdiel od personalistiek, zo všetkých s</w:t>
      </w:r>
      <w:r w:rsidR="00B25AC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ledovaných spoločností často vy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c</w:t>
      </w:r>
      <w:r w:rsidR="00B25AC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ádzali zo stánku a vchádzali do priestoru tzv. toku pohybu návštevníkov/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čiek</w:t>
      </w:r>
      <w:proofErr w:type="spellEnd"/>
      <w:r w:rsidR="00B25AC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veľt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rhu, s cieľom pomyselne zväčšiť priestor ich stánku. Iniciácia rozhovoru bola u personalistov charakteristická agresívnym vstupom do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imtímnej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sféry (15-44cm) okoloidúcich a pokračovala v taktiež pomerne tesnej vzdialenosti od nich. Ženy držiace sa v priestore stánku upratovali a skladali propagačné materiály, venovali sa teda činnosti “podporného” charakteru, ktorá navyše korešponduje s kultúrne akcept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ovanou ženskou sociálnou rolou.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     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Domnievame sa teda, že sa nám na príklade pracovného veľtrhu podarilo ukázať ako materiálna a interakčná úroveň komunikácie stimuluje reprodukciu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genderovej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segregácie na pracovnom trhu. Tá sa úzko viaže na spoločensky očakávané role pohlaví. Pre jednotlivcov je automatické predpokladať že vonkajší vzhľad bude </w:t>
      </w:r>
      <w:r w:rsidR="00B25ACF"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korešpondovať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so správaním - a teda, že ženy sa budú chovať žensky a muži mužsky (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Goffman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1999). Preto firmy prezentujú svoje spoločnosti ako zamestnávateľov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genderovo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stereotypne. IT spoločnosť totiž automaticky predpokladá, že sú pre prácu v nej kvalifikovaní </w:t>
      </w:r>
      <w:r w:rsidR="00644D2B"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najmä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muži, ktorí sa aj mužsky chovajú a identifikujú. Oproti tomu od žien je očakávané, že aj na pracovisku budú fungovať ako predĺžená ruka domácnosti. To platí aj pre ženy v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korporátnej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sfére, ktoré svoju “starostlivosť” prejavujú jednak vo voľbe oblasti svojej pôsobnosti (väčšina HR oddelení sú ženy a rovnako tomu bolo aj na stánkoch </w:t>
      </w:r>
      <w:proofErr w:type="spellStart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JobChallenge</w:t>
      </w:r>
      <w:proofErr w:type="spellEnd"/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) a jednak vo svojom </w:t>
      </w:r>
      <w:r w:rsidR="00B25ACF"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každodennom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jednaní: usilovne organizujú firemné </w:t>
      </w:r>
      <w:r w:rsidR="00B25ACF"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party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umývajú riady a varia káv</w:t>
      </w:r>
      <w:r w:rsidR="00B25ACF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</w:t>
      </w:r>
      <w:r w:rsidRPr="004D6CE9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</w:t>
      </w:r>
    </w:p>
    <w:p w:rsidR="004D6CE9" w:rsidRPr="004D6CE9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D6CE9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</w:p>
    <w:p w:rsidR="004D6CE9" w:rsidRDefault="004D6CE9" w:rsidP="004D6CE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sk-SK"/>
        </w:rPr>
        <w:br w:type="page"/>
      </w:r>
    </w:p>
    <w:p w:rsidR="004D6CE9" w:rsidRPr="00D323FE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</w:pPr>
      <w:r w:rsidRPr="00D323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sk-SK"/>
        </w:rPr>
        <w:lastRenderedPageBreak/>
        <w:t>Bibliografia</w:t>
      </w:r>
    </w:p>
    <w:p w:rsidR="004904C6" w:rsidRPr="004D6CE9" w:rsidRDefault="004904C6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Acker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Joan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. 1991. “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Hierarchies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jobs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bodies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A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theory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gendered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organisations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.” In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The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Social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Construction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Gender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(Pp.162-176).</w:t>
      </w:r>
    </w:p>
    <w:p w:rsidR="004D6CE9" w:rsidRPr="00D323FE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Čermáková, M. 1995.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společnost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pracovní trh. </w:t>
      </w:r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Sociologický časopis, 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31(1): 7-24.</w:t>
      </w:r>
    </w:p>
    <w:p w:rsidR="004D6CE9" w:rsidRPr="00D323FE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Čermáková, M. 1997. Postavení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žen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na  trhu práce. </w:t>
      </w:r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Sociologický časopis, 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33(4): 389-404.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Eysenck, H. J. 1941. “A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critical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and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exprimental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study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color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preferences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.”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American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Journal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Psychology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54: 385-394.</w:t>
      </w:r>
    </w:p>
    <w:p w:rsidR="004D6CE9" w:rsidRPr="00D323FE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Goffman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, E. 1999.</w:t>
      </w:r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Všichni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hrajeme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divadlo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Praha: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Nakladatelství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Ypsilon.</w:t>
      </w:r>
    </w:p>
    <w:p w:rsidR="004D6CE9" w:rsidRPr="00D323FE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Harding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, S.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The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Science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Question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in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Feminism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. New York: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Cornell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University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Press.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Valentová M.,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Šmídová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I.,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Katrňák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T. 2007.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Genderová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segregace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na trhu práce v kontextu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segregace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 xml:space="preserve"> vzdelanostní.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Gender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– Rovné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>příležitosti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sk-SK"/>
        </w:rPr>
        <w:t xml:space="preserve"> – Výskum, 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lang w:eastAsia="sk-SK"/>
        </w:rPr>
        <w:t>2 (8): 43-52.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Green, K. S. 1995. “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Blue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versus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periwinkle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: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Color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identification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and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gender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.”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Perceptual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and Motor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Skills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80(1): 21-32.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Guerin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, D. A., Park, Y.,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Yang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, S. 1995. “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Development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an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instrument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to study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the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meaning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color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in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interior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environments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.”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Journal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Interior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Design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20 (2): 31-41.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Guilford, J. P.,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Smith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, P. C. 1959. “A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system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color-preferences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.”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The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American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Journal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Psychology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73(4): 487-502.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Khouw, N. 2012.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Gender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Differences:The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Meaning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of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Color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for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Gender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[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online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].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Color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Matters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. [cit. 25. 1. 2014]. Dostupné z:</w:t>
      </w:r>
      <w:hyperlink r:id="rId7" w:history="1">
        <w:r w:rsidRPr="00D323FE">
          <w:rPr>
            <w:rFonts w:ascii="Times New Roman" w:eastAsia="Times New Roman" w:hAnsi="Times New Roman" w:cs="Times New Roman"/>
            <w:color w:val="000000"/>
            <w:sz w:val="23"/>
            <w:szCs w:val="23"/>
            <w:shd w:val="clear" w:color="auto" w:fill="FFFFFF"/>
            <w:lang w:eastAsia="sk-SK"/>
          </w:rPr>
          <w:t xml:space="preserve"> </w:t>
        </w:r>
        <w:r w:rsidRPr="00D323FE">
          <w:rPr>
            <w:rFonts w:ascii="Times New Roman" w:eastAsia="Times New Roman" w:hAnsi="Times New Roman" w:cs="Times New Roman"/>
            <w:color w:val="1155CC"/>
            <w:sz w:val="23"/>
            <w:szCs w:val="23"/>
            <w:u w:val="single"/>
            <w:shd w:val="clear" w:color="auto" w:fill="FFFFFF"/>
            <w:lang w:eastAsia="sk-SK"/>
          </w:rPr>
          <w:t>http://www.colormatters.com/color-symbolism/gender-differences</w:t>
        </w:r>
      </w:hyperlink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Rose, N. S. 1992. „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Engineering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the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Human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Soul :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Analyzing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Psychological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Expertise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“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Science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in Context 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5: 351–369.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Rose, N.S.  1996.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Inventing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Our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Selves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 :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Psychology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,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Power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, and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Personhood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. Cambridge,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England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: New York: Cambridge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University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Press.</w:t>
      </w:r>
    </w:p>
    <w:p w:rsidR="004D6CE9" w:rsidRPr="00D323FE" w:rsidRDefault="004D6CE9" w:rsidP="004904C6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Šmausová, G. 2002. “Proti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tvrdošíjné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představě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o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ontické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povaze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gender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a pohlaví”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Sociální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studia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7(0): 15-27.</w:t>
      </w:r>
    </w:p>
    <w:p w:rsidR="004D6CE9" w:rsidRPr="00D323FE" w:rsidRDefault="004D6CE9" w:rsidP="004D6CE9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Young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, I. M. 2005.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Throwing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Like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a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Girl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and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Other</w:t>
      </w:r>
      <w:proofErr w:type="spellEnd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shd w:val="clear" w:color="auto" w:fill="FFFFFF"/>
          <w:lang w:eastAsia="sk-SK"/>
        </w:rPr>
        <w:t>Essays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.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Oxford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: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Oxford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</w:t>
      </w:r>
      <w:proofErr w:type="spellStart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>University</w:t>
      </w:r>
      <w:proofErr w:type="spellEnd"/>
      <w:r w:rsidRPr="00D323F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sk-SK"/>
        </w:rPr>
        <w:t xml:space="preserve"> Press.</w:t>
      </w:r>
    </w:p>
    <w:p w:rsidR="004D6CE9" w:rsidRPr="00D323FE" w:rsidRDefault="004D6CE9" w:rsidP="004D6CE9">
      <w:pPr>
        <w:jc w:val="both"/>
        <w:rPr>
          <w:rFonts w:ascii="Times New Roman" w:hAnsi="Times New Roman" w:cs="Times New Roman"/>
          <w:b/>
          <w:sz w:val="23"/>
          <w:szCs w:val="23"/>
        </w:rPr>
      </w:pPr>
      <w:r w:rsidRPr="00D323FE">
        <w:rPr>
          <w:rFonts w:ascii="Times New Roman" w:eastAsia="Times New Roman" w:hAnsi="Times New Roman" w:cs="Times New Roman"/>
          <w:sz w:val="23"/>
          <w:szCs w:val="23"/>
          <w:lang w:eastAsia="sk-SK"/>
        </w:rPr>
        <w:br/>
      </w:r>
    </w:p>
    <w:p w:rsidR="004D6CE9" w:rsidRDefault="004D6CE9" w:rsidP="004D6CE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D6CE9" w:rsidRPr="00631240" w:rsidRDefault="004D6CE9" w:rsidP="004D6C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240">
        <w:rPr>
          <w:rFonts w:ascii="Times New Roman" w:hAnsi="Times New Roman" w:cs="Times New Roman"/>
          <w:b/>
          <w:sz w:val="28"/>
          <w:szCs w:val="28"/>
        </w:rPr>
        <w:lastRenderedPageBreak/>
        <w:t>Príloha č. 1</w:t>
      </w:r>
    </w:p>
    <w:p w:rsidR="004D6CE9" w:rsidRDefault="004D6CE9" w:rsidP="004D6CE9">
      <w:pPr>
        <w:jc w:val="both"/>
        <w:rPr>
          <w:rFonts w:ascii="Times New Roman" w:hAnsi="Times New Roman" w:cs="Times New Roman"/>
          <w:b/>
        </w:rPr>
      </w:pPr>
      <w:r>
        <w:rPr>
          <w:noProof/>
          <w:lang w:val="cs-CZ" w:eastAsia="cs-CZ"/>
        </w:rPr>
        <w:drawing>
          <wp:inline distT="0" distB="0" distL="0" distR="0" wp14:anchorId="0BA978E1" wp14:editId="7F8EFD84">
            <wp:extent cx="5760720" cy="4193372"/>
            <wp:effectExtent l="0" t="0" r="0" b="0"/>
            <wp:docPr id="1" name="Obrázok 1" descr="https://lh5.googleusercontent.com/BB_yG1wsMis784wad2QkX5CP6NTEauGcLTwsMyPKn373OkQObaSZ6gscJ5KxVHIZiD7cpVYJjgdcceIZ2T2ppWofermMijYkCZnfz3l4k7h9cqln2eV7UwmG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B_yG1wsMis784wad2QkX5CP6NTEauGcLTwsMyPKn373OkQObaSZ6gscJ5KxVHIZiD7cpVYJjgdcceIZ2T2ppWofermMijYkCZnfz3l4k7h9cqln2eV7UwmGb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E9" w:rsidRDefault="004D6CE9" w:rsidP="004D6CE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Tab. č. 1: Interakčná úroveň</w:t>
      </w:r>
    </w:p>
    <w:p w:rsidR="00631240" w:rsidRPr="004D6CE9" w:rsidRDefault="00631240" w:rsidP="004D6CE9">
      <w:pPr>
        <w:jc w:val="both"/>
        <w:rPr>
          <w:rFonts w:ascii="Times New Roman" w:hAnsi="Times New Roman" w:cs="Times New Roman"/>
          <w:b/>
        </w:rPr>
      </w:pPr>
    </w:p>
    <w:p w:rsidR="004D6CE9" w:rsidRPr="00631240" w:rsidRDefault="00631240" w:rsidP="00631240">
      <w:pPr>
        <w:ind w:righ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1AE2D1D5" wp14:editId="0A988B69">
            <wp:simplePos x="0" y="0"/>
            <wp:positionH relativeFrom="column">
              <wp:posOffset>2881630</wp:posOffset>
            </wp:positionH>
            <wp:positionV relativeFrom="paragraph">
              <wp:posOffset>354330</wp:posOffset>
            </wp:positionV>
            <wp:extent cx="288021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oit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2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2A08DD25" wp14:editId="3118AE48">
            <wp:simplePos x="0" y="0"/>
            <wp:positionH relativeFrom="column">
              <wp:posOffset>-71755</wp:posOffset>
            </wp:positionH>
            <wp:positionV relativeFrom="paragraph">
              <wp:posOffset>352425</wp:posOffset>
            </wp:positionV>
            <wp:extent cx="2880403" cy="2160000"/>
            <wp:effectExtent l="0" t="0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f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1240">
        <w:rPr>
          <w:rFonts w:ascii="Times New Roman" w:hAnsi="Times New Roman" w:cs="Times New Roman"/>
          <w:b/>
          <w:sz w:val="28"/>
          <w:szCs w:val="28"/>
        </w:rPr>
        <w:t>Príloha č. 2. – Obrázková príloha</w:t>
      </w:r>
      <w:r w:rsidR="00B25ACF" w:rsidRPr="00631240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D16C0E" w:rsidRDefault="00D16C0E" w:rsidP="004904C6">
      <w:pPr>
        <w:rPr>
          <w:rFonts w:ascii="Times New Roman" w:hAnsi="Times New Roman" w:cs="Times New Roman"/>
        </w:rPr>
      </w:pPr>
    </w:p>
    <w:p w:rsidR="00D16C0E" w:rsidRDefault="00D16C0E" w:rsidP="004904C6">
      <w:pPr>
        <w:rPr>
          <w:rFonts w:ascii="Times New Roman" w:hAnsi="Times New Roman" w:cs="Times New Roman"/>
        </w:rPr>
      </w:pPr>
    </w:p>
    <w:p w:rsidR="00D16C0E" w:rsidRDefault="00D16C0E" w:rsidP="004904C6">
      <w:pPr>
        <w:rPr>
          <w:rFonts w:ascii="Times New Roman" w:hAnsi="Times New Roman" w:cs="Times New Roman"/>
        </w:rPr>
      </w:pPr>
    </w:p>
    <w:p w:rsidR="00D16C0E" w:rsidRDefault="00D16C0E" w:rsidP="004904C6">
      <w:pPr>
        <w:rPr>
          <w:rFonts w:ascii="Times New Roman" w:hAnsi="Times New Roman" w:cs="Times New Roman"/>
        </w:rPr>
      </w:pPr>
    </w:p>
    <w:p w:rsidR="00D16C0E" w:rsidRDefault="00D323FE" w:rsidP="004904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14A9AD92" wp14:editId="4C747D53">
            <wp:simplePos x="0" y="0"/>
            <wp:positionH relativeFrom="column">
              <wp:posOffset>2879725</wp:posOffset>
            </wp:positionH>
            <wp:positionV relativeFrom="paragraph">
              <wp:posOffset>2835910</wp:posOffset>
            </wp:positionV>
            <wp:extent cx="2887980" cy="3851910"/>
            <wp:effectExtent l="0" t="0" r="7620" b="0"/>
            <wp:wrapTopAndBottom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so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C0E" w:rsidRDefault="00D16C0E" w:rsidP="004904C6">
      <w:pPr>
        <w:rPr>
          <w:rFonts w:ascii="Times New Roman" w:hAnsi="Times New Roman" w:cs="Times New Roman"/>
        </w:rPr>
      </w:pPr>
    </w:p>
    <w:p w:rsidR="00B25ACF" w:rsidRDefault="00D16C0E" w:rsidP="004904C6">
      <w:pPr>
        <w:rPr>
          <w:rFonts w:ascii="Times New Roman" w:hAnsi="Times New Roman" w:cs="Times New Roman"/>
        </w:rPr>
      </w:pPr>
      <w:r w:rsidRPr="00631240">
        <w:rPr>
          <w:rFonts w:ascii="Times New Roman" w:hAnsi="Times New Roman" w:cs="Times New Roman"/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58240" behindDoc="0" locked="0" layoutInCell="1" allowOverlap="1" wp14:anchorId="2BF8B757" wp14:editId="7F9E4471">
            <wp:simplePos x="0" y="0"/>
            <wp:positionH relativeFrom="column">
              <wp:posOffset>-45720</wp:posOffset>
            </wp:positionH>
            <wp:positionV relativeFrom="paragraph">
              <wp:posOffset>2226945</wp:posOffset>
            </wp:positionV>
            <wp:extent cx="2887345" cy="3851910"/>
            <wp:effectExtent l="0" t="0" r="8255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ostro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240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0AFB4DFD" wp14:editId="65EB9329">
            <wp:simplePos x="0" y="0"/>
            <wp:positionH relativeFrom="column">
              <wp:posOffset>2891155</wp:posOffset>
            </wp:positionH>
            <wp:positionV relativeFrom="paragraph">
              <wp:posOffset>-3810</wp:posOffset>
            </wp:positionV>
            <wp:extent cx="2879725" cy="2159635"/>
            <wp:effectExtent l="0" t="0" r="0" b="0"/>
            <wp:wrapTopAndBottom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fla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240" w:rsidRPr="004904C6">
        <w:rPr>
          <w:rFonts w:ascii="Times New Roman" w:hAnsi="Times New Roman" w:cs="Times New Roman"/>
          <w:b/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 wp14:anchorId="6D59ECD0" wp14:editId="2DDED51C">
            <wp:simplePos x="0" y="0"/>
            <wp:positionH relativeFrom="column">
              <wp:posOffset>-33020</wp:posOffset>
            </wp:positionH>
            <wp:positionV relativeFrom="paragraph">
              <wp:posOffset>-4445</wp:posOffset>
            </wp:positionV>
            <wp:extent cx="2879725" cy="2159635"/>
            <wp:effectExtent l="0" t="0" r="0" b="0"/>
            <wp:wrapTopAndBottom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eywe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ACF" w:rsidRDefault="00B25ACF" w:rsidP="004D6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631240" w:rsidRDefault="00631240" w:rsidP="004D6CE9">
      <w:pPr>
        <w:jc w:val="both"/>
        <w:rPr>
          <w:rFonts w:ascii="Times New Roman" w:hAnsi="Times New Roman" w:cs="Times New Roman"/>
        </w:rPr>
      </w:pPr>
    </w:p>
    <w:p w:rsidR="00D16C0E" w:rsidRPr="004D6CE9" w:rsidRDefault="00D323FE" w:rsidP="004D6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712E2BBB" wp14:editId="1350A36A">
            <wp:simplePos x="0" y="0"/>
            <wp:positionH relativeFrom="column">
              <wp:posOffset>2978150</wp:posOffset>
            </wp:positionH>
            <wp:positionV relativeFrom="paragraph">
              <wp:posOffset>1243965</wp:posOffset>
            </wp:positionV>
            <wp:extent cx="2743200" cy="3838575"/>
            <wp:effectExtent l="0" t="0" r="0" b="9525"/>
            <wp:wrapTopAndBottom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4384" behindDoc="0" locked="0" layoutInCell="1" allowOverlap="1" wp14:anchorId="457BD6F3" wp14:editId="3AF20171">
            <wp:simplePos x="0" y="0"/>
            <wp:positionH relativeFrom="column">
              <wp:posOffset>-9525</wp:posOffset>
            </wp:positionH>
            <wp:positionV relativeFrom="paragraph">
              <wp:posOffset>5163185</wp:posOffset>
            </wp:positionV>
            <wp:extent cx="2879725" cy="2159635"/>
            <wp:effectExtent l="0" t="0" r="0" b="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 wp14:anchorId="50B5C050" wp14:editId="679FA2F6">
            <wp:simplePos x="0" y="0"/>
            <wp:positionH relativeFrom="column">
              <wp:posOffset>1905</wp:posOffset>
            </wp:positionH>
            <wp:positionV relativeFrom="paragraph">
              <wp:posOffset>1240790</wp:posOffset>
            </wp:positionV>
            <wp:extent cx="2888615" cy="3851910"/>
            <wp:effectExtent l="0" t="0" r="6985" b="0"/>
            <wp:wrapTopAndBottom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C0E">
        <w:rPr>
          <w:rFonts w:ascii="Times New Roman" w:hAnsi="Times New Roman" w:cs="Times New Roman"/>
        </w:rPr>
        <w:br w:type="textWrapping" w:clear="all"/>
      </w:r>
    </w:p>
    <w:sectPr w:rsidR="00D16C0E" w:rsidRPr="004D6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user" w:date="2014-02-02T10:49:00Z" w:initials="u">
    <w:p w:rsidR="00B224B2" w:rsidRDefault="00B224B2">
      <w:pPr>
        <w:pStyle w:val="Textkomente"/>
      </w:pPr>
      <w:r>
        <w:rPr>
          <w:rStyle w:val="Odkaznakoment"/>
        </w:rPr>
        <w:annotationRef/>
      </w:r>
      <w:r>
        <w:t xml:space="preserve">Trošku </w:t>
      </w:r>
      <w:proofErr w:type="spellStart"/>
      <w:r>
        <w:t>velký</w:t>
      </w:r>
      <w:proofErr w:type="spellEnd"/>
      <w:r>
        <w:t xml:space="preserve"> skok </w:t>
      </w:r>
      <w:proofErr w:type="spellStart"/>
      <w:r>
        <w:t>mezi</w:t>
      </w:r>
      <w:proofErr w:type="spellEnd"/>
      <w:r>
        <w:t xml:space="preserve"> obecným </w:t>
      </w:r>
      <w:proofErr w:type="spellStart"/>
      <w:r>
        <w:t>úvodem</w:t>
      </w:r>
      <w:proofErr w:type="spellEnd"/>
      <w:r>
        <w:t xml:space="preserve"> a vaším </w:t>
      </w:r>
      <w:proofErr w:type="spellStart"/>
      <w:r>
        <w:t>terénem</w:t>
      </w:r>
      <w:proofErr w:type="spellEnd"/>
      <w:r>
        <w:t>.</w:t>
      </w:r>
    </w:p>
  </w:comment>
  <w:comment w:id="2" w:author="user" w:date="2014-02-02T10:51:00Z" w:initials="u">
    <w:p w:rsidR="00B224B2" w:rsidRDefault="00B224B2">
      <w:pPr>
        <w:pStyle w:val="Textkomente"/>
      </w:pPr>
      <w:r>
        <w:rPr>
          <w:rStyle w:val="Odkaznakoment"/>
        </w:rPr>
        <w:annotationRef/>
      </w:r>
      <w:r>
        <w:t xml:space="preserve">To je </w:t>
      </w:r>
      <w:proofErr w:type="spellStart"/>
      <w:r>
        <w:t>příliš</w:t>
      </w:r>
      <w:proofErr w:type="spellEnd"/>
      <w:r>
        <w:t xml:space="preserve"> </w:t>
      </w:r>
      <w:proofErr w:type="spellStart"/>
      <w:r>
        <w:t>odvážné</w:t>
      </w:r>
      <w:proofErr w:type="spellEnd"/>
      <w:r>
        <w:t xml:space="preserve"> </w:t>
      </w:r>
      <w:proofErr w:type="spellStart"/>
      <w:r>
        <w:t>tvrzení</w:t>
      </w:r>
      <w:proofErr w:type="spellEnd"/>
    </w:p>
  </w:comment>
  <w:comment w:id="3" w:author="user" w:date="2014-02-02T10:52:00Z" w:initials="u">
    <w:p w:rsidR="00B224B2" w:rsidRDefault="00B224B2">
      <w:pPr>
        <w:pStyle w:val="Textkomente"/>
      </w:pPr>
      <w:r>
        <w:rPr>
          <w:rStyle w:val="Odkaznakoment"/>
        </w:rPr>
        <w:annotationRef/>
      </w:r>
      <w:r>
        <w:t>?</w:t>
      </w:r>
    </w:p>
  </w:comment>
  <w:comment w:id="4" w:author="user" w:date="2014-02-02T10:53:00Z" w:initials="u">
    <w:p w:rsidR="00B224B2" w:rsidRDefault="00B224B2">
      <w:pPr>
        <w:pStyle w:val="Textkomente"/>
      </w:pPr>
      <w:r>
        <w:rPr>
          <w:rStyle w:val="Odkaznakoment"/>
        </w:rPr>
        <w:annotationRef/>
      </w:r>
      <w:r>
        <w:sym w:font="Wingdings" w:char="F04A"/>
      </w:r>
    </w:p>
  </w:comment>
  <w:comment w:id="5" w:author="user" w:date="2014-02-02T10:54:00Z" w:initials="u">
    <w:p w:rsidR="00B224B2" w:rsidRDefault="00B224B2">
      <w:pPr>
        <w:pStyle w:val="Textkomente"/>
      </w:pPr>
      <w:r>
        <w:rPr>
          <w:rStyle w:val="Odkaznakoment"/>
        </w:rPr>
        <w:annotationRef/>
      </w:r>
      <w:proofErr w:type="spellStart"/>
      <w:r>
        <w:t>Všechno</w:t>
      </w:r>
      <w:proofErr w:type="spellEnd"/>
      <w:r>
        <w:t xml:space="preserve"> s </w:t>
      </w:r>
      <w:proofErr w:type="spellStart"/>
      <w:r>
        <w:t>velmi</w:t>
      </w:r>
      <w:proofErr w:type="spellEnd"/>
      <w:r>
        <w:t xml:space="preserve"> mužskou </w:t>
      </w:r>
      <w:proofErr w:type="spellStart"/>
      <w:r>
        <w:t>konotací</w:t>
      </w:r>
      <w:proofErr w:type="spellEnd"/>
    </w:p>
  </w:comment>
  <w:comment w:id="6" w:author="user" w:date="2014-02-02T10:56:00Z" w:initials="u">
    <w:p w:rsidR="00B224B2" w:rsidRDefault="00B224B2">
      <w:pPr>
        <w:pStyle w:val="Textkomente"/>
      </w:pPr>
      <w:r>
        <w:rPr>
          <w:rStyle w:val="Odkaznakoment"/>
        </w:rPr>
        <w:annotationRef/>
      </w:r>
      <w:proofErr w:type="spellStart"/>
      <w:r>
        <w:t>Co</w:t>
      </w:r>
      <w:proofErr w:type="spellEnd"/>
      <w:r>
        <w:t xml:space="preserve"> tím </w:t>
      </w:r>
      <w:proofErr w:type="spellStart"/>
      <w:r>
        <w:t>chtěla</w:t>
      </w:r>
      <w:proofErr w:type="spellEnd"/>
      <w:r>
        <w:t xml:space="preserve"> firma </w:t>
      </w:r>
      <w:proofErr w:type="spellStart"/>
      <w:r>
        <w:t>říci</w:t>
      </w:r>
      <w:proofErr w:type="spellEnd"/>
      <w:r>
        <w:t xml:space="preserve">? Bezhlavé zobrazení je typické </w:t>
      </w:r>
      <w:proofErr w:type="spellStart"/>
      <w:r>
        <w:t>pro</w:t>
      </w:r>
      <w:proofErr w:type="spellEnd"/>
      <w:r>
        <w:t xml:space="preserve"> </w:t>
      </w:r>
      <w:proofErr w:type="spellStart"/>
      <w:r>
        <w:t>zobrazování</w:t>
      </w:r>
      <w:proofErr w:type="spellEnd"/>
      <w:r>
        <w:t xml:space="preserve"> </w:t>
      </w:r>
      <w:proofErr w:type="spellStart"/>
      <w:r>
        <w:t>žen</w:t>
      </w:r>
      <w:proofErr w:type="spellEnd"/>
      <w:r>
        <w:t xml:space="preserve">, </w:t>
      </w:r>
      <w:proofErr w:type="spellStart"/>
      <w:r>
        <w:t>např</w:t>
      </w:r>
      <w:proofErr w:type="spellEnd"/>
      <w:r>
        <w:t xml:space="preserve">. v reklamách. Je </w:t>
      </w:r>
      <w:proofErr w:type="spellStart"/>
      <w:r>
        <w:t>jedním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způsobů</w:t>
      </w:r>
      <w:proofErr w:type="spellEnd"/>
      <w:r>
        <w:t xml:space="preserve">, jak </w:t>
      </w:r>
      <w:proofErr w:type="spellStart"/>
      <w:r>
        <w:t>vzít</w:t>
      </w:r>
      <w:proofErr w:type="spellEnd"/>
      <w:r>
        <w:t xml:space="preserve"> objektu jeho individualitu – </w:t>
      </w:r>
      <w:proofErr w:type="spellStart"/>
      <w:r>
        <w:t>představuje</w:t>
      </w:r>
      <w:proofErr w:type="spellEnd"/>
      <w:r>
        <w:t xml:space="preserve">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podřízené</w:t>
      </w:r>
      <w:proofErr w:type="spellEnd"/>
      <w:r>
        <w:t>, anonymizované a </w:t>
      </w:r>
      <w:proofErr w:type="spellStart"/>
      <w:r>
        <w:t>deindividualizované</w:t>
      </w:r>
      <w:proofErr w:type="spellEnd"/>
      <w:r>
        <w:t xml:space="preserve"> </w:t>
      </w:r>
      <w:proofErr w:type="spellStart"/>
      <w:r>
        <w:t>pojetí</w:t>
      </w:r>
      <w:proofErr w:type="spellEnd"/>
      <w:r>
        <w:t xml:space="preserve"> </w:t>
      </w:r>
      <w:proofErr w:type="spellStart"/>
      <w:r>
        <w:t>zaměstnanců</w:t>
      </w:r>
      <w:proofErr w:type="spellEnd"/>
      <w:r>
        <w:t>?</w:t>
      </w:r>
    </w:p>
  </w:comment>
  <w:comment w:id="7" w:author="user" w:date="2014-02-02T11:04:00Z" w:initials="u">
    <w:p w:rsidR="00DD4A9E" w:rsidRDefault="00DD4A9E">
      <w:pPr>
        <w:pStyle w:val="Textkomente"/>
      </w:pPr>
      <w:r>
        <w:rPr>
          <w:rStyle w:val="Odkaznakoment"/>
        </w:rPr>
        <w:annotationRef/>
      </w:r>
      <w:proofErr w:type="spellStart"/>
      <w:r>
        <w:t>Jste</w:t>
      </w:r>
      <w:proofErr w:type="spellEnd"/>
      <w:r>
        <w:t xml:space="preserve"> si </w:t>
      </w:r>
      <w:proofErr w:type="spellStart"/>
      <w:r>
        <w:t>jisté</w:t>
      </w:r>
      <w:proofErr w:type="spellEnd"/>
      <w:r>
        <w:t>?</w:t>
      </w:r>
    </w:p>
  </w:comment>
  <w:comment w:id="8" w:author="user" w:date="2014-02-02T11:05:00Z" w:initials="u">
    <w:p w:rsidR="00DD4A9E" w:rsidRDefault="00DD4A9E">
      <w:pPr>
        <w:pStyle w:val="Textkomente"/>
      </w:pPr>
      <w:r>
        <w:rPr>
          <w:rStyle w:val="Odkaznakoment"/>
        </w:rPr>
        <w:annotationRef/>
      </w:r>
      <w:proofErr w:type="spellStart"/>
      <w:r>
        <w:t>Pěkný</w:t>
      </w:r>
      <w:proofErr w:type="spellEnd"/>
      <w:r>
        <w:t xml:space="preserve"> </w:t>
      </w:r>
      <w:proofErr w:type="spellStart"/>
      <w:r>
        <w:t>závěr</w:t>
      </w:r>
      <w:proofErr w:type="spellEnd"/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88A"/>
    <w:rsid w:val="0006625B"/>
    <w:rsid w:val="0012166F"/>
    <w:rsid w:val="00240791"/>
    <w:rsid w:val="00255C12"/>
    <w:rsid w:val="00276FC2"/>
    <w:rsid w:val="002B7C5C"/>
    <w:rsid w:val="003108EB"/>
    <w:rsid w:val="003349DA"/>
    <w:rsid w:val="00455C90"/>
    <w:rsid w:val="0047388A"/>
    <w:rsid w:val="004904C6"/>
    <w:rsid w:val="004D1C1D"/>
    <w:rsid w:val="004D6CE9"/>
    <w:rsid w:val="004F50A1"/>
    <w:rsid w:val="00512E9B"/>
    <w:rsid w:val="0053312B"/>
    <w:rsid w:val="00572956"/>
    <w:rsid w:val="00587D9D"/>
    <w:rsid w:val="005B0D4A"/>
    <w:rsid w:val="005D3A43"/>
    <w:rsid w:val="00631240"/>
    <w:rsid w:val="00644D2B"/>
    <w:rsid w:val="006C5187"/>
    <w:rsid w:val="007547C6"/>
    <w:rsid w:val="007F304B"/>
    <w:rsid w:val="008C6445"/>
    <w:rsid w:val="008F03D5"/>
    <w:rsid w:val="009404A8"/>
    <w:rsid w:val="00B224B2"/>
    <w:rsid w:val="00B25ACF"/>
    <w:rsid w:val="00BB418B"/>
    <w:rsid w:val="00D16C0E"/>
    <w:rsid w:val="00D323FE"/>
    <w:rsid w:val="00D7212C"/>
    <w:rsid w:val="00DD4A9E"/>
    <w:rsid w:val="00E12A08"/>
    <w:rsid w:val="00EC16A1"/>
    <w:rsid w:val="00ED0B84"/>
    <w:rsid w:val="00ED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73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tab-span">
    <w:name w:val="apple-tab-span"/>
    <w:basedOn w:val="Standardnpsmoodstavce"/>
    <w:rsid w:val="0047388A"/>
  </w:style>
  <w:style w:type="character" w:styleId="Hypertextovodkaz">
    <w:name w:val="Hyperlink"/>
    <w:basedOn w:val="Standardnpsmoodstavce"/>
    <w:uiPriority w:val="99"/>
    <w:semiHidden/>
    <w:unhideWhenUsed/>
    <w:rsid w:val="004D6CE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6CE9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B25A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25A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4904C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224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24B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24B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24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24B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73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tab-span">
    <w:name w:val="apple-tab-span"/>
    <w:basedOn w:val="Standardnpsmoodstavce"/>
    <w:rsid w:val="0047388A"/>
  </w:style>
  <w:style w:type="character" w:styleId="Hypertextovodkaz">
    <w:name w:val="Hyperlink"/>
    <w:basedOn w:val="Standardnpsmoodstavce"/>
    <w:uiPriority w:val="99"/>
    <w:semiHidden/>
    <w:unhideWhenUsed/>
    <w:rsid w:val="004D6CE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6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6CE9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B25A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25A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4904C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224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24B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24B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24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24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olormatters.com/color-symbolism/gender-difference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9C890-6906-43B0-8BC1-BAB4E3B97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2373</Words>
  <Characters>14007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user</Company>
  <LinksUpToDate>false</LinksUpToDate>
  <CharactersWithSpaces>16348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Chlamýdia</dc:creator>
  <cp:lastModifiedBy>user</cp:lastModifiedBy>
  <cp:revision>3</cp:revision>
  <dcterms:created xsi:type="dcterms:W3CDTF">2014-02-02T09:44:00Z</dcterms:created>
  <dcterms:modified xsi:type="dcterms:W3CDTF">2014-02-02T10:10:00Z</dcterms:modified>
</cp:coreProperties>
</file>