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HEN </w:t>
      </w:r>
      <w:r w:rsidR="00570B0C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614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r w:rsidR="007940BB" w:rsidRPr="007940B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Případové studie udržitelnosti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</w:p>
    <w:p w:rsid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6F5F76" w:rsidRP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Rozsah</w:t>
      </w:r>
    </w:p>
    <w:p w:rsidR="006F5F76" w:rsidRPr="006F5F76" w:rsidRDefault="006F5F76" w:rsidP="006F5F76">
      <w:pPr>
        <w:shd w:val="clear" w:color="auto" w:fill="F7F8FC"/>
        <w:spacing w:after="96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1/1.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</w:t>
      </w: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kr. Ukončení: z.</w:t>
      </w:r>
    </w:p>
    <w:p w:rsidR="006F5F76" w:rsidRP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Vyučující</w:t>
      </w:r>
    </w:p>
    <w:p w:rsidR="006F5F76" w:rsidRDefault="00D852D5" w:rsidP="006F5F76">
      <w:pPr>
        <w:shd w:val="clear" w:color="auto" w:fill="F7F8FC"/>
        <w:spacing w:after="96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6" w:history="1"/>
      <w:r w:rsidR="006F5F76" w:rsidRPr="006F5F76">
        <w:rPr>
          <w:rFonts w:ascii="Arial" w:eastAsia="Times New Roman" w:hAnsi="Arial" w:cs="Arial"/>
          <w:color w:val="000000"/>
          <w:sz w:val="18"/>
          <w:lang w:eastAsia="cs-CZ"/>
        </w:rPr>
        <w:t>Simon Burandt, Ph.D., RNDr. Jana Dlouhá, Ph.D., Andrew Barton</w:t>
      </w:r>
      <w:r w:rsidR="006F5F7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:rsidR="006F5F76" w:rsidRP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Garance</w:t>
      </w:r>
    </w:p>
    <w:p w:rsidR="006F5F76" w:rsidRPr="006F5F76" w:rsidRDefault="00D852D5" w:rsidP="006F5F76">
      <w:pPr>
        <w:shd w:val="clear" w:color="auto" w:fill="F7F8FC"/>
        <w:spacing w:after="96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7" w:history="1">
        <w:r w:rsidR="006F5F76" w:rsidRPr="006F5F76">
          <w:rPr>
            <w:rFonts w:ascii="Arial" w:eastAsia="Times New Roman" w:hAnsi="Arial" w:cs="Arial"/>
            <w:color w:val="0D46AF"/>
            <w:sz w:val="18"/>
            <w:u w:val="single"/>
            <w:lang w:eastAsia="cs-CZ"/>
          </w:rPr>
          <w:t>Mgr. Bohuslav Binka, Ph.D.</w:t>
        </w:r>
      </w:hyperlink>
      <w:r w:rsidR="006F5F7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hyperlink r:id="rId8" w:history="1">
        <w:r w:rsidR="006F5F76" w:rsidRPr="006F5F76">
          <w:rPr>
            <w:rFonts w:ascii="Arial" w:eastAsia="Times New Roman" w:hAnsi="Arial" w:cs="Arial"/>
            <w:color w:val="0D46AF"/>
            <w:sz w:val="18"/>
            <w:u w:val="single"/>
            <w:lang w:eastAsia="cs-CZ"/>
          </w:rPr>
          <w:t>Katedra environmentálních studií - Fakulta sociálních studií</w:t>
        </w:r>
      </w:hyperlink>
      <w:r w:rsidR="006F5F7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Kontaktní osoba:</w:t>
      </w:r>
      <w:r w:rsidR="006F5F76" w:rsidRPr="006F5F7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hyperlink r:id="rId9" w:history="1">
        <w:r w:rsidR="006F5F76" w:rsidRPr="003C219E">
          <w:rPr>
            <w:rStyle w:val="Hypertextovodkaz"/>
            <w:rFonts w:ascii="Arial" w:eastAsia="Times New Roman" w:hAnsi="Arial" w:cs="Arial"/>
            <w:sz w:val="18"/>
            <w:lang w:eastAsia="cs-CZ"/>
          </w:rPr>
          <w:t>Mgr. Jan Skalík </w:t>
        </w:r>
      </w:hyperlink>
      <w:r w:rsidR="006F5F7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</w:t>
      </w:r>
      <w:r w:rsid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asistent</w:t>
      </w:r>
      <w:r w:rsidR="006F5F7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</w:t>
      </w:r>
    </w:p>
    <w:p w:rsidR="006F5F76" w:rsidRP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Předpoklady</w:t>
      </w:r>
    </w:p>
    <w:p w:rsidR="006F5F76" w:rsidRPr="006F5F76" w:rsidRDefault="006F5F76" w:rsidP="006F5F76">
      <w:pPr>
        <w:shd w:val="clear" w:color="auto" w:fill="F7F8FC"/>
        <w:spacing w:after="96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Schopnost komunikace v anglickém jazyce</w:t>
      </w: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6F5F76" w:rsidRP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Omezení zápisu do předmětu</w:t>
      </w:r>
    </w:p>
    <w:p w:rsidR="006F5F76" w:rsidRPr="006F5F76" w:rsidRDefault="006F5F76" w:rsidP="006F5F76">
      <w:pPr>
        <w:shd w:val="clear" w:color="auto" w:fill="F7F8FC"/>
        <w:spacing w:after="96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Předmět je nabízen i studentům mimo mateřské obory.</w:t>
      </w: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Předmět si smí zapsat nejvýše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</w:t>
      </w: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 stud.</w:t>
      </w: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Momentální stav registrace a zápisu: zapsáno:</w:t>
      </w:r>
      <w:r w:rsidRPr="006F5F7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6F5F76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0</w:t>
      </w:r>
      <w:r w:rsidR="0052522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/1</w:t>
      </w: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0, pouze zareg.:</w:t>
      </w:r>
      <w:r w:rsidRPr="006F5F7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6F5F76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0</w:t>
      </w:r>
      <w:r w:rsidR="0052522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/1</w:t>
      </w: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0, pouze zareg. s předností (mateřské obory):</w:t>
      </w:r>
      <w:r w:rsidRPr="006F5F7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6F5F76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0</w:t>
      </w:r>
      <w:r w:rsidR="0052522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/1</w:t>
      </w: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</w:t>
      </w:r>
    </w:p>
    <w:p w:rsidR="006F5F76" w:rsidRP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Mateřské obory</w:t>
      </w:r>
    </w:p>
    <w:p w:rsidR="006F5F76" w:rsidRPr="006F5F76" w:rsidRDefault="00D852D5" w:rsidP="006F5F76">
      <w:pPr>
        <w:numPr>
          <w:ilvl w:val="0"/>
          <w:numId w:val="1"/>
        </w:num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0" w:history="1">
        <w:r w:rsidR="006F5F76" w:rsidRPr="006F5F76">
          <w:rPr>
            <w:rFonts w:ascii="Arial" w:eastAsia="Times New Roman" w:hAnsi="Arial" w:cs="Arial"/>
            <w:color w:val="0D46AF"/>
            <w:sz w:val="18"/>
            <w:u w:val="single"/>
            <w:lang w:eastAsia="cs-CZ"/>
          </w:rPr>
          <w:t>Environmentální studia</w:t>
        </w:r>
      </w:hyperlink>
      <w:r w:rsidR="006F5F76" w:rsidRPr="006F5F7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="006F5F7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(program FSS, N-HE)</w:t>
      </w:r>
    </w:p>
    <w:p w:rsidR="006F5F76" w:rsidRPr="006F5F76" w:rsidRDefault="00D852D5" w:rsidP="006F5F76">
      <w:pPr>
        <w:numPr>
          <w:ilvl w:val="0"/>
          <w:numId w:val="1"/>
        </w:num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1" w:history="1">
        <w:r w:rsidR="006F5F76" w:rsidRPr="006F5F76">
          <w:rPr>
            <w:rFonts w:ascii="Arial" w:eastAsia="Times New Roman" w:hAnsi="Arial" w:cs="Arial"/>
            <w:color w:val="0D46AF"/>
            <w:sz w:val="18"/>
            <w:u w:val="single"/>
            <w:lang w:eastAsia="cs-CZ"/>
          </w:rPr>
          <w:t>Humanitní environmentalistika</w:t>
        </w:r>
      </w:hyperlink>
      <w:r w:rsidR="006F5F76" w:rsidRPr="006F5F7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="006F5F7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(program FSS, N-HE3)</w:t>
      </w:r>
      <w:r w:rsid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:rsidR="006F5F76" w:rsidRP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Cíle předmětu</w:t>
      </w:r>
    </w:p>
    <w:p w:rsidR="009E2228" w:rsidRDefault="009E2228" w:rsidP="006F5F76">
      <w:pPr>
        <w:shd w:val="clear" w:color="auto" w:fill="F7F8FC"/>
        <w:spacing w:after="96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Účastníci se seznámí s metodou syndromů globálních změn, která umožňuje popis a analýzu udržitelnosti rozvoje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</w:t>
      </w: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získají dovednost tuto metodu aplikovat.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7940BB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Cílem 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kurzu je</w:t>
      </w:r>
      <w:r w:rsidR="007940BB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určit příčinné vazby 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globálních </w:t>
      </w:r>
      <w:r w:rsidR="007940BB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problém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ů</w:t>
      </w:r>
      <w:r w:rsidR="007940BB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 místním kontextu</w:t>
      </w:r>
      <w:r w:rsidR="007940BB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201296" w:rsidRPr="006F5F76" w:rsidRDefault="009E2228" w:rsidP="00201296">
      <w:pPr>
        <w:shd w:val="clear" w:color="auto" w:fill="F7F8FC"/>
        <w:spacing w:after="96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Kurz poskytne studentům 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</w:t>
      </w:r>
      <w:r w:rsidR="0020129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etodologický úvod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představí m</w:t>
      </w:r>
      <w:r w:rsidR="0020129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etod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</w:t>
      </w:r>
      <w:r w:rsidR="0020129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hodnocení udržitelnosti v komplexních systémech 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zvanou</w:t>
      </w:r>
      <w:r w:rsidR="0020129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syndromy globálních změn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Jedná se o zpřesnění</w:t>
      </w:r>
      <w:r w:rsidR="0020129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880E5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dopadů </w:t>
      </w:r>
      <w:r w:rsidR="0020129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globálních vlivů na regionální úrovni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Dále budou studenti uvedení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do metodiky vypracování případové studie. Případovou studii zpracovávanou na vybraný problém Ústeckého regionu následně využijí při s</w:t>
      </w:r>
      <w:r w:rsidR="0020129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polečn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é</w:t>
      </w:r>
      <w:r w:rsidR="0020129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příprav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ě</w:t>
      </w:r>
      <w:r w:rsidR="0020129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rozvojové strategie regionu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Studenti si osvojí</w:t>
      </w:r>
      <w:r w:rsidR="0020129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participativní metod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y</w:t>
      </w:r>
      <w:r w:rsidR="0020129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rozhodování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6F5F76" w:rsidRP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Osnova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1.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Úvod do 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virtuálního prostředí pro výuku a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seznámení studentů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2.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Udržitelný rozvoj v globálním a regionálním pohledu, přístup syndromů globálních změn</w:t>
      </w:r>
    </w:p>
    <w:p w:rsidR="00201296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3.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Představení v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ybran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ý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syndrom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ů globálních změn a diskuse o nich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(„The countryside depopulation syndrome“, „The Aral Sea syndrome - environmental damage to landscape due to large-scale projects“)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4.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Určení 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příznaků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vybraný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ch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syndromům v rámci konkrétního regionu, popis 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tamnější 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situace.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5.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Příprava na kolaborativní práci, identifikace „zájmových skupin“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rozdělení rolí.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6.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Teoretický úvod 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 práce s případovými studiemi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metod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ou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zkoumání skutečného případu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7940BB" w:rsidRDefault="00201296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7. 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Společná</w:t>
      </w:r>
      <w:r w:rsidR="00174C6B"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práce na problému v kontextu daného regionu: sběr informací a dat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8.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Příprava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případové studie, 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konceptualizace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hlavních problémů regionu.</w:t>
      </w:r>
    </w:p>
    <w:p w:rsidR="00174C6B" w:rsidRPr="00174C6B" w:rsidRDefault="007940B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9. W</w:t>
      </w:r>
      <w:r w:rsidR="00174C6B"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iki prostředí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</w:t>
      </w:r>
      <w:r w:rsidR="00174C6B"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zveřejnění </w:t>
      </w:r>
      <w:r w:rsidR="00174C6B"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základů případové studie.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10.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Vzájemné hodnocení 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prací a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reflexe, peer review.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11.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Návrh rozvojové strategie 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Ústeckéhoho regionu a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diskuse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 něm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12.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ávěrečn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é 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hodnocení 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společné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práce a výsledků.</w:t>
      </w:r>
    </w:p>
    <w:p w:rsidR="00174C6B" w:rsidRDefault="00174C6B" w:rsidP="00174C6B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6F5F76" w:rsidRPr="006F5F76" w:rsidRDefault="006F5F76" w:rsidP="00174C6B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Literatura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Baxter, P and Jack, S. (2008) Qualitative Case Study Methodology: Study design and implementation for novice researchers, in The Qualitative Report, 13(4): 544-559.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>Bent Flyvbjerg, 2011, "Case Study," in Norman K. Denzin and Yvonna S. Lincoln, eds., The Sage Handbook of Qualitative Research, 4th Edition (Thousand Oaks, CA: Sage), pp. 301-316.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>Bent Flyvbjerg, 2006, "Five Misunderstandings About Case Study Research." Qualitative Inquiry, vol. 12, no. 2, April, pp. 219-245.;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Biermann, F. (1999). Syndromes of Global Change: A Taxonomy for Peace and Conflict Research. Environmental Change and Security: A European Perspective. Berlin: Springer, 131–146. 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Block, A., Cassel-Gintz, M., Kropp, J., Lammel, G., Lass, W., Lienenkamp, R., Loose, C. J., et al. (1997). Syndromes of global change. 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Hurni, H., &amp; Wiesmann, U. (n.d.). 2 Towards Transdisciplinarity in Sustainability-Oriented Research for Development. for Mitigating Syndromes of Global Change, 31. 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Hurni, H., Wiesmann, U., Anton, P., &amp; Messerli, P. (n.d.). 1 Initiating Research for Mitigating Syndromes of Global Change in Different Contexts. for Mitigating Syndromes of Global Change, 11. 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Ludeke, M. K., Petschel-Held, G., &amp; Schellnhuber, H. J. (2004). Syndromes of global change: the first panoramic view. GAIA-Ecological Perspectives for Science and Society, 13(1), 42–49. 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lastRenderedPageBreak/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Manuel-Navarrete, D., Gomez, J. J., &amp; Gallopín, G. (2007). Syndromes of sustainability of development for assessing the vulnerability of coupled human-environmental systems. The case of hydrometeorological disasters in Central America and the Caribbean. Global Environmental Change, 17(2), 207–217. 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North-South, N. (2002). Research partnerships for mitigating syndromes of global change. NCCR North-South, Centre for Development and Environment (CDE), Institute of Geography, University of Berne. 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Petschel-Held, G., Block, A., Cassel-Gintz, M., Kropp, J., Lüdeke, M. K. B., Moldenhauer, O., Reusswig, F., et al. (1999). Syndromes of global change: a qualitative modelling approach to assist global environmental management. Environmental Modeling and Assessment, 4(4), 295–314. 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>Schellnhuber, H.-J. et al. (1997): Syndromes of Global Change. In: Gaia 6 (1), pp.19-34.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Schellnhuber, H. J., Block, A., Cassel-Gintz, M., Jurgen Kropp, J., Lammel, G., &amp; Lass, W. (n.d.). Syndromes of global change. equilibrium, 14, 15.  </w:t>
      </w:r>
    </w:p>
    <w:p w:rsidR="00174C6B" w:rsidRP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Schellnhuber, H. J., Lüdeke, M. K. B., &amp; Petschel-Held, G. (2002). The Syndromes Approach to Scaling Describing Global Change on an Intermediate Functional Scale. Integrated Assessment, 3(2), 201–219.  </w:t>
      </w:r>
    </w:p>
    <w:p w:rsidR="00174C6B" w:rsidRDefault="00174C6B" w:rsidP="0052522B">
      <w:pPr>
        <w:shd w:val="clear" w:color="auto" w:fill="F7F8FC"/>
        <w:spacing w:after="0" w:line="240" w:lineRule="auto"/>
        <w:ind w:left="708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•</w:t>
      </w:r>
      <w:r w:rsidRPr="00174C6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ab/>
        <w:t xml:space="preserve">Schröter, D., Polsky, C., &amp; Patt, A. G. (2005). Assessing vulnerabilities to the effects of global change: an eight step approach. Mitigation and Adaptation Strategies for Global Change, 10(4), 573–595.  </w:t>
      </w:r>
    </w:p>
    <w:p w:rsidR="00174C6B" w:rsidRDefault="00174C6B" w:rsidP="00174C6B">
      <w:pPr>
        <w:shd w:val="clear" w:color="auto" w:fill="F7F8FC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</w:p>
    <w:p w:rsidR="006F5F76" w:rsidRPr="006F5F76" w:rsidRDefault="006F5F76" w:rsidP="00174C6B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Výukové metody</w:t>
      </w:r>
    </w:p>
    <w:p w:rsidR="00174C6B" w:rsidRPr="006F5F76" w:rsidRDefault="00174C6B" w:rsidP="006F5F76">
      <w:pPr>
        <w:shd w:val="clear" w:color="auto" w:fill="F7F8FC"/>
        <w:spacing w:after="96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Kurz probíhá distančně formou e-learningu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platform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ě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Moodle (</w:t>
      </w:r>
      <w:r w:rsidRPr="00174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http://www.vcse.eu/moodle/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). Součástí kurzu je aktivní účast na diskuzním fóru a samostatné studium zadaných textů. Na začátku a konci semestru proběhne informativní schůzka na Fakultě sociálních studií. </w:t>
      </w:r>
      <w:r w:rsidR="00201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Předpokládá se zapojení studentů v každém týdnu semestru.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7940B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Kurz probíhá v anglickém jazyce.</w:t>
      </w:r>
    </w:p>
    <w:p w:rsidR="006F5F76" w:rsidRP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Metody hodnocení</w:t>
      </w:r>
    </w:p>
    <w:p w:rsidR="006F5F76" w:rsidRPr="006F5F76" w:rsidRDefault="00174C6B" w:rsidP="006F5F76">
      <w:pPr>
        <w:shd w:val="clear" w:color="auto" w:fill="F7F8FC"/>
        <w:spacing w:after="96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Zápočet bude udělený na základě průběžného hodnocení očekávaných výstupů zmíněných v </w:t>
      </w:r>
      <w:r w:rsidR="00880E5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Osnově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předmětu. Znalost literatury ke kurzu je převážně doplňková</w:t>
      </w:r>
      <w:r w:rsidR="006F5F76"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6F5F76" w:rsidRDefault="006F5F76" w:rsidP="006F5F76">
      <w:pPr>
        <w:shd w:val="clear" w:color="auto" w:fill="F7F8FC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Další komentáře</w:t>
      </w:r>
    </w:p>
    <w:p w:rsidR="00570B0C" w:rsidRDefault="00201296" w:rsidP="006F5F76">
      <w:pPr>
        <w:shd w:val="clear" w:color="auto" w:fill="F7F8FC"/>
        <w:spacing w:after="96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Kurz je součástí programu „Globalizace versus udržitelný rozvoj regionu – mezinárodní program výuky“ spolupořádaného Centrem pro otázky životního prostředí Univerzity Karlovy a Institute for Environmental &amp; Sustainability Communication, Leuphana University Lüneburg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Na kurz přímo navazuje nepovinná letní škola. </w:t>
      </w:r>
    </w:p>
    <w:p w:rsidR="00570B0C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570B0C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570B0C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Kód předmětu: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HEN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614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Zařazení předmětu na fakultě: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142316 Katedra environmentálních studií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Garant předmětu: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Mgr. Bohuslav Binka, Ph.D.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Garanční oddělení: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Katedra environmentálních studií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Název předmětu ve vyučovacím jazyce: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940B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Případové studie udržitelnosti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Krátký název předmětu ve vyučovacím jazyce: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940B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Případové studie udržitelnosti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Vyučovací jazyk: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čeština (cze)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Název předmětu anglicky: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Case Studies of Sustainability Projects</w:t>
      </w:r>
    </w:p>
    <w:p w:rsidR="00570B0C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Krátký název předmětu anglicky: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Case Studies of Sustainability Projects</w:t>
      </w:r>
    </w:p>
    <w:tbl>
      <w:tblPr>
        <w:tblW w:w="920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09"/>
      </w:tblGrid>
      <w:tr w:rsidR="00570B0C" w:rsidRPr="007115C1" w:rsidTr="00FF7438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B0C" w:rsidRPr="007115C1" w:rsidRDefault="00570B0C" w:rsidP="00FF7438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</w:pPr>
            <w:r w:rsidRPr="007115C1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Číslo učo osob dohledejte buď v seznamu, který obdržíte klikem pravým nebo prostředním tlačítkem myši na následující odkaz (tím se Vám seznam otevře ve zvláštním okně), nebo v aplikaci Lidé.</w:t>
            </w:r>
          </w:p>
        </w:tc>
      </w:tr>
    </w:tbl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2" w:tgtFrame="_blank" w:history="1">
        <w:r w:rsidRPr="007115C1">
          <w:rPr>
            <w:rFonts w:ascii="Arial" w:eastAsia="Times New Roman" w:hAnsi="Arial" w:cs="Arial"/>
            <w:color w:val="0D46AF"/>
            <w:sz w:val="18"/>
            <w:u w:val="single"/>
            <w:lang w:eastAsia="cs-CZ"/>
          </w:rPr>
          <w:t>Seznam osob z pracovišť vybraných předmětů</w:t>
        </w:r>
      </w:hyperlink>
    </w:p>
    <w:tbl>
      <w:tblPr>
        <w:tblW w:w="8250" w:type="dxa"/>
        <w:tblCellSpacing w:w="0" w:type="dxa"/>
        <w:shd w:val="clear" w:color="auto" w:fill="008A8E"/>
        <w:tblCellMar>
          <w:left w:w="0" w:type="dxa"/>
          <w:right w:w="0" w:type="dxa"/>
        </w:tblCellMar>
        <w:tblLook w:val="04A0"/>
      </w:tblPr>
      <w:tblGrid>
        <w:gridCol w:w="8250"/>
      </w:tblGrid>
      <w:tr w:rsidR="00570B0C" w:rsidRPr="007115C1" w:rsidTr="00FF7438">
        <w:trPr>
          <w:tblCellSpacing w:w="0" w:type="dxa"/>
        </w:trPr>
        <w:tc>
          <w:tcPr>
            <w:tcW w:w="0" w:type="auto"/>
            <w:shd w:val="clear" w:color="auto" w:fill="008A8E"/>
            <w:vAlign w:val="center"/>
            <w:hideMark/>
          </w:tcPr>
          <w:p w:rsidR="00570B0C" w:rsidRPr="007115C1" w:rsidRDefault="00570B0C" w:rsidP="00FF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Osoby podílející se na výuce předmětu:</w:t>
            </w:r>
          </w:p>
        </w:tc>
      </w:tr>
    </w:tbl>
    <w:p w:rsidR="00570B0C" w:rsidRPr="007115C1" w:rsidRDefault="00570B0C" w:rsidP="00570B0C">
      <w:pPr>
        <w:shd w:val="clear" w:color="auto" w:fill="F7F8FC"/>
        <w:spacing w:after="96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Osoba: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hyperlink r:id="rId13" w:history="1"/>
      <w:r w:rsidRPr="00C0433C">
        <w:rPr>
          <w:rFonts w:ascii="Arial" w:eastAsia="Times New Roman" w:hAnsi="Arial" w:cs="Arial"/>
          <w:b/>
          <w:color w:val="000000"/>
          <w:sz w:val="18"/>
          <w:lang w:eastAsia="cs-CZ"/>
        </w:rPr>
        <w:t>Simon Burandt, Ph.D., RNDr. Jana Dlouhá, Ph.D., Andrew Barton</w:t>
      </w:r>
      <w:r w:rsidRPr="006F5F7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7115C1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externí pedagogové</w:t>
      </w:r>
    </w:p>
    <w:tbl>
      <w:tblPr>
        <w:tblW w:w="8250" w:type="dxa"/>
        <w:tblCellSpacing w:w="0" w:type="dxa"/>
        <w:shd w:val="clear" w:color="auto" w:fill="008A8E"/>
        <w:tblCellMar>
          <w:left w:w="0" w:type="dxa"/>
          <w:right w:w="0" w:type="dxa"/>
        </w:tblCellMar>
        <w:tblLook w:val="04A0"/>
      </w:tblPr>
      <w:tblGrid>
        <w:gridCol w:w="8250"/>
      </w:tblGrid>
      <w:tr w:rsidR="00570B0C" w:rsidRPr="007115C1" w:rsidTr="00FF7438">
        <w:trPr>
          <w:tblCellSpacing w:w="0" w:type="dxa"/>
        </w:trPr>
        <w:tc>
          <w:tcPr>
            <w:tcW w:w="0" w:type="auto"/>
            <w:shd w:val="clear" w:color="auto" w:fill="008A8E"/>
            <w:vAlign w:val="center"/>
            <w:hideMark/>
          </w:tcPr>
          <w:p w:rsidR="00570B0C" w:rsidRPr="007115C1" w:rsidRDefault="00570B0C" w:rsidP="00FF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Osoba: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115C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cs-CZ"/>
        </w:rPr>
        <w:t>Mgr. Jan Skalík</w:t>
      </w:r>
      <w:r w:rsidRPr="007115C1">
        <w:rPr>
          <w:rFonts w:ascii="Arial" w:eastAsia="Times New Roman" w:hAnsi="Arial" w:cs="Arial"/>
          <w:i/>
          <w:iCs/>
          <w:color w:val="000000"/>
          <w:sz w:val="18"/>
          <w:lang w:eastAsia="cs-CZ"/>
        </w:rPr>
        <w:t> </w:t>
      </w:r>
      <w:r w:rsidRPr="007115C1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(učo 219846), pomocník</w:t>
      </w:r>
    </w:p>
    <w:tbl>
      <w:tblPr>
        <w:tblW w:w="8250" w:type="dxa"/>
        <w:tblCellSpacing w:w="0" w:type="dxa"/>
        <w:shd w:val="clear" w:color="auto" w:fill="008A8E"/>
        <w:tblCellMar>
          <w:left w:w="0" w:type="dxa"/>
          <w:right w:w="0" w:type="dxa"/>
        </w:tblCellMar>
        <w:tblLook w:val="04A0"/>
      </w:tblPr>
      <w:tblGrid>
        <w:gridCol w:w="8250"/>
      </w:tblGrid>
      <w:tr w:rsidR="00570B0C" w:rsidRPr="007115C1" w:rsidTr="00FF7438">
        <w:trPr>
          <w:tblCellSpacing w:w="0" w:type="dxa"/>
        </w:trPr>
        <w:tc>
          <w:tcPr>
            <w:tcW w:w="0" w:type="auto"/>
            <w:shd w:val="clear" w:color="auto" w:fill="008A8E"/>
            <w:vAlign w:val="center"/>
            <w:hideMark/>
          </w:tcPr>
          <w:p w:rsidR="00570B0C" w:rsidRPr="007115C1" w:rsidRDefault="00570B0C" w:rsidP="00FF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Kontaktní osoba: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115C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cs-CZ"/>
        </w:rPr>
        <w:t>Dana Pantůčková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Není povoleno, že hodnocení smí zadávat všichni vyučující pracoviště, kam je předmět zařazen.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Jak často je předmět vypisován?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jednorázově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Výuka probíhá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každý týden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– e-learning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Hodinová dotace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180"/>
        <w:gridCol w:w="866"/>
        <w:gridCol w:w="180"/>
        <w:gridCol w:w="1027"/>
        <w:gridCol w:w="120"/>
        <w:gridCol w:w="394"/>
        <w:gridCol w:w="135"/>
      </w:tblGrid>
      <w:tr w:rsidR="00570B0C" w:rsidRPr="007115C1" w:rsidTr="00FF7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B0C" w:rsidRPr="007115C1" w:rsidRDefault="00570B0C" w:rsidP="00FF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Přednášky</w:t>
            </w:r>
          </w:p>
        </w:tc>
        <w:tc>
          <w:tcPr>
            <w:tcW w:w="0" w:type="auto"/>
            <w:vAlign w:val="center"/>
            <w:hideMark/>
          </w:tcPr>
          <w:p w:rsidR="00570B0C" w:rsidRPr="007115C1" w:rsidRDefault="00570B0C" w:rsidP="00FF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0B0C" w:rsidRPr="007115C1" w:rsidRDefault="00570B0C" w:rsidP="00FF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Semináře,</w:t>
            </w:r>
            <w:r w:rsidRPr="007115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cvičení</w:t>
            </w:r>
          </w:p>
        </w:tc>
        <w:tc>
          <w:tcPr>
            <w:tcW w:w="0" w:type="auto"/>
            <w:vAlign w:val="center"/>
            <w:hideMark/>
          </w:tcPr>
          <w:p w:rsidR="00570B0C" w:rsidRPr="007115C1" w:rsidRDefault="00570B0C" w:rsidP="00FF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0B0C" w:rsidRPr="007115C1" w:rsidRDefault="00570B0C" w:rsidP="00FF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Laboratoř,</w:t>
            </w:r>
            <w:r w:rsidRPr="007115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projekt, jiné</w:t>
            </w:r>
          </w:p>
        </w:tc>
        <w:tc>
          <w:tcPr>
            <w:tcW w:w="0" w:type="auto"/>
            <w:vAlign w:val="center"/>
            <w:hideMark/>
          </w:tcPr>
          <w:p w:rsidR="00570B0C" w:rsidRPr="007115C1" w:rsidRDefault="00570B0C" w:rsidP="00FF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0B0C" w:rsidRPr="007115C1" w:rsidRDefault="00570B0C" w:rsidP="00FF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C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Jiný</w:t>
            </w:r>
          </w:p>
        </w:tc>
        <w:tc>
          <w:tcPr>
            <w:tcW w:w="0" w:type="auto"/>
            <w:vAlign w:val="center"/>
            <w:hideMark/>
          </w:tcPr>
          <w:p w:rsidR="00570B0C" w:rsidRPr="007115C1" w:rsidRDefault="00570B0C" w:rsidP="00FF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1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Zápočet do poznámkového bloku se zadávat nemusí.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Způsob ukončení předmětu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zápočet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Lze ukončit předmět mimo zkouškové období?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Ne, předmět je nutné ukončit výhradně v době uvedené jako zkouškové období tohoto údobí</w:t>
      </w:r>
      <w:r w:rsidRPr="007115C1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(typická varianta).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Počet ECTS kreditů: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2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Max. počet zapsatelných studentů: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10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Jiná poznámka o omezeních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Vyžadované předměty (prerekvizity):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>Předmět opakovaně zapisovat nelze.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Předmět je nabídnut i mimo mateřské obory.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Předmět se standardně vypisuje na vysvědčení.</w:t>
      </w:r>
    </w:p>
    <w:p w:rsidR="00570B0C" w:rsidRPr="007115C1" w:rsidRDefault="00570B0C" w:rsidP="00570B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Předmět se zahrnuje do předmětové ankety.</w:t>
      </w:r>
    </w:p>
    <w:p w:rsidR="00570B0C" w:rsidRPr="007115C1" w:rsidRDefault="00570B0C" w:rsidP="00570B0C">
      <w:pPr>
        <w:shd w:val="clear" w:color="auto" w:fill="DADAD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CE3E1F"/>
          <w:sz w:val="18"/>
          <w:lang w:eastAsia="cs-CZ"/>
        </w:rPr>
        <w:t>Pozor! Dosud není funkční.</w:t>
      </w:r>
      <w:r w:rsidRPr="007115C1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7115C1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Volba se neprojeví v ostatních aplikacích.</w:t>
      </w:r>
    </w:p>
    <w:p w:rsidR="00570B0C" w:rsidRPr="007115C1" w:rsidRDefault="00570B0C" w:rsidP="00570B0C">
      <w:pPr>
        <w:shd w:val="clear" w:color="auto" w:fill="DADAD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Předmět je dostupný pouze pro registraci studentů. (Není dostupný pro Obchodní centrum.)</w:t>
      </w:r>
    </w:p>
    <w:p w:rsidR="00570B0C" w:rsidRPr="007115C1" w:rsidRDefault="00570B0C" w:rsidP="00570B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115C1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570B0C" w:rsidRPr="007115C1" w:rsidRDefault="00570B0C" w:rsidP="00570B0C">
      <w:pPr>
        <w:shd w:val="clear" w:color="auto" w:fill="F7F8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Atributy předmětu </w:t>
      </w:r>
    </w:p>
    <w:p w:rsidR="00570B0C" w:rsidRDefault="00570B0C" w:rsidP="00570B0C">
      <w:pPr>
        <w:shd w:val="clear" w:color="auto" w:fill="F7F8FC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FSS:HE_stupen_studia = II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FSS:HE_typ_kreditu = B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FSS:obor_EN_np1_2 = pv1</w:t>
      </w:r>
      <w:r w:rsidRPr="007115C1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FSS:obor_HE_np1_3 = pv2</w:t>
      </w:r>
    </w:p>
    <w:p w:rsidR="007115C1" w:rsidRPr="007115C1" w:rsidRDefault="007115C1" w:rsidP="007115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115C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7115C1" w:rsidRDefault="007115C1"/>
    <w:sectPr w:rsidR="007115C1" w:rsidSect="0058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98D"/>
    <w:multiLevelType w:val="multilevel"/>
    <w:tmpl w:val="FA28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56B44"/>
    <w:multiLevelType w:val="multilevel"/>
    <w:tmpl w:val="C582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6263F"/>
    <w:multiLevelType w:val="multilevel"/>
    <w:tmpl w:val="EFCE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/>
  <w:rsids>
    <w:rsidRoot w:val="006F5F76"/>
    <w:rsid w:val="00174C6B"/>
    <w:rsid w:val="001D570A"/>
    <w:rsid w:val="00201296"/>
    <w:rsid w:val="00243D91"/>
    <w:rsid w:val="002D3798"/>
    <w:rsid w:val="00342B3D"/>
    <w:rsid w:val="00345B5C"/>
    <w:rsid w:val="003C219E"/>
    <w:rsid w:val="003F0DAC"/>
    <w:rsid w:val="0052522B"/>
    <w:rsid w:val="00570B0C"/>
    <w:rsid w:val="00580059"/>
    <w:rsid w:val="00580CF5"/>
    <w:rsid w:val="00581976"/>
    <w:rsid w:val="006C2B74"/>
    <w:rsid w:val="006E1745"/>
    <w:rsid w:val="006F5F76"/>
    <w:rsid w:val="007115C1"/>
    <w:rsid w:val="007940BB"/>
    <w:rsid w:val="00880E50"/>
    <w:rsid w:val="009E2228"/>
    <w:rsid w:val="00B267AF"/>
    <w:rsid w:val="00B34EAD"/>
    <w:rsid w:val="00C0433C"/>
    <w:rsid w:val="00D852D5"/>
    <w:rsid w:val="00E56906"/>
    <w:rsid w:val="00EA72C5"/>
    <w:rsid w:val="00F9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5F7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F5F76"/>
  </w:style>
  <w:style w:type="character" w:styleId="Siln">
    <w:name w:val="Strong"/>
    <w:basedOn w:val="Standardnpsmoodstavce"/>
    <w:uiPriority w:val="22"/>
    <w:qFormat/>
    <w:rsid w:val="006F5F76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115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115C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1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urazne">
    <w:name w:val="durazne"/>
    <w:basedOn w:val="Standardnpsmoodstavce"/>
    <w:rsid w:val="007115C1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115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115C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lide/pracoviste.pl?zobrazid=142316" TargetMode="External"/><Relationship Id="rId13" Type="http://schemas.openxmlformats.org/officeDocument/2006/relationships/hyperlink" Target="https://is.muni.cz/auth/osoba/6956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auth/osoba/6956" TargetMode="External"/><Relationship Id="rId12" Type="http://schemas.openxmlformats.org/officeDocument/2006/relationships/hyperlink" Target="https://is.muni.cz/auth/predmety/osoby_z_pracovist_predmetu.pl?fakulta=1423;obdobi=5464;kod=HEN566;predmet=6349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6956" TargetMode="External"/><Relationship Id="rId11" Type="http://schemas.openxmlformats.org/officeDocument/2006/relationships/hyperlink" Target="https://is.muni.cz/auth/predmety/obory.pl?fakulta=1423;obor=62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.muni.cz/auth/predmety/obory.pl?fakulta=1423;obor=10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osoba/2198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BF98-161F-4296-B852-0904A56A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1262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df</cp:lastModifiedBy>
  <cp:revision>3</cp:revision>
  <dcterms:created xsi:type="dcterms:W3CDTF">2012-01-20T07:25:00Z</dcterms:created>
  <dcterms:modified xsi:type="dcterms:W3CDTF">2012-01-27T12:39:00Z</dcterms:modified>
</cp:coreProperties>
</file>