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6" w:rsidRDefault="00FE1E96" w:rsidP="00FE1E96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 II (PSY252) – seminární skupina A</w:t>
      </w:r>
    </w:p>
    <w:p w:rsidR="00FE1E96" w:rsidRDefault="00FE1E96" w:rsidP="00FE1E9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4</w:t>
      </w:r>
    </w:p>
    <w:p w:rsidR="00FE1E96" w:rsidRDefault="00FE1E96" w:rsidP="00FE1E96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Zpracovaly:</w:t>
      </w:r>
      <w:r>
        <w:rPr>
          <w:sz w:val="24"/>
          <w:szCs w:val="24"/>
        </w:rPr>
        <w:tab/>
        <w:t>Denisa Lakomá, 414925</w:t>
      </w:r>
    </w:p>
    <w:p w:rsidR="00FE1E96" w:rsidRDefault="00FE1E96" w:rsidP="00FE1E9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Kristýna </w:t>
      </w:r>
      <w:proofErr w:type="spellStart"/>
      <w:r>
        <w:rPr>
          <w:sz w:val="24"/>
          <w:szCs w:val="24"/>
        </w:rPr>
        <w:t>Cejthamrová</w:t>
      </w:r>
      <w:proofErr w:type="spellEnd"/>
      <w:r>
        <w:rPr>
          <w:sz w:val="24"/>
          <w:szCs w:val="24"/>
        </w:rPr>
        <w:t>, 362244</w:t>
      </w:r>
    </w:p>
    <w:p w:rsidR="00FE1E96" w:rsidRDefault="00CE6BB7" w:rsidP="00EA3603">
      <w:pPr>
        <w:spacing w:line="360" w:lineRule="auto"/>
        <w:contextualSpacing/>
        <w:jc w:val="both"/>
        <w:rPr>
          <w:sz w:val="24"/>
          <w:szCs w:val="24"/>
        </w:rPr>
      </w:pPr>
      <w:r w:rsidRPr="00CE6BB7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4921" w:rsidRPr="00C4616B" w:rsidRDefault="0063153E" w:rsidP="00EA3603">
      <w:pPr>
        <w:spacing w:line="360" w:lineRule="auto"/>
        <w:contextualSpacing/>
        <w:jc w:val="both"/>
        <w:rPr>
          <w:sz w:val="24"/>
          <w:szCs w:val="24"/>
        </w:rPr>
      </w:pPr>
      <w:r w:rsidRPr="00C4616B">
        <w:rPr>
          <w:sz w:val="24"/>
          <w:szCs w:val="24"/>
        </w:rPr>
        <w:t>Pro naši práci jsme využily datový soubor ESS5e03.sav, který sestával z</w:t>
      </w:r>
      <w:r w:rsidR="00443326" w:rsidRPr="00C4616B">
        <w:rPr>
          <w:sz w:val="24"/>
          <w:szCs w:val="24"/>
        </w:rPr>
        <w:t> </w:t>
      </w:r>
      <w:r w:rsidRPr="00C4616B">
        <w:rPr>
          <w:sz w:val="24"/>
          <w:szCs w:val="24"/>
        </w:rPr>
        <w:t>52458</w:t>
      </w:r>
      <w:r w:rsidR="00DF6ABE">
        <w:rPr>
          <w:sz w:val="24"/>
          <w:szCs w:val="24"/>
        </w:rPr>
        <w:t xml:space="preserve"> respondentů. Z </w:t>
      </w:r>
      <w:r w:rsidR="00443326" w:rsidRPr="00C4616B">
        <w:rPr>
          <w:sz w:val="24"/>
          <w:szCs w:val="24"/>
        </w:rPr>
        <w:t>tohoto počtu bylo 23782 mužů (45,3 %) a 28655 žen (54,6 %).</w:t>
      </w:r>
      <w:r w:rsidR="00EA3603" w:rsidRPr="00C4616B">
        <w:rPr>
          <w:sz w:val="24"/>
          <w:szCs w:val="24"/>
        </w:rPr>
        <w:t xml:space="preserve"> Věkové rozmezí se pohybovalo od 15 do 102 let (M=48,5; SD=18,79).</w:t>
      </w:r>
      <w:r w:rsidR="00443326" w:rsidRPr="00C4616B">
        <w:rPr>
          <w:sz w:val="24"/>
          <w:szCs w:val="24"/>
        </w:rPr>
        <w:t xml:space="preserve"> Pro analýzu rozptylu vzorek čítal 43267, protože někteří z respondentů </w:t>
      </w:r>
      <w:r w:rsidR="00DF6ABE">
        <w:rPr>
          <w:sz w:val="24"/>
          <w:szCs w:val="24"/>
        </w:rPr>
        <w:t>neuvedli odpověď na položky</w:t>
      </w:r>
      <w:r w:rsidR="00443326" w:rsidRPr="00C4616B">
        <w:rPr>
          <w:sz w:val="24"/>
          <w:szCs w:val="24"/>
        </w:rPr>
        <w:t xml:space="preserve"> pou</w:t>
      </w:r>
      <w:r w:rsidR="00DF6ABE">
        <w:rPr>
          <w:sz w:val="24"/>
          <w:szCs w:val="24"/>
        </w:rPr>
        <w:t>žité v naší hypotéze, proto byli z analýzy vyřazeni.</w:t>
      </w:r>
    </w:p>
    <w:p w:rsidR="00C6268F" w:rsidRPr="00C4616B" w:rsidRDefault="00C6268F" w:rsidP="00EA3603">
      <w:pPr>
        <w:spacing w:line="360" w:lineRule="auto"/>
        <w:contextualSpacing/>
        <w:jc w:val="both"/>
        <w:rPr>
          <w:sz w:val="24"/>
          <w:szCs w:val="24"/>
        </w:rPr>
      </w:pPr>
    </w:p>
    <w:p w:rsidR="00C6268F" w:rsidRPr="00C4616B" w:rsidRDefault="00C6268F" w:rsidP="00C6268F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C4616B">
        <w:rPr>
          <w:b/>
          <w:sz w:val="24"/>
          <w:szCs w:val="24"/>
        </w:rPr>
        <w:t>One</w:t>
      </w:r>
      <w:proofErr w:type="spellEnd"/>
      <w:r w:rsidRPr="00C4616B">
        <w:rPr>
          <w:b/>
          <w:sz w:val="24"/>
          <w:szCs w:val="24"/>
        </w:rPr>
        <w:t>-</w:t>
      </w:r>
      <w:proofErr w:type="spellStart"/>
      <w:r w:rsidRPr="00C4616B">
        <w:rPr>
          <w:b/>
          <w:sz w:val="24"/>
          <w:szCs w:val="24"/>
        </w:rPr>
        <w:t>way</w:t>
      </w:r>
      <w:proofErr w:type="spellEnd"/>
      <w:r w:rsidRPr="00C4616B">
        <w:rPr>
          <w:b/>
          <w:sz w:val="24"/>
          <w:szCs w:val="24"/>
        </w:rPr>
        <w:t xml:space="preserve"> ANOVA</w:t>
      </w:r>
    </w:p>
    <w:p w:rsidR="00C6268F" w:rsidRPr="00C4616B" w:rsidRDefault="00C6268F" w:rsidP="00C6268F">
      <w:pPr>
        <w:pStyle w:val="Odstavecseseznamem"/>
        <w:spacing w:line="360" w:lineRule="auto"/>
        <w:jc w:val="both"/>
        <w:rPr>
          <w:sz w:val="24"/>
          <w:szCs w:val="24"/>
        </w:rPr>
      </w:pPr>
      <w:r w:rsidRPr="00C4616B">
        <w:rPr>
          <w:sz w:val="24"/>
          <w:szCs w:val="24"/>
        </w:rPr>
        <w:t xml:space="preserve">Jako </w:t>
      </w:r>
      <w:r w:rsidR="00520851" w:rsidRPr="00C4616B">
        <w:rPr>
          <w:sz w:val="24"/>
          <w:szCs w:val="24"/>
        </w:rPr>
        <w:t>intervalovou závislou proměnnou</w:t>
      </w:r>
      <w:r w:rsidRPr="00C4616B">
        <w:rPr>
          <w:sz w:val="24"/>
          <w:szCs w:val="24"/>
        </w:rPr>
        <w:t xml:space="preserve"> pro analýzu rozptylu jsme zvolily celkový počet odpracovaných hodin týdně včetně přesčasů (</w:t>
      </w:r>
      <w:proofErr w:type="spellStart"/>
      <w:r w:rsidRPr="00337336">
        <w:rPr>
          <w:i/>
          <w:sz w:val="24"/>
          <w:szCs w:val="24"/>
        </w:rPr>
        <w:t>Total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hours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normally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worked</w:t>
      </w:r>
      <w:proofErr w:type="spellEnd"/>
      <w:r w:rsidRPr="00337336">
        <w:rPr>
          <w:i/>
          <w:sz w:val="24"/>
          <w:szCs w:val="24"/>
        </w:rPr>
        <w:t xml:space="preserve"> per </w:t>
      </w:r>
      <w:proofErr w:type="spellStart"/>
      <w:r w:rsidRPr="00337336">
        <w:rPr>
          <w:i/>
          <w:sz w:val="24"/>
          <w:szCs w:val="24"/>
        </w:rPr>
        <w:t>week</w:t>
      </w:r>
      <w:proofErr w:type="spellEnd"/>
      <w:r w:rsidRPr="00337336">
        <w:rPr>
          <w:i/>
          <w:sz w:val="24"/>
          <w:szCs w:val="24"/>
        </w:rPr>
        <w:t xml:space="preserve"> in </w:t>
      </w:r>
      <w:proofErr w:type="spellStart"/>
      <w:r w:rsidRPr="00337336">
        <w:rPr>
          <w:i/>
          <w:sz w:val="24"/>
          <w:szCs w:val="24"/>
        </w:rPr>
        <w:t>main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job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overtime</w:t>
      </w:r>
      <w:proofErr w:type="spellEnd"/>
      <w:r w:rsidRPr="00337336">
        <w:rPr>
          <w:i/>
          <w:sz w:val="24"/>
          <w:szCs w:val="24"/>
        </w:rPr>
        <w:t xml:space="preserve"> </w:t>
      </w:r>
      <w:proofErr w:type="spellStart"/>
      <w:r w:rsidRPr="00337336">
        <w:rPr>
          <w:i/>
          <w:sz w:val="24"/>
          <w:szCs w:val="24"/>
        </w:rPr>
        <w:t>included</w:t>
      </w:r>
      <w:proofErr w:type="spellEnd"/>
      <w:r w:rsidR="00520851" w:rsidRPr="00C4616B">
        <w:rPr>
          <w:sz w:val="24"/>
          <w:szCs w:val="24"/>
        </w:rPr>
        <w:t>)</w:t>
      </w:r>
      <w:r w:rsidR="00C148BA">
        <w:rPr>
          <w:sz w:val="24"/>
          <w:szCs w:val="24"/>
        </w:rPr>
        <w:t xml:space="preserve">, </w:t>
      </w:r>
      <w:r w:rsidR="00DF6ABE">
        <w:rPr>
          <w:sz w:val="24"/>
          <w:szCs w:val="24"/>
        </w:rPr>
        <w:t>popisné statistiky jsou uvedeny v</w:t>
      </w:r>
      <w:r w:rsidR="00C148BA">
        <w:rPr>
          <w:sz w:val="24"/>
          <w:szCs w:val="24"/>
        </w:rPr>
        <w:t xml:space="preserve"> Tabul</w:t>
      </w:r>
      <w:r w:rsidR="00DF6ABE">
        <w:rPr>
          <w:sz w:val="24"/>
          <w:szCs w:val="24"/>
        </w:rPr>
        <w:t>ce</w:t>
      </w:r>
      <w:r w:rsidR="00C148BA">
        <w:rPr>
          <w:sz w:val="24"/>
          <w:szCs w:val="24"/>
        </w:rPr>
        <w:t xml:space="preserve"> 1</w:t>
      </w:r>
      <w:r w:rsidR="00520851" w:rsidRPr="00C4616B">
        <w:rPr>
          <w:sz w:val="24"/>
          <w:szCs w:val="24"/>
        </w:rPr>
        <w:t xml:space="preserve">. </w:t>
      </w:r>
      <w:commentRangeStart w:id="0"/>
      <w:r w:rsidR="00520851" w:rsidRPr="00C4616B">
        <w:rPr>
          <w:sz w:val="24"/>
          <w:szCs w:val="24"/>
        </w:rPr>
        <w:t xml:space="preserve">Kategorickou </w:t>
      </w:r>
      <w:commentRangeEnd w:id="0"/>
      <w:r w:rsidR="00D93E32">
        <w:rPr>
          <w:rStyle w:val="Odkaznakoment"/>
        </w:rPr>
        <w:commentReference w:id="0"/>
      </w:r>
      <w:r w:rsidR="00520851" w:rsidRPr="00C4616B">
        <w:rPr>
          <w:sz w:val="24"/>
          <w:szCs w:val="24"/>
        </w:rPr>
        <w:t xml:space="preserve">nezávislou proměnnou pro nás pak byla </w:t>
      </w:r>
      <w:r w:rsidR="00DF6ABE">
        <w:rPr>
          <w:sz w:val="24"/>
          <w:szCs w:val="24"/>
        </w:rPr>
        <w:t>průměrná</w:t>
      </w:r>
      <w:r w:rsidR="00520851" w:rsidRPr="00C4616B">
        <w:rPr>
          <w:sz w:val="24"/>
          <w:szCs w:val="24"/>
        </w:rPr>
        <w:t xml:space="preserve"> doba strávená sle</w:t>
      </w:r>
      <w:r w:rsidR="00DF6ABE">
        <w:rPr>
          <w:sz w:val="24"/>
          <w:szCs w:val="24"/>
        </w:rPr>
        <w:t xml:space="preserve">dováním televize v pracovní dny </w:t>
      </w:r>
      <w:r w:rsidR="00520851" w:rsidRPr="00DF6ABE">
        <w:rPr>
          <w:i/>
          <w:sz w:val="24"/>
          <w:szCs w:val="24"/>
        </w:rPr>
        <w:t xml:space="preserve">(TV </w:t>
      </w:r>
      <w:proofErr w:type="spellStart"/>
      <w:r w:rsidR="00520851" w:rsidRPr="00DF6ABE">
        <w:rPr>
          <w:i/>
          <w:sz w:val="24"/>
          <w:szCs w:val="24"/>
        </w:rPr>
        <w:t>watching</w:t>
      </w:r>
      <w:proofErr w:type="spellEnd"/>
      <w:r w:rsidR="00520851" w:rsidRPr="00DF6ABE">
        <w:rPr>
          <w:i/>
          <w:sz w:val="24"/>
          <w:szCs w:val="24"/>
        </w:rPr>
        <w:t xml:space="preserve">, </w:t>
      </w:r>
      <w:proofErr w:type="spellStart"/>
      <w:r w:rsidR="00520851" w:rsidRPr="00DF6ABE">
        <w:rPr>
          <w:i/>
          <w:sz w:val="24"/>
          <w:szCs w:val="24"/>
        </w:rPr>
        <w:t>total</w:t>
      </w:r>
      <w:proofErr w:type="spellEnd"/>
      <w:r w:rsidR="00520851" w:rsidRPr="00DF6ABE">
        <w:rPr>
          <w:i/>
          <w:sz w:val="24"/>
          <w:szCs w:val="24"/>
        </w:rPr>
        <w:t xml:space="preserve"> </w:t>
      </w:r>
      <w:proofErr w:type="spellStart"/>
      <w:r w:rsidR="00520851" w:rsidRPr="00DF6ABE">
        <w:rPr>
          <w:i/>
          <w:sz w:val="24"/>
          <w:szCs w:val="24"/>
        </w:rPr>
        <w:t>time</w:t>
      </w:r>
      <w:proofErr w:type="spellEnd"/>
      <w:r w:rsidR="00520851" w:rsidRPr="00DF6ABE">
        <w:rPr>
          <w:i/>
          <w:sz w:val="24"/>
          <w:szCs w:val="24"/>
        </w:rPr>
        <w:t xml:space="preserve"> on </w:t>
      </w:r>
      <w:proofErr w:type="spellStart"/>
      <w:r w:rsidR="00520851" w:rsidRPr="00DF6ABE">
        <w:rPr>
          <w:i/>
          <w:sz w:val="24"/>
          <w:szCs w:val="24"/>
        </w:rPr>
        <w:t>average</w:t>
      </w:r>
      <w:proofErr w:type="spellEnd"/>
      <w:r w:rsidR="00520851" w:rsidRPr="00DF6ABE">
        <w:rPr>
          <w:i/>
          <w:sz w:val="24"/>
          <w:szCs w:val="24"/>
        </w:rPr>
        <w:t xml:space="preserve"> </w:t>
      </w:r>
      <w:proofErr w:type="spellStart"/>
      <w:r w:rsidR="00520851" w:rsidRPr="00DF6ABE">
        <w:rPr>
          <w:i/>
          <w:sz w:val="24"/>
          <w:szCs w:val="24"/>
        </w:rPr>
        <w:t>weekday</w:t>
      </w:r>
      <w:proofErr w:type="spellEnd"/>
      <w:r w:rsidR="00520851" w:rsidRPr="00DF6ABE">
        <w:rPr>
          <w:i/>
          <w:sz w:val="24"/>
          <w:szCs w:val="24"/>
        </w:rPr>
        <w:t>)</w:t>
      </w:r>
      <w:r w:rsidR="00337336" w:rsidRPr="00DF6ABE">
        <w:rPr>
          <w:i/>
          <w:sz w:val="24"/>
          <w:szCs w:val="24"/>
        </w:rPr>
        <w:t>,</w:t>
      </w:r>
      <w:r w:rsidR="00337336">
        <w:rPr>
          <w:sz w:val="24"/>
          <w:szCs w:val="24"/>
        </w:rPr>
        <w:t xml:space="preserve"> popisné statistiky pro druhou</w:t>
      </w:r>
      <w:r w:rsidR="00C148BA">
        <w:rPr>
          <w:sz w:val="24"/>
          <w:szCs w:val="24"/>
        </w:rPr>
        <w:t xml:space="preserve"> proměnnou jsou </w:t>
      </w:r>
      <w:r w:rsidR="00DF6ABE">
        <w:rPr>
          <w:sz w:val="24"/>
          <w:szCs w:val="24"/>
        </w:rPr>
        <w:t>obsaženy</w:t>
      </w:r>
      <w:r w:rsidR="00C148BA">
        <w:rPr>
          <w:sz w:val="24"/>
          <w:szCs w:val="24"/>
        </w:rPr>
        <w:t xml:space="preserve"> v Tabulce 2</w:t>
      </w:r>
      <w:r w:rsidR="00520851" w:rsidRPr="00C4616B">
        <w:rPr>
          <w:sz w:val="24"/>
          <w:szCs w:val="24"/>
        </w:rPr>
        <w:t>. Tyto proměnné jsme</w:t>
      </w:r>
      <w:r w:rsidR="00215F09" w:rsidRPr="00C4616B">
        <w:rPr>
          <w:sz w:val="24"/>
          <w:szCs w:val="24"/>
        </w:rPr>
        <w:t xml:space="preserve"> vybraly proto, že lze mezi nimi očekávat určitý </w:t>
      </w:r>
      <w:r w:rsidR="00386428" w:rsidRPr="00C4616B">
        <w:rPr>
          <w:sz w:val="24"/>
          <w:szCs w:val="24"/>
        </w:rPr>
        <w:t>vztah</w:t>
      </w:r>
      <w:r w:rsidR="00DF6ABE">
        <w:rPr>
          <w:sz w:val="24"/>
          <w:szCs w:val="24"/>
        </w:rPr>
        <w:t>,</w:t>
      </w:r>
      <w:r w:rsidR="00386428" w:rsidRPr="00C4616B">
        <w:rPr>
          <w:sz w:val="24"/>
          <w:szCs w:val="24"/>
        </w:rPr>
        <w:t xml:space="preserve"> a můžeme</w:t>
      </w:r>
      <w:r w:rsidR="00DF6ABE">
        <w:rPr>
          <w:sz w:val="24"/>
          <w:szCs w:val="24"/>
        </w:rPr>
        <w:t xml:space="preserve"> si</w:t>
      </w:r>
      <w:r w:rsidR="00215F09" w:rsidRPr="00C4616B">
        <w:rPr>
          <w:sz w:val="24"/>
          <w:szCs w:val="24"/>
        </w:rPr>
        <w:t xml:space="preserve"> dopředu stanovit hypotézu</w:t>
      </w:r>
      <w:r w:rsidR="00DF6ABE">
        <w:rPr>
          <w:sz w:val="24"/>
          <w:szCs w:val="24"/>
        </w:rPr>
        <w:t>:</w:t>
      </w:r>
      <w:r w:rsidR="00215F09" w:rsidRPr="00C4616B">
        <w:rPr>
          <w:sz w:val="24"/>
          <w:szCs w:val="24"/>
        </w:rPr>
        <w:t xml:space="preserve"> </w:t>
      </w:r>
      <w:r w:rsidR="00DF6ABE" w:rsidRPr="00DF6ABE">
        <w:rPr>
          <w:b/>
          <w:sz w:val="24"/>
          <w:szCs w:val="24"/>
        </w:rPr>
        <w:t>Jedinci</w:t>
      </w:r>
      <w:r w:rsidR="00215F09" w:rsidRPr="00DF6ABE">
        <w:rPr>
          <w:b/>
          <w:sz w:val="24"/>
          <w:szCs w:val="24"/>
        </w:rPr>
        <w:t xml:space="preserve">, kteří </w:t>
      </w:r>
      <w:r w:rsidR="00DF6ABE">
        <w:rPr>
          <w:b/>
          <w:sz w:val="24"/>
          <w:szCs w:val="24"/>
        </w:rPr>
        <w:t xml:space="preserve">mají čas </w:t>
      </w:r>
      <w:r w:rsidR="00386428" w:rsidRPr="00DF6ABE">
        <w:rPr>
          <w:b/>
          <w:sz w:val="24"/>
          <w:szCs w:val="24"/>
        </w:rPr>
        <w:t>více sled</w:t>
      </w:r>
      <w:r w:rsidR="00DF6ABE">
        <w:rPr>
          <w:b/>
          <w:sz w:val="24"/>
          <w:szCs w:val="24"/>
        </w:rPr>
        <w:t>ovat</w:t>
      </w:r>
      <w:r w:rsidR="00386428" w:rsidRPr="00DF6ABE">
        <w:rPr>
          <w:b/>
          <w:sz w:val="24"/>
          <w:szCs w:val="24"/>
        </w:rPr>
        <w:t xml:space="preserve"> televizi, tráví méně času v zaměstnání.</w:t>
      </w:r>
      <w:r w:rsidR="00386428" w:rsidRPr="00C4616B">
        <w:rPr>
          <w:sz w:val="24"/>
          <w:szCs w:val="24"/>
        </w:rPr>
        <w:t xml:space="preserve"> </w:t>
      </w:r>
    </w:p>
    <w:p w:rsidR="00386428" w:rsidRPr="00C4616B" w:rsidRDefault="004C276C" w:rsidP="00C6268F">
      <w:pPr>
        <w:pStyle w:val="Odstavecseseznamem"/>
        <w:spacing w:line="360" w:lineRule="auto"/>
        <w:jc w:val="both"/>
        <w:rPr>
          <w:sz w:val="24"/>
          <w:szCs w:val="24"/>
        </w:rPr>
      </w:pPr>
      <w:r w:rsidRPr="00C4616B">
        <w:rPr>
          <w:sz w:val="24"/>
          <w:szCs w:val="24"/>
        </w:rPr>
        <w:t xml:space="preserve">Zvolené proměnné splňují předpoklady pro použití </w:t>
      </w:r>
      <w:proofErr w:type="spellStart"/>
      <w:r w:rsidRPr="00C4616B">
        <w:rPr>
          <w:sz w:val="24"/>
          <w:szCs w:val="24"/>
        </w:rPr>
        <w:t>one</w:t>
      </w:r>
      <w:proofErr w:type="spellEnd"/>
      <w:r w:rsidRPr="00C4616B">
        <w:rPr>
          <w:sz w:val="24"/>
          <w:szCs w:val="24"/>
        </w:rPr>
        <w:t>-</w:t>
      </w:r>
      <w:proofErr w:type="spellStart"/>
      <w:r w:rsidRPr="00C4616B">
        <w:rPr>
          <w:sz w:val="24"/>
          <w:szCs w:val="24"/>
        </w:rPr>
        <w:t>way</w:t>
      </w:r>
      <w:proofErr w:type="spellEnd"/>
      <w:r w:rsidRPr="00C4616B">
        <w:rPr>
          <w:sz w:val="24"/>
          <w:szCs w:val="24"/>
        </w:rPr>
        <w:t xml:space="preserve"> ANOVA. Data byla získána na základě nezávislého pozorování. </w:t>
      </w:r>
      <w:commentRangeStart w:id="1"/>
      <w:r w:rsidRPr="00C4616B">
        <w:rPr>
          <w:sz w:val="24"/>
          <w:szCs w:val="24"/>
        </w:rPr>
        <w:t xml:space="preserve">Rozložení proměnných </w:t>
      </w:r>
      <w:commentRangeEnd w:id="1"/>
      <w:r w:rsidR="00D93E32">
        <w:rPr>
          <w:rStyle w:val="Odkaznakoment"/>
        </w:rPr>
        <w:commentReference w:id="1"/>
      </w:r>
      <w:r w:rsidRPr="00C4616B">
        <w:rPr>
          <w:sz w:val="24"/>
          <w:szCs w:val="24"/>
        </w:rPr>
        <w:t xml:space="preserve">je normální, </w:t>
      </w:r>
      <w:r w:rsidR="00DF6ABE">
        <w:rPr>
          <w:sz w:val="24"/>
          <w:szCs w:val="24"/>
        </w:rPr>
        <w:t xml:space="preserve">u proměnné </w:t>
      </w:r>
      <w:r w:rsidR="00A252F8">
        <w:rPr>
          <w:sz w:val="24"/>
          <w:szCs w:val="24"/>
        </w:rPr>
        <w:t>„</w:t>
      </w:r>
      <w:r w:rsidR="00DF6ABE">
        <w:rPr>
          <w:sz w:val="24"/>
          <w:szCs w:val="24"/>
        </w:rPr>
        <w:t>sledování televize</w:t>
      </w:r>
      <w:r w:rsidR="00A252F8">
        <w:rPr>
          <w:sz w:val="24"/>
          <w:szCs w:val="24"/>
        </w:rPr>
        <w:t>“</w:t>
      </w:r>
      <w:r w:rsidR="00DF6ABE">
        <w:rPr>
          <w:sz w:val="24"/>
          <w:szCs w:val="24"/>
        </w:rPr>
        <w:t xml:space="preserve"> poslední kategorie (více než 3 hodiny) narušuje normalitu, </w:t>
      </w:r>
      <w:r w:rsidRPr="00C4616B">
        <w:rPr>
          <w:sz w:val="24"/>
          <w:szCs w:val="24"/>
        </w:rPr>
        <w:t xml:space="preserve">pracujeme </w:t>
      </w:r>
      <w:r w:rsidR="00DF6ABE">
        <w:rPr>
          <w:sz w:val="24"/>
          <w:szCs w:val="24"/>
        </w:rPr>
        <w:t>však</w:t>
      </w:r>
      <w:r w:rsidRPr="00C4616B">
        <w:rPr>
          <w:sz w:val="24"/>
          <w:szCs w:val="24"/>
        </w:rPr>
        <w:t xml:space="preserve"> s dostatečně velkým vzorkem a v každé sledované skupině je </w:t>
      </w:r>
      <w:r w:rsidR="00DF6ABE">
        <w:rPr>
          <w:sz w:val="24"/>
          <w:szCs w:val="24"/>
        </w:rPr>
        <w:t>natolik velký počet respondentů, že by to výsledky naší analýzy nemělo ovlivnit</w:t>
      </w:r>
      <w:r w:rsidRPr="00C4616B">
        <w:rPr>
          <w:sz w:val="24"/>
          <w:szCs w:val="24"/>
        </w:rPr>
        <w:t xml:space="preserve">. </w:t>
      </w:r>
      <w:proofErr w:type="spellStart"/>
      <w:r w:rsidR="00E34A1E" w:rsidRPr="00C4616B">
        <w:rPr>
          <w:sz w:val="24"/>
          <w:szCs w:val="24"/>
        </w:rPr>
        <w:t>Levenův</w:t>
      </w:r>
      <w:proofErr w:type="spellEnd"/>
      <w:r w:rsidR="00E34A1E" w:rsidRPr="00C4616B">
        <w:rPr>
          <w:sz w:val="24"/>
          <w:szCs w:val="24"/>
        </w:rPr>
        <w:t xml:space="preserve"> test </w:t>
      </w:r>
      <w:r w:rsidR="00BC1F9D">
        <w:rPr>
          <w:sz w:val="24"/>
          <w:szCs w:val="24"/>
        </w:rPr>
        <w:t xml:space="preserve">homogenity rozptylů </w:t>
      </w:r>
      <w:r w:rsidR="00E34A1E" w:rsidRPr="00C4616B">
        <w:rPr>
          <w:sz w:val="24"/>
          <w:szCs w:val="24"/>
        </w:rPr>
        <w:t xml:space="preserve">vyšel signifikantní, </w:t>
      </w:r>
      <w:r w:rsidR="00BC1F9D">
        <w:rPr>
          <w:sz w:val="24"/>
          <w:szCs w:val="24"/>
        </w:rPr>
        <w:t xml:space="preserve">ale </w:t>
      </w:r>
      <w:r w:rsidR="00E34A1E" w:rsidRPr="00C4616B">
        <w:rPr>
          <w:sz w:val="24"/>
          <w:szCs w:val="24"/>
        </w:rPr>
        <w:t>protože nejvyšší hodnota rozptylu se od nejnižší výrazně nelišila</w:t>
      </w:r>
      <w:r w:rsidR="00DF6ABE">
        <w:rPr>
          <w:sz w:val="24"/>
          <w:szCs w:val="24"/>
        </w:rPr>
        <w:t xml:space="preserve"> (s</w:t>
      </w:r>
      <w:r w:rsidR="00DF6ABE">
        <w:rPr>
          <w:sz w:val="24"/>
          <w:szCs w:val="24"/>
          <w:vertAlign w:val="superscript"/>
        </w:rPr>
        <w:t>2</w:t>
      </w:r>
      <w:r w:rsidR="00DF6ABE">
        <w:rPr>
          <w:sz w:val="24"/>
          <w:szCs w:val="24"/>
          <w:vertAlign w:val="subscript"/>
        </w:rPr>
        <w:t>min</w:t>
      </w:r>
      <w:r w:rsidR="00DF6ABE">
        <w:rPr>
          <w:sz w:val="24"/>
          <w:szCs w:val="24"/>
        </w:rPr>
        <w:t>=161; s</w:t>
      </w:r>
      <w:r w:rsidR="00DF6ABE">
        <w:rPr>
          <w:sz w:val="24"/>
          <w:szCs w:val="24"/>
          <w:vertAlign w:val="superscript"/>
        </w:rPr>
        <w:t>2</w:t>
      </w:r>
      <w:r w:rsidR="00DF6ABE">
        <w:rPr>
          <w:sz w:val="24"/>
          <w:szCs w:val="24"/>
          <w:vertAlign w:val="subscript"/>
        </w:rPr>
        <w:t>max</w:t>
      </w:r>
      <w:r w:rsidR="00DF6ABE">
        <w:rPr>
          <w:sz w:val="24"/>
          <w:szCs w:val="24"/>
        </w:rPr>
        <w:t>=225)</w:t>
      </w:r>
      <w:r w:rsidR="00BC1F9D">
        <w:rPr>
          <w:sz w:val="24"/>
          <w:szCs w:val="24"/>
        </w:rPr>
        <w:t>, předpokládáme, že podmínka homogenity rozptylů je také splněna</w:t>
      </w:r>
      <w:r w:rsidR="00E34A1E" w:rsidRPr="00C4616B">
        <w:rPr>
          <w:sz w:val="24"/>
          <w:szCs w:val="24"/>
        </w:rPr>
        <w:t xml:space="preserve">. </w:t>
      </w:r>
    </w:p>
    <w:p w:rsidR="00441F61" w:rsidRDefault="00323F5D" w:rsidP="00FE1E96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Analýza </w:t>
      </w:r>
      <w:r w:rsidR="00F649AE" w:rsidRPr="00C4616B">
        <w:rPr>
          <w:sz w:val="24"/>
          <w:szCs w:val="24"/>
        </w:rPr>
        <w:t>rozptylu vyšla signifikantní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kdy </w:t>
      </w:r>
      <w:r w:rsidRPr="00361C2B">
        <w:rPr>
          <w:i/>
          <w:sz w:val="24"/>
          <w:szCs w:val="24"/>
        </w:rPr>
        <w:t>F</w:t>
      </w:r>
      <w:r w:rsidRPr="00361C2B">
        <w:rPr>
          <w:sz w:val="24"/>
          <w:szCs w:val="24"/>
        </w:rPr>
        <w:t>(7,43259</w:t>
      </w:r>
      <w:proofErr w:type="gramEnd"/>
      <w:r w:rsidRPr="00361C2B">
        <w:rPr>
          <w:sz w:val="24"/>
          <w:szCs w:val="24"/>
        </w:rPr>
        <w:t xml:space="preserve">)=5,867; </w:t>
      </w:r>
      <w:r w:rsidRPr="00361C2B">
        <w:rPr>
          <w:i/>
          <w:sz w:val="24"/>
          <w:szCs w:val="24"/>
        </w:rPr>
        <w:t>p</w:t>
      </w:r>
      <w:r w:rsidRPr="00361C2B">
        <w:rPr>
          <w:sz w:val="24"/>
          <w:szCs w:val="24"/>
        </w:rPr>
        <w:t xml:space="preserve">&lt;0,05; </w:t>
      </w:r>
      <w:r w:rsidRPr="00361C2B">
        <w:rPr>
          <w:rFonts w:ascii="Symbol" w:hAnsi="Symbol"/>
          <w:sz w:val="24"/>
          <w:szCs w:val="24"/>
        </w:rPr>
        <w:t></w:t>
      </w:r>
      <w:r w:rsidRPr="00361C2B">
        <w:rPr>
          <w:rFonts w:ascii="Symbol" w:hAnsi="Symbol"/>
          <w:sz w:val="24"/>
          <w:szCs w:val="24"/>
          <w:vertAlign w:val="superscript"/>
        </w:rPr>
        <w:t></w:t>
      </w:r>
      <w:r w:rsidRPr="00361C2B">
        <w:rPr>
          <w:sz w:val="24"/>
          <w:szCs w:val="24"/>
        </w:rPr>
        <w:t>=0,001</w:t>
      </w:r>
      <w:r>
        <w:rPr>
          <w:sz w:val="24"/>
          <w:szCs w:val="24"/>
        </w:rPr>
        <w:t>. P</w:t>
      </w:r>
      <w:r w:rsidR="00F649AE" w:rsidRPr="00C4616B">
        <w:rPr>
          <w:sz w:val="24"/>
          <w:szCs w:val="24"/>
        </w:rPr>
        <w:t xml:space="preserve">roto mezi skupinami v rámci kategorické proměnné předpokládáme rozdíl, který </w:t>
      </w:r>
      <w:r w:rsidR="00C4616B" w:rsidRPr="00C4616B">
        <w:rPr>
          <w:sz w:val="24"/>
          <w:szCs w:val="24"/>
        </w:rPr>
        <w:t xml:space="preserve">budeme </w:t>
      </w:r>
      <w:r w:rsidR="00C4616B" w:rsidRPr="00C4616B">
        <w:rPr>
          <w:sz w:val="24"/>
          <w:szCs w:val="24"/>
        </w:rPr>
        <w:lastRenderedPageBreak/>
        <w:t>testovat plá</w:t>
      </w:r>
      <w:r w:rsidR="00441F61">
        <w:rPr>
          <w:sz w:val="24"/>
          <w:szCs w:val="24"/>
        </w:rPr>
        <w:t xml:space="preserve">novaným kontrastem. Náš model však vysvětluje pouze </w:t>
      </w:r>
      <w:commentRangeStart w:id="2"/>
      <w:r w:rsidR="00441F61">
        <w:rPr>
          <w:sz w:val="24"/>
          <w:szCs w:val="24"/>
        </w:rPr>
        <w:t xml:space="preserve">0,01 % </w:t>
      </w:r>
      <w:commentRangeEnd w:id="2"/>
      <w:r w:rsidR="00D93E32">
        <w:rPr>
          <w:rStyle w:val="Odkaznakoment"/>
        </w:rPr>
        <w:commentReference w:id="2"/>
      </w:r>
      <w:r w:rsidR="00441F61">
        <w:rPr>
          <w:sz w:val="24"/>
          <w:szCs w:val="24"/>
        </w:rPr>
        <w:t xml:space="preserve">vysvětleného rozptylu.  </w:t>
      </w:r>
    </w:p>
    <w:p w:rsidR="00C148BA" w:rsidRPr="00FE1E96" w:rsidRDefault="00505EE6" w:rsidP="00FE1E96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hypotéza </w:t>
      </w:r>
      <w:r w:rsidR="00441F61">
        <w:rPr>
          <w:sz w:val="24"/>
          <w:szCs w:val="24"/>
        </w:rPr>
        <w:t xml:space="preserve">pro plánované kontrasty </w:t>
      </w:r>
      <w:r>
        <w:rPr>
          <w:sz w:val="24"/>
          <w:szCs w:val="24"/>
        </w:rPr>
        <w:t xml:space="preserve">předpokládá, </w:t>
      </w:r>
      <w:r w:rsidRPr="00441F61">
        <w:rPr>
          <w:b/>
          <w:sz w:val="24"/>
          <w:szCs w:val="24"/>
        </w:rPr>
        <w:t>že l</w:t>
      </w:r>
      <w:r w:rsidR="00C4616B" w:rsidRPr="00441F61">
        <w:rPr>
          <w:b/>
          <w:sz w:val="24"/>
          <w:szCs w:val="24"/>
        </w:rPr>
        <w:t>idé, kteří se dívají na televizi více</w:t>
      </w:r>
      <w:r w:rsidR="00894558" w:rsidRPr="00441F61">
        <w:rPr>
          <w:b/>
          <w:sz w:val="24"/>
          <w:szCs w:val="24"/>
        </w:rPr>
        <w:t>,</w:t>
      </w:r>
      <w:r w:rsidR="00C4616B" w:rsidRPr="00441F61">
        <w:rPr>
          <w:b/>
          <w:sz w:val="24"/>
          <w:szCs w:val="24"/>
        </w:rPr>
        <w:t xml:space="preserve"> než dvě hodiny denně</w:t>
      </w:r>
      <w:r w:rsidR="00441F61">
        <w:rPr>
          <w:b/>
          <w:sz w:val="24"/>
          <w:szCs w:val="24"/>
        </w:rPr>
        <w:t>,</w:t>
      </w:r>
      <w:r w:rsidR="00C4616B" w:rsidRPr="00441F61">
        <w:rPr>
          <w:b/>
          <w:sz w:val="24"/>
          <w:szCs w:val="24"/>
        </w:rPr>
        <w:t xml:space="preserve"> mají průměrně nižší počet strávených hodin v práci než ti, kteří se dívají na televizi méně než 2 hodiny nebo vůbec.</w:t>
      </w:r>
      <w:r w:rsidR="00361C2B">
        <w:rPr>
          <w:sz w:val="24"/>
          <w:szCs w:val="24"/>
        </w:rPr>
        <w:t xml:space="preserve"> Popisné statistiky pro jednotlivé skupiny jsou uvedeny v Tabulce 1</w:t>
      </w:r>
      <w:r w:rsidR="00441F61">
        <w:rPr>
          <w:sz w:val="24"/>
          <w:szCs w:val="24"/>
        </w:rPr>
        <w:t>, kategorie jsme tedy rozdělily na dvě skupiny: 0 – 2 hodiny denně a 2 a více hodin denně</w:t>
      </w:r>
      <w:r w:rsidR="00361C2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Kontrast mezi zvolenými skupinami </w:t>
      </w:r>
      <w:r w:rsidR="00441F61">
        <w:rPr>
          <w:sz w:val="24"/>
          <w:szCs w:val="24"/>
        </w:rPr>
        <w:t xml:space="preserve">nebyl </w:t>
      </w:r>
      <w:proofErr w:type="gramStart"/>
      <w:r w:rsidR="00441F61">
        <w:rPr>
          <w:sz w:val="24"/>
          <w:szCs w:val="24"/>
        </w:rPr>
        <w:t>signifika</w:t>
      </w:r>
      <w:r>
        <w:rPr>
          <w:sz w:val="24"/>
          <w:szCs w:val="24"/>
        </w:rPr>
        <w:t>ntní</w:t>
      </w:r>
      <w:r w:rsidR="00441F61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Pr="00505EE6">
        <w:rPr>
          <w:i/>
          <w:sz w:val="24"/>
          <w:szCs w:val="24"/>
        </w:rPr>
        <w:t>t</w:t>
      </w:r>
      <w:r w:rsidR="00AD1556">
        <w:rPr>
          <w:sz w:val="24"/>
          <w:szCs w:val="24"/>
        </w:rPr>
        <w:t>(43259</w:t>
      </w:r>
      <w:proofErr w:type="gramEnd"/>
      <w:r w:rsidR="00AD1556">
        <w:rPr>
          <w:sz w:val="24"/>
          <w:szCs w:val="24"/>
        </w:rPr>
        <w:t>)=-</w:t>
      </w:r>
      <w:r>
        <w:rPr>
          <w:sz w:val="24"/>
          <w:szCs w:val="24"/>
        </w:rPr>
        <w:t xml:space="preserve">0,241, </w:t>
      </w:r>
      <w:r w:rsidRPr="00505EE6">
        <w:rPr>
          <w:i/>
          <w:sz w:val="24"/>
          <w:szCs w:val="24"/>
        </w:rPr>
        <w:t>p</w:t>
      </w:r>
      <w:r w:rsidR="009C4F03">
        <w:rPr>
          <w:sz w:val="24"/>
          <w:szCs w:val="24"/>
        </w:rPr>
        <w:t xml:space="preserve">=0,81, </w:t>
      </w:r>
      <w:commentRangeStart w:id="3"/>
      <w:r w:rsidR="009C4F03" w:rsidRPr="009C4F03">
        <w:rPr>
          <w:i/>
          <w:sz w:val="24"/>
          <w:szCs w:val="24"/>
        </w:rPr>
        <w:t>r</w:t>
      </w:r>
      <w:r w:rsidR="00C1302A">
        <w:rPr>
          <w:sz w:val="24"/>
          <w:szCs w:val="24"/>
        </w:rPr>
        <w:t>=0,5</w:t>
      </w:r>
      <w:commentRangeEnd w:id="3"/>
      <w:r w:rsidR="00D93E32">
        <w:rPr>
          <w:rStyle w:val="Odkaznakoment"/>
        </w:rPr>
        <w:commentReference w:id="3"/>
      </w:r>
      <w:r w:rsidR="00441F61">
        <w:rPr>
          <w:sz w:val="24"/>
          <w:szCs w:val="24"/>
        </w:rPr>
        <w:t>, proto nemůžeme říct, že mezi námi zvolenými skupinami byl nalezen očekávaný rozdíl.</w:t>
      </w:r>
    </w:p>
    <w:p w:rsidR="00C148BA" w:rsidRDefault="00C148BA" w:rsidP="00C148BA">
      <w:r>
        <w:t xml:space="preserve">Tabulka 1. </w:t>
      </w:r>
      <w:r w:rsidRPr="002502D4">
        <w:rPr>
          <w:i/>
        </w:rPr>
        <w:t>Popisné statistiky nezávislé proměnné sledování televize</w:t>
      </w:r>
    </w:p>
    <w:tbl>
      <w:tblPr>
        <w:tblW w:w="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0"/>
        <w:gridCol w:w="960"/>
        <w:gridCol w:w="960"/>
      </w:tblGrid>
      <w:tr w:rsidR="00C148BA" w:rsidRPr="002502D4" w:rsidTr="008D383B">
        <w:trPr>
          <w:trHeight w:val="330"/>
        </w:trPr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četnosti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C148BA" w:rsidRPr="002502D4" w:rsidTr="008D383B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vůbec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méně než 0,5 hodiny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0,5 - 1 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1 - 1,5 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1,5 - 2 hodiny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16,2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2 - 2,5 hodiny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2,5 - 3 hodiny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více než 3 hodiny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C148BA" w:rsidRPr="002502D4" w:rsidTr="008D383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chybějící hodnoty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148BA" w:rsidRPr="002502D4" w:rsidTr="008D383B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2502D4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02D4">
              <w:rPr>
                <w:rFonts w:ascii="Calibri" w:eastAsia="Times New Roman" w:hAnsi="Calibri" w:cs="Times New Roman"/>
                <w:b/>
                <w:bCs/>
                <w:color w:val="00000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8BA" w:rsidRPr="002502D4" w:rsidRDefault="00C148BA" w:rsidP="008D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C148BA" w:rsidRDefault="00C148BA" w:rsidP="00C148BA">
      <w:pPr>
        <w:tabs>
          <w:tab w:val="center" w:pos="4896"/>
        </w:tabs>
        <w:spacing w:line="360" w:lineRule="auto"/>
        <w:jc w:val="both"/>
        <w:rPr>
          <w:b/>
          <w:sz w:val="24"/>
          <w:szCs w:val="24"/>
        </w:rPr>
      </w:pPr>
    </w:p>
    <w:p w:rsidR="00C148BA" w:rsidRPr="002502D4" w:rsidRDefault="00C148BA" w:rsidP="00C148BA">
      <w:pPr>
        <w:rPr>
          <w:i/>
        </w:rPr>
      </w:pPr>
      <w:r>
        <w:t xml:space="preserve">Tabulka 2. </w:t>
      </w:r>
      <w:r w:rsidRPr="002502D4">
        <w:rPr>
          <w:i/>
        </w:rPr>
        <w:t xml:space="preserve">Popisné statistiky pro závislou proměnnou počet hodin strávený průměrně v práci </w:t>
      </w: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0"/>
        <w:gridCol w:w="960"/>
        <w:gridCol w:w="960"/>
        <w:gridCol w:w="960"/>
        <w:gridCol w:w="1540"/>
        <w:gridCol w:w="960"/>
      </w:tblGrid>
      <w:tr w:rsidR="00C148BA" w:rsidRPr="00121DA1" w:rsidTr="008D383B">
        <w:trPr>
          <w:trHeight w:val="330"/>
        </w:trPr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Min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>Průměr (M)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>SD</w:t>
            </w:r>
          </w:p>
        </w:tc>
      </w:tr>
      <w:tr w:rsidR="00C148BA" w:rsidRPr="00121DA1" w:rsidTr="008D383B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bCs/>
                <w:color w:val="000000"/>
              </w:rPr>
              <w:t>čas strávený v práci v hodinách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43351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40,54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13,</w:t>
            </w:r>
            <w:commentRangeStart w:id="4"/>
            <w:r w:rsidRPr="00121DA1">
              <w:rPr>
                <w:rFonts w:ascii="Calibri" w:eastAsia="Times New Roman" w:hAnsi="Calibri" w:cs="Times New Roman"/>
                <w:color w:val="000000"/>
              </w:rPr>
              <w:t>36</w:t>
            </w:r>
            <w:commentRangeEnd w:id="4"/>
            <w:r w:rsidR="00D93E32">
              <w:rPr>
                <w:rStyle w:val="Odkaznakoment"/>
              </w:rPr>
              <w:commentReference w:id="4"/>
            </w:r>
          </w:p>
        </w:tc>
      </w:tr>
      <w:tr w:rsidR="00C148BA" w:rsidRPr="00121DA1" w:rsidTr="008D383B">
        <w:trPr>
          <w:trHeight w:val="315"/>
        </w:trPr>
        <w:tc>
          <w:tcPr>
            <w:tcW w:w="7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*respondenti</w:t>
            </w:r>
            <w:r w:rsidRPr="00121DA1">
              <w:rPr>
                <w:rFonts w:ascii="Calibri" w:eastAsia="Times New Roman" w:hAnsi="Calibri" w:cs="Times New Roman"/>
                <w:color w:val="000000"/>
              </w:rPr>
              <w:t xml:space="preserve"> s odpovědí nad 120 (N=17) byli z analýzy vyřazeni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BA" w:rsidRPr="00121DA1" w:rsidRDefault="00C148BA" w:rsidP="008D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148BA" w:rsidRDefault="00C148BA" w:rsidP="00C148BA">
      <w:pPr>
        <w:tabs>
          <w:tab w:val="center" w:pos="4896"/>
        </w:tabs>
        <w:spacing w:line="360" w:lineRule="auto"/>
        <w:jc w:val="both"/>
        <w:rPr>
          <w:b/>
          <w:sz w:val="24"/>
          <w:szCs w:val="24"/>
        </w:rPr>
      </w:pPr>
    </w:p>
    <w:p w:rsidR="00BC1F9D" w:rsidRPr="00C148BA" w:rsidRDefault="00BC1F9D" w:rsidP="00C148BA">
      <w:pPr>
        <w:tabs>
          <w:tab w:val="center" w:pos="4896"/>
        </w:tabs>
        <w:spacing w:line="360" w:lineRule="auto"/>
        <w:jc w:val="both"/>
        <w:rPr>
          <w:b/>
          <w:sz w:val="24"/>
          <w:szCs w:val="24"/>
        </w:rPr>
      </w:pPr>
    </w:p>
    <w:p w:rsidR="00894558" w:rsidRPr="001B3B4B" w:rsidRDefault="00894558" w:rsidP="00894558">
      <w:pPr>
        <w:pStyle w:val="Odstavecseseznamem"/>
        <w:numPr>
          <w:ilvl w:val="0"/>
          <w:numId w:val="1"/>
        </w:numPr>
        <w:tabs>
          <w:tab w:val="center" w:pos="4896"/>
        </w:tabs>
        <w:spacing w:line="360" w:lineRule="auto"/>
        <w:jc w:val="both"/>
        <w:rPr>
          <w:b/>
          <w:sz w:val="24"/>
          <w:szCs w:val="24"/>
        </w:rPr>
      </w:pPr>
      <w:r w:rsidRPr="001B3B4B">
        <w:rPr>
          <w:b/>
          <w:sz w:val="24"/>
          <w:szCs w:val="24"/>
        </w:rPr>
        <w:t>Faktoriální ANOVA</w:t>
      </w:r>
    </w:p>
    <w:p w:rsidR="00894558" w:rsidRPr="00441F61" w:rsidRDefault="009C4F03" w:rsidP="00894558">
      <w:pPr>
        <w:pStyle w:val="Odstavecseseznamem"/>
        <w:tabs>
          <w:tab w:val="center" w:pos="4896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rámci faktoriální analýzy rozptylu jsme pracovaly se stejnými proměnnými jako v předešlém případě s tím, že </w:t>
      </w:r>
      <w:r w:rsidR="00D2513A">
        <w:rPr>
          <w:sz w:val="24"/>
          <w:szCs w:val="24"/>
        </w:rPr>
        <w:t>jsme navíc do modelu jako další nezávislou kategorickou proměnnou zahrnuly to, jak často se jedinec zapojuje do společenských aktivit v porovnání s jinými lidmi ze stejné věkové kategorie</w:t>
      </w:r>
      <w:r w:rsidR="00C951EC">
        <w:rPr>
          <w:sz w:val="24"/>
          <w:szCs w:val="24"/>
        </w:rPr>
        <w:t xml:space="preserve"> (</w:t>
      </w:r>
      <w:proofErr w:type="spellStart"/>
      <w:r w:rsidR="00C951EC" w:rsidRPr="00C951EC">
        <w:rPr>
          <w:i/>
          <w:sz w:val="24"/>
          <w:szCs w:val="24"/>
        </w:rPr>
        <w:t>Take</w:t>
      </w:r>
      <w:proofErr w:type="spellEnd"/>
      <w:r w:rsidR="00C951EC" w:rsidRPr="00C951EC">
        <w:rPr>
          <w:i/>
          <w:sz w:val="24"/>
          <w:szCs w:val="24"/>
        </w:rPr>
        <w:t xml:space="preserve"> part in </w:t>
      </w:r>
      <w:proofErr w:type="spellStart"/>
      <w:r w:rsidR="00C951EC" w:rsidRPr="00C951EC">
        <w:rPr>
          <w:i/>
          <w:sz w:val="24"/>
          <w:szCs w:val="24"/>
        </w:rPr>
        <w:t>social</w:t>
      </w:r>
      <w:proofErr w:type="spellEnd"/>
      <w:r w:rsidR="00C951EC" w:rsidRPr="00C951EC">
        <w:rPr>
          <w:i/>
          <w:sz w:val="24"/>
          <w:szCs w:val="24"/>
        </w:rPr>
        <w:t xml:space="preserve"> </w:t>
      </w:r>
      <w:proofErr w:type="spellStart"/>
      <w:r w:rsidR="00C951EC" w:rsidRPr="00C951EC">
        <w:rPr>
          <w:i/>
          <w:sz w:val="24"/>
          <w:szCs w:val="24"/>
        </w:rPr>
        <w:lastRenderedPageBreak/>
        <w:t>activities</w:t>
      </w:r>
      <w:proofErr w:type="spellEnd"/>
      <w:r w:rsidR="00C951EC" w:rsidRPr="00C951EC">
        <w:rPr>
          <w:i/>
          <w:sz w:val="24"/>
          <w:szCs w:val="24"/>
        </w:rPr>
        <w:t xml:space="preserve"> </w:t>
      </w:r>
      <w:proofErr w:type="spellStart"/>
      <w:r w:rsidR="00C951EC" w:rsidRPr="00C951EC">
        <w:rPr>
          <w:i/>
          <w:sz w:val="24"/>
          <w:szCs w:val="24"/>
        </w:rPr>
        <w:t>compared</w:t>
      </w:r>
      <w:proofErr w:type="spellEnd"/>
      <w:r w:rsidR="00C951EC" w:rsidRPr="00C951EC">
        <w:rPr>
          <w:i/>
          <w:sz w:val="24"/>
          <w:szCs w:val="24"/>
        </w:rPr>
        <w:t xml:space="preserve"> to </w:t>
      </w:r>
      <w:proofErr w:type="spellStart"/>
      <w:r w:rsidR="00C951EC" w:rsidRPr="00C951EC">
        <w:rPr>
          <w:i/>
          <w:sz w:val="24"/>
          <w:szCs w:val="24"/>
        </w:rPr>
        <w:t>others</w:t>
      </w:r>
      <w:proofErr w:type="spellEnd"/>
      <w:r w:rsidR="00C951EC" w:rsidRPr="00C951EC">
        <w:rPr>
          <w:i/>
          <w:sz w:val="24"/>
          <w:szCs w:val="24"/>
        </w:rPr>
        <w:t xml:space="preserve"> </w:t>
      </w:r>
      <w:proofErr w:type="spellStart"/>
      <w:r w:rsidR="00C951EC" w:rsidRPr="00C951EC">
        <w:rPr>
          <w:i/>
          <w:sz w:val="24"/>
          <w:szCs w:val="24"/>
        </w:rPr>
        <w:t>of</w:t>
      </w:r>
      <w:proofErr w:type="spellEnd"/>
      <w:r w:rsidR="00C951EC" w:rsidRPr="00C951EC">
        <w:rPr>
          <w:i/>
          <w:sz w:val="24"/>
          <w:szCs w:val="24"/>
        </w:rPr>
        <w:t xml:space="preserve"> </w:t>
      </w:r>
      <w:proofErr w:type="spellStart"/>
      <w:r w:rsidR="00C951EC" w:rsidRPr="00C951EC">
        <w:rPr>
          <w:i/>
          <w:sz w:val="24"/>
          <w:szCs w:val="24"/>
        </w:rPr>
        <w:t>same</w:t>
      </w:r>
      <w:proofErr w:type="spellEnd"/>
      <w:r w:rsidR="00C951EC" w:rsidRPr="00C951EC">
        <w:rPr>
          <w:i/>
          <w:sz w:val="24"/>
          <w:szCs w:val="24"/>
        </w:rPr>
        <w:t xml:space="preserve"> </w:t>
      </w:r>
      <w:proofErr w:type="spellStart"/>
      <w:proofErr w:type="gramStart"/>
      <w:r w:rsidR="00C951EC" w:rsidRPr="00C951EC">
        <w:rPr>
          <w:i/>
          <w:sz w:val="24"/>
          <w:szCs w:val="24"/>
        </w:rPr>
        <w:t>age</w:t>
      </w:r>
      <w:proofErr w:type="spellEnd"/>
      <w:r w:rsidR="00C951EC">
        <w:rPr>
          <w:sz w:val="24"/>
          <w:szCs w:val="24"/>
        </w:rPr>
        <w:t>)</w:t>
      </w:r>
      <w:r w:rsidR="00BC5AC3">
        <w:rPr>
          <w:sz w:val="24"/>
          <w:szCs w:val="24"/>
        </w:rPr>
        <w:t xml:space="preserve"> (Tabulka</w:t>
      </w:r>
      <w:proofErr w:type="gramEnd"/>
      <w:r w:rsidR="00BC5AC3">
        <w:rPr>
          <w:sz w:val="24"/>
          <w:szCs w:val="24"/>
        </w:rPr>
        <w:t xml:space="preserve"> 3)</w:t>
      </w:r>
      <w:r w:rsidR="00C951EC">
        <w:rPr>
          <w:sz w:val="24"/>
          <w:szCs w:val="24"/>
        </w:rPr>
        <w:t xml:space="preserve">. </w:t>
      </w:r>
      <w:r w:rsidR="00FE179A">
        <w:rPr>
          <w:sz w:val="24"/>
          <w:szCs w:val="24"/>
        </w:rPr>
        <w:t xml:space="preserve">Předpokládáme, že </w:t>
      </w:r>
      <w:r w:rsidR="00FE179A" w:rsidRPr="00441F61">
        <w:rPr>
          <w:b/>
          <w:sz w:val="24"/>
          <w:szCs w:val="24"/>
        </w:rPr>
        <w:t xml:space="preserve">lidé, kteří tráví více času společenskými aktivitami a více se dívají na televizi, tráví méně času v práci. </w:t>
      </w:r>
    </w:p>
    <w:p w:rsidR="00BC5AC3" w:rsidRDefault="00BC5AC3" w:rsidP="00BC1F9D">
      <w:r>
        <w:t xml:space="preserve">Tabulka 3. </w:t>
      </w:r>
      <w:r w:rsidRPr="00121DA1">
        <w:rPr>
          <w:i/>
        </w:rPr>
        <w:t>Popisné statistiky nezávislé proměnné účast na sociálních aktivitách v porovnání s vrstevníky</w:t>
      </w:r>
    </w:p>
    <w:tbl>
      <w:tblPr>
        <w:tblW w:w="4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40"/>
        <w:gridCol w:w="1178"/>
        <w:gridCol w:w="960"/>
      </w:tblGrid>
      <w:tr w:rsidR="00BC5AC3" w:rsidRPr="00121DA1" w:rsidTr="008D383B">
        <w:trPr>
          <w:trHeight w:val="330"/>
        </w:trPr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commentRangeStart w:id="5"/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četnosti</w:t>
            </w:r>
            <w:commentRangeEnd w:id="5"/>
            <w:r w:rsidR="00D93E32">
              <w:rPr>
                <w:rStyle w:val="Odkaznakoment"/>
              </w:rPr>
              <w:commentReference w:id="5"/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%</w:t>
            </w:r>
          </w:p>
        </w:tc>
      </w:tr>
      <w:tr w:rsidR="00BC5AC3" w:rsidRPr="00121DA1" w:rsidTr="008D383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mnohem méně než ostatní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11,1</w:t>
            </w:r>
          </w:p>
        </w:tc>
      </w:tr>
      <w:tr w:rsidR="00BC5AC3" w:rsidRPr="00121DA1" w:rsidTr="008D383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méně než ostatní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13243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25,2</w:t>
            </w:r>
          </w:p>
        </w:tc>
      </w:tr>
      <w:tr w:rsidR="00BC5AC3" w:rsidRPr="00121DA1" w:rsidTr="008D383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stejně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24003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45,8</w:t>
            </w:r>
          </w:p>
        </w:tc>
      </w:tr>
      <w:tr w:rsidR="00BC5AC3" w:rsidRPr="00121DA1" w:rsidTr="008D383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více než ostatní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6776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12,9</w:t>
            </w:r>
          </w:p>
        </w:tc>
      </w:tr>
      <w:tr w:rsidR="00BC5AC3" w:rsidRPr="00121DA1" w:rsidTr="008D383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mnohem více než ostatní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</w:tr>
      <w:tr w:rsidR="00BC5AC3" w:rsidRPr="00121DA1" w:rsidTr="008D383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chybějící hodnoty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</w:tr>
      <w:tr w:rsidR="00BC5AC3" w:rsidRPr="00121DA1" w:rsidTr="008D383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b/>
                <w:color w:val="00000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52458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C3" w:rsidRPr="00121DA1" w:rsidRDefault="00BC5AC3" w:rsidP="00BC1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DA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BC5AC3" w:rsidRDefault="00BC5AC3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</w:p>
    <w:p w:rsidR="00FE179A" w:rsidRDefault="00FE179A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Zvolený model splňuje předpoklady pro použití analýzy rozptylu. </w:t>
      </w:r>
      <w:r w:rsidR="00CB3B74">
        <w:rPr>
          <w:sz w:val="24"/>
          <w:szCs w:val="24"/>
        </w:rPr>
        <w:t>Vybrané</w:t>
      </w:r>
      <w:r w:rsidR="00441F61">
        <w:rPr>
          <w:sz w:val="24"/>
          <w:szCs w:val="24"/>
        </w:rPr>
        <w:t xml:space="preserve"> proměnné mají </w:t>
      </w:r>
      <w:r>
        <w:rPr>
          <w:sz w:val="24"/>
          <w:szCs w:val="24"/>
        </w:rPr>
        <w:t xml:space="preserve">normální rozložení, </w:t>
      </w:r>
      <w:proofErr w:type="spellStart"/>
      <w:r>
        <w:rPr>
          <w:sz w:val="24"/>
          <w:szCs w:val="24"/>
        </w:rPr>
        <w:t>Levenův</w:t>
      </w:r>
      <w:proofErr w:type="spellEnd"/>
      <w:r>
        <w:rPr>
          <w:sz w:val="24"/>
          <w:szCs w:val="24"/>
        </w:rPr>
        <w:t xml:space="preserve"> test vyšel signifikantní (</w:t>
      </w:r>
      <w:r w:rsidRPr="00FE1E96">
        <w:rPr>
          <w:i/>
          <w:sz w:val="24"/>
          <w:szCs w:val="24"/>
        </w:rPr>
        <w:t>p</w:t>
      </w:r>
      <w:r>
        <w:rPr>
          <w:sz w:val="24"/>
          <w:szCs w:val="24"/>
        </w:rPr>
        <w:t>&lt;0,05)</w:t>
      </w:r>
      <w:r w:rsidR="00441F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1F61">
        <w:rPr>
          <w:sz w:val="24"/>
          <w:szCs w:val="24"/>
        </w:rPr>
        <w:t>n</w:t>
      </w:r>
      <w:r>
        <w:rPr>
          <w:sz w:val="24"/>
          <w:szCs w:val="24"/>
        </w:rPr>
        <w:t xml:space="preserve">icméně stejně jako v předešlém případě pracujeme s dostatečně velkým vzorkem a </w:t>
      </w:r>
      <w:r w:rsidR="00441F61">
        <w:rPr>
          <w:sz w:val="24"/>
          <w:szCs w:val="24"/>
        </w:rPr>
        <w:t xml:space="preserve">ze srovnání rozptylů je patrné, že </w:t>
      </w:r>
      <w:r>
        <w:rPr>
          <w:sz w:val="24"/>
          <w:szCs w:val="24"/>
        </w:rPr>
        <w:t>homogenita rozptylu není porušena. Pro každou kombinaci faktorů je navíc zastoupen dostatečný počet případů</w:t>
      </w:r>
      <w:r w:rsidR="00441F61">
        <w:rPr>
          <w:sz w:val="24"/>
          <w:szCs w:val="24"/>
        </w:rPr>
        <w:t xml:space="preserve"> (nejmenší skupina čítá 54 jedinců)</w:t>
      </w:r>
      <w:r>
        <w:rPr>
          <w:sz w:val="24"/>
          <w:szCs w:val="24"/>
        </w:rPr>
        <w:t xml:space="preserve">. </w:t>
      </w:r>
    </w:p>
    <w:p w:rsidR="00C148BA" w:rsidRDefault="00C148BA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Výsledná interakce obou nezávislých proměnných </w:t>
      </w:r>
      <w:r w:rsidR="00441F61">
        <w:rPr>
          <w:sz w:val="24"/>
          <w:szCs w:val="24"/>
        </w:rPr>
        <w:t>byla shledána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signifikantní, </w:t>
      </w:r>
      <w:r w:rsidRPr="00BC5AC3">
        <w:rPr>
          <w:i/>
          <w:sz w:val="24"/>
          <w:szCs w:val="24"/>
        </w:rPr>
        <w:t>F</w:t>
      </w:r>
      <w:r>
        <w:rPr>
          <w:sz w:val="24"/>
          <w:szCs w:val="24"/>
        </w:rPr>
        <w:t>(28,42504</w:t>
      </w:r>
      <w:proofErr w:type="gramEnd"/>
      <w:r>
        <w:rPr>
          <w:sz w:val="24"/>
          <w:szCs w:val="24"/>
        </w:rPr>
        <w:t xml:space="preserve">)=1,683; </w:t>
      </w:r>
      <w:r w:rsidRPr="00BC5AC3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=0,01; </w:t>
      </w:r>
      <w:r w:rsidR="00BC5AC3" w:rsidRPr="00361C2B">
        <w:rPr>
          <w:rFonts w:ascii="Symbol" w:hAnsi="Symbol"/>
          <w:sz w:val="24"/>
          <w:szCs w:val="24"/>
        </w:rPr>
        <w:t></w:t>
      </w:r>
      <w:r w:rsidR="00BC5AC3" w:rsidRPr="00361C2B">
        <w:rPr>
          <w:rFonts w:ascii="Symbol" w:hAnsi="Symbol"/>
          <w:sz w:val="24"/>
          <w:szCs w:val="24"/>
          <w:vertAlign w:val="superscript"/>
        </w:rPr>
        <w:t></w:t>
      </w:r>
      <w:r w:rsidR="00BC5AC3" w:rsidRPr="00361C2B">
        <w:rPr>
          <w:sz w:val="24"/>
          <w:szCs w:val="24"/>
        </w:rPr>
        <w:t>=0,</w:t>
      </w:r>
      <w:commentRangeStart w:id="6"/>
      <w:r w:rsidR="00BC5AC3" w:rsidRPr="00361C2B">
        <w:rPr>
          <w:sz w:val="24"/>
          <w:szCs w:val="24"/>
        </w:rPr>
        <w:t>001</w:t>
      </w:r>
      <w:commentRangeEnd w:id="6"/>
      <w:r w:rsidR="00D93E32">
        <w:rPr>
          <w:rStyle w:val="Odkaznakoment"/>
        </w:rPr>
        <w:commentReference w:id="6"/>
      </w:r>
      <w:r w:rsidR="005B7992">
        <w:rPr>
          <w:sz w:val="24"/>
          <w:szCs w:val="24"/>
        </w:rPr>
        <w:t xml:space="preserve">. </w:t>
      </w:r>
      <w:commentRangeStart w:id="7"/>
      <w:r w:rsidR="005B7992">
        <w:rPr>
          <w:sz w:val="24"/>
          <w:szCs w:val="24"/>
        </w:rPr>
        <w:t xml:space="preserve">Změna velikosti účinku </w:t>
      </w:r>
      <w:commentRangeEnd w:id="7"/>
      <w:r w:rsidR="00D93E32">
        <w:rPr>
          <w:rStyle w:val="Odkaznakoment"/>
        </w:rPr>
        <w:commentReference w:id="7"/>
      </w:r>
      <w:r w:rsidR="005B7992">
        <w:rPr>
          <w:sz w:val="24"/>
          <w:szCs w:val="24"/>
        </w:rPr>
        <w:t xml:space="preserve">je však oproti případu, kdy jsme nezapočítaly další kategorickou proměnnou, minimální. </w:t>
      </w:r>
      <w:commentRangeStart w:id="8"/>
      <w:r w:rsidR="00056DC9">
        <w:rPr>
          <w:sz w:val="24"/>
          <w:szCs w:val="24"/>
        </w:rPr>
        <w:t>Z grafu je patrné, že lidé, kteří vstupují do sociálních interakcí méně často, tráví v práci více hodin, počet hodin v práci pak zároveň klesá s rostoucím počtem hodin strávených u televize. Lidé, kteří často vstupují do sociálních interakcí, tráví naopak méně času v práci, s rostoucím počtem hodin, které se respondenti dívají na televizi, však čas strávený s přáteli a v práci zůstává téměř</w:t>
      </w:r>
      <w:commentRangeEnd w:id="8"/>
      <w:r w:rsidR="002E0CB1">
        <w:rPr>
          <w:rStyle w:val="Odkaznakoment"/>
        </w:rPr>
        <w:commentReference w:id="8"/>
      </w:r>
      <w:r w:rsidR="00056DC9">
        <w:rPr>
          <w:sz w:val="24"/>
          <w:szCs w:val="24"/>
        </w:rPr>
        <w:t xml:space="preserve"> </w:t>
      </w:r>
      <w:commentRangeStart w:id="9"/>
      <w:r w:rsidR="00056DC9">
        <w:rPr>
          <w:sz w:val="24"/>
          <w:szCs w:val="24"/>
        </w:rPr>
        <w:t>stejný</w:t>
      </w:r>
      <w:commentRangeEnd w:id="9"/>
      <w:r w:rsidR="00D93E32">
        <w:rPr>
          <w:rStyle w:val="Odkaznakoment"/>
        </w:rPr>
        <w:commentReference w:id="9"/>
      </w:r>
      <w:r w:rsidR="00056DC9">
        <w:rPr>
          <w:sz w:val="24"/>
          <w:szCs w:val="24"/>
        </w:rPr>
        <w:t xml:space="preserve">. </w:t>
      </w:r>
    </w:p>
    <w:p w:rsidR="005B7992" w:rsidRDefault="005B7992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</w:p>
    <w:p w:rsidR="005B7992" w:rsidRDefault="005B7992" w:rsidP="005B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992" w:rsidRDefault="005B7992" w:rsidP="005B79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5B7992" w:rsidRDefault="005B7992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</w:p>
    <w:p w:rsidR="00C951EC" w:rsidRPr="00894558" w:rsidRDefault="00C951EC" w:rsidP="00894558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</w:p>
    <w:p w:rsidR="00894558" w:rsidRDefault="00894558" w:rsidP="00F649AE">
      <w:pPr>
        <w:pStyle w:val="Odstavecseseznamem"/>
        <w:tabs>
          <w:tab w:val="center" w:pos="4896"/>
        </w:tabs>
        <w:spacing w:line="360" w:lineRule="auto"/>
        <w:jc w:val="both"/>
        <w:rPr>
          <w:sz w:val="24"/>
          <w:szCs w:val="24"/>
        </w:rPr>
      </w:pPr>
    </w:p>
    <w:p w:rsidR="00894558" w:rsidRPr="00C4616B" w:rsidRDefault="00894558" w:rsidP="00F649AE">
      <w:pPr>
        <w:pStyle w:val="Odstavecseseznamem"/>
        <w:tabs>
          <w:tab w:val="center" w:pos="4896"/>
        </w:tabs>
        <w:spacing w:line="360" w:lineRule="auto"/>
        <w:jc w:val="both"/>
        <w:rPr>
          <w:rFonts w:ascii="Symbol" w:hAnsi="Symbol"/>
          <w:sz w:val="24"/>
          <w:szCs w:val="24"/>
          <w:vertAlign w:val="superscript"/>
        </w:rPr>
      </w:pPr>
    </w:p>
    <w:sectPr w:rsidR="00894558" w:rsidRPr="00C4616B" w:rsidSect="000549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n Šerek" w:date="2013-11-13T13:54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Pozor na to, do jaké míry jde o kategorickou proměnnou</w:t>
      </w:r>
    </w:p>
  </w:comment>
  <w:comment w:id="1" w:author="Jan Šerek" w:date="2013-11-13T13:55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Rozložení závislé proměnné</w:t>
      </w:r>
    </w:p>
  </w:comment>
  <w:comment w:id="2" w:author="Jan Šerek" w:date="2013-11-13T13:56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0,1%</w:t>
      </w:r>
    </w:p>
  </w:comment>
  <w:comment w:id="3" w:author="Jan Šerek" w:date="2013-11-13T13:56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" w:author="Jan Šerek" w:date="2013-11-13T13:57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Chtělo by to popisné statistiky pro všechny skupiny zvlášť</w:t>
      </w:r>
    </w:p>
  </w:comment>
  <w:comment w:id="5" w:author="Jan Šerek" w:date="2013-11-13T13:57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Opět, chtělo by to popisné statistiky pro všechny podskupiny</w:t>
      </w:r>
    </w:p>
  </w:comment>
  <w:comment w:id="6" w:author="Jan Šerek" w:date="2013-11-13T13:58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Uvedeny by vždy měly být i hlavní efekty pro obě nezávislé proměnné</w:t>
      </w:r>
    </w:p>
  </w:comment>
  <w:comment w:id="7" w:author="Jan Šerek" w:date="2013-11-13T14:03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Pozor na to, že nejde o „změnu“ velikosti účinku – jde prostě o velikost účinku dané interakce. Zároveň je ošemetné srovnávat velikost účinku interakce s velikostí účinku z předchozí ANOVY, protože jde o jiné modely</w:t>
      </w:r>
      <w:r w:rsidR="008E6AE9">
        <w:t>. Raději porovnávejte interakce a hlavní efekty v tomtéž modelu</w:t>
      </w:r>
    </w:p>
  </w:comment>
  <w:comment w:id="8" w:author="Jan Šerek" w:date="2013-11-13T14:04:00Z" w:initials="JŠ">
    <w:p w:rsidR="002E0CB1" w:rsidRDefault="002E0CB1">
      <w:pPr>
        <w:pStyle w:val="Textkomente"/>
      </w:pPr>
      <w:r>
        <w:rPr>
          <w:rStyle w:val="Odkaznakoment"/>
        </w:rPr>
        <w:annotationRef/>
      </w:r>
      <w:r>
        <w:t>Takto popsáno je to hodně komplikované na pochopení…</w:t>
      </w:r>
    </w:p>
  </w:comment>
  <w:comment w:id="9" w:author="Jan Šerek" w:date="2013-11-13T14:00:00Z" w:initials="JŠ">
    <w:p w:rsidR="00D93E32" w:rsidRDefault="00D93E32">
      <w:pPr>
        <w:pStyle w:val="Textkomente"/>
      </w:pPr>
      <w:r>
        <w:rPr>
          <w:rStyle w:val="Odkaznakoment"/>
        </w:rPr>
        <w:annotationRef/>
      </w:r>
      <w:r>
        <w:t>Ok, přijato.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53" w:rsidRDefault="00461D53" w:rsidP="000B0103">
      <w:pPr>
        <w:spacing w:after="0" w:line="240" w:lineRule="auto"/>
      </w:pPr>
      <w:r>
        <w:separator/>
      </w:r>
    </w:p>
  </w:endnote>
  <w:endnote w:type="continuationSeparator" w:id="0">
    <w:p w:rsidR="00461D53" w:rsidRDefault="00461D53" w:rsidP="000B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5209"/>
      <w:docPartObj>
        <w:docPartGallery w:val="Page Numbers (Bottom of Page)"/>
        <w:docPartUnique/>
      </w:docPartObj>
    </w:sdtPr>
    <w:sdtContent>
      <w:p w:rsidR="000B0103" w:rsidRDefault="00CE6BB7">
        <w:pPr>
          <w:pStyle w:val="Zpat"/>
          <w:jc w:val="center"/>
        </w:pPr>
        <w:r>
          <w:fldChar w:fldCharType="begin"/>
        </w:r>
        <w:r w:rsidR="004A2847">
          <w:instrText xml:space="preserve"> PAGE   \* MERGEFORMAT </w:instrText>
        </w:r>
        <w:r>
          <w:fldChar w:fldCharType="separate"/>
        </w:r>
        <w:r w:rsidR="002E0C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0103" w:rsidRDefault="000B01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53" w:rsidRDefault="00461D53" w:rsidP="000B0103">
      <w:pPr>
        <w:spacing w:after="0" w:line="240" w:lineRule="auto"/>
      </w:pPr>
      <w:r>
        <w:separator/>
      </w:r>
    </w:p>
  </w:footnote>
  <w:footnote w:type="continuationSeparator" w:id="0">
    <w:p w:rsidR="00461D53" w:rsidRDefault="00461D53" w:rsidP="000B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1C4"/>
    <w:multiLevelType w:val="hybridMultilevel"/>
    <w:tmpl w:val="0B866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153E"/>
    <w:rsid w:val="00017B4C"/>
    <w:rsid w:val="00054921"/>
    <w:rsid w:val="00056DC9"/>
    <w:rsid w:val="000B0103"/>
    <w:rsid w:val="000C482A"/>
    <w:rsid w:val="001B3B4B"/>
    <w:rsid w:val="00215F09"/>
    <w:rsid w:val="002E0CB1"/>
    <w:rsid w:val="00323F5D"/>
    <w:rsid w:val="00337336"/>
    <w:rsid w:val="00361C2B"/>
    <w:rsid w:val="00386428"/>
    <w:rsid w:val="00437C4D"/>
    <w:rsid w:val="004414C8"/>
    <w:rsid w:val="00441F61"/>
    <w:rsid w:val="00443326"/>
    <w:rsid w:val="00461D53"/>
    <w:rsid w:val="004A0E68"/>
    <w:rsid w:val="004A2847"/>
    <w:rsid w:val="004C276C"/>
    <w:rsid w:val="00505EE6"/>
    <w:rsid w:val="00520851"/>
    <w:rsid w:val="00536726"/>
    <w:rsid w:val="005B7992"/>
    <w:rsid w:val="00602256"/>
    <w:rsid w:val="0063153E"/>
    <w:rsid w:val="006C7A23"/>
    <w:rsid w:val="00894558"/>
    <w:rsid w:val="008E6AE9"/>
    <w:rsid w:val="009C4F03"/>
    <w:rsid w:val="00A252F8"/>
    <w:rsid w:val="00AD1556"/>
    <w:rsid w:val="00BC1F9D"/>
    <w:rsid w:val="00BC5AC3"/>
    <w:rsid w:val="00BD3B9B"/>
    <w:rsid w:val="00C1302A"/>
    <w:rsid w:val="00C148BA"/>
    <w:rsid w:val="00C4616B"/>
    <w:rsid w:val="00C6268F"/>
    <w:rsid w:val="00C951EC"/>
    <w:rsid w:val="00CA2C8F"/>
    <w:rsid w:val="00CB3B74"/>
    <w:rsid w:val="00CE6BB7"/>
    <w:rsid w:val="00D2513A"/>
    <w:rsid w:val="00D93E32"/>
    <w:rsid w:val="00DF6ABE"/>
    <w:rsid w:val="00E34A1E"/>
    <w:rsid w:val="00E51A54"/>
    <w:rsid w:val="00EA3603"/>
    <w:rsid w:val="00F649AE"/>
    <w:rsid w:val="00FE179A"/>
    <w:rsid w:val="00FE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9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0103"/>
  </w:style>
  <w:style w:type="paragraph" w:styleId="Zpat">
    <w:name w:val="footer"/>
    <w:basedOn w:val="Normln"/>
    <w:link w:val="ZpatChar"/>
    <w:uiPriority w:val="99"/>
    <w:unhideWhenUsed/>
    <w:rsid w:val="000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103"/>
  </w:style>
  <w:style w:type="character" w:styleId="Odkaznakoment">
    <w:name w:val="annotation reference"/>
    <w:basedOn w:val="Standardnpsmoodstavce"/>
    <w:uiPriority w:val="99"/>
    <w:semiHidden/>
    <w:unhideWhenUsed/>
    <w:rsid w:val="00D93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9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0103"/>
  </w:style>
  <w:style w:type="paragraph" w:styleId="Zpat">
    <w:name w:val="footer"/>
    <w:basedOn w:val="Normln"/>
    <w:link w:val="ZpatChar"/>
    <w:uiPriority w:val="99"/>
    <w:unhideWhenUsed/>
    <w:rsid w:val="000B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716F-B471-45E0-8F23-14959CBC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Šerek</cp:lastModifiedBy>
  <cp:revision>7</cp:revision>
  <dcterms:created xsi:type="dcterms:W3CDTF">2013-11-11T18:48:00Z</dcterms:created>
  <dcterms:modified xsi:type="dcterms:W3CDTF">2013-11-13T13:04:00Z</dcterms:modified>
</cp:coreProperties>
</file>