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4BB08" w14:textId="77777777" w:rsidR="00E7005C" w:rsidRPr="00E7005C" w:rsidRDefault="00E7005C" w:rsidP="00E7005C">
      <w:pPr>
        <w:jc w:val="right"/>
        <w:rPr>
          <w:rFonts w:ascii="Arial" w:hAnsi="Arial" w:cs="Arial"/>
          <w:lang w:eastAsia="cs-CZ"/>
        </w:rPr>
      </w:pPr>
      <w:r w:rsidRPr="00E7005C">
        <w:rPr>
          <w:rFonts w:ascii="Arial" w:hAnsi="Arial" w:cs="Arial"/>
          <w:lang w:eastAsia="cs-CZ"/>
        </w:rPr>
        <w:t>Marie Galatíková, Lukáš Kvapil, Vojtěch Mýlek</w:t>
      </w:r>
    </w:p>
    <w:p w14:paraId="7A07ED35" w14:textId="77777777" w:rsidR="00E7005C" w:rsidRPr="00E7005C" w:rsidRDefault="00E7005C" w:rsidP="00E7005C">
      <w:pPr>
        <w:pStyle w:val="Nadpis1"/>
      </w:pPr>
      <w:r w:rsidRPr="00E7005C">
        <w:rPr>
          <w:rFonts w:eastAsia="Times New Roman"/>
          <w:lang w:eastAsia="cs-CZ"/>
        </w:rPr>
        <w:t>Faktorová analýza</w:t>
      </w:r>
    </w:p>
    <w:p w14:paraId="1D23F926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819FA0E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79A96FE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Analýzu jsme prováděli na datech z předmětových anket psychologie. </w:t>
      </w:r>
      <w:r w:rsidR="00AD6E77">
        <w:rPr>
          <w:rFonts w:ascii="Arial" w:hAnsi="Arial" w:cs="Arial"/>
          <w:color w:val="000000"/>
          <w:sz w:val="23"/>
          <w:szCs w:val="23"/>
        </w:rPr>
        <w:t xml:space="preserve">Jedná se o průměrné hodnoty jednotlivých předmětů. 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Vybrali jsme následující proměnné: </w:t>
      </w:r>
    </w:p>
    <w:p w14:paraId="309F790C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“1. 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Cítím, že mě předmět obohacuje</w:t>
      </w:r>
      <w:r w:rsidRPr="00E7005C">
        <w:rPr>
          <w:rFonts w:ascii="Arial" w:eastAsia="Times New Roman" w:hAnsi="Arial" w:cs="Arial"/>
          <w:color w:val="000000"/>
          <w:lang w:eastAsia="cs-CZ"/>
        </w:rPr>
        <w:t>” (Obohacuje)</w:t>
      </w:r>
    </w:p>
    <w:p w14:paraId="70F394FA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“3. 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Předmět vyžaduje mé vysoké pracovní nasazení</w:t>
      </w:r>
      <w:r w:rsidRPr="00E7005C">
        <w:rPr>
          <w:rFonts w:ascii="Arial" w:eastAsia="Times New Roman" w:hAnsi="Arial" w:cs="Arial"/>
          <w:color w:val="000000"/>
          <w:lang w:eastAsia="cs-CZ"/>
        </w:rPr>
        <w:t>” (Nasazení)</w:t>
      </w:r>
    </w:p>
    <w:p w14:paraId="4BA72FEF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“4. 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Předmět vyžaduje mou pravidelnou přípravu</w:t>
      </w:r>
      <w:r w:rsidRPr="00E7005C">
        <w:rPr>
          <w:rFonts w:ascii="Arial" w:eastAsia="Times New Roman" w:hAnsi="Arial" w:cs="Arial"/>
          <w:color w:val="000000"/>
          <w:lang w:eastAsia="cs-CZ"/>
        </w:rPr>
        <w:t>” (Příprava)</w:t>
      </w:r>
    </w:p>
    <w:p w14:paraId="67E6BA11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“5. 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Předmět by měl zůstat v nabídce i do budoucna</w:t>
      </w:r>
      <w:r w:rsidRPr="00E7005C">
        <w:rPr>
          <w:rFonts w:ascii="Arial" w:eastAsia="Times New Roman" w:hAnsi="Arial" w:cs="Arial"/>
          <w:color w:val="000000"/>
          <w:lang w:eastAsia="cs-CZ"/>
        </w:rPr>
        <w:t>” (Budoucnost)</w:t>
      </w:r>
    </w:p>
    <w:p w14:paraId="197CFAA4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“6. 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Znalosti nabyté v předmětu zvětší možnosti mého uplatnění</w:t>
      </w:r>
      <w:r w:rsidRPr="00E7005C">
        <w:rPr>
          <w:rFonts w:ascii="Arial" w:eastAsia="Times New Roman" w:hAnsi="Arial" w:cs="Arial"/>
          <w:color w:val="000000"/>
          <w:lang w:eastAsia="cs-CZ"/>
        </w:rPr>
        <w:t>”(Uplatnění)</w:t>
      </w:r>
    </w:p>
    <w:p w14:paraId="6AA81E99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“1. 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Kolik času věnujete týdně na přípravu na tento předmět? Vepište prosím, v hodinách</w:t>
      </w:r>
      <w:r w:rsidRPr="00E7005C">
        <w:rPr>
          <w:rFonts w:ascii="Arial" w:eastAsia="Times New Roman" w:hAnsi="Arial" w:cs="Arial"/>
          <w:color w:val="000000"/>
          <w:lang w:eastAsia="cs-CZ"/>
        </w:rPr>
        <w:t>:” (Časová náročnost)</w:t>
      </w:r>
    </w:p>
    <w:p w14:paraId="4EAAB630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1C2AC7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Prvních pět proměnných bylo měřeno na sedmibodové 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Likertově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 xml:space="preserve"> škále, nízká hodnota vyjadřovala absolutní souhlas, vysoká ho</w:t>
      </w:r>
      <w:r w:rsidR="003902B8">
        <w:rPr>
          <w:rFonts w:ascii="Arial" w:eastAsia="Times New Roman" w:hAnsi="Arial" w:cs="Arial"/>
          <w:color w:val="000000"/>
          <w:lang w:eastAsia="cs-CZ"/>
        </w:rPr>
        <w:t>d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nota vyjadřovala nesouhlas. </w:t>
      </w:r>
      <w:r w:rsidR="003902B8">
        <w:rPr>
          <w:rFonts w:ascii="Arial" w:eastAsia="Times New Roman" w:hAnsi="Arial" w:cs="Arial"/>
          <w:color w:val="000000"/>
          <w:lang w:eastAsia="cs-CZ"/>
        </w:rPr>
        <w:t>P</w:t>
      </w:r>
      <w:r w:rsidRPr="00E7005C">
        <w:rPr>
          <w:rFonts w:ascii="Arial" w:eastAsia="Times New Roman" w:hAnsi="Arial" w:cs="Arial"/>
          <w:color w:val="000000"/>
          <w:lang w:eastAsia="cs-CZ"/>
        </w:rPr>
        <w:t>oslední se měřila v hodinách. Záměrem bylo použít i další dvě proměnné: “Předmět hodnotím jako užitečný,” a “Průměrná známka z předmětu.” Ukázalo se však, že tyto položky silně korelují s proměnnou “1. Cítím, že mě předmět obohacuje” i spolu navzájem (&gt;0,9), proto byly dodatečně vyloučeny.</w:t>
      </w:r>
    </w:p>
    <w:p w14:paraId="01A1D7E2" w14:textId="77777777" w:rsidR="00E7005C" w:rsidRPr="00E7005C" w:rsidRDefault="00E7005C">
      <w:pPr>
        <w:rPr>
          <w:rFonts w:ascii="Arial" w:hAnsi="Arial" w:cs="Arial"/>
        </w:rPr>
      </w:pPr>
    </w:p>
    <w:p w14:paraId="38E3A66F" w14:textId="77777777" w:rsidR="00E7005C" w:rsidRPr="00E7005C" w:rsidRDefault="00E7005C">
      <w:pPr>
        <w:rPr>
          <w:rFonts w:ascii="Arial" w:hAnsi="Arial" w:cs="Arial"/>
        </w:rPr>
      </w:pPr>
      <w:r w:rsidRPr="00E7005C">
        <w:rPr>
          <w:rFonts w:ascii="Arial" w:hAnsi="Arial" w:cs="Arial"/>
        </w:rPr>
        <w:t>Tabul</w:t>
      </w:r>
      <w:r w:rsidR="00D125CD">
        <w:rPr>
          <w:rFonts w:ascii="Arial" w:hAnsi="Arial" w:cs="Arial"/>
        </w:rPr>
        <w:t>k</w:t>
      </w:r>
      <w:r w:rsidRPr="00E7005C">
        <w:rPr>
          <w:rFonts w:ascii="Arial" w:hAnsi="Arial" w:cs="Arial"/>
        </w:rPr>
        <w:t>a 1 - Popisné statistiky proměnných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361"/>
        <w:gridCol w:w="1361"/>
        <w:gridCol w:w="1361"/>
        <w:gridCol w:w="1361"/>
        <w:gridCol w:w="1359"/>
      </w:tblGrid>
      <w:tr w:rsidR="00D125CD" w:rsidRPr="00E7005C" w14:paraId="708A54A1" w14:textId="77777777" w:rsidTr="00D125CD">
        <w:trPr>
          <w:trHeight w:val="545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74C60C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Položka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ADE7181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N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B55613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Min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B40C9E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Max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354CAA9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EF9740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SD</w:t>
            </w:r>
          </w:p>
        </w:tc>
      </w:tr>
      <w:tr w:rsidR="00E7005C" w:rsidRPr="00E7005C" w14:paraId="6A3E8586" w14:textId="77777777" w:rsidTr="00D125CD">
        <w:trPr>
          <w:trHeight w:val="545"/>
        </w:trPr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5DD914A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Obohacuje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01B6D78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743672A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FD9968A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4,8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97115A1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2,23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257B81A" w14:textId="77777777" w:rsidR="00E7005C" w:rsidRPr="00E7005C" w:rsidRDefault="00E7005C" w:rsidP="00D125CD">
            <w:pPr>
              <w:rPr>
                <w:rFonts w:ascii="Arial" w:hAnsi="Arial" w:cs="Arial"/>
              </w:rPr>
            </w:pPr>
            <w:r w:rsidRPr="00E7005C">
              <w:rPr>
                <w:rFonts w:ascii="Arial" w:hAnsi="Arial" w:cs="Arial"/>
                <w:lang w:eastAsia="cs-CZ"/>
              </w:rPr>
              <w:t>0,17</w:t>
            </w:r>
          </w:p>
        </w:tc>
      </w:tr>
      <w:tr w:rsidR="00E7005C" w:rsidRPr="00E7005C" w14:paraId="39BF069F" w14:textId="77777777" w:rsidTr="00D125CD">
        <w:trPr>
          <w:trHeight w:val="545"/>
        </w:trPr>
        <w:tc>
          <w:tcPr>
            <w:tcW w:w="1251" w:type="pct"/>
            <w:shd w:val="clear" w:color="auto" w:fill="auto"/>
            <w:vAlign w:val="bottom"/>
            <w:hideMark/>
          </w:tcPr>
          <w:p w14:paraId="7B955BD7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Nasazení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2BF1321B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5F1BF7F8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1,2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4F04CDD8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4,8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0659AEC4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2,76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399239C5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0,22</w:t>
            </w:r>
          </w:p>
        </w:tc>
      </w:tr>
      <w:tr w:rsidR="00D125CD" w:rsidRPr="00E7005C" w14:paraId="7D457F74" w14:textId="77777777" w:rsidTr="00D125CD">
        <w:trPr>
          <w:trHeight w:val="545"/>
        </w:trPr>
        <w:tc>
          <w:tcPr>
            <w:tcW w:w="1251" w:type="pct"/>
            <w:shd w:val="clear" w:color="auto" w:fill="auto"/>
            <w:vAlign w:val="bottom"/>
            <w:hideMark/>
          </w:tcPr>
          <w:p w14:paraId="706DC33F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Příprava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3DE83EA6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11B83C67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1,2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63F1E394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5,3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51B48C64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3,14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167ABA30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0,27</w:t>
            </w:r>
          </w:p>
        </w:tc>
      </w:tr>
      <w:tr w:rsidR="00E7005C" w:rsidRPr="00E7005C" w14:paraId="75182C6C" w14:textId="77777777" w:rsidTr="00D125CD">
        <w:trPr>
          <w:trHeight w:val="545"/>
        </w:trPr>
        <w:tc>
          <w:tcPr>
            <w:tcW w:w="1251" w:type="pct"/>
            <w:shd w:val="clear" w:color="auto" w:fill="auto"/>
            <w:vAlign w:val="bottom"/>
            <w:hideMark/>
          </w:tcPr>
          <w:p w14:paraId="6E3771EF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Budoucnost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601AD422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0049155D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0EC551AD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3,7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42DB18DD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1,71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6A55B546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0,15</w:t>
            </w:r>
          </w:p>
        </w:tc>
      </w:tr>
      <w:tr w:rsidR="00D125CD" w:rsidRPr="00E7005C" w14:paraId="3BC66D4A" w14:textId="77777777" w:rsidTr="00D125CD">
        <w:trPr>
          <w:trHeight w:val="545"/>
        </w:trPr>
        <w:tc>
          <w:tcPr>
            <w:tcW w:w="1251" w:type="pct"/>
            <w:shd w:val="clear" w:color="auto" w:fill="auto"/>
            <w:vAlign w:val="bottom"/>
            <w:hideMark/>
          </w:tcPr>
          <w:p w14:paraId="3B6D1DF3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Uplatnění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6422D0B6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26ADC35D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1,2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732C9A2D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4,1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1123B6EC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2,28</w:t>
            </w:r>
          </w:p>
        </w:tc>
        <w:tc>
          <w:tcPr>
            <w:tcW w:w="750" w:type="pct"/>
            <w:shd w:val="clear" w:color="auto" w:fill="auto"/>
            <w:vAlign w:val="bottom"/>
            <w:hideMark/>
          </w:tcPr>
          <w:p w14:paraId="222D37E7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E7005C">
              <w:rPr>
                <w:rFonts w:ascii="Arial" w:eastAsia="Times New Roman" w:hAnsi="Arial" w:cs="Arial"/>
                <w:lang w:eastAsia="cs-CZ"/>
              </w:rPr>
              <w:t>0,15</w:t>
            </w:r>
          </w:p>
        </w:tc>
      </w:tr>
      <w:tr w:rsidR="00E7005C" w:rsidRPr="00E7005C" w14:paraId="0A2925F0" w14:textId="77777777" w:rsidTr="00D125CD">
        <w:trPr>
          <w:trHeight w:val="545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5B7797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Časová náročnost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E07AF2D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7D82A96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0,5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E6A325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4,4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0D9671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2,03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5111EA" w14:textId="77777777" w:rsidR="00E7005C" w:rsidRPr="00B36CE2" w:rsidRDefault="00E7005C" w:rsidP="00D125CD">
            <w:pPr>
              <w:rPr>
                <w:rFonts w:ascii="Arial" w:eastAsia="Times New Roman" w:hAnsi="Arial" w:cs="Arial"/>
                <w:lang w:eastAsia="cs-CZ"/>
              </w:rPr>
            </w:pPr>
            <w:r w:rsidRPr="00B36CE2">
              <w:rPr>
                <w:rFonts w:ascii="Arial" w:eastAsia="Times New Roman" w:hAnsi="Arial" w:cs="Arial"/>
                <w:color w:val="000000"/>
                <w:lang w:eastAsia="cs-CZ"/>
              </w:rPr>
              <w:t>0,24</w:t>
            </w:r>
          </w:p>
        </w:tc>
      </w:tr>
    </w:tbl>
    <w:p w14:paraId="67A11930" w14:textId="77777777" w:rsidR="00E7005C" w:rsidRPr="00E7005C" w:rsidRDefault="00E7005C">
      <w:pPr>
        <w:rPr>
          <w:rFonts w:ascii="Arial" w:hAnsi="Arial" w:cs="Arial"/>
        </w:rPr>
      </w:pPr>
    </w:p>
    <w:p w14:paraId="2A503EB3" w14:textId="77777777" w:rsidR="00E7005C" w:rsidRPr="00E7005C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 xml:space="preserve">Faktorovou analýzu jsme provedli metodou Maximum 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likelihood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 xml:space="preserve"> s ortogonální rotací (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varimax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>).</w:t>
      </w:r>
      <w:r w:rsidR="003902B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Hodnota </w:t>
      </w:r>
      <w:commentRangeStart w:id="0"/>
      <w:r w:rsidRPr="00E7005C">
        <w:rPr>
          <w:rFonts w:ascii="Arial" w:eastAsia="Times New Roman" w:hAnsi="Arial" w:cs="Arial"/>
          <w:color w:val="000000"/>
          <w:lang w:eastAsia="cs-CZ"/>
        </w:rPr>
        <w:t xml:space="preserve">determinanty </w:t>
      </w:r>
      <w:commentRangeEnd w:id="0"/>
      <w:r w:rsidR="007D588A">
        <w:rPr>
          <w:rStyle w:val="Odkaznakoment"/>
        </w:rPr>
        <w:commentReference w:id="0"/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korelační matice byla 0,004, takže se mezi proměnnými nevyskytovala výrazná 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multikolinearita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 xml:space="preserve">. KMO = 0,674, což je dostatečně vysoká hodnota a pro jednotlivé proměnné byla hodnota vždy větší než 0,5 (nejmenší hodnota byla 0,599). Tyto hodnoty značí, že velikost vzorku byla pro provedení analýzy adekvátní. 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Barlettův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 xml:space="preserve"> test 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sféricity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 xml:space="preserve"> se ukázal </w:t>
      </w:r>
      <w:r w:rsidR="00560C62" w:rsidRPr="00E7005C">
        <w:rPr>
          <w:rFonts w:ascii="Arial" w:eastAsia="Times New Roman" w:hAnsi="Arial" w:cs="Arial"/>
          <w:color w:val="000000"/>
          <w:lang w:eastAsia="cs-CZ"/>
        </w:rPr>
        <w:t>signifikantní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 (Χ</w:t>
      </w:r>
      <w:r w:rsidRPr="00E7005C">
        <w:rPr>
          <w:rFonts w:ascii="Arial" w:eastAsia="Times New Roman" w:hAnsi="Arial" w:cs="Arial"/>
          <w:color w:val="000000"/>
          <w:vertAlign w:val="superscript"/>
          <w:lang w:eastAsia="cs-CZ"/>
        </w:rPr>
        <w:t>2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 (15) = 121,56; p &lt;  0,001), což znamená</w:t>
      </w:r>
      <w:r w:rsidR="003902B8">
        <w:rPr>
          <w:rFonts w:ascii="Arial" w:eastAsia="Times New Roman" w:hAnsi="Arial" w:cs="Arial"/>
          <w:color w:val="000000"/>
          <w:lang w:eastAsia="cs-CZ"/>
        </w:rPr>
        <w:t>,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 že proměnné mezi sebou korelovaly dostatečně pro </w:t>
      </w:r>
      <w:r w:rsidR="003902B8" w:rsidRPr="00E7005C">
        <w:rPr>
          <w:rFonts w:ascii="Arial" w:eastAsia="Times New Roman" w:hAnsi="Arial" w:cs="Arial"/>
          <w:color w:val="000000"/>
          <w:lang w:eastAsia="cs-CZ"/>
        </w:rPr>
        <w:t>smysluplné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 provedení faktorové analýzy.</w:t>
      </w:r>
    </w:p>
    <w:p w14:paraId="638220F5" w14:textId="77777777" w:rsidR="00E7005C" w:rsidRPr="00E7005C" w:rsidRDefault="00E7005C" w:rsidP="00E7005C">
      <w:pPr>
        <w:rPr>
          <w:rFonts w:ascii="Arial" w:hAnsi="Arial" w:cs="Arial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>Analýza ukázala, že dva faktory mají vlastní hodnoty (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eigenvalues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 xml:space="preserve">) vyšší než 1, a tedy splňující 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Keiserovo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 xml:space="preserve"> kritérium pro extrakci.</w:t>
      </w:r>
      <w:r w:rsidR="00D125C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D125CD">
        <w:rPr>
          <w:rFonts w:ascii="Arial" w:eastAsia="Times New Roman" w:hAnsi="Arial" w:cs="Arial"/>
          <w:color w:val="000000"/>
          <w:lang w:eastAsia="cs-CZ"/>
        </w:rPr>
        <w:t>Scree</w:t>
      </w:r>
      <w:proofErr w:type="spellEnd"/>
      <w:r w:rsidR="00D125CD">
        <w:rPr>
          <w:rFonts w:ascii="Arial" w:eastAsia="Times New Roman" w:hAnsi="Arial" w:cs="Arial"/>
          <w:color w:val="000000"/>
          <w:lang w:eastAsia="cs-CZ"/>
        </w:rPr>
        <w:t xml:space="preserve"> plot (viz P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říloha 1) také poukazuje na dva významné faktory. Tyto dva vybrané faktory dohromady vysvětlují 83,57% celkového rozptylu. Po extrakci se u všech proměnných ukázal nárůst </w:t>
      </w:r>
      <w:proofErr w:type="spellStart"/>
      <w:r w:rsidRPr="00E7005C">
        <w:rPr>
          <w:rFonts w:ascii="Arial" w:eastAsia="Times New Roman" w:hAnsi="Arial" w:cs="Arial"/>
          <w:color w:val="000000"/>
          <w:lang w:eastAsia="cs-CZ"/>
        </w:rPr>
        <w:t>komunality</w:t>
      </w:r>
      <w:proofErr w:type="spellEnd"/>
      <w:r w:rsidRPr="00E7005C">
        <w:rPr>
          <w:rFonts w:ascii="Arial" w:eastAsia="Times New Roman" w:hAnsi="Arial" w:cs="Arial"/>
          <w:color w:val="000000"/>
          <w:lang w:eastAsia="cs-CZ"/>
        </w:rPr>
        <w:t>.</w:t>
      </w:r>
    </w:p>
    <w:p w14:paraId="12373F3B" w14:textId="77777777" w:rsidR="00E7005C" w:rsidRPr="00E7005C" w:rsidRDefault="00E7005C">
      <w:pPr>
        <w:rPr>
          <w:rFonts w:ascii="Arial" w:hAnsi="Arial" w:cs="Arial"/>
        </w:rPr>
      </w:pPr>
    </w:p>
    <w:p w14:paraId="6C81874F" w14:textId="77777777" w:rsidR="00D063AD" w:rsidRPr="00E7005C" w:rsidRDefault="00903ACF">
      <w:pPr>
        <w:rPr>
          <w:rFonts w:ascii="Arial" w:hAnsi="Arial" w:cs="Arial"/>
        </w:rPr>
      </w:pPr>
      <w:r w:rsidRPr="00E7005C">
        <w:rPr>
          <w:rFonts w:ascii="Arial" w:hAnsi="Arial" w:cs="Arial"/>
        </w:rPr>
        <w:lastRenderedPageBreak/>
        <w:t>Tabulka 2</w:t>
      </w:r>
      <w:r w:rsidR="00E7005C">
        <w:rPr>
          <w:rFonts w:ascii="Arial" w:hAnsi="Arial" w:cs="Arial"/>
        </w:rPr>
        <w:t xml:space="preserve"> - </w:t>
      </w:r>
      <w:r w:rsidRPr="00E7005C">
        <w:rPr>
          <w:rFonts w:ascii="Arial" w:hAnsi="Arial" w:cs="Arial"/>
        </w:rPr>
        <w:t xml:space="preserve">Shrnutí explorační faktorové analýzy </w:t>
      </w:r>
      <w:r w:rsidR="00AC220F" w:rsidRPr="00E7005C">
        <w:rPr>
          <w:rFonts w:ascii="Arial" w:hAnsi="Arial" w:cs="Arial"/>
        </w:rPr>
        <w:t>hodnocení psychologických předmětů (N = 24)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2149"/>
        <w:gridCol w:w="2515"/>
      </w:tblGrid>
      <w:tr w:rsidR="00D063AD" w:rsidRPr="00E7005C" w14:paraId="73AE7DC2" w14:textId="77777777" w:rsidTr="00AC220F">
        <w:trPr>
          <w:trHeight w:val="506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030C97A" w14:textId="77777777" w:rsidR="00E7724C" w:rsidRPr="00E7724C" w:rsidRDefault="00E7724C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2AAE16D4" w14:textId="77777777" w:rsidR="00E7724C" w:rsidRPr="00E7724C" w:rsidRDefault="00D063AD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Rotovaný faktorový náboj</w:t>
            </w:r>
          </w:p>
        </w:tc>
      </w:tr>
      <w:tr w:rsidR="00D063AD" w:rsidRPr="00E7005C" w14:paraId="1367C240" w14:textId="77777777" w:rsidTr="00AC220F">
        <w:trPr>
          <w:trHeight w:val="506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81B64E8" w14:textId="77777777" w:rsidR="00E7724C" w:rsidRPr="00E7724C" w:rsidRDefault="00903ACF" w:rsidP="00903ACF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Položky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DFABB46" w14:textId="77777777" w:rsidR="00E7724C" w:rsidRPr="00E7724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D063AD" w:rsidRPr="00E7005C">
              <w:rPr>
                <w:rFonts w:ascii="Arial" w:eastAsia="Times New Roman" w:hAnsi="Arial" w:cs="Arial"/>
                <w:color w:val="000000"/>
                <w:lang w:eastAsia="cs-CZ"/>
              </w:rPr>
              <w:t>b</w:t>
            </w: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tížnost předmětu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EF3F9A" w14:textId="77777777" w:rsidR="00E7724C" w:rsidRPr="00E7724C" w:rsidRDefault="00D063AD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Smysluplnost předmětu</w:t>
            </w:r>
          </w:p>
        </w:tc>
      </w:tr>
      <w:tr w:rsidR="00903ACF" w:rsidRPr="00E7005C" w14:paraId="0CD36C37" w14:textId="77777777" w:rsidTr="00AC220F">
        <w:trPr>
          <w:trHeight w:val="506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E93D9C9" w14:textId="77777777" w:rsidR="00E7724C" w:rsidRPr="00E7724C" w:rsidRDefault="00D063AD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Příprava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916A0E6" w14:textId="77777777" w:rsidR="00E7724C" w:rsidRPr="00E7724C" w:rsidRDefault="00AC220F" w:rsidP="00D063A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0</w:t>
            </w:r>
            <w:r w:rsidR="00E7724C" w:rsidRPr="00E7724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,956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4279030" w14:textId="77777777" w:rsidR="00E7724C" w:rsidRPr="00E7724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AC220F" w:rsidRPr="00E7005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,148</w:t>
            </w:r>
          </w:p>
        </w:tc>
      </w:tr>
      <w:tr w:rsidR="00E7724C" w:rsidRPr="00E7724C" w14:paraId="30F9860F" w14:textId="77777777" w:rsidTr="00AC220F">
        <w:trPr>
          <w:trHeight w:val="506"/>
        </w:trPr>
        <w:tc>
          <w:tcPr>
            <w:tcW w:w="0" w:type="auto"/>
            <w:vAlign w:val="center"/>
            <w:hideMark/>
          </w:tcPr>
          <w:p w14:paraId="25EB273D" w14:textId="77777777" w:rsidR="00E7724C" w:rsidRPr="00E7724C" w:rsidRDefault="00D063AD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Nasazení</w:t>
            </w:r>
          </w:p>
        </w:tc>
        <w:tc>
          <w:tcPr>
            <w:tcW w:w="0" w:type="auto"/>
            <w:noWrap/>
            <w:vAlign w:val="center"/>
            <w:hideMark/>
          </w:tcPr>
          <w:p w14:paraId="494D1DE9" w14:textId="77777777" w:rsidR="00E7724C" w:rsidRPr="00E7724C" w:rsidRDefault="00AC220F" w:rsidP="00D063A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0</w:t>
            </w:r>
            <w:r w:rsidR="00E7724C" w:rsidRPr="00E7724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,934</w:t>
            </w:r>
          </w:p>
        </w:tc>
        <w:tc>
          <w:tcPr>
            <w:tcW w:w="0" w:type="auto"/>
            <w:noWrap/>
            <w:vAlign w:val="center"/>
            <w:hideMark/>
          </w:tcPr>
          <w:p w14:paraId="2E8149D0" w14:textId="77777777" w:rsidR="00E7724C" w:rsidRPr="00E7724C" w:rsidRDefault="00AC220F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E7724C" w:rsidRPr="00E7724C">
              <w:rPr>
                <w:rFonts w:ascii="Arial" w:eastAsia="Times New Roman" w:hAnsi="Arial" w:cs="Arial"/>
                <w:color w:val="000000"/>
                <w:lang w:eastAsia="cs-CZ"/>
              </w:rPr>
              <w:t>,105</w:t>
            </w:r>
          </w:p>
        </w:tc>
      </w:tr>
      <w:tr w:rsidR="00E7724C" w:rsidRPr="00E7724C" w14:paraId="2AAFD242" w14:textId="77777777" w:rsidTr="00AC220F">
        <w:trPr>
          <w:trHeight w:val="506"/>
        </w:trPr>
        <w:tc>
          <w:tcPr>
            <w:tcW w:w="0" w:type="auto"/>
            <w:vAlign w:val="center"/>
            <w:hideMark/>
          </w:tcPr>
          <w:p w14:paraId="6F98AA97" w14:textId="77777777" w:rsidR="00E7724C" w:rsidRPr="00E7724C" w:rsidRDefault="00D063AD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Č</w:t>
            </w:r>
            <w:r w:rsidR="00E7724C" w:rsidRPr="00E7724C">
              <w:rPr>
                <w:rFonts w:ascii="Arial" w:eastAsia="Times New Roman" w:hAnsi="Arial" w:cs="Arial"/>
                <w:color w:val="000000"/>
                <w:lang w:eastAsia="cs-CZ"/>
              </w:rPr>
              <w:t>asová náročnost (průměrně hodin za týden)</w:t>
            </w:r>
          </w:p>
        </w:tc>
        <w:tc>
          <w:tcPr>
            <w:tcW w:w="0" w:type="auto"/>
            <w:noWrap/>
            <w:vAlign w:val="center"/>
            <w:hideMark/>
          </w:tcPr>
          <w:p w14:paraId="4ED54516" w14:textId="77777777" w:rsidR="00E7724C" w:rsidRPr="00E7724C" w:rsidRDefault="00E7724C" w:rsidP="00D063A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7724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-</w:t>
            </w:r>
            <w:r w:rsidR="00AC220F" w:rsidRPr="00E7005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0</w:t>
            </w:r>
            <w:r w:rsidRPr="00E7724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,855</w:t>
            </w:r>
          </w:p>
        </w:tc>
        <w:tc>
          <w:tcPr>
            <w:tcW w:w="0" w:type="auto"/>
            <w:noWrap/>
            <w:vAlign w:val="center"/>
            <w:hideMark/>
          </w:tcPr>
          <w:p w14:paraId="66C83BED" w14:textId="77777777" w:rsidR="00E7724C" w:rsidRPr="00E7724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AC220F" w:rsidRPr="00E7005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,028</w:t>
            </w:r>
          </w:p>
        </w:tc>
      </w:tr>
      <w:tr w:rsidR="00E7724C" w:rsidRPr="00E7724C" w14:paraId="21EAE9D6" w14:textId="77777777" w:rsidTr="00AC220F">
        <w:trPr>
          <w:trHeight w:val="506"/>
        </w:trPr>
        <w:tc>
          <w:tcPr>
            <w:tcW w:w="0" w:type="auto"/>
            <w:vAlign w:val="center"/>
            <w:hideMark/>
          </w:tcPr>
          <w:p w14:paraId="3621FBAE" w14:textId="77777777" w:rsidR="00E7724C" w:rsidRPr="00E7724C" w:rsidRDefault="00E7724C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Obohacuje</w:t>
            </w:r>
          </w:p>
        </w:tc>
        <w:tc>
          <w:tcPr>
            <w:tcW w:w="0" w:type="auto"/>
            <w:noWrap/>
            <w:vAlign w:val="center"/>
            <w:hideMark/>
          </w:tcPr>
          <w:p w14:paraId="50C1038C" w14:textId="77777777" w:rsidR="00E7724C" w:rsidRPr="00E7724C" w:rsidRDefault="00AC220F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E7724C" w:rsidRPr="00E7724C">
              <w:rPr>
                <w:rFonts w:ascii="Arial" w:eastAsia="Times New Roman" w:hAnsi="Arial" w:cs="Arial"/>
                <w:color w:val="000000"/>
                <w:lang w:eastAsia="cs-CZ"/>
              </w:rPr>
              <w:t>,141</w:t>
            </w:r>
          </w:p>
        </w:tc>
        <w:tc>
          <w:tcPr>
            <w:tcW w:w="0" w:type="auto"/>
            <w:noWrap/>
            <w:vAlign w:val="center"/>
            <w:hideMark/>
          </w:tcPr>
          <w:p w14:paraId="17B1FAB0" w14:textId="77777777" w:rsidR="00E7724C" w:rsidRPr="00E7724C" w:rsidRDefault="00AC220F" w:rsidP="00D063A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0</w:t>
            </w:r>
            <w:r w:rsidR="00E7724C" w:rsidRPr="00E7724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,936</w:t>
            </w:r>
          </w:p>
        </w:tc>
      </w:tr>
      <w:tr w:rsidR="00E7724C" w:rsidRPr="00E7724C" w14:paraId="2CB8E302" w14:textId="77777777" w:rsidTr="00AC220F">
        <w:trPr>
          <w:trHeight w:val="506"/>
        </w:trPr>
        <w:tc>
          <w:tcPr>
            <w:tcW w:w="0" w:type="auto"/>
            <w:vAlign w:val="center"/>
            <w:hideMark/>
          </w:tcPr>
          <w:p w14:paraId="4C197D8D" w14:textId="77777777" w:rsidR="00E7724C" w:rsidRPr="00E7724C" w:rsidRDefault="00E7724C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Budoucnost</w:t>
            </w:r>
          </w:p>
        </w:tc>
        <w:tc>
          <w:tcPr>
            <w:tcW w:w="0" w:type="auto"/>
            <w:noWrap/>
            <w:vAlign w:val="center"/>
            <w:hideMark/>
          </w:tcPr>
          <w:p w14:paraId="08F256A7" w14:textId="77777777" w:rsidR="00E7724C" w:rsidRPr="00E7724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AC220F" w:rsidRPr="00E7005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,064</w:t>
            </w:r>
          </w:p>
        </w:tc>
        <w:tc>
          <w:tcPr>
            <w:tcW w:w="0" w:type="auto"/>
            <w:noWrap/>
            <w:vAlign w:val="center"/>
            <w:hideMark/>
          </w:tcPr>
          <w:p w14:paraId="53F302A2" w14:textId="77777777" w:rsidR="00E7724C" w:rsidRPr="00E7724C" w:rsidRDefault="00AC220F" w:rsidP="00D063A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0</w:t>
            </w:r>
            <w:r w:rsidR="00E7724C" w:rsidRPr="00E7724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,908</w:t>
            </w:r>
          </w:p>
        </w:tc>
      </w:tr>
      <w:tr w:rsidR="00E7724C" w:rsidRPr="00E7724C" w14:paraId="29997229" w14:textId="77777777" w:rsidTr="00AC220F">
        <w:trPr>
          <w:trHeight w:val="506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BE99B9E" w14:textId="77777777" w:rsidR="00E7724C" w:rsidRPr="00E7724C" w:rsidRDefault="00D063AD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Uplatnění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C03D8B5" w14:textId="77777777" w:rsidR="00E7724C" w:rsidRPr="00E7724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AC220F" w:rsidRPr="00E7005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E7724C">
              <w:rPr>
                <w:rFonts w:ascii="Arial" w:eastAsia="Times New Roman" w:hAnsi="Arial" w:cs="Arial"/>
                <w:color w:val="000000"/>
                <w:lang w:eastAsia="cs-CZ"/>
              </w:rPr>
              <w:t>,065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A9D8F91" w14:textId="77777777" w:rsidR="00E7724C" w:rsidRPr="00E7724C" w:rsidRDefault="00AC220F" w:rsidP="00D063A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0</w:t>
            </w:r>
            <w:r w:rsidR="00E7724C" w:rsidRPr="00E7724C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,858</w:t>
            </w:r>
          </w:p>
        </w:tc>
      </w:tr>
      <w:tr w:rsidR="00E7724C" w:rsidRPr="00E7005C" w14:paraId="0DA2494E" w14:textId="77777777" w:rsidTr="00AC220F">
        <w:trPr>
          <w:trHeight w:val="506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BD697B" w14:textId="77777777" w:rsidR="00E7724C" w:rsidRPr="00E7005C" w:rsidRDefault="00E7724C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Eigenvalues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438484AD" w14:textId="77777777" w:rsidR="00E7724C" w:rsidRPr="00E7005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2,54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4DE2B764" w14:textId="77777777" w:rsidR="00E7724C" w:rsidRPr="00E7005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2,47</w:t>
            </w:r>
          </w:p>
        </w:tc>
      </w:tr>
      <w:tr w:rsidR="00E7724C" w:rsidRPr="00E7005C" w14:paraId="1B688A10" w14:textId="77777777" w:rsidTr="00AC220F">
        <w:trPr>
          <w:trHeight w:val="50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E2DDE0" w14:textId="77777777" w:rsidR="00E7724C" w:rsidRPr="00E7005C" w:rsidRDefault="00E7724C" w:rsidP="00D063A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Vysvětlený rozptyl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B66981F" w14:textId="77777777" w:rsidR="00E7724C" w:rsidRPr="00E7005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42,40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9E68425" w14:textId="77777777" w:rsidR="00E7724C" w:rsidRPr="00E7005C" w:rsidRDefault="00E7724C" w:rsidP="00D063A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7005C">
              <w:rPr>
                <w:rFonts w:ascii="Arial" w:eastAsia="Times New Roman" w:hAnsi="Arial" w:cs="Arial"/>
                <w:color w:val="000000"/>
                <w:lang w:eastAsia="cs-CZ"/>
              </w:rPr>
              <w:t>41,16</w:t>
            </w:r>
          </w:p>
        </w:tc>
      </w:tr>
    </w:tbl>
    <w:p w14:paraId="14853CCA" w14:textId="77777777" w:rsidR="00AC220F" w:rsidRPr="00D125CD" w:rsidRDefault="00AC220F">
      <w:pPr>
        <w:rPr>
          <w:rFonts w:ascii="Arial" w:hAnsi="Arial" w:cs="Arial"/>
          <w:sz w:val="20"/>
          <w:szCs w:val="20"/>
        </w:rPr>
      </w:pPr>
      <w:r w:rsidRPr="00D125CD">
        <w:rPr>
          <w:rFonts w:ascii="Arial" w:hAnsi="Arial" w:cs="Arial"/>
          <w:sz w:val="20"/>
          <w:szCs w:val="20"/>
        </w:rPr>
        <w:t>Faktorové náboje větší než 0,4 jsou uvedeny tučně</w:t>
      </w:r>
      <w:r w:rsidR="00D125CD" w:rsidRPr="00D125CD">
        <w:rPr>
          <w:rFonts w:ascii="Arial" w:hAnsi="Arial" w:cs="Arial"/>
          <w:sz w:val="20"/>
          <w:szCs w:val="20"/>
        </w:rPr>
        <w:t>, položky jsou seřazeny sestupně podle velikosti faktorového náboje</w:t>
      </w:r>
    </w:p>
    <w:p w14:paraId="5679D4F8" w14:textId="77777777" w:rsidR="00B36CE2" w:rsidRPr="00B36CE2" w:rsidRDefault="00E7005C" w:rsidP="00E7005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005C">
        <w:rPr>
          <w:rFonts w:ascii="Arial" w:eastAsia="Times New Roman" w:hAnsi="Arial" w:cs="Arial"/>
          <w:color w:val="000000"/>
          <w:lang w:eastAsia="cs-CZ"/>
        </w:rPr>
        <w:t>Za manifestními proměnnými “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Předmět vyžaduje mou pravidelnou přípravu”</w:t>
      </w:r>
      <w:r w:rsidRPr="00E7005C">
        <w:rPr>
          <w:rFonts w:ascii="Arial" w:eastAsia="Times New Roman" w:hAnsi="Arial" w:cs="Arial"/>
          <w:color w:val="000000"/>
          <w:lang w:eastAsia="cs-CZ"/>
        </w:rPr>
        <w:t>, “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Předmět vyžaduje mé vysoké pracovní nasazení</w:t>
      </w:r>
      <w:r w:rsidRPr="00E7005C">
        <w:rPr>
          <w:rFonts w:ascii="Arial" w:eastAsia="Times New Roman" w:hAnsi="Arial" w:cs="Arial"/>
          <w:color w:val="000000"/>
          <w:lang w:eastAsia="cs-CZ"/>
        </w:rPr>
        <w:t>” a “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Kolik času věnujete týdně na přípravu na tento předmět? Vepište prosím, v hodinách</w:t>
      </w:r>
      <w:r w:rsidRPr="00E7005C">
        <w:rPr>
          <w:rFonts w:ascii="Arial" w:eastAsia="Times New Roman" w:hAnsi="Arial" w:cs="Arial"/>
          <w:color w:val="000000"/>
          <w:lang w:eastAsia="cs-CZ"/>
        </w:rPr>
        <w:t xml:space="preserve">:” “stojí” faktor, </w:t>
      </w:r>
      <w:proofErr w:type="gramStart"/>
      <w:r w:rsidRPr="00E7005C">
        <w:rPr>
          <w:rFonts w:ascii="Arial" w:eastAsia="Times New Roman" w:hAnsi="Arial" w:cs="Arial"/>
          <w:color w:val="000000"/>
          <w:lang w:eastAsia="cs-CZ"/>
        </w:rPr>
        <w:t>jenž jsme nazvali</w:t>
      </w:r>
      <w:proofErr w:type="gramEnd"/>
      <w:r w:rsidRPr="00E7005C">
        <w:rPr>
          <w:rFonts w:ascii="Arial" w:eastAsia="Times New Roman" w:hAnsi="Arial" w:cs="Arial"/>
          <w:color w:val="000000"/>
          <w:lang w:eastAsia="cs-CZ"/>
        </w:rPr>
        <w:t xml:space="preserve"> “Obtížnost předmětu” - což plyne z naší úvahy, že nutnost pravidelné přípravy, velké pracovní nasazení a časová náročnost předmětu činí předmět obtížnějším ke studiu. “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Kolik času věnujete týdně na přípravu na tento předmět? Vepište prosím, v hodinách</w:t>
      </w:r>
      <w:r w:rsidRPr="00E7005C">
        <w:rPr>
          <w:rFonts w:ascii="Arial" w:eastAsia="Times New Roman" w:hAnsi="Arial" w:cs="Arial"/>
          <w:color w:val="000000"/>
          <w:lang w:eastAsia="cs-CZ"/>
        </w:rPr>
        <w:t>:” má negativní náboj, protože rostoucí hodnota značí zvyšující se obtížnost, zatímco rostoucí hodnota zbylých dvou značí snižující se obtížnost. K druhému faktoru spadají manifestní proměnné “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Cítím, že mě předmět obohacuje”</w:t>
      </w:r>
      <w:r w:rsidRPr="00E7005C">
        <w:rPr>
          <w:rFonts w:ascii="Arial" w:eastAsia="Times New Roman" w:hAnsi="Arial" w:cs="Arial"/>
          <w:color w:val="000000"/>
          <w:lang w:eastAsia="cs-CZ"/>
        </w:rPr>
        <w:t>, “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Předmět by měl zůstat v nabídce i do budoucna” </w:t>
      </w:r>
      <w:r w:rsidRPr="00E7005C">
        <w:rPr>
          <w:rFonts w:ascii="Arial" w:eastAsia="Times New Roman" w:hAnsi="Arial" w:cs="Arial"/>
          <w:color w:val="000000"/>
          <w:lang w:eastAsia="cs-CZ"/>
        </w:rPr>
        <w:t>a “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 xml:space="preserve">Znalosti nabyté v předmětu zvětší možnosti mého uplatnění”. </w:t>
      </w:r>
      <w:r w:rsidRPr="00E7005C">
        <w:rPr>
          <w:rFonts w:ascii="Arial" w:eastAsia="Times New Roman" w:hAnsi="Arial" w:cs="Arial"/>
          <w:color w:val="000000"/>
          <w:lang w:eastAsia="cs-CZ"/>
        </w:rPr>
        <w:t>Tento faktor jsme nazvali “</w:t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 xml:space="preserve">Smysluplnost </w:t>
      </w:r>
      <w:commentRangeStart w:id="1"/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předmětu</w:t>
      </w:r>
      <w:commentRangeEnd w:id="1"/>
      <w:r w:rsidR="007D588A">
        <w:rPr>
          <w:rStyle w:val="Odkaznakoment"/>
        </w:rPr>
        <w:commentReference w:id="1"/>
      </w:r>
      <w:r w:rsidRPr="00E7005C">
        <w:rPr>
          <w:rFonts w:ascii="Arial" w:eastAsia="Times New Roman" w:hAnsi="Arial" w:cs="Arial"/>
          <w:i/>
          <w:iCs/>
          <w:color w:val="000000"/>
          <w:lang w:eastAsia="cs-CZ"/>
        </w:rPr>
        <w:t>”.</w:t>
      </w:r>
    </w:p>
    <w:p w14:paraId="1AEC01CB" w14:textId="77777777" w:rsidR="00B36CE2" w:rsidRPr="00E7005C" w:rsidRDefault="00B36CE2">
      <w:pPr>
        <w:rPr>
          <w:rFonts w:ascii="Arial" w:hAnsi="Arial" w:cs="Arial"/>
        </w:rPr>
      </w:pPr>
    </w:p>
    <w:p w14:paraId="6B0D7819" w14:textId="77777777" w:rsidR="00E7005C" w:rsidRPr="00E7005C" w:rsidRDefault="00E7005C">
      <w:pPr>
        <w:rPr>
          <w:rFonts w:ascii="Arial" w:hAnsi="Arial" w:cs="Arial"/>
        </w:rPr>
      </w:pPr>
      <w:r w:rsidRPr="00E7005C">
        <w:rPr>
          <w:rFonts w:ascii="Arial" w:hAnsi="Arial" w:cs="Arial"/>
        </w:rPr>
        <w:br w:type="page"/>
      </w:r>
    </w:p>
    <w:p w14:paraId="7EC54F7D" w14:textId="77777777" w:rsidR="00E7005C" w:rsidRPr="00E7005C" w:rsidRDefault="00E7005C">
      <w:pPr>
        <w:rPr>
          <w:rFonts w:ascii="Arial" w:hAnsi="Arial" w:cs="Arial"/>
        </w:rPr>
      </w:pPr>
      <w:r w:rsidRPr="00E7005C">
        <w:rPr>
          <w:rFonts w:ascii="Arial" w:hAnsi="Arial" w:cs="Arial"/>
        </w:rPr>
        <w:lastRenderedPageBreak/>
        <w:t xml:space="preserve">Příloha 1 – </w:t>
      </w:r>
      <w:proofErr w:type="spellStart"/>
      <w:r w:rsidRPr="00E7005C">
        <w:rPr>
          <w:rFonts w:ascii="Arial" w:hAnsi="Arial" w:cs="Arial"/>
        </w:rPr>
        <w:t>Scree</w:t>
      </w:r>
      <w:proofErr w:type="spellEnd"/>
      <w:r w:rsidRPr="00E7005C">
        <w:rPr>
          <w:rFonts w:ascii="Arial" w:hAnsi="Arial" w:cs="Arial"/>
        </w:rPr>
        <w:t xml:space="preserve"> plot</w:t>
      </w:r>
    </w:p>
    <w:p w14:paraId="72876AB7" w14:textId="77777777" w:rsidR="00E7005C" w:rsidRPr="00E7005C" w:rsidRDefault="00E7005C">
      <w:pPr>
        <w:rPr>
          <w:rFonts w:ascii="Arial" w:hAnsi="Arial" w:cs="Arial"/>
        </w:rPr>
      </w:pPr>
      <w:r w:rsidRPr="00E7005C">
        <w:rPr>
          <w:rFonts w:ascii="Arial" w:hAnsi="Arial" w:cs="Arial"/>
          <w:noProof/>
          <w:lang w:eastAsia="cs-CZ"/>
        </w:rPr>
        <w:drawing>
          <wp:inline distT="0" distB="0" distL="0" distR="0" wp14:anchorId="5015D582" wp14:editId="70ACACC6">
            <wp:extent cx="5760720" cy="4615903"/>
            <wp:effectExtent l="0" t="0" r="0" b="0"/>
            <wp:docPr id="1" name="Picture 1" descr="https://lh6.googleusercontent.com/sHgKRntfigdRqQlwTTqqr4WHeHQUw23I_EIgtMoB9Vv6ZgzLHFSw_XWZWr7AtBDxxGr4AQGxmeM-MbABERIGzER6hjN7-FGs_CFopyoZ-zYh27925LWfgl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sHgKRntfigdRqQlwTTqqr4WHeHQUw23I_EIgtMoB9Vv6ZgzLHFSw_XWZWr7AtBDxxGr4AQGxmeM-MbABERIGzER6hjN7-FGs_CFopyoZ-zYh27925LWfgl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05C" w:rsidRPr="00E7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4-01-13T14:53:00Z" w:initials="SJ">
    <w:p w14:paraId="116DC2EF" w14:textId="77777777" w:rsidR="007D588A" w:rsidRDefault="007D588A">
      <w:pPr>
        <w:pStyle w:val="Textkomente"/>
      </w:pPr>
      <w:r>
        <w:rPr>
          <w:rStyle w:val="Odkaznakoment"/>
        </w:rPr>
        <w:annotationRef/>
      </w:r>
      <w:r>
        <w:t>ten determinant; determinantu</w:t>
      </w:r>
    </w:p>
  </w:comment>
  <w:comment w:id="1" w:author="Standa Ježek" w:date="2014-01-13T14:56:00Z" w:initials="SJ">
    <w:p w14:paraId="3ADBF888" w14:textId="77777777" w:rsidR="007D588A" w:rsidRDefault="007D588A">
      <w:pPr>
        <w:pStyle w:val="Textkomente"/>
      </w:pPr>
      <w:r>
        <w:rPr>
          <w:rStyle w:val="Odkaznakoment"/>
        </w:rPr>
        <w:annotationRef/>
      </w:r>
      <w:r>
        <w:t xml:space="preserve">Dobrá </w:t>
      </w:r>
      <w:r>
        <w:t>práce.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DC2EF" w15:done="0"/>
  <w15:commentEx w15:paraId="3ADBF8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4C"/>
    <w:rsid w:val="003902B8"/>
    <w:rsid w:val="00560C62"/>
    <w:rsid w:val="007D588A"/>
    <w:rsid w:val="00903ACF"/>
    <w:rsid w:val="00AC220F"/>
    <w:rsid w:val="00AD6E77"/>
    <w:rsid w:val="00B36CE2"/>
    <w:rsid w:val="00D063AD"/>
    <w:rsid w:val="00D125CD"/>
    <w:rsid w:val="00D52915"/>
    <w:rsid w:val="00E7005C"/>
    <w:rsid w:val="00E7724C"/>
    <w:rsid w:val="00E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B7E"/>
  <w15:chartTrackingRefBased/>
  <w15:docId w15:val="{983FA542-B7AC-4AE4-89A1-D1E00480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3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7D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58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58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8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Mýlek</dc:creator>
  <cp:keywords/>
  <dc:description/>
  <cp:lastModifiedBy>Standa Ježek</cp:lastModifiedBy>
  <cp:revision>5</cp:revision>
  <dcterms:created xsi:type="dcterms:W3CDTF">2013-11-25T18:21:00Z</dcterms:created>
  <dcterms:modified xsi:type="dcterms:W3CDTF">2014-01-13T13:56:00Z</dcterms:modified>
</cp:coreProperties>
</file>