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10" w:rsidRPr="002A2EFA" w:rsidRDefault="0052734A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</w:rPr>
        <w:t>BRNO TALKS, IAN WOODWARD</w:t>
      </w:r>
    </w:p>
    <w:p w:rsidR="00227210" w:rsidRPr="002A2EFA" w:rsidRDefault="00227210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b/>
          <w:sz w:val="22"/>
        </w:rPr>
      </w:pPr>
      <w:r w:rsidRPr="002A2EFA">
        <w:rPr>
          <w:rFonts w:ascii="Georgia" w:hAnsi="Georgia"/>
          <w:b/>
          <w:sz w:val="22"/>
        </w:rPr>
        <w:t xml:space="preserve">1) Intro to Cult. Soc. class on Monday </w:t>
      </w:r>
      <w:proofErr w:type="gramStart"/>
      <w:r w:rsidRPr="002A2EFA">
        <w:rPr>
          <w:rFonts w:ascii="Georgia" w:hAnsi="Georgia"/>
          <w:b/>
          <w:sz w:val="22"/>
        </w:rPr>
        <w:t>14</w:t>
      </w:r>
      <w:r w:rsidRPr="002A2EFA">
        <w:rPr>
          <w:rFonts w:ascii="Georgia" w:hAnsi="Georgia"/>
          <w:b/>
          <w:sz w:val="22"/>
          <w:vertAlign w:val="superscript"/>
        </w:rPr>
        <w:t>th</w:t>
      </w:r>
      <w:r w:rsidRPr="002A2EFA">
        <w:rPr>
          <w:rFonts w:ascii="Georgia" w:hAnsi="Georgia"/>
          <w:b/>
          <w:sz w:val="22"/>
        </w:rPr>
        <w:t xml:space="preserve"> :</w:t>
      </w:r>
      <w:proofErr w:type="gramEnd"/>
    </w:p>
    <w:p w:rsidR="002A2EFA" w:rsidRDefault="002A2EFA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sz w:val="22"/>
        </w:rPr>
      </w:pPr>
    </w:p>
    <w:p w:rsidR="00172C49" w:rsidRPr="002A2EFA" w:rsidRDefault="00172C49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  <w:u w:val="single"/>
        </w:rPr>
        <w:t>Lecture title</w:t>
      </w:r>
      <w:r w:rsidRPr="002A2EFA">
        <w:rPr>
          <w:rFonts w:ascii="Georgia" w:hAnsi="Georgia"/>
          <w:sz w:val="22"/>
        </w:rPr>
        <w:t xml:space="preserve">: </w:t>
      </w:r>
      <w:r w:rsidR="00227210" w:rsidRPr="002A2EFA">
        <w:rPr>
          <w:rFonts w:ascii="Georgia" w:hAnsi="Georgia"/>
          <w:b/>
          <w:i/>
          <w:sz w:val="22"/>
        </w:rPr>
        <w:t>'Material culture and consumption: the case of vinyl records'</w:t>
      </w:r>
    </w:p>
    <w:p w:rsidR="00172C49" w:rsidRPr="002A2EFA" w:rsidRDefault="00172C49">
      <w:pPr>
        <w:rPr>
          <w:rFonts w:ascii="Georgia" w:hAnsi="Georgia"/>
          <w:sz w:val="22"/>
        </w:rPr>
      </w:pPr>
    </w:p>
    <w:p w:rsidR="00172C49" w:rsidRPr="002A2EFA" w:rsidRDefault="00172C49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  <w:u w:val="single"/>
        </w:rPr>
        <w:t>Primary readings</w:t>
      </w:r>
      <w:r w:rsidRPr="002A2EFA">
        <w:rPr>
          <w:rFonts w:ascii="Georgia" w:hAnsi="Georgia"/>
          <w:sz w:val="22"/>
        </w:rPr>
        <w:t xml:space="preserve">: </w:t>
      </w:r>
    </w:p>
    <w:p w:rsidR="00172C49" w:rsidRPr="002A2EFA" w:rsidRDefault="00172C49">
      <w:pPr>
        <w:rPr>
          <w:rFonts w:ascii="Georgia" w:hAnsi="Georgia"/>
          <w:sz w:val="22"/>
        </w:rPr>
      </w:pPr>
    </w:p>
    <w:p w:rsidR="00172C49" w:rsidRPr="002A2EFA" w:rsidRDefault="00172C49" w:rsidP="00172C49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</w:rPr>
        <w:t xml:space="preserve">Woodward, </w:t>
      </w:r>
      <w:r w:rsidRPr="0052734A">
        <w:rPr>
          <w:rFonts w:ascii="Georgia" w:hAnsi="Georgia"/>
          <w:i/>
          <w:sz w:val="22"/>
        </w:rPr>
        <w:t>Understanding Material Culture</w:t>
      </w:r>
      <w:r w:rsidR="0052734A">
        <w:rPr>
          <w:rFonts w:ascii="Georgia" w:hAnsi="Georgia"/>
          <w:sz w:val="22"/>
        </w:rPr>
        <w:t>, Chapter 1</w:t>
      </w:r>
    </w:p>
    <w:p w:rsidR="00172C49" w:rsidRPr="002A2EFA" w:rsidRDefault="00172C49" w:rsidP="00172C49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proofErr w:type="spellStart"/>
      <w:r w:rsidRPr="002A2EFA">
        <w:rPr>
          <w:rFonts w:ascii="Georgia" w:hAnsi="Georgia"/>
          <w:sz w:val="22"/>
        </w:rPr>
        <w:t>Bartmanksi</w:t>
      </w:r>
      <w:proofErr w:type="spellEnd"/>
      <w:r w:rsidRPr="002A2EFA">
        <w:rPr>
          <w:rFonts w:ascii="Georgia" w:hAnsi="Georgia"/>
          <w:sz w:val="22"/>
        </w:rPr>
        <w:t xml:space="preserve"> and Woodward, ‘The Vinyl: The Analogue Medium in the Age of Digital Reproduction’</w:t>
      </w:r>
      <w:r w:rsidR="0049257C" w:rsidRPr="002A2EFA">
        <w:rPr>
          <w:rFonts w:ascii="Georgia" w:hAnsi="Georgia"/>
          <w:sz w:val="22"/>
        </w:rPr>
        <w:t xml:space="preserve">, </w:t>
      </w:r>
      <w:r w:rsidR="0049257C" w:rsidRPr="0052734A">
        <w:rPr>
          <w:rFonts w:ascii="Georgia" w:hAnsi="Georgia"/>
          <w:i/>
          <w:sz w:val="22"/>
        </w:rPr>
        <w:t>Journal of Consumer Culture</w:t>
      </w:r>
      <w:r w:rsidR="0052734A">
        <w:rPr>
          <w:rFonts w:ascii="Georgia" w:hAnsi="Georgia"/>
          <w:sz w:val="22"/>
        </w:rPr>
        <w:t>, 2013, published online ahead of print</w:t>
      </w:r>
    </w:p>
    <w:p w:rsidR="00172C49" w:rsidRPr="002A2EFA" w:rsidRDefault="00172C49">
      <w:pPr>
        <w:rPr>
          <w:rFonts w:ascii="Georgia" w:hAnsi="Georgia"/>
          <w:sz w:val="22"/>
        </w:rPr>
      </w:pPr>
    </w:p>
    <w:p w:rsidR="0049257C" w:rsidRPr="002A2EFA" w:rsidRDefault="00172C49" w:rsidP="0049257C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  <w:u w:val="single"/>
        </w:rPr>
        <w:t>Secondary readings for further consultation</w:t>
      </w:r>
      <w:r w:rsidRPr="002A2EFA">
        <w:rPr>
          <w:rFonts w:ascii="Georgia" w:hAnsi="Georgia"/>
          <w:sz w:val="22"/>
        </w:rPr>
        <w:t>:</w:t>
      </w:r>
    </w:p>
    <w:p w:rsidR="0049257C" w:rsidRPr="002A2EFA" w:rsidRDefault="0049257C" w:rsidP="0049257C">
      <w:pPr>
        <w:rPr>
          <w:rFonts w:ascii="Georgia" w:hAnsi="Georgia"/>
          <w:sz w:val="22"/>
        </w:rPr>
      </w:pPr>
    </w:p>
    <w:p w:rsidR="0049257C" w:rsidRPr="002A2EFA" w:rsidRDefault="0049257C" w:rsidP="0049257C">
      <w:pPr>
        <w:pStyle w:val="ListParagraph"/>
        <w:numPr>
          <w:ilvl w:val="0"/>
          <w:numId w:val="5"/>
        </w:numPr>
        <w:rPr>
          <w:rFonts w:ascii="Georgia" w:hAnsi="Georgia"/>
          <w:sz w:val="22"/>
        </w:rPr>
      </w:pPr>
      <w:r w:rsidRPr="002A2EFA">
        <w:rPr>
          <w:rFonts w:ascii="Georgia" w:hAnsi="Georgia" w:cs="Helvetica"/>
          <w:color w:val="141413"/>
          <w:sz w:val="22"/>
          <w:szCs w:val="17"/>
        </w:rPr>
        <w:t xml:space="preserve">Alexander JC (2008) ‘Iconic experience in art and life: Surface/depth beginning with Giacometti’s Standing Woman’, </w:t>
      </w:r>
      <w:r w:rsidRPr="002A2EFA">
        <w:rPr>
          <w:rFonts w:ascii="Georgia" w:hAnsi="Georgia" w:cs="Helvetica"/>
          <w:i/>
          <w:color w:val="141413"/>
          <w:sz w:val="22"/>
          <w:szCs w:val="17"/>
        </w:rPr>
        <w:t>Theory, Culture and Society</w:t>
      </w:r>
      <w:r w:rsidRPr="002A2EFA">
        <w:rPr>
          <w:rFonts w:ascii="Georgia" w:hAnsi="Georgia" w:cs="Helvetica"/>
          <w:color w:val="141413"/>
          <w:sz w:val="22"/>
          <w:szCs w:val="17"/>
        </w:rPr>
        <w:t>, 25(5): 1–19.</w:t>
      </w:r>
    </w:p>
    <w:p w:rsidR="0049257C" w:rsidRPr="002A2EFA" w:rsidRDefault="0049257C" w:rsidP="0049257C">
      <w:pPr>
        <w:pStyle w:val="ListParagraph"/>
        <w:numPr>
          <w:ilvl w:val="0"/>
          <w:numId w:val="5"/>
        </w:numPr>
        <w:rPr>
          <w:rFonts w:ascii="Georgia" w:hAnsi="Georgia"/>
          <w:sz w:val="22"/>
        </w:rPr>
      </w:pPr>
      <w:proofErr w:type="spellStart"/>
      <w:r w:rsidRPr="002A2EFA">
        <w:rPr>
          <w:rFonts w:ascii="Georgia" w:hAnsi="Georgia" w:cs="Helvetica"/>
          <w:color w:val="141413"/>
          <w:sz w:val="22"/>
          <w:szCs w:val="17"/>
        </w:rPr>
        <w:t>Appadurai</w:t>
      </w:r>
      <w:proofErr w:type="spellEnd"/>
      <w:r w:rsidRPr="002A2EFA">
        <w:rPr>
          <w:rFonts w:ascii="Georgia" w:hAnsi="Georgia" w:cs="Helvetica"/>
          <w:color w:val="141413"/>
          <w:sz w:val="22"/>
          <w:szCs w:val="17"/>
        </w:rPr>
        <w:t xml:space="preserve"> A (1986) ‘Introduction: Commodities and the politics of value’, </w:t>
      </w:r>
      <w:proofErr w:type="gramStart"/>
      <w:r w:rsidRPr="002A2EFA">
        <w:rPr>
          <w:rFonts w:ascii="Georgia" w:hAnsi="Georgia" w:cs="Helvetica"/>
          <w:color w:val="141413"/>
          <w:sz w:val="22"/>
          <w:szCs w:val="17"/>
        </w:rPr>
        <w:t>In</w:t>
      </w:r>
      <w:proofErr w:type="gramEnd"/>
      <w:r w:rsidRPr="002A2EFA">
        <w:rPr>
          <w:rFonts w:ascii="Georgia" w:hAnsi="Georgia" w:cs="Helvetica"/>
          <w:color w:val="141413"/>
          <w:sz w:val="22"/>
          <w:szCs w:val="17"/>
        </w:rPr>
        <w:t xml:space="preserve">: </w:t>
      </w:r>
      <w:proofErr w:type="spellStart"/>
      <w:r w:rsidRPr="002A2EFA">
        <w:rPr>
          <w:rFonts w:ascii="Georgia" w:hAnsi="Georgia" w:cs="Helvetica"/>
          <w:color w:val="141413"/>
          <w:sz w:val="22"/>
          <w:szCs w:val="17"/>
        </w:rPr>
        <w:t>Appadurai</w:t>
      </w:r>
      <w:proofErr w:type="spellEnd"/>
      <w:r w:rsidRPr="002A2EFA">
        <w:rPr>
          <w:rFonts w:ascii="Georgia" w:hAnsi="Georgia" w:cs="Helvetica"/>
          <w:color w:val="141413"/>
          <w:sz w:val="22"/>
          <w:szCs w:val="17"/>
        </w:rPr>
        <w:t xml:space="preserve"> A (ed.) </w:t>
      </w:r>
      <w:r w:rsidRPr="002A2EFA">
        <w:rPr>
          <w:rFonts w:ascii="Georgia" w:hAnsi="Georgia" w:cs="Helvetica"/>
          <w:i/>
          <w:color w:val="141413"/>
          <w:sz w:val="22"/>
          <w:szCs w:val="17"/>
        </w:rPr>
        <w:t>The Social Life of Things: Commodities in Cultural Perspective</w:t>
      </w:r>
      <w:r w:rsidRPr="002A2EFA">
        <w:rPr>
          <w:rFonts w:ascii="Georgia" w:hAnsi="Georgia" w:cs="Helvetica"/>
          <w:color w:val="141413"/>
          <w:sz w:val="22"/>
          <w:szCs w:val="17"/>
        </w:rPr>
        <w:t>. Melbourne: University Press, pp. 3–63.</w:t>
      </w:r>
    </w:p>
    <w:p w:rsidR="0049257C" w:rsidRPr="002A2EFA" w:rsidRDefault="0049257C" w:rsidP="0049257C">
      <w:pPr>
        <w:pStyle w:val="ListParagraph"/>
        <w:numPr>
          <w:ilvl w:val="0"/>
          <w:numId w:val="5"/>
        </w:numPr>
        <w:rPr>
          <w:rFonts w:ascii="Georgia" w:hAnsi="Georgia" w:cs="Helvetica"/>
          <w:color w:val="141413"/>
          <w:sz w:val="22"/>
          <w:szCs w:val="17"/>
        </w:rPr>
      </w:pPr>
      <w:r w:rsidRPr="002A2EFA">
        <w:rPr>
          <w:rFonts w:ascii="Georgia" w:hAnsi="Georgia" w:cs="Helvetica"/>
          <w:color w:val="141413"/>
          <w:sz w:val="22"/>
          <w:szCs w:val="17"/>
        </w:rPr>
        <w:t xml:space="preserve">Belk RW and </w:t>
      </w:r>
      <w:proofErr w:type="spellStart"/>
      <w:r w:rsidRPr="002A2EFA">
        <w:rPr>
          <w:rFonts w:ascii="Georgia" w:hAnsi="Georgia" w:cs="Helvetica"/>
          <w:color w:val="141413"/>
          <w:sz w:val="22"/>
          <w:szCs w:val="17"/>
        </w:rPr>
        <w:t>Tumbat</w:t>
      </w:r>
      <w:proofErr w:type="spellEnd"/>
      <w:r w:rsidRPr="002A2EFA">
        <w:rPr>
          <w:rFonts w:ascii="Georgia" w:hAnsi="Georgia" w:cs="Helvetica"/>
          <w:color w:val="141413"/>
          <w:sz w:val="22"/>
          <w:szCs w:val="17"/>
        </w:rPr>
        <w:t xml:space="preserve"> G (2005) ‘The cult of Macintosh’, </w:t>
      </w:r>
      <w:r w:rsidRPr="002A2EFA">
        <w:rPr>
          <w:rFonts w:ascii="Georgia" w:hAnsi="Georgia" w:cs="Helvetica"/>
          <w:i/>
          <w:color w:val="141413"/>
          <w:sz w:val="22"/>
          <w:szCs w:val="17"/>
        </w:rPr>
        <w:t>Consumption, Markets and Culture</w:t>
      </w:r>
      <w:r w:rsidRPr="002A2EFA">
        <w:rPr>
          <w:rFonts w:ascii="Georgia" w:hAnsi="Georgia" w:cs="Helvetica"/>
          <w:color w:val="141413"/>
          <w:sz w:val="22"/>
          <w:szCs w:val="17"/>
        </w:rPr>
        <w:t>, 8(3): 205–217.</w:t>
      </w:r>
    </w:p>
    <w:p w:rsidR="0049257C" w:rsidRPr="002A2EFA" w:rsidRDefault="0049257C" w:rsidP="0049257C">
      <w:pPr>
        <w:pStyle w:val="ListParagraph"/>
        <w:numPr>
          <w:ilvl w:val="0"/>
          <w:numId w:val="5"/>
        </w:numPr>
        <w:rPr>
          <w:rFonts w:ascii="Georgia" w:hAnsi="Georgia" w:cs="Helvetica"/>
          <w:i/>
          <w:color w:val="141413"/>
          <w:sz w:val="22"/>
          <w:szCs w:val="17"/>
        </w:rPr>
      </w:pPr>
      <w:r w:rsidRPr="002A2EFA">
        <w:rPr>
          <w:rFonts w:ascii="Georgia" w:hAnsi="Georgia" w:cs="Helvetica"/>
          <w:color w:val="141413"/>
          <w:sz w:val="22"/>
          <w:szCs w:val="17"/>
        </w:rPr>
        <w:t xml:space="preserve">Douglas, M and Isherwood B (1979) </w:t>
      </w:r>
      <w:r w:rsidRPr="002A2EFA">
        <w:rPr>
          <w:rFonts w:ascii="Georgia" w:hAnsi="Georgia" w:cs="Helvetica"/>
          <w:i/>
          <w:color w:val="141413"/>
          <w:sz w:val="22"/>
          <w:szCs w:val="17"/>
        </w:rPr>
        <w:t>The World of Goods. Towards an Anthropology of Consumption</w:t>
      </w:r>
      <w:r w:rsidRPr="002A2EFA">
        <w:rPr>
          <w:rFonts w:ascii="Georgia" w:hAnsi="Georgia" w:cs="Helvetica"/>
          <w:color w:val="141413"/>
          <w:sz w:val="22"/>
          <w:szCs w:val="17"/>
        </w:rPr>
        <w:t>. New York: Basic Books.</w:t>
      </w:r>
    </w:p>
    <w:p w:rsidR="0049257C" w:rsidRPr="002A2EFA" w:rsidRDefault="0049257C" w:rsidP="0049257C">
      <w:pPr>
        <w:pStyle w:val="ListParagraph"/>
        <w:numPr>
          <w:ilvl w:val="0"/>
          <w:numId w:val="5"/>
        </w:numPr>
        <w:tabs>
          <w:tab w:val="left" w:pos="1000"/>
        </w:tabs>
        <w:rPr>
          <w:rFonts w:ascii="Georgia" w:hAnsi="Georgia" w:cs="Helvetica"/>
          <w:color w:val="141413"/>
          <w:sz w:val="22"/>
          <w:szCs w:val="17"/>
        </w:rPr>
      </w:pPr>
      <w:r w:rsidRPr="002A2EFA">
        <w:rPr>
          <w:rFonts w:ascii="Georgia" w:hAnsi="Georgia" w:cs="Helvetica"/>
          <w:color w:val="141413"/>
          <w:sz w:val="22"/>
          <w:szCs w:val="17"/>
        </w:rPr>
        <w:t xml:space="preserve">Miller D (1987) </w:t>
      </w:r>
      <w:r w:rsidRPr="002A2EFA">
        <w:rPr>
          <w:rFonts w:ascii="Georgia" w:hAnsi="Georgia" w:cs="Helvetica"/>
          <w:i/>
          <w:color w:val="141413"/>
          <w:sz w:val="22"/>
          <w:szCs w:val="17"/>
        </w:rPr>
        <w:t>Material Culture and Mass Consumption</w:t>
      </w:r>
      <w:r w:rsidRPr="002A2EFA">
        <w:rPr>
          <w:rFonts w:ascii="Georgia" w:hAnsi="Georgia" w:cs="Helvetica"/>
          <w:color w:val="141413"/>
          <w:sz w:val="22"/>
          <w:szCs w:val="17"/>
        </w:rPr>
        <w:t>. Oxford: Blackwell.</w:t>
      </w:r>
    </w:p>
    <w:p w:rsidR="0049257C" w:rsidRPr="002A2EFA" w:rsidRDefault="0049257C" w:rsidP="0049257C">
      <w:pPr>
        <w:pStyle w:val="ListParagraph"/>
        <w:numPr>
          <w:ilvl w:val="0"/>
          <w:numId w:val="5"/>
        </w:numPr>
        <w:tabs>
          <w:tab w:val="left" w:pos="1000"/>
        </w:tabs>
        <w:rPr>
          <w:rFonts w:ascii="Georgia" w:hAnsi="Georgia"/>
          <w:sz w:val="22"/>
        </w:rPr>
      </w:pPr>
      <w:r w:rsidRPr="002A2EFA">
        <w:rPr>
          <w:rFonts w:ascii="Georgia" w:hAnsi="Georgia" w:cs="Helvetica"/>
          <w:color w:val="141413"/>
          <w:sz w:val="22"/>
          <w:szCs w:val="17"/>
        </w:rPr>
        <w:t xml:space="preserve">Slater D (1997) </w:t>
      </w:r>
      <w:r w:rsidRPr="002A2EFA">
        <w:rPr>
          <w:rFonts w:ascii="Georgia" w:hAnsi="Georgia" w:cs="Helvetica"/>
          <w:i/>
          <w:color w:val="141413"/>
          <w:sz w:val="22"/>
          <w:szCs w:val="17"/>
        </w:rPr>
        <w:t>Consumer Culture and Modernity</w:t>
      </w:r>
      <w:r w:rsidRPr="002A2EFA">
        <w:rPr>
          <w:rFonts w:ascii="Georgia" w:hAnsi="Georgia" w:cs="Helvetica"/>
          <w:color w:val="141413"/>
          <w:sz w:val="22"/>
          <w:szCs w:val="17"/>
        </w:rPr>
        <w:t>. Cambridge: Polity Press.</w:t>
      </w:r>
    </w:p>
    <w:p w:rsidR="00172C49" w:rsidRPr="002A2EFA" w:rsidRDefault="0049257C" w:rsidP="0049257C">
      <w:pPr>
        <w:pStyle w:val="ListParagraph"/>
        <w:numPr>
          <w:ilvl w:val="0"/>
          <w:numId w:val="5"/>
        </w:numPr>
        <w:tabs>
          <w:tab w:val="left" w:pos="1000"/>
        </w:tabs>
        <w:rPr>
          <w:rFonts w:ascii="Georgia" w:hAnsi="Georgia"/>
          <w:sz w:val="22"/>
        </w:rPr>
      </w:pPr>
      <w:r w:rsidRPr="002A2EFA">
        <w:rPr>
          <w:rFonts w:ascii="Georgia" w:hAnsi="Georgia" w:cs="Helvetica"/>
          <w:color w:val="141413"/>
          <w:sz w:val="22"/>
          <w:szCs w:val="17"/>
        </w:rPr>
        <w:t xml:space="preserve">Woodward I (2007) </w:t>
      </w:r>
      <w:r w:rsidRPr="002A2EFA">
        <w:rPr>
          <w:rFonts w:ascii="Georgia" w:hAnsi="Georgia" w:cs="Helvetica"/>
          <w:i/>
          <w:color w:val="141413"/>
          <w:sz w:val="22"/>
          <w:szCs w:val="17"/>
        </w:rPr>
        <w:t>Understanding Material Culture</w:t>
      </w:r>
      <w:r w:rsidRPr="002A2EFA">
        <w:rPr>
          <w:rFonts w:ascii="Georgia" w:hAnsi="Georgia" w:cs="Helvetica"/>
          <w:color w:val="141413"/>
          <w:sz w:val="22"/>
          <w:szCs w:val="17"/>
        </w:rPr>
        <w:t>. London: Sage.</w:t>
      </w:r>
    </w:p>
    <w:p w:rsidR="00172C49" w:rsidRPr="002A2EFA" w:rsidRDefault="00172C49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b/>
          <w:sz w:val="22"/>
        </w:rPr>
      </w:pPr>
      <w:r w:rsidRPr="002A2EFA">
        <w:rPr>
          <w:rFonts w:ascii="Georgia" w:hAnsi="Georgia"/>
          <w:b/>
          <w:sz w:val="22"/>
        </w:rPr>
        <w:t>2) Workshop talks</w:t>
      </w:r>
      <w:r w:rsidR="002A2EFA">
        <w:rPr>
          <w:rFonts w:ascii="Georgia" w:hAnsi="Georgia"/>
          <w:b/>
          <w:sz w:val="22"/>
        </w:rPr>
        <w:t>, Wednesday 16th</w:t>
      </w:r>
      <w:r w:rsidRPr="002A2EFA">
        <w:rPr>
          <w:rFonts w:ascii="Georgia" w:hAnsi="Georgia"/>
          <w:b/>
          <w:sz w:val="22"/>
        </w:rPr>
        <w:t>:</w:t>
      </w:r>
    </w:p>
    <w:p w:rsidR="00227210" w:rsidRPr="002A2EFA" w:rsidRDefault="00227210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sz w:val="22"/>
        </w:rPr>
      </w:pPr>
    </w:p>
    <w:p w:rsidR="008A1794" w:rsidRPr="002A2EFA" w:rsidRDefault="00F350A5">
      <w:pPr>
        <w:rPr>
          <w:rFonts w:ascii="Georgia" w:hAnsi="Georgia"/>
          <w:b/>
          <w:i/>
          <w:sz w:val="22"/>
        </w:rPr>
      </w:pPr>
      <w:r w:rsidRPr="002A2EFA">
        <w:rPr>
          <w:rFonts w:ascii="Georgia" w:hAnsi="Georgia"/>
          <w:sz w:val="22"/>
          <w:u w:val="single"/>
        </w:rPr>
        <w:t>Workshop title</w:t>
      </w:r>
      <w:r w:rsidRPr="002A2EFA">
        <w:rPr>
          <w:rFonts w:ascii="Georgia" w:hAnsi="Georgia"/>
          <w:b/>
          <w:i/>
          <w:sz w:val="22"/>
        </w:rPr>
        <w:t xml:space="preserve">: </w:t>
      </w:r>
      <w:r w:rsidR="008A1794" w:rsidRPr="002A2EFA">
        <w:rPr>
          <w:rFonts w:ascii="Georgia" w:hAnsi="Georgia"/>
          <w:b/>
          <w:i/>
          <w:sz w:val="22"/>
        </w:rPr>
        <w:t>‘Cosmopolitanism: Uses of the Idea’</w:t>
      </w:r>
    </w:p>
    <w:p w:rsidR="008A1794" w:rsidRPr="002A2EFA" w:rsidRDefault="008A1794">
      <w:pPr>
        <w:rPr>
          <w:rFonts w:ascii="Georgia" w:hAnsi="Georgia"/>
          <w:b/>
          <w:i/>
          <w:sz w:val="22"/>
        </w:rPr>
      </w:pPr>
    </w:p>
    <w:p w:rsidR="00F350A5" w:rsidRPr="002A2EFA" w:rsidRDefault="00F350A5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</w:rPr>
        <w:t xml:space="preserve">The </w:t>
      </w:r>
      <w:r w:rsidR="0052734A">
        <w:rPr>
          <w:rFonts w:ascii="Georgia" w:hAnsi="Georgia"/>
          <w:sz w:val="22"/>
        </w:rPr>
        <w:t xml:space="preserve">workshop </w:t>
      </w:r>
      <w:r w:rsidRPr="002A2EFA">
        <w:rPr>
          <w:rFonts w:ascii="Georgia" w:hAnsi="Georgia"/>
          <w:sz w:val="22"/>
        </w:rPr>
        <w:t>presentation will have three themes:</w:t>
      </w:r>
    </w:p>
    <w:p w:rsidR="00F350A5" w:rsidRPr="002A2EFA" w:rsidRDefault="00F350A5">
      <w:pPr>
        <w:rPr>
          <w:rFonts w:ascii="Georgia" w:hAnsi="Georgia"/>
          <w:sz w:val="22"/>
        </w:rPr>
      </w:pPr>
    </w:p>
    <w:p w:rsidR="00F350A5" w:rsidRPr="002A2EFA" w:rsidRDefault="00F350A5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</w:rPr>
        <w:t>1) Introducing cosmopolitanism</w:t>
      </w:r>
    </w:p>
    <w:p w:rsidR="00F350A5" w:rsidRPr="002A2EFA" w:rsidRDefault="00F350A5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</w:rPr>
        <w:t xml:space="preserve">2) </w:t>
      </w:r>
      <w:proofErr w:type="spellStart"/>
      <w:r w:rsidRPr="002A2EFA">
        <w:rPr>
          <w:rFonts w:ascii="Georgia" w:hAnsi="Georgia"/>
          <w:sz w:val="22"/>
        </w:rPr>
        <w:t>Empiricising</w:t>
      </w:r>
      <w:proofErr w:type="spellEnd"/>
      <w:r w:rsidRPr="002A2EFA">
        <w:rPr>
          <w:rFonts w:ascii="Georgia" w:hAnsi="Georgia"/>
          <w:sz w:val="22"/>
        </w:rPr>
        <w:t xml:space="preserve"> cosmopolitanism: approaches and concepts</w:t>
      </w:r>
    </w:p>
    <w:p w:rsidR="00F350A5" w:rsidRPr="002A2EFA" w:rsidRDefault="00F350A5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</w:rPr>
        <w:t xml:space="preserve">3) </w:t>
      </w:r>
      <w:proofErr w:type="spellStart"/>
      <w:r w:rsidRPr="002A2EFA">
        <w:rPr>
          <w:rFonts w:ascii="Georgia" w:hAnsi="Georgia"/>
          <w:sz w:val="22"/>
        </w:rPr>
        <w:t>Materialising</w:t>
      </w:r>
      <w:proofErr w:type="spellEnd"/>
      <w:r w:rsidRPr="002A2EFA">
        <w:rPr>
          <w:rFonts w:ascii="Georgia" w:hAnsi="Georgia"/>
          <w:sz w:val="22"/>
        </w:rPr>
        <w:t xml:space="preserve"> cosmopolitanism: </w:t>
      </w:r>
      <w:proofErr w:type="spellStart"/>
      <w:proofErr w:type="gramStart"/>
      <w:r w:rsidRPr="002A2EFA">
        <w:rPr>
          <w:rFonts w:ascii="Georgia" w:hAnsi="Georgia"/>
          <w:sz w:val="22"/>
        </w:rPr>
        <w:t>cosmoscapes</w:t>
      </w:r>
      <w:proofErr w:type="spellEnd"/>
      <w:r w:rsidRPr="002A2EFA">
        <w:rPr>
          <w:rFonts w:ascii="Georgia" w:hAnsi="Georgia"/>
          <w:sz w:val="22"/>
        </w:rPr>
        <w:t>,</w:t>
      </w:r>
      <w:proofErr w:type="gramEnd"/>
      <w:r w:rsidRPr="002A2EFA">
        <w:rPr>
          <w:rFonts w:ascii="Georgia" w:hAnsi="Georgia"/>
          <w:sz w:val="22"/>
        </w:rPr>
        <w:t xml:space="preserve"> networks and encounters</w:t>
      </w:r>
    </w:p>
    <w:p w:rsidR="00F350A5" w:rsidRPr="002A2EFA" w:rsidRDefault="00F350A5">
      <w:pPr>
        <w:rPr>
          <w:rFonts w:ascii="Georgia" w:hAnsi="Georgia"/>
          <w:sz w:val="22"/>
        </w:rPr>
      </w:pPr>
    </w:p>
    <w:p w:rsidR="00784933" w:rsidRDefault="00784933" w:rsidP="00784933">
      <w:pPr>
        <w:pStyle w:val="BodyText3"/>
        <w:rPr>
          <w:rFonts w:ascii="Georgia" w:hAnsi="Georgia" w:cs="Arial"/>
          <w:sz w:val="22"/>
          <w:szCs w:val="21"/>
          <w:u w:val="single"/>
        </w:rPr>
      </w:pPr>
      <w:r w:rsidRPr="00784933">
        <w:rPr>
          <w:rFonts w:ascii="Georgia" w:hAnsi="Georgia" w:cs="Arial"/>
          <w:sz w:val="22"/>
          <w:szCs w:val="21"/>
          <w:u w:val="single"/>
        </w:rPr>
        <w:t>Tasks:</w:t>
      </w:r>
    </w:p>
    <w:p w:rsidR="00784933" w:rsidRDefault="00784933" w:rsidP="00784933">
      <w:pPr>
        <w:pStyle w:val="BodyText3"/>
        <w:rPr>
          <w:rFonts w:ascii="Georgia" w:hAnsi="Georgia" w:cs="Arial"/>
          <w:sz w:val="22"/>
          <w:szCs w:val="21"/>
          <w:u w:val="single"/>
        </w:rPr>
      </w:pPr>
    </w:p>
    <w:p w:rsidR="00784933" w:rsidRPr="00784933" w:rsidRDefault="00784933" w:rsidP="00784933">
      <w:pPr>
        <w:pStyle w:val="BodyText3"/>
        <w:rPr>
          <w:rFonts w:ascii="Georgia" w:hAnsi="Georgia" w:cs="Arial"/>
          <w:sz w:val="22"/>
          <w:szCs w:val="21"/>
        </w:rPr>
      </w:pPr>
      <w:r>
        <w:rPr>
          <w:rFonts w:ascii="Georgia" w:hAnsi="Georgia" w:cs="Arial"/>
          <w:sz w:val="22"/>
          <w:szCs w:val="21"/>
        </w:rPr>
        <w:t>For the workshop, please also prepare by undertaking the following activity.</w:t>
      </w:r>
    </w:p>
    <w:p w:rsidR="00784933" w:rsidRDefault="00784933" w:rsidP="00784933">
      <w:pPr>
        <w:pStyle w:val="BodyText3"/>
        <w:rPr>
          <w:rFonts w:ascii="Georgia" w:hAnsi="Georgia" w:cs="Arial"/>
          <w:sz w:val="22"/>
          <w:szCs w:val="21"/>
        </w:rPr>
      </w:pPr>
    </w:p>
    <w:p w:rsidR="00784933" w:rsidRPr="00784933" w:rsidRDefault="00784933" w:rsidP="00784933">
      <w:pPr>
        <w:pStyle w:val="BodyText3"/>
        <w:rPr>
          <w:rFonts w:ascii="Georgia" w:hAnsi="Georgia" w:cs="Arial"/>
          <w:b/>
          <w:sz w:val="22"/>
          <w:szCs w:val="21"/>
        </w:rPr>
      </w:pPr>
      <w:r w:rsidRPr="00784933">
        <w:rPr>
          <w:rFonts w:ascii="Georgia" w:hAnsi="Georgia" w:cs="Arial"/>
          <w:b/>
          <w:sz w:val="22"/>
          <w:szCs w:val="21"/>
        </w:rPr>
        <w:t>Prepare a description of spaces, places or events in your town/</w:t>
      </w:r>
      <w:r>
        <w:rPr>
          <w:rFonts w:ascii="Georgia" w:hAnsi="Georgia" w:cs="Arial"/>
          <w:b/>
          <w:sz w:val="22"/>
          <w:szCs w:val="21"/>
        </w:rPr>
        <w:t>city/neighborhood</w:t>
      </w:r>
      <w:r w:rsidRPr="00784933">
        <w:rPr>
          <w:rFonts w:ascii="Georgia" w:hAnsi="Georgia" w:cs="Arial"/>
          <w:b/>
          <w:sz w:val="22"/>
          <w:szCs w:val="21"/>
        </w:rPr>
        <w:t xml:space="preserve"> where cosmopolitan attitudes of openness</w:t>
      </w:r>
      <w:r>
        <w:rPr>
          <w:rFonts w:ascii="Georgia" w:hAnsi="Georgia" w:cs="Arial"/>
          <w:b/>
          <w:sz w:val="22"/>
          <w:szCs w:val="21"/>
        </w:rPr>
        <w:t xml:space="preserve"> are evident or practiced. In what ways are these attitudes evident</w:t>
      </w:r>
      <w:r w:rsidR="001C12F1">
        <w:rPr>
          <w:rFonts w:ascii="Georgia" w:hAnsi="Georgia" w:cs="Arial"/>
          <w:b/>
          <w:sz w:val="22"/>
          <w:szCs w:val="21"/>
        </w:rPr>
        <w:t xml:space="preserve"> in this space</w:t>
      </w:r>
      <w:r>
        <w:rPr>
          <w:rFonts w:ascii="Georgia" w:hAnsi="Georgia" w:cs="Arial"/>
          <w:b/>
          <w:sz w:val="22"/>
          <w:szCs w:val="21"/>
        </w:rPr>
        <w:t>? What symbols</w:t>
      </w:r>
      <w:r w:rsidR="001C12F1">
        <w:rPr>
          <w:rFonts w:ascii="Georgia" w:hAnsi="Georgia" w:cs="Arial"/>
          <w:b/>
          <w:sz w:val="22"/>
          <w:szCs w:val="21"/>
        </w:rPr>
        <w:t xml:space="preserve"> – material and visual -</w:t>
      </w:r>
      <w:r>
        <w:rPr>
          <w:rFonts w:ascii="Georgia" w:hAnsi="Georgia" w:cs="Arial"/>
          <w:b/>
          <w:sz w:val="22"/>
          <w:szCs w:val="21"/>
        </w:rPr>
        <w:t xml:space="preserve"> inform </w:t>
      </w:r>
      <w:r w:rsidR="001C12F1">
        <w:rPr>
          <w:rFonts w:ascii="Georgia" w:hAnsi="Georgia" w:cs="Arial"/>
          <w:b/>
          <w:sz w:val="22"/>
          <w:szCs w:val="21"/>
        </w:rPr>
        <w:t>the way the space is understood by participants? In what ways, or not, might we consider this space to be ‘cosmopolitan’ in nature?</w:t>
      </w:r>
    </w:p>
    <w:p w:rsidR="00784933" w:rsidRDefault="00784933">
      <w:pPr>
        <w:rPr>
          <w:rFonts w:ascii="Georgia" w:hAnsi="Georgia"/>
          <w:sz w:val="22"/>
          <w:u w:val="single"/>
        </w:rPr>
      </w:pPr>
    </w:p>
    <w:p w:rsidR="00784933" w:rsidRDefault="00784933">
      <w:pPr>
        <w:rPr>
          <w:rFonts w:ascii="Georgia" w:hAnsi="Georgia"/>
          <w:sz w:val="22"/>
          <w:u w:val="single"/>
        </w:rPr>
      </w:pPr>
    </w:p>
    <w:p w:rsidR="00F350A5" w:rsidRPr="002A2EFA" w:rsidRDefault="00F350A5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  <w:u w:val="single"/>
        </w:rPr>
        <w:t>Primary readings</w:t>
      </w:r>
      <w:r w:rsidRPr="002A2EFA">
        <w:rPr>
          <w:rFonts w:ascii="Georgia" w:hAnsi="Georgia"/>
          <w:sz w:val="22"/>
        </w:rPr>
        <w:t>:</w:t>
      </w:r>
    </w:p>
    <w:p w:rsidR="00F350A5" w:rsidRPr="002A2EFA" w:rsidRDefault="00F350A5">
      <w:pPr>
        <w:rPr>
          <w:rFonts w:ascii="Georgia" w:hAnsi="Georgia"/>
          <w:sz w:val="22"/>
        </w:rPr>
      </w:pPr>
    </w:p>
    <w:p w:rsidR="00F350A5" w:rsidRPr="002A2EFA" w:rsidRDefault="00F350A5" w:rsidP="00DC7691">
      <w:pPr>
        <w:pStyle w:val="ListParagraph"/>
        <w:numPr>
          <w:ilvl w:val="0"/>
          <w:numId w:val="8"/>
        </w:numPr>
        <w:jc w:val="both"/>
        <w:rPr>
          <w:rFonts w:ascii="Georgia" w:eastAsia="Cambria" w:hAnsi="Georgia" w:cs="Times New Roman"/>
          <w:color w:val="000000"/>
          <w:sz w:val="22"/>
          <w:szCs w:val="21"/>
        </w:rPr>
      </w:pPr>
      <w:proofErr w:type="spellStart"/>
      <w:r w:rsidRPr="002A2EFA">
        <w:rPr>
          <w:rFonts w:ascii="Georgia" w:eastAsia="Cambria" w:hAnsi="Georgia" w:cs="Times New Roman"/>
          <w:color w:val="000000"/>
          <w:sz w:val="22"/>
          <w:szCs w:val="21"/>
        </w:rPr>
        <w:t>Skrbis</w:t>
      </w:r>
      <w:proofErr w:type="spellEnd"/>
      <w:r w:rsidRPr="002A2EFA">
        <w:rPr>
          <w:rFonts w:ascii="Georgia" w:eastAsia="Cambria" w:hAnsi="Georgia" w:cs="Times New Roman"/>
          <w:color w:val="000000"/>
          <w:sz w:val="22"/>
          <w:szCs w:val="21"/>
        </w:rPr>
        <w:t xml:space="preserve">, Z., and Woodward, I. </w:t>
      </w:r>
      <w:r w:rsidR="0052734A">
        <w:rPr>
          <w:rFonts w:ascii="Georgia" w:eastAsia="Cambria" w:hAnsi="Georgia" w:cs="Times New Roman"/>
          <w:color w:val="000000"/>
          <w:sz w:val="22"/>
          <w:szCs w:val="21"/>
        </w:rPr>
        <w:t>(</w:t>
      </w:r>
      <w:r w:rsidRPr="002A2EFA">
        <w:rPr>
          <w:rFonts w:ascii="Georgia" w:eastAsia="Cambria" w:hAnsi="Georgia" w:cs="Times New Roman"/>
          <w:color w:val="000000"/>
          <w:sz w:val="22"/>
          <w:szCs w:val="21"/>
        </w:rPr>
        <w:t>2007</w:t>
      </w:r>
      <w:r w:rsidR="0052734A">
        <w:rPr>
          <w:rFonts w:ascii="Georgia" w:eastAsia="Cambria" w:hAnsi="Georgia" w:cs="Times New Roman"/>
          <w:color w:val="000000"/>
          <w:sz w:val="22"/>
          <w:szCs w:val="21"/>
        </w:rPr>
        <w:t>)</w:t>
      </w:r>
      <w:r w:rsidRPr="002A2EFA">
        <w:rPr>
          <w:rFonts w:ascii="Georgia" w:eastAsia="Cambria" w:hAnsi="Georgia" w:cs="Times New Roman"/>
          <w:color w:val="000000"/>
          <w:sz w:val="22"/>
          <w:szCs w:val="21"/>
        </w:rPr>
        <w:t xml:space="preserve"> ‘</w:t>
      </w:r>
      <w:proofErr w:type="gramStart"/>
      <w:r w:rsidRPr="002A2EFA">
        <w:rPr>
          <w:rFonts w:ascii="Georgia" w:eastAsia="Cambria" w:hAnsi="Georgia" w:cs="Times New Roman"/>
          <w:color w:val="000000"/>
          <w:sz w:val="22"/>
          <w:szCs w:val="21"/>
        </w:rPr>
        <w:t>The</w:t>
      </w:r>
      <w:proofErr w:type="gramEnd"/>
      <w:r w:rsidRPr="002A2EFA">
        <w:rPr>
          <w:rFonts w:ascii="Georgia" w:eastAsia="Cambria" w:hAnsi="Georgia" w:cs="Times New Roman"/>
          <w:color w:val="000000"/>
          <w:sz w:val="22"/>
          <w:szCs w:val="21"/>
        </w:rPr>
        <w:t xml:space="preserve"> ambivalence of ordinary cosmopolitanism: Investigating the limits of cosmopolitan openness’ </w:t>
      </w:r>
      <w:r w:rsidRPr="002A2EFA">
        <w:rPr>
          <w:rFonts w:ascii="Georgia" w:eastAsia="Cambria" w:hAnsi="Georgia" w:cs="Times New Roman"/>
          <w:i/>
          <w:color w:val="000000"/>
          <w:sz w:val="22"/>
          <w:szCs w:val="21"/>
        </w:rPr>
        <w:t>The Sociological Review</w:t>
      </w:r>
      <w:r w:rsidRPr="002A2EFA">
        <w:rPr>
          <w:rFonts w:ascii="Georgia" w:eastAsia="Cambria" w:hAnsi="Georgia" w:cs="Times New Roman"/>
          <w:color w:val="000000"/>
          <w:sz w:val="22"/>
          <w:szCs w:val="21"/>
        </w:rPr>
        <w:t>, 55:4, 730-747.</w:t>
      </w:r>
    </w:p>
    <w:p w:rsidR="00F350A5" w:rsidRPr="002A2EFA" w:rsidRDefault="00F350A5" w:rsidP="00DC7691">
      <w:pPr>
        <w:pStyle w:val="BodyText3"/>
        <w:numPr>
          <w:ilvl w:val="0"/>
          <w:numId w:val="8"/>
        </w:numPr>
        <w:rPr>
          <w:rFonts w:ascii="Georgia" w:hAnsi="Georgia" w:cs="Arial"/>
          <w:sz w:val="22"/>
          <w:szCs w:val="21"/>
        </w:rPr>
      </w:pPr>
      <w:proofErr w:type="spellStart"/>
      <w:r w:rsidRPr="002A2EFA">
        <w:rPr>
          <w:rFonts w:ascii="Georgia" w:hAnsi="Georgia" w:cs="Arial"/>
          <w:sz w:val="22"/>
          <w:szCs w:val="21"/>
        </w:rPr>
        <w:t>Skrbis</w:t>
      </w:r>
      <w:proofErr w:type="spellEnd"/>
      <w:r w:rsidRPr="002A2EFA">
        <w:rPr>
          <w:rFonts w:ascii="Georgia" w:hAnsi="Georgia" w:cs="Arial"/>
          <w:sz w:val="22"/>
          <w:szCs w:val="21"/>
        </w:rPr>
        <w:t xml:space="preserve">, Z., Kendall, G., and Woodward, I. </w:t>
      </w:r>
      <w:r w:rsidR="0052734A">
        <w:rPr>
          <w:rFonts w:ascii="Georgia" w:hAnsi="Georgia" w:cs="Arial"/>
          <w:sz w:val="22"/>
          <w:szCs w:val="21"/>
        </w:rPr>
        <w:t>(2004)</w:t>
      </w:r>
      <w:r w:rsidRPr="002A2EFA">
        <w:rPr>
          <w:rFonts w:ascii="Georgia" w:hAnsi="Georgia" w:cs="Arial"/>
          <w:sz w:val="22"/>
          <w:szCs w:val="21"/>
        </w:rPr>
        <w:t xml:space="preserve"> ‘Locating Cosmopolitanism: Between Humanist Ideal and Grounded Social Category’, </w:t>
      </w:r>
      <w:r w:rsidRPr="002A2EFA">
        <w:rPr>
          <w:rFonts w:ascii="Georgia" w:hAnsi="Georgia" w:cs="Arial"/>
          <w:i/>
          <w:sz w:val="22"/>
          <w:szCs w:val="21"/>
        </w:rPr>
        <w:t>Theory, Culture and Society</w:t>
      </w:r>
      <w:r w:rsidRPr="002A2EFA">
        <w:rPr>
          <w:rFonts w:ascii="Georgia" w:hAnsi="Georgia" w:cs="Arial"/>
          <w:sz w:val="22"/>
          <w:szCs w:val="21"/>
        </w:rPr>
        <w:t>, 21(5): 115-136.</w:t>
      </w:r>
    </w:p>
    <w:p w:rsidR="00F350A5" w:rsidRPr="002A2EFA" w:rsidRDefault="00F350A5" w:rsidP="00F350A5">
      <w:pPr>
        <w:pStyle w:val="BodyText3"/>
        <w:ind w:left="720" w:hanging="720"/>
        <w:rPr>
          <w:rFonts w:ascii="Georgia" w:hAnsi="Georgia" w:cs="Arial"/>
          <w:sz w:val="22"/>
          <w:szCs w:val="21"/>
        </w:rPr>
      </w:pPr>
    </w:p>
    <w:p w:rsidR="00F350A5" w:rsidRPr="002A2EFA" w:rsidRDefault="00F350A5" w:rsidP="00F350A5">
      <w:pPr>
        <w:rPr>
          <w:rFonts w:ascii="Georgia" w:hAnsi="Georgia"/>
          <w:sz w:val="22"/>
        </w:rPr>
      </w:pPr>
      <w:r w:rsidRPr="002A2EFA">
        <w:rPr>
          <w:rFonts w:ascii="Georgia" w:hAnsi="Georgia"/>
          <w:sz w:val="22"/>
          <w:u w:val="single"/>
        </w:rPr>
        <w:t>Secondary readings for further consultation</w:t>
      </w:r>
      <w:r w:rsidRPr="002A2EFA">
        <w:rPr>
          <w:rFonts w:ascii="Georgia" w:hAnsi="Georgia"/>
          <w:sz w:val="22"/>
        </w:rPr>
        <w:t>:</w:t>
      </w:r>
    </w:p>
    <w:p w:rsidR="00F350A5" w:rsidRPr="002A2EFA" w:rsidRDefault="00F350A5" w:rsidP="00F350A5">
      <w:pPr>
        <w:pStyle w:val="BodyText3"/>
        <w:ind w:left="720" w:hanging="720"/>
        <w:rPr>
          <w:rFonts w:ascii="Georgia" w:hAnsi="Georgia" w:cs="Arial"/>
          <w:sz w:val="22"/>
          <w:szCs w:val="21"/>
        </w:rPr>
      </w:pPr>
    </w:p>
    <w:p w:rsidR="005E79C0" w:rsidRPr="002A2EFA" w:rsidRDefault="005E79C0" w:rsidP="00DC76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eorgia" w:hAnsi="Georgia" w:cs="TimesTen-Roman"/>
          <w:sz w:val="22"/>
          <w:szCs w:val="16"/>
        </w:rPr>
      </w:pPr>
      <w:r w:rsidRPr="002A2EFA">
        <w:rPr>
          <w:rFonts w:ascii="Georgia" w:hAnsi="Georgia" w:cs="TimesTen-Roman"/>
          <w:sz w:val="22"/>
          <w:szCs w:val="16"/>
        </w:rPr>
        <w:t xml:space="preserve">Andersen, E. (2011) </w:t>
      </w:r>
      <w:r w:rsidRPr="002A2EFA">
        <w:rPr>
          <w:rFonts w:ascii="Georgia" w:hAnsi="Georgia" w:cs="TimesTen-Roman"/>
          <w:i/>
          <w:sz w:val="22"/>
          <w:szCs w:val="16"/>
        </w:rPr>
        <w:t>The Cosmopolitan Canopy</w:t>
      </w:r>
      <w:r w:rsidRPr="002A2EFA">
        <w:rPr>
          <w:rFonts w:ascii="Georgia" w:hAnsi="Georgia" w:cs="TimesTen-Roman"/>
          <w:sz w:val="22"/>
          <w:szCs w:val="16"/>
        </w:rPr>
        <w:t xml:space="preserve">. </w:t>
      </w:r>
      <w:r w:rsidRPr="002A2EFA">
        <w:rPr>
          <w:rFonts w:ascii="Georgia" w:hAnsi="Georgia" w:cs="TimesTen-Roman"/>
          <w:i/>
          <w:sz w:val="22"/>
          <w:szCs w:val="16"/>
        </w:rPr>
        <w:t>Race and Civility in Everyday Life</w:t>
      </w:r>
      <w:r w:rsidRPr="002A2EFA">
        <w:rPr>
          <w:rFonts w:ascii="Georgia" w:hAnsi="Georgia" w:cs="TimesTen-Roman"/>
          <w:sz w:val="22"/>
          <w:szCs w:val="16"/>
        </w:rPr>
        <w:t xml:space="preserve">, WW Norton &amp; Co., New York. </w:t>
      </w:r>
    </w:p>
    <w:p w:rsidR="005E79C0" w:rsidRPr="002A2EFA" w:rsidRDefault="005E79C0" w:rsidP="00DC76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eorgia" w:hAnsi="Georgia" w:cs="TimesTen-Roman"/>
          <w:sz w:val="22"/>
          <w:szCs w:val="16"/>
        </w:rPr>
      </w:pPr>
      <w:proofErr w:type="spellStart"/>
      <w:r w:rsidRPr="002A2EFA">
        <w:rPr>
          <w:rFonts w:ascii="Georgia" w:hAnsi="Georgia" w:cs="TimesTen-Roman"/>
          <w:sz w:val="22"/>
          <w:szCs w:val="16"/>
        </w:rPr>
        <w:t>Delanty</w:t>
      </w:r>
      <w:proofErr w:type="spellEnd"/>
      <w:r w:rsidRPr="002A2EFA">
        <w:rPr>
          <w:rFonts w:ascii="Georgia" w:hAnsi="Georgia" w:cs="TimesTen-Roman"/>
          <w:sz w:val="22"/>
          <w:szCs w:val="16"/>
        </w:rPr>
        <w:t xml:space="preserve">, G. </w:t>
      </w:r>
      <w:r w:rsidRPr="002A2EFA">
        <w:rPr>
          <w:rFonts w:ascii="Georgia" w:hAnsi="Georgia"/>
          <w:sz w:val="22"/>
        </w:rPr>
        <w:t xml:space="preserve">(2009) </w:t>
      </w:r>
      <w:r w:rsidRPr="002A2EFA">
        <w:rPr>
          <w:rStyle w:val="Emphasis"/>
          <w:rFonts w:ascii="Georgia" w:hAnsi="Georgia"/>
          <w:sz w:val="22"/>
        </w:rPr>
        <w:t xml:space="preserve">The Cosmopolitan Imagination: the Renewal of Critical Social </w:t>
      </w:r>
      <w:r w:rsidRPr="002A2EFA">
        <w:rPr>
          <w:rFonts w:ascii="Georgia" w:hAnsi="Georgia"/>
          <w:sz w:val="22"/>
        </w:rPr>
        <w:t>Cambridge: Cambridge University Press.</w:t>
      </w:r>
    </w:p>
    <w:p w:rsidR="00DC7691" w:rsidRPr="002A2EFA" w:rsidRDefault="00DC7691" w:rsidP="00DC76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eorgia" w:hAnsi="Georgia" w:cs="TimesTen-Roman"/>
          <w:sz w:val="22"/>
          <w:szCs w:val="16"/>
        </w:rPr>
      </w:pPr>
      <w:proofErr w:type="spellStart"/>
      <w:r w:rsidRPr="002A2EFA">
        <w:rPr>
          <w:rFonts w:ascii="Georgia" w:hAnsi="Georgia" w:cs="TimesTen-Roman"/>
          <w:sz w:val="22"/>
          <w:szCs w:val="16"/>
        </w:rPr>
        <w:t>Lamont</w:t>
      </w:r>
      <w:proofErr w:type="spellEnd"/>
      <w:r w:rsidRPr="002A2EFA">
        <w:rPr>
          <w:rFonts w:ascii="Georgia" w:hAnsi="Georgia" w:cs="TimesTen-Roman"/>
          <w:sz w:val="22"/>
          <w:szCs w:val="16"/>
        </w:rPr>
        <w:t>,</w:t>
      </w:r>
      <w:r w:rsidR="009B462B">
        <w:rPr>
          <w:rFonts w:ascii="Georgia" w:hAnsi="Georgia" w:cs="TimesTen-Roman"/>
          <w:sz w:val="22"/>
          <w:szCs w:val="16"/>
        </w:rPr>
        <w:t xml:space="preserve"> </w:t>
      </w:r>
      <w:r w:rsidRPr="002A2EFA">
        <w:rPr>
          <w:rFonts w:ascii="Georgia" w:hAnsi="Georgia" w:cs="TimesTen-Roman"/>
          <w:sz w:val="22"/>
          <w:szCs w:val="16"/>
        </w:rPr>
        <w:t xml:space="preserve">M. and </w:t>
      </w:r>
      <w:proofErr w:type="spellStart"/>
      <w:r w:rsidRPr="002A2EFA">
        <w:rPr>
          <w:rFonts w:ascii="Georgia" w:hAnsi="Georgia" w:cs="TimesTen-Roman"/>
          <w:sz w:val="22"/>
          <w:szCs w:val="16"/>
        </w:rPr>
        <w:t>Aksartova</w:t>
      </w:r>
      <w:proofErr w:type="spellEnd"/>
      <w:r w:rsidRPr="002A2EFA">
        <w:rPr>
          <w:rFonts w:ascii="Georgia" w:hAnsi="Georgia" w:cs="TimesTen-Roman"/>
          <w:sz w:val="22"/>
          <w:szCs w:val="16"/>
        </w:rPr>
        <w:t xml:space="preserve">, S., (2002) ‘Ordinary Cosmopolitanisms: Strategies for bridging racial boundaries among working-class men’, </w:t>
      </w:r>
      <w:r w:rsidRPr="002A2EFA">
        <w:rPr>
          <w:rFonts w:ascii="Georgia" w:hAnsi="Georgia" w:cs="TimesTen-Roman"/>
          <w:i/>
          <w:iCs/>
          <w:sz w:val="22"/>
          <w:szCs w:val="16"/>
        </w:rPr>
        <w:t>Theory, Culture and Society</w:t>
      </w:r>
      <w:r w:rsidRPr="002A2EFA">
        <w:rPr>
          <w:rFonts w:ascii="Georgia" w:hAnsi="Georgia" w:cs="TimesTen-Roman"/>
          <w:sz w:val="22"/>
          <w:szCs w:val="16"/>
        </w:rPr>
        <w:t>, 19 (4): 1–25.</w:t>
      </w:r>
    </w:p>
    <w:p w:rsidR="00DC7691" w:rsidRPr="002A2EFA" w:rsidRDefault="00DC7691" w:rsidP="00DC7691">
      <w:pPr>
        <w:pStyle w:val="BodyText"/>
        <w:widowControl w:val="0"/>
        <w:numPr>
          <w:ilvl w:val="0"/>
          <w:numId w:val="9"/>
        </w:numPr>
        <w:spacing w:after="0"/>
        <w:contextualSpacing/>
        <w:jc w:val="both"/>
        <w:rPr>
          <w:rFonts w:ascii="Georgia" w:hAnsi="Georgia"/>
          <w:kern w:val="18"/>
          <w:sz w:val="22"/>
        </w:rPr>
      </w:pPr>
      <w:r w:rsidRPr="002A2EFA">
        <w:rPr>
          <w:rFonts w:ascii="Georgia" w:hAnsi="Georgia"/>
          <w:kern w:val="18"/>
          <w:sz w:val="22"/>
        </w:rPr>
        <w:t xml:space="preserve">Nava, M. (2007) </w:t>
      </w:r>
      <w:r w:rsidRPr="002A2EFA">
        <w:rPr>
          <w:rFonts w:ascii="Georgia" w:hAnsi="Georgia"/>
          <w:i/>
          <w:kern w:val="18"/>
          <w:sz w:val="22"/>
        </w:rPr>
        <w:t>Visceral Cosmopolitanism: Gender, Culture and the Normalisation of Difference</w:t>
      </w:r>
      <w:r w:rsidRPr="002A2EFA">
        <w:rPr>
          <w:rFonts w:ascii="Georgia" w:hAnsi="Georgia"/>
          <w:kern w:val="18"/>
          <w:sz w:val="22"/>
        </w:rPr>
        <w:t>, Oxford: Berg.</w:t>
      </w:r>
    </w:p>
    <w:p w:rsidR="00DC7691" w:rsidRPr="002A2EFA" w:rsidRDefault="00DC7691" w:rsidP="00DC7691">
      <w:pPr>
        <w:pStyle w:val="BodyText"/>
        <w:widowControl w:val="0"/>
        <w:numPr>
          <w:ilvl w:val="0"/>
          <w:numId w:val="9"/>
        </w:numPr>
        <w:spacing w:after="0"/>
        <w:contextualSpacing/>
        <w:jc w:val="both"/>
        <w:rPr>
          <w:rFonts w:ascii="Georgia" w:hAnsi="Georgia"/>
          <w:sz w:val="22"/>
        </w:rPr>
      </w:pPr>
      <w:proofErr w:type="spellStart"/>
      <w:r w:rsidRPr="002A2EFA">
        <w:rPr>
          <w:rFonts w:ascii="Georgia" w:hAnsi="Georgia"/>
          <w:sz w:val="22"/>
        </w:rPr>
        <w:t>Roudometof</w:t>
      </w:r>
      <w:proofErr w:type="spellEnd"/>
      <w:r w:rsidRPr="002A2EFA">
        <w:rPr>
          <w:rFonts w:ascii="Georgia" w:hAnsi="Georgia"/>
          <w:sz w:val="22"/>
        </w:rPr>
        <w:t>, V. (2005) ‘</w:t>
      </w:r>
      <w:proofErr w:type="spellStart"/>
      <w:r w:rsidRPr="002A2EFA">
        <w:rPr>
          <w:rFonts w:ascii="Georgia" w:hAnsi="Georgia"/>
          <w:sz w:val="22"/>
        </w:rPr>
        <w:t>Transnationalism</w:t>
      </w:r>
      <w:proofErr w:type="spellEnd"/>
      <w:r w:rsidRPr="002A2EFA">
        <w:rPr>
          <w:rFonts w:ascii="Georgia" w:hAnsi="Georgia"/>
          <w:sz w:val="22"/>
        </w:rPr>
        <w:t xml:space="preserve">, Cosmopolitanism and Globalization’. </w:t>
      </w:r>
      <w:r w:rsidRPr="002A2EFA">
        <w:rPr>
          <w:rFonts w:ascii="Georgia" w:hAnsi="Georgia"/>
          <w:i/>
          <w:sz w:val="22"/>
        </w:rPr>
        <w:t>Current Sociology,</w:t>
      </w:r>
      <w:r w:rsidRPr="002A2EFA">
        <w:rPr>
          <w:rFonts w:ascii="Georgia" w:hAnsi="Georgia"/>
          <w:sz w:val="22"/>
        </w:rPr>
        <w:t xml:space="preserve"> 35(1): 113-135.</w:t>
      </w:r>
    </w:p>
    <w:p w:rsidR="00D84CBD" w:rsidRPr="002A2EFA" w:rsidRDefault="00DC7691" w:rsidP="00DC7691">
      <w:pPr>
        <w:pStyle w:val="BodyText"/>
        <w:widowControl w:val="0"/>
        <w:numPr>
          <w:ilvl w:val="0"/>
          <w:numId w:val="9"/>
        </w:numPr>
        <w:spacing w:after="0"/>
        <w:contextualSpacing/>
        <w:jc w:val="both"/>
        <w:rPr>
          <w:rFonts w:ascii="Georgia" w:hAnsi="Georgia" w:cs="Helvetica"/>
          <w:sz w:val="22"/>
        </w:rPr>
      </w:pPr>
      <w:r w:rsidRPr="002A2EFA">
        <w:rPr>
          <w:rFonts w:ascii="Georgia" w:hAnsi="Georgia" w:cs="Times"/>
          <w:sz w:val="22"/>
          <w:szCs w:val="16"/>
        </w:rPr>
        <w:t xml:space="preserve">Savage, M., </w:t>
      </w:r>
      <w:proofErr w:type="spellStart"/>
      <w:r w:rsidRPr="002A2EFA">
        <w:rPr>
          <w:rFonts w:ascii="Georgia" w:hAnsi="Georgia" w:cs="Times"/>
          <w:sz w:val="22"/>
          <w:szCs w:val="16"/>
        </w:rPr>
        <w:t>Bagnall</w:t>
      </w:r>
      <w:proofErr w:type="spellEnd"/>
      <w:r w:rsidRPr="002A2EFA">
        <w:rPr>
          <w:rFonts w:ascii="Georgia" w:hAnsi="Georgia" w:cs="Times"/>
          <w:sz w:val="22"/>
          <w:szCs w:val="16"/>
        </w:rPr>
        <w:t xml:space="preserve">, G. and </w:t>
      </w:r>
      <w:proofErr w:type="spellStart"/>
      <w:r w:rsidRPr="002A2EFA">
        <w:rPr>
          <w:rFonts w:ascii="Georgia" w:hAnsi="Georgia" w:cs="Times"/>
          <w:sz w:val="22"/>
          <w:szCs w:val="16"/>
        </w:rPr>
        <w:t>Longhurst</w:t>
      </w:r>
      <w:proofErr w:type="spellEnd"/>
      <w:r w:rsidRPr="002A2EFA">
        <w:rPr>
          <w:rFonts w:ascii="Georgia" w:hAnsi="Georgia" w:cs="Times"/>
          <w:sz w:val="22"/>
          <w:szCs w:val="16"/>
        </w:rPr>
        <w:t>, B.</w:t>
      </w:r>
      <w:r w:rsidRPr="002A2EFA">
        <w:rPr>
          <w:rFonts w:ascii="Georgia" w:hAnsi="Georgia" w:cs="Helvetica"/>
          <w:sz w:val="22"/>
        </w:rPr>
        <w:t xml:space="preserve"> (</w:t>
      </w:r>
      <w:r w:rsidRPr="002A2EFA">
        <w:rPr>
          <w:rFonts w:ascii="Georgia" w:hAnsi="Georgia" w:cs="Times"/>
          <w:sz w:val="22"/>
          <w:szCs w:val="16"/>
        </w:rPr>
        <w:t>2005)</w:t>
      </w:r>
      <w:r w:rsidRPr="002A2EFA">
        <w:rPr>
          <w:rFonts w:ascii="Georgia" w:hAnsi="Georgia" w:cs="Helvetica"/>
          <w:sz w:val="22"/>
        </w:rPr>
        <w:t xml:space="preserve"> </w:t>
      </w:r>
      <w:r w:rsidRPr="002A2EFA">
        <w:rPr>
          <w:rFonts w:ascii="Georgia" w:hAnsi="Georgia" w:cs="Times"/>
          <w:i/>
          <w:sz w:val="22"/>
          <w:szCs w:val="16"/>
        </w:rPr>
        <w:t>Globalization and Belonging</w:t>
      </w:r>
      <w:r w:rsidRPr="002A2EFA">
        <w:rPr>
          <w:rFonts w:ascii="Georgia" w:hAnsi="Georgia" w:cs="Times"/>
          <w:sz w:val="22"/>
          <w:szCs w:val="16"/>
        </w:rPr>
        <w:t>, London:</w:t>
      </w:r>
      <w:r w:rsidRPr="002A2EFA">
        <w:rPr>
          <w:rFonts w:ascii="Georgia" w:hAnsi="Georgia" w:cs="Helvetica"/>
          <w:sz w:val="22"/>
        </w:rPr>
        <w:t xml:space="preserve"> Sage.</w:t>
      </w:r>
    </w:p>
    <w:p w:rsidR="00DC7691" w:rsidRPr="002A2EFA" w:rsidRDefault="00D84CBD" w:rsidP="00D84CBD">
      <w:pPr>
        <w:pStyle w:val="ListParagraph"/>
        <w:numPr>
          <w:ilvl w:val="0"/>
          <w:numId w:val="9"/>
        </w:numPr>
        <w:jc w:val="both"/>
        <w:rPr>
          <w:rFonts w:ascii="Georgia" w:hAnsi="Georgia"/>
          <w:sz w:val="22"/>
          <w:szCs w:val="21"/>
        </w:rPr>
      </w:pPr>
      <w:proofErr w:type="spellStart"/>
      <w:r w:rsidRPr="002A2EFA">
        <w:rPr>
          <w:rFonts w:ascii="Georgia" w:hAnsi="Georgia"/>
          <w:sz w:val="22"/>
          <w:szCs w:val="21"/>
        </w:rPr>
        <w:t>Skrbis</w:t>
      </w:r>
      <w:proofErr w:type="spellEnd"/>
      <w:r w:rsidRPr="002A2EFA">
        <w:rPr>
          <w:rFonts w:ascii="Georgia" w:hAnsi="Georgia"/>
          <w:sz w:val="22"/>
          <w:szCs w:val="21"/>
        </w:rPr>
        <w:t xml:space="preserve">, Z., and Woodward, I. </w:t>
      </w:r>
      <w:r w:rsidR="005E79C0" w:rsidRPr="002A2EFA">
        <w:rPr>
          <w:rFonts w:ascii="Georgia" w:hAnsi="Georgia"/>
          <w:sz w:val="22"/>
          <w:szCs w:val="21"/>
        </w:rPr>
        <w:t>(2013)</w:t>
      </w:r>
      <w:r w:rsidRPr="002A2EFA">
        <w:rPr>
          <w:rFonts w:ascii="Georgia" w:hAnsi="Georgia"/>
          <w:sz w:val="22"/>
          <w:szCs w:val="21"/>
        </w:rPr>
        <w:t xml:space="preserve"> </w:t>
      </w:r>
      <w:r w:rsidRPr="002A2EFA">
        <w:rPr>
          <w:rFonts w:ascii="Georgia" w:hAnsi="Georgia"/>
          <w:i/>
          <w:sz w:val="22"/>
          <w:szCs w:val="21"/>
        </w:rPr>
        <w:t>Cosmopolitanism. Uses of the Idea</w:t>
      </w:r>
      <w:r w:rsidRPr="002A2EFA">
        <w:rPr>
          <w:rFonts w:ascii="Georgia" w:hAnsi="Georgia"/>
          <w:sz w:val="22"/>
          <w:szCs w:val="21"/>
        </w:rPr>
        <w:t xml:space="preserve">, London: Sage, </w:t>
      </w:r>
      <w:r w:rsidRPr="002A2EFA">
        <w:rPr>
          <w:rFonts w:ascii="Georgia" w:hAnsi="Georgia"/>
          <w:i/>
          <w:sz w:val="22"/>
          <w:szCs w:val="21"/>
        </w:rPr>
        <w:t>Theory, Culture and Society Book Series</w:t>
      </w:r>
      <w:r w:rsidRPr="002A2EFA">
        <w:rPr>
          <w:rFonts w:ascii="Georgia" w:hAnsi="Georgia"/>
          <w:sz w:val="22"/>
          <w:szCs w:val="21"/>
        </w:rPr>
        <w:t>.</w:t>
      </w:r>
    </w:p>
    <w:p w:rsidR="00DC7691" w:rsidRPr="002A2EFA" w:rsidRDefault="00DC7691" w:rsidP="00DC7691">
      <w:pPr>
        <w:pStyle w:val="ListParagraph"/>
        <w:numPr>
          <w:ilvl w:val="0"/>
          <w:numId w:val="9"/>
        </w:numPr>
        <w:jc w:val="both"/>
        <w:rPr>
          <w:rFonts w:ascii="Georgia" w:hAnsi="Georgia"/>
          <w:sz w:val="22"/>
        </w:rPr>
      </w:pPr>
      <w:proofErr w:type="spellStart"/>
      <w:r w:rsidRPr="002A2EFA">
        <w:rPr>
          <w:rFonts w:ascii="Georgia" w:hAnsi="Georgia"/>
          <w:sz w:val="22"/>
        </w:rPr>
        <w:t>Szerszynski</w:t>
      </w:r>
      <w:proofErr w:type="spellEnd"/>
      <w:r w:rsidRPr="002A2EFA">
        <w:rPr>
          <w:rFonts w:ascii="Georgia" w:hAnsi="Georgia"/>
          <w:sz w:val="22"/>
        </w:rPr>
        <w:t xml:space="preserve">, B. and </w:t>
      </w:r>
      <w:proofErr w:type="spellStart"/>
      <w:r w:rsidRPr="002A2EFA">
        <w:rPr>
          <w:rFonts w:ascii="Georgia" w:hAnsi="Georgia"/>
          <w:sz w:val="22"/>
        </w:rPr>
        <w:t>Urry</w:t>
      </w:r>
      <w:proofErr w:type="spellEnd"/>
      <w:r w:rsidRPr="002A2EFA">
        <w:rPr>
          <w:rFonts w:ascii="Georgia" w:hAnsi="Georgia"/>
          <w:sz w:val="22"/>
        </w:rPr>
        <w:t xml:space="preserve">, J. (2002) ‘Cultures of Cosmopolitanism’, </w:t>
      </w:r>
      <w:r w:rsidRPr="002A2EFA">
        <w:rPr>
          <w:rFonts w:ascii="Georgia" w:hAnsi="Georgia"/>
          <w:i/>
          <w:sz w:val="22"/>
        </w:rPr>
        <w:t>The Sociological Review</w:t>
      </w:r>
      <w:r w:rsidRPr="002A2EFA">
        <w:rPr>
          <w:rFonts w:ascii="Georgia" w:hAnsi="Georgia"/>
          <w:sz w:val="22"/>
        </w:rPr>
        <w:t>, 50(4): 461-81.</w:t>
      </w:r>
    </w:p>
    <w:p w:rsidR="00DC7691" w:rsidRPr="002A2EFA" w:rsidRDefault="002A2EFA" w:rsidP="00DC76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eorgia" w:hAnsi="Georgia" w:cs="TimesTen-Roman"/>
          <w:sz w:val="22"/>
          <w:szCs w:val="16"/>
        </w:rPr>
      </w:pPr>
      <w:proofErr w:type="spellStart"/>
      <w:r w:rsidRPr="002A2EFA">
        <w:rPr>
          <w:rFonts w:ascii="Georgia" w:hAnsi="Georgia" w:cs="TimesTen-Roman"/>
          <w:sz w:val="22"/>
          <w:szCs w:val="16"/>
        </w:rPr>
        <w:t>Vertovec</w:t>
      </w:r>
      <w:proofErr w:type="spellEnd"/>
      <w:r w:rsidRPr="002A2EFA">
        <w:rPr>
          <w:rFonts w:ascii="Georgia" w:hAnsi="Georgia" w:cs="TimesTen-Roman"/>
          <w:sz w:val="22"/>
          <w:szCs w:val="16"/>
        </w:rPr>
        <w:t>, S. and Cohen, R.</w:t>
      </w:r>
      <w:r w:rsidR="00DC7691" w:rsidRPr="002A2EFA">
        <w:rPr>
          <w:rFonts w:ascii="Georgia" w:hAnsi="Georgia" w:cs="TimesTen-Roman"/>
          <w:sz w:val="22"/>
          <w:szCs w:val="16"/>
        </w:rPr>
        <w:t xml:space="preserve"> (2002)</w:t>
      </w:r>
      <w:r w:rsidRPr="002A2EFA">
        <w:rPr>
          <w:rFonts w:ascii="Georgia" w:hAnsi="Georgia" w:cs="TimesTen-Roman"/>
          <w:sz w:val="22"/>
          <w:szCs w:val="16"/>
        </w:rPr>
        <w:t xml:space="preserve"> </w:t>
      </w:r>
      <w:r w:rsidR="00DC7691" w:rsidRPr="002A2EFA">
        <w:rPr>
          <w:rFonts w:ascii="Georgia" w:hAnsi="Georgia" w:cs="TimesTen-Roman"/>
          <w:i/>
          <w:iCs/>
          <w:sz w:val="22"/>
          <w:szCs w:val="16"/>
        </w:rPr>
        <w:t>Conceiving Cosmopolitanism – Theory, Context, Practice</w:t>
      </w:r>
      <w:r w:rsidR="00DC7691" w:rsidRPr="002A2EFA">
        <w:rPr>
          <w:rFonts w:ascii="Georgia" w:hAnsi="Georgia" w:cs="TimesTen-Roman"/>
          <w:sz w:val="22"/>
          <w:szCs w:val="16"/>
        </w:rPr>
        <w:t>, Oxford: Oxford University Press.</w:t>
      </w:r>
    </w:p>
    <w:p w:rsidR="00DC7691" w:rsidRPr="002A2EFA" w:rsidRDefault="00DC7691" w:rsidP="00DC7691">
      <w:pPr>
        <w:pStyle w:val="BodyText"/>
        <w:widowControl w:val="0"/>
        <w:spacing w:after="0"/>
        <w:contextualSpacing/>
        <w:jc w:val="both"/>
        <w:rPr>
          <w:rFonts w:ascii="Georgia" w:hAnsi="Georgia" w:cs="Helvetica"/>
          <w:sz w:val="22"/>
        </w:rPr>
      </w:pPr>
    </w:p>
    <w:p w:rsidR="00F350A5" w:rsidRPr="002A2EFA" w:rsidRDefault="00F350A5" w:rsidP="00F350A5">
      <w:pPr>
        <w:pStyle w:val="BodyText3"/>
        <w:ind w:left="720" w:hanging="720"/>
        <w:rPr>
          <w:rFonts w:ascii="Georgia" w:hAnsi="Georgia" w:cs="Arial"/>
          <w:sz w:val="22"/>
          <w:szCs w:val="21"/>
        </w:rPr>
      </w:pPr>
    </w:p>
    <w:p w:rsidR="00F350A5" w:rsidRPr="002A2EFA" w:rsidRDefault="00F350A5">
      <w:pPr>
        <w:rPr>
          <w:rFonts w:ascii="Georgia" w:hAnsi="Georgia"/>
          <w:sz w:val="22"/>
        </w:rPr>
      </w:pPr>
    </w:p>
    <w:p w:rsidR="00F350A5" w:rsidRPr="002A2EFA" w:rsidRDefault="00F350A5">
      <w:pPr>
        <w:rPr>
          <w:rFonts w:ascii="Georgia" w:hAnsi="Georgia"/>
          <w:sz w:val="22"/>
        </w:rPr>
      </w:pPr>
    </w:p>
    <w:p w:rsidR="00F350A5" w:rsidRPr="002A2EFA" w:rsidRDefault="00F350A5">
      <w:pPr>
        <w:rPr>
          <w:rFonts w:ascii="Georgia" w:hAnsi="Georgia"/>
          <w:sz w:val="22"/>
        </w:rPr>
      </w:pPr>
    </w:p>
    <w:p w:rsidR="00F350A5" w:rsidRPr="002A2EFA" w:rsidRDefault="00F350A5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sz w:val="22"/>
        </w:rPr>
      </w:pPr>
    </w:p>
    <w:p w:rsidR="00227210" w:rsidRPr="002A2EFA" w:rsidRDefault="00227210">
      <w:pPr>
        <w:rPr>
          <w:rFonts w:ascii="Georgia" w:hAnsi="Georgia"/>
          <w:sz w:val="22"/>
        </w:rPr>
      </w:pPr>
    </w:p>
    <w:sectPr w:rsidR="00227210" w:rsidRPr="002A2EFA" w:rsidSect="0022721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 P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Ten-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B10"/>
    <w:multiLevelType w:val="hybridMultilevel"/>
    <w:tmpl w:val="412CA5C6"/>
    <w:lvl w:ilvl="0" w:tplc="1466D3B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4783"/>
    <w:multiLevelType w:val="hybridMultilevel"/>
    <w:tmpl w:val="F670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6AA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1D06"/>
    <w:multiLevelType w:val="hybridMultilevel"/>
    <w:tmpl w:val="50C8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6DAD"/>
    <w:multiLevelType w:val="hybridMultilevel"/>
    <w:tmpl w:val="9CB2F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A1E5E"/>
    <w:multiLevelType w:val="hybridMultilevel"/>
    <w:tmpl w:val="06EC0CCA"/>
    <w:lvl w:ilvl="0" w:tplc="146249D4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7D86"/>
    <w:multiLevelType w:val="hybridMultilevel"/>
    <w:tmpl w:val="ADAE9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A5D03"/>
    <w:multiLevelType w:val="hybridMultilevel"/>
    <w:tmpl w:val="06EC0CCA"/>
    <w:lvl w:ilvl="0" w:tplc="146249D4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45D15"/>
    <w:multiLevelType w:val="hybridMultilevel"/>
    <w:tmpl w:val="0D8E5B26"/>
    <w:lvl w:ilvl="0" w:tplc="2056F1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D77FB8"/>
    <w:multiLevelType w:val="multilevel"/>
    <w:tmpl w:val="ADAE9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7210"/>
    <w:rsid w:val="00172C49"/>
    <w:rsid w:val="001C12F1"/>
    <w:rsid w:val="00227210"/>
    <w:rsid w:val="002A2EFA"/>
    <w:rsid w:val="0049257C"/>
    <w:rsid w:val="0052734A"/>
    <w:rsid w:val="005E79C0"/>
    <w:rsid w:val="00784933"/>
    <w:rsid w:val="008A1794"/>
    <w:rsid w:val="009B462B"/>
    <w:rsid w:val="00D84CBD"/>
    <w:rsid w:val="00DC7691"/>
    <w:rsid w:val="00F350A5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72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1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794"/>
  </w:style>
  <w:style w:type="paragraph" w:styleId="Footer">
    <w:name w:val="footer"/>
    <w:basedOn w:val="Normal"/>
    <w:link w:val="FooterChar"/>
    <w:uiPriority w:val="99"/>
    <w:semiHidden/>
    <w:unhideWhenUsed/>
    <w:rsid w:val="008A17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794"/>
  </w:style>
  <w:style w:type="paragraph" w:styleId="BodyText3">
    <w:name w:val="Body Text 3"/>
    <w:basedOn w:val="Normal"/>
    <w:link w:val="BodyText3Char"/>
    <w:rsid w:val="00F350A5"/>
    <w:pPr>
      <w:jc w:val="both"/>
    </w:pPr>
    <w:rPr>
      <w:rFonts w:ascii="Garamond" w:eastAsia="Times New Roman" w:hAnsi="Garamond" w:cs="Times New Roman"/>
      <w:snapToGrid w:val="0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F350A5"/>
    <w:rPr>
      <w:rFonts w:ascii="Garamond" w:eastAsia="Times New Roman" w:hAnsi="Garamond" w:cs="Times New Roman"/>
      <w:snapToGrid w:val="0"/>
      <w:color w:val="000000"/>
      <w:szCs w:val="20"/>
    </w:rPr>
  </w:style>
  <w:style w:type="paragraph" w:styleId="BodyText">
    <w:name w:val="Body Text"/>
    <w:basedOn w:val="Normal"/>
    <w:link w:val="BodyTextChar"/>
    <w:unhideWhenUsed/>
    <w:rsid w:val="00DC7691"/>
    <w:pPr>
      <w:spacing w:after="120"/>
    </w:pPr>
    <w:rPr>
      <w:rFonts w:ascii="Times" w:eastAsia="Times" w:hAnsi="Times" w:cs="Times New Roman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DC7691"/>
    <w:rPr>
      <w:rFonts w:ascii="Times" w:eastAsia="Times" w:hAnsi="Times" w:cs="Times New Roman"/>
      <w:szCs w:val="20"/>
      <w:lang w:val="en-AU" w:eastAsia="en-AU"/>
    </w:rPr>
  </w:style>
  <w:style w:type="character" w:styleId="Emphasis">
    <w:name w:val="Emphasis"/>
    <w:basedOn w:val="DefaultParagraphFont"/>
    <w:uiPriority w:val="20"/>
    <w:rsid w:val="005E79C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273</Words>
  <Characters>1557</Characters>
  <Application>Microsoft Macintosh Word</Application>
  <DocSecurity>0</DocSecurity>
  <Lines>12</Lines>
  <Paragraphs>3</Paragraphs>
  <ScaleCrop>false</ScaleCrop>
  <Company>Griffith University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2013-10-02T09:08:00Z</dcterms:created>
  <dcterms:modified xsi:type="dcterms:W3CDTF">2013-10-02T11:20:00Z</dcterms:modified>
</cp:coreProperties>
</file>