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188" w:rsidRPr="00B86BE6" w:rsidRDefault="001A76A8" w:rsidP="005D04A4">
      <w:pPr>
        <w:jc w:val="center"/>
        <w:rPr>
          <w:b/>
        </w:rPr>
      </w:pPr>
      <w:bookmarkStart w:id="0" w:name="_GoBack"/>
      <w:bookmarkEnd w:id="0"/>
      <w:r w:rsidRPr="00B86BE6">
        <w:rPr>
          <w:b/>
        </w:rPr>
        <w:t>The Lawyer and the Priest</w:t>
      </w:r>
    </w:p>
    <w:p w:rsidR="00AB13C2" w:rsidRPr="00B86BE6" w:rsidRDefault="00AB13C2" w:rsidP="00370F1A">
      <w:pPr>
        <w:rPr>
          <w:b/>
        </w:rPr>
      </w:pPr>
    </w:p>
    <w:p w:rsidR="00AB13C2" w:rsidRPr="00B86BE6" w:rsidRDefault="001E567E" w:rsidP="00AB13C2">
      <w:r w:rsidRPr="00B86BE6">
        <w:t xml:space="preserve">Before he became </w:t>
      </w:r>
      <w:r w:rsidR="00AB13C2" w:rsidRPr="00B86BE6">
        <w:t>Director of the Brooklyn Museum, Arnold Lehman headed</w:t>
      </w:r>
      <w:r w:rsidRPr="00B86BE6">
        <w:t xml:space="preserve"> </w:t>
      </w:r>
      <w:r w:rsidR="00540A3F" w:rsidRPr="00B86BE6">
        <w:t>t</w:t>
      </w:r>
      <w:r w:rsidR="00AB13C2" w:rsidRPr="00B86BE6">
        <w:t>he Baltimore Museum of Art.  When you’re in charge</w:t>
      </w:r>
      <w:r w:rsidR="009A1682" w:rsidRPr="00B86BE6">
        <w:t xml:space="preserve">, </w:t>
      </w:r>
      <w:r w:rsidR="00992FFC" w:rsidRPr="00B86BE6">
        <w:t xml:space="preserve">he reflected, </w:t>
      </w:r>
      <w:r w:rsidR="00AB13C2" w:rsidRPr="00B86BE6">
        <w:t>you don’t get to spend a lot of time in the galleries</w:t>
      </w:r>
      <w:r w:rsidR="00992FFC" w:rsidRPr="00B86BE6">
        <w:t xml:space="preserve">. But he tried </w:t>
      </w:r>
      <w:r w:rsidR="009A1682" w:rsidRPr="00B86BE6">
        <w:t xml:space="preserve">because that’s </w:t>
      </w:r>
      <w:r w:rsidR="00AB13C2" w:rsidRPr="00B86BE6">
        <w:t>how you keep</w:t>
      </w:r>
      <w:r w:rsidR="009A1682" w:rsidRPr="00B86BE6">
        <w:t xml:space="preserve"> </w:t>
      </w:r>
      <w:r w:rsidR="00992FFC" w:rsidRPr="00B86BE6">
        <w:t xml:space="preserve">your finger on the pulse of an </w:t>
      </w:r>
      <w:r w:rsidR="00AB13C2" w:rsidRPr="00B86BE6">
        <w:t xml:space="preserve">institution.  One day, he recalled, with some emotion, he was walking through what were then called the African and Non-western Cultures Gallery.  An older woman, who he assumed to be a grandmother, and what looked to be her twelve-year-old granddaughter, were stopped in front of a case of Inuit art. “I overheard the grandmother say to her granddaughter, in reasonably good American English, that those objects were made by people from where we are from.  What would be better than that? You look at them (the materials) and you understand that you have a culture, it’s important enough to be in a museum, you may not see it often, they may not refer to it a lot, they might not use all those words, but here it is. I stood there and I was shocked and delighted. We must have had just one case of those materials, and she happened to find it. She transferred it to her granddaughter who will hopefully pass it on to her daughter. That was a momentous moment for me.  I never saw the power of what we do demonstrated quite as tangibly. And it wasn’t a teacher talking to a class. It was a grandmother talking to granddaughter, talking to her in a way that instilled pride.”  </w:t>
      </w:r>
    </w:p>
    <w:p w:rsidR="00AB13C2" w:rsidRPr="00B86BE6" w:rsidRDefault="00AB13C2" w:rsidP="00AB13C2"/>
    <w:p w:rsidR="00992FFC" w:rsidRPr="00B86BE6" w:rsidRDefault="00A778ED" w:rsidP="00AB13C2">
      <w:r w:rsidRPr="00B86BE6">
        <w:tab/>
        <w:t xml:space="preserve">Mr. Lehman’s statement </w:t>
      </w:r>
      <w:r w:rsidR="00992FFC" w:rsidRPr="00B86BE6">
        <w:t xml:space="preserve">foreshadows </w:t>
      </w:r>
      <w:r w:rsidR="00AB13C2" w:rsidRPr="00B86BE6">
        <w:t xml:space="preserve">some of the themes </w:t>
      </w:r>
      <w:r w:rsidR="00AA551C" w:rsidRPr="00B86BE6">
        <w:t>that emerge</w:t>
      </w:r>
      <w:r w:rsidR="00992FFC" w:rsidRPr="00B86BE6">
        <w:t xml:space="preserve"> for museums</w:t>
      </w:r>
      <w:r w:rsidR="001E567E" w:rsidRPr="00B86BE6">
        <w:t xml:space="preserve"> on this side of the pond</w:t>
      </w:r>
      <w:r w:rsidR="009A1682" w:rsidRPr="00B86BE6">
        <w:t xml:space="preserve">, specifically </w:t>
      </w:r>
      <w:r w:rsidR="00EC1199" w:rsidRPr="00B86BE6">
        <w:t xml:space="preserve">in </w:t>
      </w:r>
      <w:r w:rsidR="009A1682" w:rsidRPr="00B86BE6">
        <w:t xml:space="preserve">Boston and New York.  At the core of the chapter is a comparison of how the Brooklyn Museum and the Museum of Fine Arts in Boston reinstalled their American collections. </w:t>
      </w:r>
      <w:r w:rsidR="00AB13C2" w:rsidRPr="00B86BE6">
        <w:t xml:space="preserve">Compared to </w:t>
      </w:r>
      <w:r w:rsidR="00992FFC" w:rsidRPr="00B86BE6">
        <w:t xml:space="preserve">institutions in </w:t>
      </w:r>
      <w:r w:rsidR="00AB13C2" w:rsidRPr="00B86BE6">
        <w:t xml:space="preserve">Sweden and Denmark, </w:t>
      </w:r>
      <w:r w:rsidR="009A1682" w:rsidRPr="00B86BE6">
        <w:t xml:space="preserve">both </w:t>
      </w:r>
      <w:r w:rsidR="00992FFC" w:rsidRPr="00B86BE6">
        <w:t xml:space="preserve">museums </w:t>
      </w:r>
      <w:r w:rsidR="009A1682" w:rsidRPr="00B86BE6">
        <w:t xml:space="preserve">are </w:t>
      </w:r>
      <w:r w:rsidRPr="00B86BE6">
        <w:t xml:space="preserve">more comfortable with and more committed to </w:t>
      </w:r>
      <w:r w:rsidR="00E507A6" w:rsidRPr="00B86BE6">
        <w:t xml:space="preserve">showcasing the immigrant experience.  In that </w:t>
      </w:r>
      <w:r w:rsidR="001E567E" w:rsidRPr="00B86BE6">
        <w:t>sense, they teach cosmopolitan competencies</w:t>
      </w:r>
      <w:r w:rsidR="00E507A6" w:rsidRPr="00B86BE6">
        <w:t xml:space="preserve"> by </w:t>
      </w:r>
      <w:r w:rsidRPr="00B86BE6">
        <w:t xml:space="preserve">engaging with </w:t>
      </w:r>
      <w:r w:rsidR="00E507A6" w:rsidRPr="00B86BE6">
        <w:t>diversity next door.  To varying degrees, they also tell stories about how outside influences affecte</w:t>
      </w:r>
      <w:r w:rsidR="00EC1199" w:rsidRPr="00B86BE6">
        <w:t>d American cultural production—</w:t>
      </w:r>
      <w:r w:rsidR="00E507A6" w:rsidRPr="00B86BE6">
        <w:t>about how trends and taste in Latin America, Europe, and Asia</w:t>
      </w:r>
      <w:r w:rsidRPr="00B86BE6">
        <w:t xml:space="preserve"> shaped the kinds of paintings and decorative arts </w:t>
      </w:r>
      <w:r w:rsidR="001E567E" w:rsidRPr="00B86BE6">
        <w:t xml:space="preserve">that American artists created and American collectors coveted. </w:t>
      </w:r>
    </w:p>
    <w:p w:rsidR="00992FFC" w:rsidRPr="00B86BE6" w:rsidRDefault="00992FFC" w:rsidP="00AB13C2"/>
    <w:p w:rsidR="009A1682" w:rsidRPr="00B86BE6" w:rsidRDefault="00A778ED" w:rsidP="00992FFC">
      <w:pPr>
        <w:ind w:firstLine="720"/>
      </w:pPr>
      <w:r w:rsidRPr="00B86BE6">
        <w:t xml:space="preserve">But </w:t>
      </w:r>
      <w:r w:rsidR="00EC1199" w:rsidRPr="00B86BE6">
        <w:t xml:space="preserve">how the </w:t>
      </w:r>
      <w:r w:rsidRPr="00B86BE6">
        <w:t xml:space="preserve">global is highlighted in relation to the national is where Boston and New York part company. </w:t>
      </w:r>
      <w:r w:rsidR="00E507A6" w:rsidRPr="00B86BE6">
        <w:t xml:space="preserve"> </w:t>
      </w:r>
      <w:r w:rsidRPr="00B86BE6">
        <w:t>Just as museums in Denmark and Sweden told very different stories with their archeological treasures, the Brooklyn Museum and the Museum of Fine Arts</w:t>
      </w:r>
      <w:r w:rsidR="00EC1199" w:rsidRPr="00B86BE6">
        <w:t xml:space="preserve"> (MFA)</w:t>
      </w:r>
      <w:r w:rsidRPr="00B86BE6">
        <w:t xml:space="preserve"> use their American collections to spin different yarns. In Boston, rewriting the history of American art does n</w:t>
      </w:r>
      <w:r w:rsidR="00992FFC" w:rsidRPr="00B86BE6">
        <w:t xml:space="preserve">ot translate into rethinking </w:t>
      </w:r>
      <w:r w:rsidRPr="00B86BE6">
        <w:t>the nation’s place in the world. It is primarily about how outside influences changed what is within, not about what that means for</w:t>
      </w:r>
      <w:r w:rsidR="00340830" w:rsidRPr="00B86BE6">
        <w:t xml:space="preserve"> looking out. </w:t>
      </w:r>
      <w:r w:rsidR="00992FFC" w:rsidRPr="00B86BE6">
        <w:t>In contrast, t</w:t>
      </w:r>
      <w:r w:rsidR="00340830" w:rsidRPr="00B86BE6">
        <w:t>he Brooklyn Museum</w:t>
      </w:r>
      <w:r w:rsidRPr="00B86BE6">
        <w:t xml:space="preserve"> us</w:t>
      </w:r>
      <w:r w:rsidR="00340830" w:rsidRPr="00B86BE6">
        <w:t>es some of the same materials with a keen eye for t</w:t>
      </w:r>
      <w:r w:rsidR="00396B23" w:rsidRPr="00B86BE6">
        <w:t>elling an immigrant story</w:t>
      </w:r>
      <w:r w:rsidR="00992FFC" w:rsidRPr="00B86BE6">
        <w:t xml:space="preserve"> as well as a story about the nation in the world.  The chapter is about how place, culture, and demography help explain why. </w:t>
      </w:r>
    </w:p>
    <w:p w:rsidR="009A1682" w:rsidRPr="00B86BE6" w:rsidRDefault="009A1682" w:rsidP="00AB13C2"/>
    <w:p w:rsidR="009A1682" w:rsidRPr="00B86BE6" w:rsidRDefault="00EC1199" w:rsidP="00992FFC">
      <w:pPr>
        <w:ind w:firstLine="720"/>
      </w:pPr>
      <w:r w:rsidRPr="00B86BE6">
        <w:t xml:space="preserve">This discussion takes place </w:t>
      </w:r>
      <w:r w:rsidR="009A1682" w:rsidRPr="00B86BE6">
        <w:t>in conversation with several other museums</w:t>
      </w:r>
      <w:r w:rsidRPr="00B86BE6">
        <w:t xml:space="preserve"> in New York and Boston</w:t>
      </w:r>
      <w:r w:rsidR="00396B23" w:rsidRPr="00B86BE6">
        <w:t xml:space="preserve"> that are in some ways</w:t>
      </w:r>
      <w:r w:rsidR="00992FFC" w:rsidRPr="00B86BE6">
        <w:t xml:space="preserve"> comparable </w:t>
      </w:r>
      <w:r w:rsidR="009A1682" w:rsidRPr="00B86BE6">
        <w:t>and</w:t>
      </w:r>
      <w:r w:rsidR="00992FFC" w:rsidRPr="00B86BE6">
        <w:t>,</w:t>
      </w:r>
      <w:r w:rsidR="009A1682" w:rsidRPr="00B86BE6">
        <w:t xml:space="preserve"> in some ways</w:t>
      </w:r>
      <w:r w:rsidR="00992FFC" w:rsidRPr="00B86BE6">
        <w:t>,</w:t>
      </w:r>
      <w:r w:rsidR="009A1682" w:rsidRPr="00B86BE6">
        <w:t xml:space="preserve"> very different.  The Peabody Essex Museum (PEM), in Salem, Mass, was founded by some of the same regional luminaries as the MFA. It also has an outstanding collection of American decorative arts. Yet Director Dan Monroe sees the PEM as “</w:t>
      </w:r>
      <w:r w:rsidR="004750C9" w:rsidRPr="00B86BE6">
        <w:t xml:space="preserve">creating art experiences, ideas, and information that transform people’s lives by expanding their perspective and their sense of the world.” At the Queens Museum, and at El Museo del Barrio, which I briefly touch on, the idea that people live </w:t>
      </w:r>
      <w:r w:rsidR="004750C9" w:rsidRPr="00B86BE6">
        <w:lastRenderedPageBreak/>
        <w:t xml:space="preserve">transnational lives and that museums must represent and support </w:t>
      </w:r>
      <w:r w:rsidR="00992FFC" w:rsidRPr="00B86BE6">
        <w:t xml:space="preserve">them is as taken-for-granted as the air we breathe. </w:t>
      </w:r>
    </w:p>
    <w:p w:rsidR="00992FFC" w:rsidRPr="00B86BE6" w:rsidRDefault="00992FFC" w:rsidP="00992FFC">
      <w:pPr>
        <w:ind w:firstLine="720"/>
      </w:pPr>
    </w:p>
    <w:p w:rsidR="00AB13C2" w:rsidRPr="00B86BE6" w:rsidRDefault="004750C9" w:rsidP="004750C9">
      <w:pPr>
        <w:ind w:firstLine="720"/>
      </w:pPr>
      <w:r w:rsidRPr="00B86BE6">
        <w:t>Non</w:t>
      </w:r>
      <w:r w:rsidR="00992FFC" w:rsidRPr="00B86BE6">
        <w:t xml:space="preserve">e of these institutions, though, are likely to mount </w:t>
      </w:r>
      <w:r w:rsidRPr="00B86BE6">
        <w:t xml:space="preserve">exhibits about </w:t>
      </w:r>
      <w:r w:rsidR="00AA551C" w:rsidRPr="00B86BE6">
        <w:t>human trafficking or eco</w:t>
      </w:r>
      <w:r w:rsidR="005C0182" w:rsidRPr="00B86BE6">
        <w:t>-</w:t>
      </w:r>
      <w:r w:rsidRPr="00B86BE6">
        <w:t>fashion</w:t>
      </w:r>
      <w:r w:rsidR="00992FFC" w:rsidRPr="00B86BE6">
        <w:t xml:space="preserve"> anytime soon.</w:t>
      </w:r>
      <w:r w:rsidR="00AA551C" w:rsidRPr="00B86BE6">
        <w:t xml:space="preserve">  </w:t>
      </w:r>
      <w:r w:rsidRPr="00B86BE6">
        <w:t xml:space="preserve">That is because, among other reasons, they are </w:t>
      </w:r>
      <w:r w:rsidR="00992FFC" w:rsidRPr="00B86BE6">
        <w:t>located in the United States, which is a different kind of global leaders than Sweden. While Sweden embraces</w:t>
      </w:r>
      <w:r w:rsidRPr="00B86BE6">
        <w:t xml:space="preserve"> the role of moral exemplar, the U.S. </w:t>
      </w:r>
      <w:r w:rsidR="00992FFC" w:rsidRPr="00B86BE6">
        <w:t xml:space="preserve">cares more about its economic and political stature than ethical leadership. Because of its size, wealth and power, it leads without always obeying its own rules, sometimes engaging with the world and, at others, simply expecting others to follow. </w:t>
      </w:r>
    </w:p>
    <w:p w:rsidR="00F50D5A" w:rsidRPr="00B86BE6" w:rsidRDefault="00F50D5A" w:rsidP="00F50D5A"/>
    <w:p w:rsidR="00F50D5A" w:rsidRPr="00B86BE6" w:rsidRDefault="00B86BE6" w:rsidP="00F50D5A">
      <w:pPr>
        <w:rPr>
          <w:b/>
        </w:rPr>
      </w:pPr>
      <w:r>
        <w:rPr>
          <w:b/>
        </w:rPr>
        <w:t>The City on the Hill</w:t>
      </w:r>
    </w:p>
    <w:p w:rsidR="004750C9" w:rsidRPr="00B86BE6" w:rsidRDefault="004750C9" w:rsidP="004750C9">
      <w:pPr>
        <w:ind w:firstLine="720"/>
      </w:pPr>
    </w:p>
    <w:p w:rsidR="00A94188" w:rsidRPr="00B86BE6" w:rsidRDefault="00A94188" w:rsidP="008E0A80">
      <w:r w:rsidRPr="00B86BE6">
        <w:t xml:space="preserve">John Winthrop, the governor of the Association of the Massachusetts Bay Company, led a ragged yet determined group of disgruntled believers across the Atlantic Ocean to found what would become the city of Boston. They </w:t>
      </w:r>
      <w:r w:rsidR="004750C9" w:rsidRPr="00B86BE6">
        <w:t xml:space="preserve">left in search </w:t>
      </w:r>
      <w:r w:rsidR="00EC1199" w:rsidRPr="00B86BE6">
        <w:t xml:space="preserve">of a </w:t>
      </w:r>
      <w:r w:rsidRPr="00B86BE6">
        <w:t>moral community</w:t>
      </w:r>
      <w:r w:rsidR="007218C7" w:rsidRPr="00B86BE6">
        <w:t xml:space="preserve"> they could not </w:t>
      </w:r>
      <w:r w:rsidR="00CE1714" w:rsidRPr="00B86BE6">
        <w:t xml:space="preserve">find </w:t>
      </w:r>
      <w:r w:rsidR="009E0433" w:rsidRPr="00B86BE6">
        <w:t xml:space="preserve">in </w:t>
      </w:r>
      <w:r w:rsidR="00D024CA" w:rsidRPr="00B86BE6">
        <w:t>Europe</w:t>
      </w:r>
      <w:r w:rsidRPr="00B86BE6">
        <w:t xml:space="preserve">. Since saved souls were also wealthy souls, these Puritans stressed hard work, thrift, sobriety, and frugality. They </w:t>
      </w:r>
      <w:r w:rsidR="007218C7" w:rsidRPr="00B86BE6">
        <w:t xml:space="preserve">valued </w:t>
      </w:r>
      <w:r w:rsidR="00235CF6" w:rsidRPr="00B86BE6">
        <w:t>education, i</w:t>
      </w:r>
      <w:r w:rsidR="007218C7" w:rsidRPr="00B86BE6">
        <w:t xml:space="preserve">ntellectual achievement, and </w:t>
      </w:r>
      <w:r w:rsidR="00235CF6" w:rsidRPr="00B86BE6">
        <w:t>responsibility to the community at large.</w:t>
      </w:r>
      <w:r w:rsidR="006923FC" w:rsidRPr="00B86BE6">
        <w:t xml:space="preserve">  The</w:t>
      </w:r>
      <w:r w:rsidR="00E0002E" w:rsidRPr="00B86BE6">
        <w:t xml:space="preserve"> </w:t>
      </w:r>
      <w:r w:rsidR="009E0433" w:rsidRPr="00B86BE6">
        <w:t xml:space="preserve">institutions </w:t>
      </w:r>
      <w:r w:rsidR="005C0182" w:rsidRPr="00B86BE6">
        <w:t xml:space="preserve">they created </w:t>
      </w:r>
      <w:r w:rsidR="004750C9" w:rsidRPr="00B86BE6">
        <w:t xml:space="preserve">in response </w:t>
      </w:r>
      <w:r w:rsidR="005C0182" w:rsidRPr="00B86BE6">
        <w:t xml:space="preserve">laid the foundation </w:t>
      </w:r>
      <w:r w:rsidR="00E0002E" w:rsidRPr="00B86BE6">
        <w:t xml:space="preserve">for </w:t>
      </w:r>
      <w:r w:rsidRPr="00B86BE6">
        <w:t>Boston’s cultural landsc</w:t>
      </w:r>
      <w:r w:rsidR="0021744C" w:rsidRPr="00B86BE6">
        <w:t xml:space="preserve">ape. </w:t>
      </w:r>
      <w:r w:rsidR="005C0182" w:rsidRPr="00B86BE6">
        <w:t xml:space="preserve">While </w:t>
      </w:r>
      <w:r w:rsidRPr="00B86BE6">
        <w:t>only a small group</w:t>
      </w:r>
      <w:r w:rsidR="00D024CA" w:rsidRPr="00B86BE6">
        <w:t xml:space="preserve"> was</w:t>
      </w:r>
      <w:r w:rsidR="00B0615F" w:rsidRPr="00B86BE6">
        <w:t xml:space="preserve"> what we might call</w:t>
      </w:r>
      <w:r w:rsidR="00396B23" w:rsidRPr="00B86BE6">
        <w:t xml:space="preserve"> hard</w:t>
      </w:r>
      <w:r w:rsidR="00235CF6" w:rsidRPr="00B86BE6">
        <w:t xml:space="preserve">core Puritans, </w:t>
      </w:r>
      <w:r w:rsidR="00B0615F" w:rsidRPr="00B86BE6">
        <w:t xml:space="preserve">their actions </w:t>
      </w:r>
      <w:r w:rsidR="005C0182" w:rsidRPr="00B86BE6">
        <w:t xml:space="preserve">and ideology </w:t>
      </w:r>
      <w:r w:rsidRPr="00B86BE6">
        <w:t>had far-reaching consequenc</w:t>
      </w:r>
      <w:r w:rsidR="00992FFC" w:rsidRPr="00B86BE6">
        <w:t xml:space="preserve">es for America as a whole. As </w:t>
      </w:r>
      <w:r w:rsidR="00235CF6" w:rsidRPr="00B86BE6">
        <w:t>early as the city’s 25</w:t>
      </w:r>
      <w:r w:rsidR="00235CF6" w:rsidRPr="00B86BE6">
        <w:rPr>
          <w:vertAlign w:val="superscript"/>
        </w:rPr>
        <w:t>th</w:t>
      </w:r>
      <w:r w:rsidR="00235CF6" w:rsidRPr="00B86BE6">
        <w:t xml:space="preserve"> birthday, </w:t>
      </w:r>
      <w:r w:rsidR="004750C9" w:rsidRPr="00B86BE6">
        <w:t>wrote</w:t>
      </w:r>
      <w:r w:rsidRPr="00B86BE6">
        <w:t xml:space="preserve"> </w:t>
      </w:r>
      <w:r w:rsidR="005C0182" w:rsidRPr="00B86BE6">
        <w:t xml:space="preserve">Thomas </w:t>
      </w:r>
      <w:r w:rsidRPr="00B86BE6">
        <w:t>O’Connor</w:t>
      </w:r>
      <w:r w:rsidR="007218C7" w:rsidRPr="00B86BE6">
        <w:t>,</w:t>
      </w:r>
      <w:r w:rsidRPr="00B86BE6">
        <w:t xml:space="preserve"> the “town of Boston, had developed certain basic themes that were not only characteristic of its colonial origins, but which also may be considered an essential part of i</w:t>
      </w:r>
      <w:r w:rsidR="007218C7" w:rsidRPr="00B86BE6">
        <w:t>ts present-day distinctiveness.”</w:t>
      </w:r>
      <w:r w:rsidR="00572A14" w:rsidRPr="00B86BE6">
        <w:rPr>
          <w:rStyle w:val="EndnoteReference"/>
        </w:rPr>
        <w:endnoteReference w:id="1"/>
      </w:r>
      <w:r w:rsidR="00572A14" w:rsidRPr="00B86BE6">
        <w:t xml:space="preserve"> </w:t>
      </w:r>
      <w:r w:rsidRPr="00B86BE6">
        <w:t xml:space="preserve"> </w:t>
      </w:r>
    </w:p>
    <w:p w:rsidR="00A94188" w:rsidRPr="00B86BE6" w:rsidRDefault="00A94188" w:rsidP="00A94188">
      <w:pPr>
        <w:ind w:firstLine="720"/>
      </w:pPr>
    </w:p>
    <w:p w:rsidR="00235CF6" w:rsidRPr="00B86BE6" w:rsidRDefault="00E0002E" w:rsidP="00A94188">
      <w:pPr>
        <w:ind w:firstLine="720"/>
      </w:pPr>
      <w:r w:rsidRPr="00B86BE6">
        <w:t xml:space="preserve">Foreshadowing Olof Palme in Sweden, </w:t>
      </w:r>
      <w:r w:rsidR="00A94188" w:rsidRPr="00B86BE6">
        <w:t xml:space="preserve">Boston’s founders believed they were creating a city that </w:t>
      </w:r>
      <w:r w:rsidR="007218C7" w:rsidRPr="00B86BE6">
        <w:t xml:space="preserve">would be </w:t>
      </w:r>
      <w:r w:rsidR="00D024CA" w:rsidRPr="00B86BE6">
        <w:t xml:space="preserve">a model </w:t>
      </w:r>
      <w:r w:rsidR="00A45D22" w:rsidRPr="00B86BE6">
        <w:t>to the rest of the world</w:t>
      </w:r>
      <w:r w:rsidR="007218C7" w:rsidRPr="00B86BE6">
        <w:t>.</w:t>
      </w:r>
      <w:r w:rsidR="00A45D22" w:rsidRPr="00B86BE6">
        <w:rPr>
          <w:rStyle w:val="EndnoteReference"/>
          <w:rFonts w:eastAsia="Calibri"/>
        </w:rPr>
        <w:endnoteReference w:id="2"/>
      </w:r>
      <w:r w:rsidR="00A45D22" w:rsidRPr="00B86BE6">
        <w:t xml:space="preserve"> </w:t>
      </w:r>
      <w:r w:rsidR="00FC3EF8" w:rsidRPr="00B86BE6">
        <w:t xml:space="preserve"> </w:t>
      </w:r>
      <w:r w:rsidR="00A94188" w:rsidRPr="00B86BE6">
        <w:t xml:space="preserve">Their “city on the hill” would become the “hub” of the universe and inspire all of mankind, a veritable shining beacon that would attract “the </w:t>
      </w:r>
      <w:r w:rsidR="00235CF6" w:rsidRPr="00B86BE6">
        <w:t>eies of all people” upon them</w:t>
      </w:r>
      <w:r w:rsidR="00EC1199" w:rsidRPr="00B86BE6">
        <w:t>.</w:t>
      </w:r>
      <w:r w:rsidR="003A6495" w:rsidRPr="00B86BE6">
        <w:t>”</w:t>
      </w:r>
      <w:r w:rsidR="00A45D22" w:rsidRPr="00B86BE6">
        <w:rPr>
          <w:rStyle w:val="EndnoteReference"/>
          <w:rFonts w:eastAsia="Calibri"/>
        </w:rPr>
        <w:t xml:space="preserve"> </w:t>
      </w:r>
      <w:r w:rsidR="00A45D22" w:rsidRPr="00B86BE6">
        <w:rPr>
          <w:rStyle w:val="EndnoteReference"/>
          <w:rFonts w:eastAsia="Calibri"/>
        </w:rPr>
        <w:endnoteReference w:id="3"/>
      </w:r>
      <w:r w:rsidR="007218C7" w:rsidRPr="00B86BE6">
        <w:t xml:space="preserve"> </w:t>
      </w:r>
      <w:r w:rsidR="00A94188" w:rsidRPr="00B86BE6">
        <w:t>Although times might change, Boston would never be just any city but a place distinguished by its origins, histor</w:t>
      </w:r>
      <w:r w:rsidR="007218C7" w:rsidRPr="00B86BE6">
        <w:t>y and dedication to excellence—</w:t>
      </w:r>
      <w:r w:rsidR="00A94188" w:rsidRPr="00B86BE6">
        <w:t>accomplishments achieved in God’s nam</w:t>
      </w:r>
      <w:r w:rsidR="00D024CA" w:rsidRPr="00B86BE6">
        <w:t xml:space="preserve">e </w:t>
      </w:r>
      <w:r w:rsidR="007218C7" w:rsidRPr="00B86BE6">
        <w:t xml:space="preserve">for the benefit of </w:t>
      </w:r>
      <w:r w:rsidR="00D024CA" w:rsidRPr="00B86BE6">
        <w:t>mankind. And because c</w:t>
      </w:r>
      <w:r w:rsidR="00A94188" w:rsidRPr="00B86BE6">
        <w:t>olonial Bostonians never liked</w:t>
      </w:r>
      <w:r w:rsidR="009E0433" w:rsidRPr="00B86BE6">
        <w:t xml:space="preserve"> </w:t>
      </w:r>
      <w:r w:rsidR="005C0182" w:rsidRPr="00B86BE6">
        <w:t xml:space="preserve">throwing </w:t>
      </w:r>
      <w:r w:rsidR="009E0433" w:rsidRPr="00B86BE6">
        <w:t>things away</w:t>
      </w:r>
      <w:r w:rsidR="00A94188" w:rsidRPr="00B86BE6">
        <w:t xml:space="preserve">, </w:t>
      </w:r>
      <w:r w:rsidR="004750C9" w:rsidRPr="00B86BE6">
        <w:t xml:space="preserve">they would grow prosperous not by </w:t>
      </w:r>
      <w:r w:rsidR="00235CF6" w:rsidRPr="00B86BE6">
        <w:t xml:space="preserve">abandoning their moral values but by building on their solid puritan past. </w:t>
      </w:r>
    </w:p>
    <w:p w:rsidR="00235CF6" w:rsidRPr="00B86BE6" w:rsidRDefault="00235CF6" w:rsidP="00A94188">
      <w:pPr>
        <w:ind w:firstLine="720"/>
      </w:pPr>
    </w:p>
    <w:p w:rsidR="00815204" w:rsidRPr="00B86BE6" w:rsidRDefault="004069E5" w:rsidP="00D024CA">
      <w:pPr>
        <w:ind w:firstLine="720"/>
      </w:pPr>
      <w:r w:rsidRPr="00B86BE6">
        <w:t>Not all of the city’s original settlers were</w:t>
      </w:r>
      <w:r w:rsidR="00FC3EF8" w:rsidRPr="00B86BE6">
        <w:t xml:space="preserve"> so</w:t>
      </w:r>
      <w:r w:rsidRPr="00B86BE6">
        <w:t xml:space="preserve"> </w:t>
      </w:r>
      <w:r w:rsidR="00992FFC" w:rsidRPr="00B86BE6">
        <w:t>pious</w:t>
      </w:r>
      <w:r w:rsidR="00FC3EF8" w:rsidRPr="00B86BE6">
        <w:t xml:space="preserve">. </w:t>
      </w:r>
      <w:r w:rsidRPr="00B86BE6">
        <w:t>In fact, according to Samuel Eliot Morrison, unlike the Mayflower voyage</w:t>
      </w:r>
      <w:r w:rsidR="005C0182" w:rsidRPr="00B86BE6">
        <w:t xml:space="preserve"> which </w:t>
      </w:r>
      <w:r w:rsidR="00CE1714" w:rsidRPr="00B86BE6">
        <w:t>landed a little further south at Plymouth Rock</w:t>
      </w:r>
      <w:r w:rsidRPr="00B86BE6">
        <w:t>, the 120 patentees of the original Dorchester Company were largely landed gentry, merchant adventurers, and “representatives of a thinking class”</w:t>
      </w:r>
      <w:r w:rsidRPr="00B86BE6">
        <w:rPr>
          <w:rStyle w:val="EndnoteReference"/>
          <w:rFonts w:eastAsia="Calibri"/>
        </w:rPr>
        <w:endnoteReference w:id="4"/>
      </w:r>
      <w:r w:rsidRPr="00B86BE6">
        <w:t xml:space="preserve"> – in short, </w:t>
      </w:r>
      <w:r w:rsidR="009E0433" w:rsidRPr="00B86BE6">
        <w:t xml:space="preserve">a generally well off </w:t>
      </w:r>
      <w:r w:rsidRPr="00B86BE6">
        <w:t>and well educated</w:t>
      </w:r>
      <w:r w:rsidR="00D024CA" w:rsidRPr="00B86BE6">
        <w:t xml:space="preserve"> group</w:t>
      </w:r>
      <w:r w:rsidRPr="00B86BE6">
        <w:t>.</w:t>
      </w:r>
      <w:r w:rsidR="007218C7" w:rsidRPr="00B86BE6">
        <w:t xml:space="preserve"> But </w:t>
      </w:r>
      <w:r w:rsidRPr="00B86BE6">
        <w:t xml:space="preserve">they </w:t>
      </w:r>
      <w:r w:rsidR="00A94188" w:rsidRPr="00B86BE6">
        <w:t>were no democrats</w:t>
      </w:r>
      <w:r w:rsidRPr="00B86BE6">
        <w:t>.</w:t>
      </w:r>
      <w:r w:rsidR="007218C7" w:rsidRPr="00B86BE6">
        <w:rPr>
          <w:rStyle w:val="EndnoteReference"/>
        </w:rPr>
        <w:endnoteReference w:id="5"/>
      </w:r>
      <w:r w:rsidRPr="00B86BE6">
        <w:t xml:space="preserve"> </w:t>
      </w:r>
      <w:r w:rsidR="00A94188" w:rsidRPr="00B86BE6">
        <w:t xml:space="preserve"> </w:t>
      </w:r>
      <w:r w:rsidR="00A45D22" w:rsidRPr="00B86BE6">
        <w:t xml:space="preserve">They understood social stratification </w:t>
      </w:r>
      <w:r w:rsidR="005C0182" w:rsidRPr="00B86BE6">
        <w:t xml:space="preserve">as a </w:t>
      </w:r>
      <w:r w:rsidR="00A45D22" w:rsidRPr="00B86BE6">
        <w:t>necessary and normal part of God’s plan, as Winthrop told his fellow travelers: “God almightie in his most holy and wise providence hath soe disposed of the Condicion of man kinde, as in all times some must be rich, some poore, some highe and eminent in power and dignitie; others meane and in subjection.”</w:t>
      </w:r>
      <w:r w:rsidR="00A45D22" w:rsidRPr="00B86BE6">
        <w:rPr>
          <w:rStyle w:val="EndnoteReference"/>
          <w:rFonts w:eastAsia="Calibri"/>
          <w:bCs/>
        </w:rPr>
        <w:endnoteReference w:id="6"/>
      </w:r>
      <w:r w:rsidR="00A45D22" w:rsidRPr="00B86BE6">
        <w:t xml:space="preserve"> </w:t>
      </w:r>
      <w:r w:rsidR="00EC3B91" w:rsidRPr="00B86BE6">
        <w:t xml:space="preserve"> </w:t>
      </w:r>
      <w:r w:rsidR="005C0182" w:rsidRPr="00B86BE6">
        <w:t>They clearly enforced c</w:t>
      </w:r>
      <w:r w:rsidR="00A45D22" w:rsidRPr="00B86BE6">
        <w:t>lass distinctions</w:t>
      </w:r>
      <w:r w:rsidR="005C0182" w:rsidRPr="00B86BE6">
        <w:t>—</w:t>
      </w:r>
      <w:r w:rsidR="00A94188" w:rsidRPr="00B86BE6">
        <w:t>a man had to be worth a thousand dollars for his wife to wear a silk scarf.</w:t>
      </w:r>
      <w:r w:rsidR="00A94188" w:rsidRPr="00B86BE6">
        <w:rPr>
          <w:rStyle w:val="EndnoteReference"/>
          <w:rFonts w:eastAsia="Calibri"/>
        </w:rPr>
        <w:endnoteReference w:id="7"/>
      </w:r>
      <w:r w:rsidR="00A94188" w:rsidRPr="00B86BE6">
        <w:t xml:space="preserve"> </w:t>
      </w:r>
      <w:r w:rsidR="00D024CA" w:rsidRPr="00B86BE6">
        <w:t xml:space="preserve"> Colonial </w:t>
      </w:r>
      <w:r w:rsidR="00235CF6" w:rsidRPr="00B86BE6">
        <w:t xml:space="preserve">residents </w:t>
      </w:r>
      <w:r w:rsidR="00DA2771" w:rsidRPr="00B86BE6">
        <w:t xml:space="preserve">were expected to know </w:t>
      </w:r>
      <w:r w:rsidR="00D024CA" w:rsidRPr="00B86BE6">
        <w:t xml:space="preserve">their </w:t>
      </w:r>
      <w:r w:rsidR="00235CF6" w:rsidRPr="00B86BE6">
        <w:t xml:space="preserve">place </w:t>
      </w:r>
      <w:r w:rsidR="009E0433" w:rsidRPr="00B86BE6">
        <w:t xml:space="preserve">and accept the status quo as </w:t>
      </w:r>
      <w:r w:rsidRPr="00B86BE6">
        <w:t xml:space="preserve">legitimate and natural. </w:t>
      </w:r>
      <w:r w:rsidR="00D024CA" w:rsidRPr="00B86BE6">
        <w:t xml:space="preserve"> </w:t>
      </w:r>
    </w:p>
    <w:p w:rsidR="00B004E4" w:rsidRPr="00B86BE6" w:rsidRDefault="00B004E4" w:rsidP="00A94188">
      <w:pPr>
        <w:ind w:firstLine="720"/>
      </w:pPr>
    </w:p>
    <w:p w:rsidR="00B004E4" w:rsidRPr="00B86BE6" w:rsidRDefault="00B004E4" w:rsidP="00B004E4">
      <w:r w:rsidRPr="00B86BE6">
        <w:tab/>
      </w:r>
      <w:r w:rsidR="00D024CA" w:rsidRPr="00B86BE6">
        <w:t xml:space="preserve">But </w:t>
      </w:r>
      <w:r w:rsidRPr="00B86BE6">
        <w:t>as early as the late 17</w:t>
      </w:r>
      <w:r w:rsidRPr="00B86BE6">
        <w:rPr>
          <w:vertAlign w:val="superscript"/>
        </w:rPr>
        <w:t>th</w:t>
      </w:r>
      <w:r w:rsidRPr="00B86BE6">
        <w:t xml:space="preserve"> centu</w:t>
      </w:r>
      <w:r w:rsidR="00CE1714" w:rsidRPr="00B86BE6">
        <w:t xml:space="preserve">ry, the strait jacket of </w:t>
      </w:r>
      <w:r w:rsidRPr="00B86BE6">
        <w:t>Puritan ideals began to fray.</w:t>
      </w:r>
      <w:r w:rsidRPr="00B86BE6">
        <w:rPr>
          <w:rStyle w:val="EndnoteReference"/>
          <w:rFonts w:eastAsia="Calibri"/>
        </w:rPr>
        <w:endnoteReference w:id="8"/>
      </w:r>
      <w:r w:rsidRPr="00B86BE6">
        <w:t xml:space="preserve"> During the early 18</w:t>
      </w:r>
      <w:r w:rsidRPr="00B86BE6">
        <w:rPr>
          <w:vertAlign w:val="superscript"/>
        </w:rPr>
        <w:t>th</w:t>
      </w:r>
      <w:r w:rsidR="009E0433" w:rsidRPr="00B86BE6">
        <w:t xml:space="preserve"> century, long-distance</w:t>
      </w:r>
      <w:r w:rsidR="00D024CA" w:rsidRPr="00B86BE6">
        <w:t xml:space="preserve"> trade </w:t>
      </w:r>
      <w:r w:rsidRPr="00B86BE6">
        <w:t>bloomed.</w:t>
      </w:r>
      <w:r w:rsidRPr="00B86BE6">
        <w:rPr>
          <w:rStyle w:val="EndnoteReference"/>
          <w:rFonts w:eastAsia="Calibri"/>
        </w:rPr>
        <w:endnoteReference w:id="9"/>
      </w:r>
      <w:r w:rsidRPr="00B86BE6">
        <w:t xml:space="preserve"> As the port towns of Boston and Salem grew, so did the influx of different cultures and, more importantly, different </w:t>
      </w:r>
      <w:r w:rsidRPr="00B86BE6">
        <w:rPr>
          <w:i/>
        </w:rPr>
        <w:t>ideas.</w:t>
      </w:r>
      <w:r w:rsidR="007218C7" w:rsidRPr="00B86BE6">
        <w:rPr>
          <w:rStyle w:val="EndnoteReference"/>
        </w:rPr>
        <w:endnoteReference w:id="10"/>
      </w:r>
      <w:r w:rsidR="00E740C5" w:rsidRPr="00B86BE6">
        <w:t xml:space="preserve"> </w:t>
      </w:r>
      <w:r w:rsidRPr="00B86BE6">
        <w:t>Sailors speaking foreign tongues and worshiping alien gods became parts of the landscape.</w:t>
      </w:r>
      <w:r w:rsidRPr="00B86BE6">
        <w:rPr>
          <w:rStyle w:val="EndnoteReference"/>
          <w:rFonts w:eastAsia="Calibri"/>
        </w:rPr>
        <w:endnoteReference w:id="11"/>
      </w:r>
      <w:r w:rsidRPr="00B86BE6">
        <w:t xml:space="preserve"> Much of Massachusetts, and Boston, began to take on a cosmopolitan identity. A growing distance between church and state and a growing acceptance of the pursuit of individual wealth </w:t>
      </w:r>
      <w:r w:rsidR="00DA2771" w:rsidRPr="00B86BE6">
        <w:t xml:space="preserve">helped created a </w:t>
      </w:r>
      <w:r w:rsidRPr="00B86BE6">
        <w:t xml:space="preserve">distinct </w:t>
      </w:r>
      <w:r w:rsidRPr="00B86BE6">
        <w:rPr>
          <w:i/>
        </w:rPr>
        <w:t xml:space="preserve">Yankee </w:t>
      </w:r>
      <w:r w:rsidRPr="00B86BE6">
        <w:t>culture.</w:t>
      </w:r>
      <w:r w:rsidRPr="00B86BE6">
        <w:rPr>
          <w:rStyle w:val="EndnoteReference"/>
          <w:rFonts w:eastAsia="Calibri"/>
        </w:rPr>
        <w:endnoteReference w:id="12"/>
      </w:r>
      <w:r w:rsidRPr="00B86BE6">
        <w:t xml:space="preserve"> </w:t>
      </w:r>
    </w:p>
    <w:p w:rsidR="00A94188" w:rsidRPr="00B86BE6" w:rsidRDefault="00A94188" w:rsidP="00A94188"/>
    <w:p w:rsidR="00D024CA" w:rsidRPr="00B86BE6" w:rsidRDefault="00B004E4" w:rsidP="00032BA0">
      <w:pPr>
        <w:ind w:firstLine="720"/>
      </w:pPr>
      <w:r w:rsidRPr="00B86BE6">
        <w:t>During the 19</w:t>
      </w:r>
      <w:r w:rsidRPr="00B86BE6">
        <w:rPr>
          <w:vertAlign w:val="superscript"/>
        </w:rPr>
        <w:t>th</w:t>
      </w:r>
      <w:r w:rsidR="000A7BDA" w:rsidRPr="00B86BE6">
        <w:t xml:space="preserve"> century, </w:t>
      </w:r>
      <w:r w:rsidR="00D024CA" w:rsidRPr="00B86BE6">
        <w:t xml:space="preserve">men who </w:t>
      </w:r>
      <w:r w:rsidR="00032BA0" w:rsidRPr="00B86BE6">
        <w:t>previously ma</w:t>
      </w:r>
      <w:r w:rsidR="00D14AAD" w:rsidRPr="00B86BE6">
        <w:t xml:space="preserve">de money at sea turned to other </w:t>
      </w:r>
      <w:r w:rsidR="00032BA0" w:rsidRPr="00B86BE6">
        <w:t xml:space="preserve">industries, like </w:t>
      </w:r>
      <w:r w:rsidR="00D024CA" w:rsidRPr="00B86BE6">
        <w:t>textile manufacturing</w:t>
      </w:r>
      <w:r w:rsidR="000A7BDA" w:rsidRPr="00B86BE6">
        <w:t xml:space="preserve">. By the </w:t>
      </w:r>
      <w:r w:rsidRPr="00B86BE6">
        <w:t xml:space="preserve">late 1820s, a </w:t>
      </w:r>
      <w:r w:rsidR="00032BA0" w:rsidRPr="00B86BE6">
        <w:t xml:space="preserve">strikingly interconnected </w:t>
      </w:r>
      <w:r w:rsidRPr="00B86BE6">
        <w:t>group</w:t>
      </w:r>
      <w:r w:rsidR="00D14AAD" w:rsidRPr="00B86BE6">
        <w:t>, known as the Boston Associates,</w:t>
      </w:r>
      <w:r w:rsidRPr="00B86BE6">
        <w:t xml:space="preserve"> of about forty Boston families</w:t>
      </w:r>
      <w:r w:rsidR="00032BA0" w:rsidRPr="00B86BE6">
        <w:t xml:space="preserve"> emerged</w:t>
      </w:r>
      <w:r w:rsidR="00D14AAD" w:rsidRPr="00B86BE6">
        <w:t xml:space="preserve">, </w:t>
      </w:r>
      <w:r w:rsidR="00032BA0" w:rsidRPr="00B86BE6">
        <w:t xml:space="preserve">which </w:t>
      </w:r>
      <w:r w:rsidR="000A7BDA" w:rsidRPr="00B86BE6">
        <w:t xml:space="preserve">slowly </w:t>
      </w:r>
      <w:r w:rsidR="00032BA0" w:rsidRPr="00B86BE6">
        <w:t xml:space="preserve">assumed </w:t>
      </w:r>
      <w:r w:rsidR="000A7BDA" w:rsidRPr="00B86BE6">
        <w:t xml:space="preserve">control of </w:t>
      </w:r>
      <w:r w:rsidR="00032BA0" w:rsidRPr="00B86BE6">
        <w:t xml:space="preserve">the quickly modernizing city. </w:t>
      </w:r>
      <w:r w:rsidRPr="00B86BE6">
        <w:t>During the</w:t>
      </w:r>
      <w:r w:rsidR="000A7BDA" w:rsidRPr="00B86BE6">
        <w:t xml:space="preserve"> years leading up to the </w:t>
      </w:r>
      <w:r w:rsidR="00D024CA" w:rsidRPr="00B86BE6">
        <w:t xml:space="preserve">Civil War, the </w:t>
      </w:r>
      <w:r w:rsidRPr="00B86BE6">
        <w:t xml:space="preserve">Associates </w:t>
      </w:r>
      <w:r w:rsidR="000A7BDA" w:rsidRPr="00B86BE6">
        <w:t xml:space="preserve">invested in </w:t>
      </w:r>
      <w:r w:rsidRPr="00B86BE6">
        <w:t xml:space="preserve">real estate, insurance, railroads and </w:t>
      </w:r>
      <w:r w:rsidR="00DA2771" w:rsidRPr="00B86BE6">
        <w:t xml:space="preserve">banking. </w:t>
      </w:r>
      <w:r w:rsidR="004750C9" w:rsidRPr="00B86BE6">
        <w:t xml:space="preserve">By </w:t>
      </w:r>
      <w:r w:rsidR="00D14AAD" w:rsidRPr="00B86BE6">
        <w:t xml:space="preserve">1845, </w:t>
      </w:r>
      <w:r w:rsidR="000A7BDA" w:rsidRPr="00B86BE6">
        <w:t xml:space="preserve">the group consisted of about </w:t>
      </w:r>
      <w:r w:rsidRPr="00B86BE6">
        <w:t xml:space="preserve">80 </w:t>
      </w:r>
      <w:r w:rsidR="00D024CA" w:rsidRPr="00B86BE6">
        <w:t xml:space="preserve">men, </w:t>
      </w:r>
      <w:r w:rsidR="00EB6CA7" w:rsidRPr="00B86BE6">
        <w:t xml:space="preserve">and </w:t>
      </w:r>
      <w:r w:rsidR="00D024CA" w:rsidRPr="00B86BE6">
        <w:t>their interests controlled about</w:t>
      </w:r>
      <w:r w:rsidRPr="00B86BE6">
        <w:t xml:space="preserve"> one-fifth of the total capacity of American industry in 1</w:t>
      </w:r>
      <w:r w:rsidR="009E0433" w:rsidRPr="00B86BE6">
        <w:t xml:space="preserve">850. In 1848, </w:t>
      </w:r>
      <w:r w:rsidR="00992FFC" w:rsidRPr="00B86BE6">
        <w:t>seventee</w:t>
      </w:r>
      <w:r w:rsidR="00EB6CA7" w:rsidRPr="00B86BE6">
        <w:t>n</w:t>
      </w:r>
      <w:r w:rsidR="009E0433" w:rsidRPr="00B86BE6">
        <w:t xml:space="preserve"> of the Boston A</w:t>
      </w:r>
      <w:r w:rsidRPr="00B86BE6">
        <w:t xml:space="preserve">ssociates directed seven Boston banks, </w:t>
      </w:r>
      <w:r w:rsidR="009E0433" w:rsidRPr="00B86BE6">
        <w:t xml:space="preserve">thereby controlling </w:t>
      </w:r>
      <w:r w:rsidRPr="00B86BE6">
        <w:t>over 40 percent of the city’s authorized banking capital.</w:t>
      </w:r>
      <w:r w:rsidRPr="00B86BE6">
        <w:rPr>
          <w:rStyle w:val="EndnoteReference"/>
          <w:rFonts w:eastAsia="Calibri"/>
        </w:rPr>
        <w:endnoteReference w:id="13"/>
      </w:r>
      <w:r w:rsidR="000A7BDA" w:rsidRPr="00B86BE6">
        <w:t xml:space="preserve"> </w:t>
      </w:r>
    </w:p>
    <w:p w:rsidR="00D024CA" w:rsidRPr="00B86BE6" w:rsidRDefault="00D024CA" w:rsidP="00032BA0">
      <w:pPr>
        <w:ind w:firstLine="720"/>
      </w:pPr>
    </w:p>
    <w:p w:rsidR="00A94188" w:rsidRPr="00B86BE6" w:rsidRDefault="000A7BDA" w:rsidP="00032BA0">
      <w:pPr>
        <w:ind w:firstLine="720"/>
      </w:pPr>
      <w:r w:rsidRPr="00B86BE6">
        <w:t>Like their Purit</w:t>
      </w:r>
      <w:r w:rsidR="00DA2771" w:rsidRPr="00B86BE6">
        <w:t xml:space="preserve">an forefathers, this group </w:t>
      </w:r>
      <w:r w:rsidRPr="00B86BE6">
        <w:t xml:space="preserve">stressed public service. </w:t>
      </w:r>
      <w:r w:rsidR="008339EF" w:rsidRPr="00B86BE6">
        <w:t>They created instituti</w:t>
      </w:r>
      <w:r w:rsidR="00DA2771" w:rsidRPr="00B86BE6">
        <w:t xml:space="preserve">ons not as individuals but as a </w:t>
      </w:r>
      <w:r w:rsidR="008339EF" w:rsidRPr="00B86BE6">
        <w:t xml:space="preserve">cohesive community </w:t>
      </w:r>
      <w:r w:rsidR="00D024CA" w:rsidRPr="00B86BE6">
        <w:t xml:space="preserve">that </w:t>
      </w:r>
      <w:r w:rsidR="008339EF" w:rsidRPr="00B86BE6">
        <w:t xml:space="preserve">shared economic interests </w:t>
      </w:r>
      <w:r w:rsidR="00D024CA" w:rsidRPr="00B86BE6">
        <w:t xml:space="preserve">as well as </w:t>
      </w:r>
      <w:r w:rsidRPr="00B86BE6">
        <w:t>last names.</w:t>
      </w:r>
      <w:r w:rsidR="00B004E4" w:rsidRPr="00B86BE6">
        <w:rPr>
          <w:rStyle w:val="EndnoteReference"/>
          <w:rFonts w:eastAsia="Calibri"/>
        </w:rPr>
        <w:endnoteReference w:id="14"/>
      </w:r>
      <w:r w:rsidR="00B004E4" w:rsidRPr="00B86BE6">
        <w:t xml:space="preserve"> “</w:t>
      </w:r>
      <w:r w:rsidR="00DA2771" w:rsidRPr="00B86BE6">
        <w:t xml:space="preserve">On the basis of surnames alone,” wrote </w:t>
      </w:r>
      <w:r w:rsidR="004750C9" w:rsidRPr="00B86BE6">
        <w:t xml:space="preserve">Robert </w:t>
      </w:r>
      <w:r w:rsidR="00DA2771" w:rsidRPr="00B86BE6">
        <w:t>Dalzell, “</w:t>
      </w:r>
      <w:r w:rsidR="00B004E4" w:rsidRPr="00B86BE6">
        <w:t xml:space="preserve">31 members of the group belonged to only 11 families, with the Appleton, Lowell, and Lawrence clans boasting the largest representation … Only slightly less numerous were the Cabots, </w:t>
      </w:r>
      <w:r w:rsidR="00900931" w:rsidRPr="00B86BE6">
        <w:t>Jacksons</w:t>
      </w:r>
      <w:r w:rsidR="00B004E4" w:rsidRPr="00B86BE6">
        <w:t>, and Brookses.”</w:t>
      </w:r>
      <w:r w:rsidR="00B004E4" w:rsidRPr="00B86BE6">
        <w:rPr>
          <w:rStyle w:val="EndnoteReference"/>
          <w:rFonts w:eastAsia="Calibri"/>
        </w:rPr>
        <w:endnoteReference w:id="15"/>
      </w:r>
      <w:r w:rsidR="00B004E4" w:rsidRPr="00B86BE6">
        <w:t xml:space="preserve"> The Boston elite were </w:t>
      </w:r>
      <w:r w:rsidR="0089723D" w:rsidRPr="00B86BE6">
        <w:t xml:space="preserve">so interconnected </w:t>
      </w:r>
      <w:r w:rsidR="00DA2771" w:rsidRPr="00B86BE6">
        <w:t xml:space="preserve">it was almost impossible to </w:t>
      </w:r>
      <w:r w:rsidR="0089723D" w:rsidRPr="00B86BE6">
        <w:t xml:space="preserve">distinguish between </w:t>
      </w:r>
      <w:r w:rsidR="00B004E4" w:rsidRPr="00B86BE6">
        <w:t>family and business partner, student and t</w:t>
      </w:r>
      <w:r w:rsidR="0089723D" w:rsidRPr="00B86BE6">
        <w:t>eacher, friend and first cousin</w:t>
      </w:r>
      <w:r w:rsidR="00B004E4" w:rsidRPr="00B86BE6">
        <w:t>.</w:t>
      </w:r>
      <w:r w:rsidRPr="00B86BE6">
        <w:rPr>
          <w:rStyle w:val="EndnoteReference"/>
        </w:rPr>
        <w:endnoteReference w:id="16"/>
      </w:r>
      <w:r w:rsidR="008339EF" w:rsidRPr="00B86BE6">
        <w:t xml:space="preserve">  </w:t>
      </w:r>
      <w:r w:rsidR="00955DE4" w:rsidRPr="00B86BE6">
        <w:t>By</w:t>
      </w:r>
      <w:r w:rsidR="003A6495" w:rsidRPr="00B86BE6">
        <w:t xml:space="preserve"> </w:t>
      </w:r>
      <w:r w:rsidR="00A94188" w:rsidRPr="00B86BE6">
        <w:t>1861,</w:t>
      </w:r>
      <w:r w:rsidR="009E0433" w:rsidRPr="00B86BE6">
        <w:t xml:space="preserve"> Oliver Wendell Holmes </w:t>
      </w:r>
      <w:r w:rsidR="00CE1714" w:rsidRPr="00B86BE6">
        <w:t xml:space="preserve">coined the term the </w:t>
      </w:r>
      <w:r w:rsidR="00A94188" w:rsidRPr="00B86BE6">
        <w:t xml:space="preserve">“Brahmin Caste of New England” to describe what by then was the city’s </w:t>
      </w:r>
      <w:r w:rsidR="00900931" w:rsidRPr="00B86BE6">
        <w:t>well-developed</w:t>
      </w:r>
      <w:r w:rsidR="00A94188" w:rsidRPr="00B86BE6">
        <w:t xml:space="preserve"> upper class, if not</w:t>
      </w:r>
      <w:r w:rsidR="00955DE4" w:rsidRPr="00B86BE6">
        <w:t xml:space="preserve"> a</w:t>
      </w:r>
      <w:r w:rsidR="00A94188" w:rsidRPr="00B86BE6">
        <w:t xml:space="preserve"> </w:t>
      </w:r>
      <w:r w:rsidR="00900931" w:rsidRPr="00B86BE6">
        <w:t>full-blown</w:t>
      </w:r>
      <w:r w:rsidR="009E0433" w:rsidRPr="00B86BE6">
        <w:t xml:space="preserve"> </w:t>
      </w:r>
      <w:r w:rsidR="00A94188" w:rsidRPr="00B86BE6">
        <w:t xml:space="preserve">aristocracy. </w:t>
      </w:r>
    </w:p>
    <w:p w:rsidR="00A94188" w:rsidRPr="00B86BE6" w:rsidRDefault="00A94188" w:rsidP="00A94188"/>
    <w:p w:rsidR="00674774" w:rsidRPr="00B86BE6" w:rsidRDefault="009E0433" w:rsidP="00DA2771">
      <w:pPr>
        <w:ind w:firstLine="720"/>
      </w:pPr>
      <w:r w:rsidRPr="00B86BE6">
        <w:t xml:space="preserve">During the antebellum period, people sometimes called Boston the </w:t>
      </w:r>
      <w:r w:rsidR="00A94188" w:rsidRPr="00B86BE6">
        <w:t>Athens of America</w:t>
      </w:r>
      <w:r w:rsidR="002058DC" w:rsidRPr="00B86BE6">
        <w:t>.</w:t>
      </w:r>
      <w:r w:rsidR="002058DC" w:rsidRPr="00B86BE6">
        <w:rPr>
          <w:rStyle w:val="EndnoteReference"/>
        </w:rPr>
        <w:endnoteReference w:id="17"/>
      </w:r>
      <w:r w:rsidRPr="00B86BE6">
        <w:t xml:space="preserve"> Residents </w:t>
      </w:r>
      <w:r w:rsidR="00A94188" w:rsidRPr="00B86BE6">
        <w:t xml:space="preserve">felt the region represented and communicated the best of what the country had to offer the rest of the world. </w:t>
      </w:r>
      <w:r w:rsidR="00674774" w:rsidRPr="00B86BE6">
        <w:t xml:space="preserve">In August 1837, Ralph Waldo Emerson delivered </w:t>
      </w:r>
      <w:r w:rsidR="002058DC" w:rsidRPr="00B86BE6">
        <w:t xml:space="preserve">a </w:t>
      </w:r>
      <w:r w:rsidR="00674774" w:rsidRPr="00B86BE6">
        <w:t xml:space="preserve">commencement address, </w:t>
      </w:r>
      <w:r w:rsidRPr="00B86BE6">
        <w:t>en</w:t>
      </w:r>
      <w:r w:rsidR="00674774" w:rsidRPr="00B86BE6">
        <w:t xml:space="preserve">titled “The American Scholar,” to Harvard College’s Phi Beta Kappa Society </w:t>
      </w:r>
      <w:r w:rsidRPr="00B86BE6">
        <w:t xml:space="preserve">in which he </w:t>
      </w:r>
      <w:r w:rsidR="00992FFC" w:rsidRPr="00B86BE6">
        <w:t>challenged American listeners</w:t>
      </w:r>
      <w:r w:rsidRPr="00B86BE6">
        <w:t xml:space="preserve"> to look beyond </w:t>
      </w:r>
      <w:r w:rsidR="00674774" w:rsidRPr="00B86BE6">
        <w:t>dusty archives, ancient lands, or foreign sources</w:t>
      </w:r>
      <w:r w:rsidRPr="00B86BE6">
        <w:t xml:space="preserve"> for inspiration and </w:t>
      </w:r>
      <w:r w:rsidR="00CE1714" w:rsidRPr="00B86BE6">
        <w:t xml:space="preserve">turn </w:t>
      </w:r>
      <w:r w:rsidRPr="00B86BE6">
        <w:t xml:space="preserve">instead to </w:t>
      </w:r>
      <w:r w:rsidR="00674774" w:rsidRPr="00B86BE6">
        <w:t xml:space="preserve">the familiar and natural sources of beauty right around them. </w:t>
      </w:r>
      <w:r w:rsidR="00DA2771" w:rsidRPr="00B86BE6">
        <w:t>“</w:t>
      </w:r>
      <w:r w:rsidR="00674774" w:rsidRPr="00B86BE6">
        <w:t>Perhaps the time is already come</w:t>
      </w:r>
      <w:r w:rsidR="00DA2771" w:rsidRPr="00B86BE6">
        <w:t>,” he said, “</w:t>
      </w:r>
      <w:r w:rsidR="00674774" w:rsidRPr="00B86BE6">
        <w:t>…when the sluggard intellect of this continent will look from under its iron lids, and fill the postponed expectation of the world with something better than the exertions of mechanical skill. Our day of dependence, our long apprenticeship to the learning o</w:t>
      </w:r>
      <w:r w:rsidR="00DA2771" w:rsidRPr="00B86BE6">
        <w:t>f other lands, draws to a close</w:t>
      </w:r>
      <w:r w:rsidR="00955DE4" w:rsidRPr="00B86BE6">
        <w:t>”</w:t>
      </w:r>
      <w:r w:rsidR="00674774" w:rsidRPr="00B86BE6">
        <w:rPr>
          <w:rStyle w:val="EndnoteReference"/>
          <w:rFonts w:eastAsia="Calibri"/>
        </w:rPr>
        <w:endnoteReference w:id="18"/>
      </w:r>
      <w:r w:rsidR="00DA2771" w:rsidRPr="00B86BE6">
        <w:t xml:space="preserve"> </w:t>
      </w:r>
      <w:r w:rsidR="00955DE4" w:rsidRPr="00B86BE6">
        <w:t xml:space="preserve">Author and Harvard professor </w:t>
      </w:r>
      <w:r w:rsidR="00674774" w:rsidRPr="00B86BE6">
        <w:t>Oliver Wendell Holmes, born six years after Emerson</w:t>
      </w:r>
      <w:r w:rsidR="00992FFC" w:rsidRPr="00B86BE6">
        <w:t xml:space="preserve"> spoke</w:t>
      </w:r>
      <w:r w:rsidR="00674774" w:rsidRPr="00B86BE6">
        <w:t xml:space="preserve">, </w:t>
      </w:r>
      <w:r w:rsidR="00DF1F25" w:rsidRPr="00B86BE6">
        <w:t xml:space="preserve">later </w:t>
      </w:r>
      <w:r w:rsidR="00955DE4" w:rsidRPr="00B86BE6">
        <w:t xml:space="preserve">called the speech </w:t>
      </w:r>
      <w:r w:rsidR="00674774" w:rsidRPr="00B86BE6">
        <w:t>America's “Intellectual Declaration of Independence.”</w:t>
      </w:r>
      <w:r w:rsidR="00674774" w:rsidRPr="00B86BE6">
        <w:rPr>
          <w:rStyle w:val="EndnoteReference"/>
          <w:rFonts w:eastAsia="Calibri"/>
        </w:rPr>
        <w:endnoteReference w:id="19"/>
      </w:r>
    </w:p>
    <w:p w:rsidR="00BA4BE9" w:rsidRPr="00B86BE6" w:rsidRDefault="00BA4BE9" w:rsidP="008D66F9"/>
    <w:p w:rsidR="00510F02" w:rsidRPr="00B86BE6" w:rsidRDefault="004750C9" w:rsidP="00A87BE2">
      <w:pPr>
        <w:ind w:firstLine="720"/>
      </w:pPr>
      <w:r w:rsidRPr="00B86BE6">
        <w:t xml:space="preserve">The year </w:t>
      </w:r>
      <w:r w:rsidR="005B4D36" w:rsidRPr="00B86BE6">
        <w:t>1845 stands out as a watershed</w:t>
      </w:r>
      <w:r w:rsidR="00A87BE2" w:rsidRPr="00B86BE6">
        <w:t xml:space="preserve">: </w:t>
      </w:r>
      <w:r w:rsidR="00510F02" w:rsidRPr="00B86BE6">
        <w:t xml:space="preserve">until then, poor Irish immigrants </w:t>
      </w:r>
      <w:r w:rsidR="005B4D36" w:rsidRPr="00B86BE6">
        <w:t xml:space="preserve">had </w:t>
      </w:r>
      <w:r w:rsidR="007C2F32" w:rsidRPr="00B86BE6">
        <w:t xml:space="preserve">just </w:t>
      </w:r>
      <w:r w:rsidR="009E0433" w:rsidRPr="00B86BE6">
        <w:t>trickled into Boston</w:t>
      </w:r>
      <w:r w:rsidR="00510F02" w:rsidRPr="00B86BE6">
        <w:t xml:space="preserve">, </w:t>
      </w:r>
      <w:r w:rsidR="005B4D36" w:rsidRPr="00B86BE6">
        <w:t>numberin</w:t>
      </w:r>
      <w:r w:rsidR="00D024CA" w:rsidRPr="00B86BE6">
        <w:t xml:space="preserve">g </w:t>
      </w:r>
      <w:r w:rsidR="00DA2771" w:rsidRPr="00B86BE6">
        <w:t xml:space="preserve">only </w:t>
      </w:r>
      <w:r w:rsidR="00D024CA" w:rsidRPr="00B86BE6">
        <w:t xml:space="preserve">about 4,000 in 1840. </w:t>
      </w:r>
      <w:r w:rsidR="00EC1199" w:rsidRPr="00B86BE6">
        <w:t xml:space="preserve"> But </w:t>
      </w:r>
      <w:r w:rsidR="00510F02" w:rsidRPr="00B86BE6">
        <w:t>by 1849, more than a</w:t>
      </w:r>
      <w:r w:rsidR="00EC1199" w:rsidRPr="00B86BE6">
        <w:t xml:space="preserve"> quarter of Boston’s residents</w:t>
      </w:r>
      <w:r w:rsidR="00A87BE2" w:rsidRPr="00B86BE6">
        <w:t>—</w:t>
      </w:r>
      <w:r w:rsidR="00510F02" w:rsidRPr="00B86BE6">
        <w:t>at least 35,000</w:t>
      </w:r>
      <w:r w:rsidR="00A87BE2" w:rsidRPr="00B86BE6">
        <w:t>—</w:t>
      </w:r>
      <w:r w:rsidR="00510F02" w:rsidRPr="00B86BE6">
        <w:t xml:space="preserve">were Irish. </w:t>
      </w:r>
      <w:r w:rsidR="00EC1199" w:rsidRPr="00B86BE6">
        <w:t xml:space="preserve">The city’s elite created hospitals and </w:t>
      </w:r>
      <w:r w:rsidR="00510F02" w:rsidRPr="00B86BE6">
        <w:t>dispensaries</w:t>
      </w:r>
      <w:r w:rsidR="00EC1199" w:rsidRPr="00B86BE6">
        <w:t xml:space="preserve"> to </w:t>
      </w:r>
      <w:r w:rsidR="00982A64" w:rsidRPr="00B86BE6">
        <w:t>provide for thes</w:t>
      </w:r>
      <w:r w:rsidR="00992FFC" w:rsidRPr="00B86BE6">
        <w:t xml:space="preserve">e often impoverished newcomers </w:t>
      </w:r>
      <w:r w:rsidR="00EC1199" w:rsidRPr="00B86BE6">
        <w:t>but also tried to keep them at bay</w:t>
      </w:r>
      <w:r w:rsidR="007C2F32" w:rsidRPr="00B86BE6">
        <w:t>.</w:t>
      </w:r>
      <w:r w:rsidR="002058DC" w:rsidRPr="00B86BE6">
        <w:rPr>
          <w:rStyle w:val="EndnoteReference"/>
        </w:rPr>
        <w:endnoteReference w:id="20"/>
      </w:r>
      <w:r w:rsidR="00510F02" w:rsidRPr="00B86BE6">
        <w:t xml:space="preserve"> </w:t>
      </w:r>
      <w:r w:rsidR="007C2F32" w:rsidRPr="00B86BE6">
        <w:t xml:space="preserve"> “The Irish</w:t>
      </w:r>
      <w:r w:rsidR="00982A64" w:rsidRPr="00B86BE6">
        <w:t>,</w:t>
      </w:r>
      <w:r w:rsidR="007C2F32" w:rsidRPr="00B86BE6">
        <w:t xml:space="preserve">” according to Dalzell, </w:t>
      </w:r>
      <w:r w:rsidR="00216145" w:rsidRPr="00B86BE6">
        <w:t>“</w:t>
      </w:r>
      <w:r w:rsidR="00510F02" w:rsidRPr="00B86BE6">
        <w:t>were not just strangers, they were outsiders.”</w:t>
      </w:r>
      <w:r w:rsidR="00510F02" w:rsidRPr="00B86BE6">
        <w:rPr>
          <w:rStyle w:val="EndnoteReference"/>
          <w:rFonts w:eastAsia="Calibri"/>
        </w:rPr>
        <w:endnoteReference w:id="21"/>
      </w:r>
    </w:p>
    <w:p w:rsidR="008D66F9" w:rsidRPr="00B86BE6" w:rsidRDefault="008D66F9" w:rsidP="008D66F9">
      <w:pPr>
        <w:rPr>
          <w:b/>
        </w:rPr>
      </w:pPr>
    </w:p>
    <w:p w:rsidR="00A94188" w:rsidRPr="00B86BE6" w:rsidRDefault="00BB294F" w:rsidP="00A94188">
      <w:pPr>
        <w:ind w:firstLine="720"/>
      </w:pPr>
      <w:r w:rsidRPr="00B86BE6">
        <w:t>The</w:t>
      </w:r>
      <w:r w:rsidR="00C63AB7" w:rsidRPr="00B86BE6">
        <w:t xml:space="preserve"> cultural structures first put in place by the Puritans, though stretched and worn, </w:t>
      </w:r>
      <w:r w:rsidR="007C2F32" w:rsidRPr="00B86BE6">
        <w:t xml:space="preserve">have </w:t>
      </w:r>
      <w:r w:rsidR="00216145" w:rsidRPr="00B86BE6">
        <w:t xml:space="preserve">endured </w:t>
      </w:r>
      <w:r w:rsidR="00C63AB7" w:rsidRPr="00B86BE6">
        <w:t>and</w:t>
      </w:r>
      <w:r w:rsidR="007C2F32" w:rsidRPr="00B86BE6">
        <w:t xml:space="preserve"> are still felt today, although sometimes just barely. </w:t>
      </w:r>
      <w:r w:rsidR="00DF1F25" w:rsidRPr="00B86BE6">
        <w:t>After the Civil W</w:t>
      </w:r>
      <w:r w:rsidR="00C63AB7" w:rsidRPr="00B86BE6">
        <w:t xml:space="preserve">ar, Boston’s elite </w:t>
      </w:r>
      <w:r w:rsidR="009E0433" w:rsidRPr="00B86BE6">
        <w:t xml:space="preserve">not only </w:t>
      </w:r>
      <w:r w:rsidR="00C63AB7" w:rsidRPr="00B86BE6">
        <w:t xml:space="preserve">began to </w:t>
      </w:r>
      <w:r w:rsidR="00DF1F25" w:rsidRPr="00B86BE6">
        <w:t xml:space="preserve">make </w:t>
      </w:r>
      <w:r w:rsidR="00216145" w:rsidRPr="00B86BE6">
        <w:t xml:space="preserve">clear </w:t>
      </w:r>
      <w:r w:rsidR="00DF1F25" w:rsidRPr="00B86BE6">
        <w:t>distinctions between</w:t>
      </w:r>
      <w:r w:rsidR="00216145" w:rsidRPr="00B86BE6">
        <w:t xml:space="preserve"> the U.S. and Europe but also to draw lines in the sand between </w:t>
      </w:r>
      <w:r w:rsidR="00C63AB7" w:rsidRPr="00B86BE6">
        <w:t xml:space="preserve">themselves and the </w:t>
      </w:r>
      <w:r w:rsidR="009E0433" w:rsidRPr="00B86BE6">
        <w:t xml:space="preserve">increasing numbers of </w:t>
      </w:r>
      <w:r w:rsidR="00A94188" w:rsidRPr="00B86BE6">
        <w:t xml:space="preserve">strangers </w:t>
      </w:r>
      <w:r w:rsidR="00C63AB7" w:rsidRPr="00B86BE6">
        <w:t>in their midst</w:t>
      </w:r>
      <w:r w:rsidR="00A94188" w:rsidRPr="00B86BE6">
        <w:t xml:space="preserve">. </w:t>
      </w:r>
      <w:r w:rsidR="00C63AB7" w:rsidRPr="00B86BE6">
        <w:t>The institutions</w:t>
      </w:r>
      <w:r w:rsidR="00D024CA" w:rsidRPr="00B86BE6">
        <w:t xml:space="preserve"> they created </w:t>
      </w:r>
      <w:r w:rsidR="00C63AB7" w:rsidRPr="00B86BE6">
        <w:t xml:space="preserve">reflected the </w:t>
      </w:r>
      <w:r w:rsidR="00A94188" w:rsidRPr="00B86BE6">
        <w:t>conflicting legac</w:t>
      </w:r>
      <w:r w:rsidR="00C63AB7" w:rsidRPr="00B86BE6">
        <w:t>ies</w:t>
      </w:r>
      <w:r w:rsidR="00D024CA" w:rsidRPr="00B86BE6">
        <w:t xml:space="preserve"> at the city’s core</w:t>
      </w:r>
      <w:r w:rsidR="00934935" w:rsidRPr="00B86BE6">
        <w:t xml:space="preserve"> </w:t>
      </w:r>
      <w:r w:rsidR="00A94188" w:rsidRPr="00B86BE6">
        <w:t xml:space="preserve">elitism and </w:t>
      </w:r>
      <w:r w:rsidR="00DF1F25" w:rsidRPr="00B86BE6">
        <w:t xml:space="preserve">its embrace of </w:t>
      </w:r>
      <w:r w:rsidR="00A94188" w:rsidRPr="00B86BE6">
        <w:t>hig</w:t>
      </w:r>
      <w:r w:rsidR="0062224D" w:rsidRPr="00B86BE6">
        <w:t xml:space="preserve">h culture </w:t>
      </w:r>
      <w:r w:rsidR="00DF1F25" w:rsidRPr="00B86BE6">
        <w:t xml:space="preserve">versus the </w:t>
      </w:r>
      <w:r w:rsidR="0062224D" w:rsidRPr="00B86BE6">
        <w:t>impulse to bring culture to the masses, an interest in</w:t>
      </w:r>
      <w:r w:rsidR="00D024CA" w:rsidRPr="00B86BE6">
        <w:t xml:space="preserve"> and begrudging respect for </w:t>
      </w:r>
      <w:r w:rsidR="0062224D" w:rsidRPr="00B86BE6">
        <w:t>cosmopolitan</w:t>
      </w:r>
      <w:r w:rsidR="00216145" w:rsidRPr="00B86BE6">
        <w:t>ism</w:t>
      </w:r>
      <w:r w:rsidR="00934935" w:rsidRPr="00B86BE6">
        <w:t>,</w:t>
      </w:r>
      <w:r w:rsidR="0062224D" w:rsidRPr="00B86BE6">
        <w:t xml:space="preserve"> </w:t>
      </w:r>
      <w:r w:rsidR="00DF1F25" w:rsidRPr="00B86BE6">
        <w:t xml:space="preserve">and the firm belief that </w:t>
      </w:r>
      <w:r w:rsidR="0062224D" w:rsidRPr="00B86BE6">
        <w:t>America need</w:t>
      </w:r>
      <w:r w:rsidR="00D024CA" w:rsidRPr="00B86BE6">
        <w:t>ed</w:t>
      </w:r>
      <w:r w:rsidR="0062224D" w:rsidRPr="00B86BE6">
        <w:t xml:space="preserve"> to chart its own way</w:t>
      </w:r>
      <w:r w:rsidR="00216145" w:rsidRPr="00B86BE6">
        <w:t xml:space="preserve">. </w:t>
      </w:r>
    </w:p>
    <w:p w:rsidR="00D00CA9" w:rsidRPr="00B86BE6" w:rsidRDefault="00D00CA9" w:rsidP="00D00CA9"/>
    <w:p w:rsidR="00D00CA9" w:rsidRPr="00B86BE6" w:rsidRDefault="00B86BE6" w:rsidP="00D00CA9">
      <w:pPr>
        <w:rPr>
          <w:b/>
        </w:rPr>
      </w:pPr>
      <w:r>
        <w:rPr>
          <w:b/>
        </w:rPr>
        <w:t>The Birth of the Museum of Fine Arts</w:t>
      </w:r>
    </w:p>
    <w:p w:rsidR="00D00CA9" w:rsidRPr="00B86BE6" w:rsidRDefault="00D00CA9" w:rsidP="00D00CA9"/>
    <w:p w:rsidR="003F5064" w:rsidRPr="00B86BE6" w:rsidRDefault="00992FFC" w:rsidP="008E0A80">
      <w:pPr>
        <w:tabs>
          <w:tab w:val="left" w:pos="630"/>
        </w:tabs>
      </w:pPr>
      <w:r w:rsidRPr="00B86BE6">
        <w:t>Opening its doors in 1795</w:t>
      </w:r>
      <w:r w:rsidR="00934935" w:rsidRPr="00B86BE6">
        <w:t>, t</w:t>
      </w:r>
      <w:r w:rsidR="001E567E" w:rsidRPr="00B86BE6">
        <w:t xml:space="preserve">he </w:t>
      </w:r>
      <w:r w:rsidR="00DF1F25" w:rsidRPr="00B86BE6">
        <w:t>Columbian Museum</w:t>
      </w:r>
      <w:r w:rsidR="00934935" w:rsidRPr="00B86BE6">
        <w:t>, Boston’s first</w:t>
      </w:r>
      <w:r w:rsidR="00674774" w:rsidRPr="00B86BE6">
        <w:t>, contained wax figures of John Adams, George Washington, and Ben Franklin</w:t>
      </w:r>
      <w:r w:rsidR="009E0433" w:rsidRPr="00B86BE6">
        <w:t xml:space="preserve">, </w:t>
      </w:r>
      <w:r w:rsidR="00674774" w:rsidRPr="00B86BE6">
        <w:t xml:space="preserve">123 paintings </w:t>
      </w:r>
      <w:r w:rsidR="00DF1F25" w:rsidRPr="00B86BE6">
        <w:t xml:space="preserve">with titles </w:t>
      </w:r>
      <w:r w:rsidR="00934935" w:rsidRPr="00B86BE6">
        <w:t>such as</w:t>
      </w:r>
      <w:r w:rsidR="00DF1F25" w:rsidRPr="00B86BE6">
        <w:t xml:space="preserve"> </w:t>
      </w:r>
      <w:r w:rsidR="00674774" w:rsidRPr="00B86BE6">
        <w:t>“Mr. Garrick Speaking the Ode to Shakespeare” and “Scene in the Third Act of King Lear</w:t>
      </w:r>
      <w:r w:rsidR="009E0433" w:rsidRPr="00B86BE6">
        <w:t>,</w:t>
      </w:r>
      <w:r w:rsidR="00674774" w:rsidRPr="00B86BE6">
        <w:t xml:space="preserve">” </w:t>
      </w:r>
      <w:r w:rsidR="009E0433" w:rsidRPr="00B86BE6">
        <w:t xml:space="preserve">and </w:t>
      </w:r>
      <w:r w:rsidR="00674774" w:rsidRPr="00B86BE6">
        <w:t>live rattl</w:t>
      </w:r>
      <w:r w:rsidR="003F5064" w:rsidRPr="00B86BE6">
        <w:t>esnakes, alligators, and eagles.</w:t>
      </w:r>
      <w:r w:rsidR="003F5064" w:rsidRPr="00B86BE6">
        <w:rPr>
          <w:rStyle w:val="EndnoteReference"/>
        </w:rPr>
        <w:endnoteReference w:id="22"/>
      </w:r>
      <w:r w:rsidR="00DF1F25" w:rsidRPr="00B86BE6">
        <w:t xml:space="preserve"> </w:t>
      </w:r>
      <w:r w:rsidR="00674774" w:rsidRPr="00B86BE6">
        <w:t xml:space="preserve">Moses Kimball’s Boston Museum, which opened in 1841, looked a lot like the European curiosity cabinets containing Albert Eckhout’s paintings of the “Brazilian Beasts.”  Founded as a commercial venture, paintings by </w:t>
      </w:r>
      <w:r w:rsidR="00934935" w:rsidRPr="00B86BE6">
        <w:t xml:space="preserve">early Republic portraitists Thomas </w:t>
      </w:r>
      <w:r w:rsidR="00674774" w:rsidRPr="00B86BE6">
        <w:t xml:space="preserve">Sully and </w:t>
      </w:r>
      <w:r w:rsidR="00934935" w:rsidRPr="00B86BE6">
        <w:t>Charles Wil</w:t>
      </w:r>
      <w:r w:rsidR="00CF799D" w:rsidRPr="00B86BE6">
        <w:t>l</w:t>
      </w:r>
      <w:r w:rsidR="00934935" w:rsidRPr="00B86BE6">
        <w:t xml:space="preserve">son </w:t>
      </w:r>
      <w:r w:rsidR="00674774" w:rsidRPr="00B86BE6">
        <w:t xml:space="preserve">Peale </w:t>
      </w:r>
      <w:r w:rsidR="004A7603" w:rsidRPr="00B86BE6">
        <w:t xml:space="preserve">were displayed alongside </w:t>
      </w:r>
      <w:r w:rsidR="00674774" w:rsidRPr="00B86BE6">
        <w:t>Chinese curiosities, stuffed anima</w:t>
      </w:r>
      <w:r w:rsidR="00D4041D" w:rsidRPr="00B86BE6">
        <w:t>ls, dwarves, and mermaids.  For the</w:t>
      </w:r>
      <w:r w:rsidRPr="00B86BE6">
        <w:t xml:space="preserve"> same price, people could </w:t>
      </w:r>
      <w:r w:rsidR="007C2F32" w:rsidRPr="00B86BE6">
        <w:t xml:space="preserve">visit the </w:t>
      </w:r>
      <w:r w:rsidR="00674774" w:rsidRPr="00B86BE6">
        <w:t>Boston Museum Theatre, where</w:t>
      </w:r>
      <w:r w:rsidR="007C2F32" w:rsidRPr="00B86BE6">
        <w:t xml:space="preserve"> </w:t>
      </w:r>
      <w:r w:rsidR="00EC1199" w:rsidRPr="00B86BE6">
        <w:t xml:space="preserve">performances by gymnasts and contortionists followed </w:t>
      </w:r>
      <w:r w:rsidR="007C2F32" w:rsidRPr="00B86BE6">
        <w:t>works by Dickens and Shakespeare</w:t>
      </w:r>
      <w:r w:rsidR="003F5064" w:rsidRPr="00B86BE6">
        <w:t>.</w:t>
      </w:r>
      <w:r w:rsidR="003F5064" w:rsidRPr="00B86BE6">
        <w:rPr>
          <w:rStyle w:val="EndnoteReference"/>
        </w:rPr>
        <w:endnoteReference w:id="23"/>
      </w:r>
      <w:r w:rsidR="003F5064" w:rsidRPr="00B86BE6">
        <w:t xml:space="preserve"> </w:t>
      </w:r>
    </w:p>
    <w:p w:rsidR="00D93049" w:rsidRPr="00B86BE6" w:rsidRDefault="00D93049" w:rsidP="001B7126"/>
    <w:p w:rsidR="001B7126" w:rsidRPr="00B86BE6" w:rsidRDefault="007C2F32" w:rsidP="00B16E9E">
      <w:pPr>
        <w:ind w:firstLine="720"/>
      </w:pPr>
      <w:r w:rsidRPr="00B86BE6">
        <w:t xml:space="preserve">A </w:t>
      </w:r>
      <w:r w:rsidR="009E0433" w:rsidRPr="00B86BE6">
        <w:t xml:space="preserve">sea change was </w:t>
      </w:r>
      <w:r w:rsidR="00D93049" w:rsidRPr="00B86BE6">
        <w:t xml:space="preserve">underway </w:t>
      </w:r>
      <w:r w:rsidR="0026304B" w:rsidRPr="00B86BE6">
        <w:t>in 19</w:t>
      </w:r>
      <w:r w:rsidR="0026304B" w:rsidRPr="00B86BE6">
        <w:rPr>
          <w:vertAlign w:val="superscript"/>
        </w:rPr>
        <w:t>th</w:t>
      </w:r>
      <w:r w:rsidR="0026304B" w:rsidRPr="00B86BE6">
        <w:t xml:space="preserve"> century America. </w:t>
      </w:r>
      <w:r w:rsidR="00B02537" w:rsidRPr="00B86BE6">
        <w:t>The middle class</w:t>
      </w:r>
      <w:r w:rsidRPr="00B86BE6">
        <w:t xml:space="preserve"> emerged as an </w:t>
      </w:r>
      <w:r w:rsidR="00B16E9E" w:rsidRPr="00B86BE6">
        <w:t>independent</w:t>
      </w:r>
      <w:r w:rsidR="009E0433" w:rsidRPr="00B86BE6">
        <w:t xml:space="preserve">, </w:t>
      </w:r>
      <w:r w:rsidR="00B16E9E" w:rsidRPr="00B86BE6">
        <w:t>sel</w:t>
      </w:r>
      <w:r w:rsidR="0026304B" w:rsidRPr="00B86BE6">
        <w:t xml:space="preserve">f-reliant </w:t>
      </w:r>
      <w:r w:rsidR="009E0433" w:rsidRPr="00B86BE6">
        <w:t xml:space="preserve">bunch with </w:t>
      </w:r>
      <w:r w:rsidR="0026304B" w:rsidRPr="00B86BE6">
        <w:t>money to</w:t>
      </w:r>
      <w:r w:rsidR="00DE487C" w:rsidRPr="00B86BE6">
        <w:t xml:space="preserve"> spare</w:t>
      </w:r>
      <w:r w:rsidR="00B16E9E" w:rsidRPr="00B86BE6">
        <w:t xml:space="preserve">. </w:t>
      </w:r>
      <w:r w:rsidR="009E0433" w:rsidRPr="00B86BE6">
        <w:t>P</w:t>
      </w:r>
      <w:r w:rsidR="003F5064" w:rsidRPr="00B86BE6">
        <w:t xml:space="preserve">eople </w:t>
      </w:r>
      <w:r w:rsidR="004A7603" w:rsidRPr="00B86BE6">
        <w:t xml:space="preserve">embraced the idea that White </w:t>
      </w:r>
      <w:r w:rsidR="00D93049" w:rsidRPr="00B86BE6">
        <w:t>men, born equal, were equal</w:t>
      </w:r>
      <w:r w:rsidR="004A7603" w:rsidRPr="00B86BE6">
        <w:t xml:space="preserve">ly capable of earning a living or </w:t>
      </w:r>
      <w:r w:rsidR="00D93049" w:rsidRPr="00B86BE6">
        <w:t xml:space="preserve">being elected to office.  </w:t>
      </w:r>
      <w:r w:rsidR="009E0433" w:rsidRPr="00B86BE6">
        <w:t xml:space="preserve">Museums could help by educating and morally uplifting </w:t>
      </w:r>
      <w:r w:rsidR="001E1D88" w:rsidRPr="00B86BE6">
        <w:t>the pub</w:t>
      </w:r>
      <w:r w:rsidR="00EC1199" w:rsidRPr="00B86BE6">
        <w:t xml:space="preserve">lic. After the </w:t>
      </w:r>
      <w:r w:rsidR="009E0433" w:rsidRPr="00B86BE6">
        <w:t xml:space="preserve">end of the War of 1812, which </w:t>
      </w:r>
      <w:r w:rsidRPr="00B86BE6">
        <w:t xml:space="preserve">gave rise to a burst of </w:t>
      </w:r>
      <w:r w:rsidR="001E1D88" w:rsidRPr="00B86BE6">
        <w:t>cultural nationalism</w:t>
      </w:r>
      <w:r w:rsidR="00D4041D" w:rsidRPr="00B86BE6">
        <w:t xml:space="preserve">, </w:t>
      </w:r>
      <w:r w:rsidRPr="00B86BE6">
        <w:t xml:space="preserve">at least some Americans heeded </w:t>
      </w:r>
      <w:r w:rsidR="003F5064" w:rsidRPr="00B86BE6">
        <w:t xml:space="preserve">Emerson’s call to reject </w:t>
      </w:r>
      <w:r w:rsidR="001E1D88" w:rsidRPr="00B86BE6">
        <w:t>European cultural s</w:t>
      </w:r>
      <w:r w:rsidR="009E0433" w:rsidRPr="00B86BE6">
        <w:t>upremacy an</w:t>
      </w:r>
      <w:r w:rsidR="001A5F54" w:rsidRPr="00B86BE6">
        <w:t>d</w:t>
      </w:r>
      <w:r w:rsidR="00EC1199" w:rsidRPr="00B86BE6">
        <w:t xml:space="preserve"> find their own way. </w:t>
      </w:r>
      <w:r w:rsidR="00B02537" w:rsidRPr="00B86BE6">
        <w:t>A rev</w:t>
      </w:r>
      <w:r w:rsidR="001E1D88" w:rsidRPr="00B86BE6">
        <w:t>erence for professionalism f</w:t>
      </w:r>
      <w:r w:rsidR="009E0433" w:rsidRPr="00B86BE6">
        <w:t>ollowed</w:t>
      </w:r>
      <w:r w:rsidR="001E1D88" w:rsidRPr="00B86BE6">
        <w:t xml:space="preserve">. </w:t>
      </w:r>
      <w:r w:rsidR="00DE487C" w:rsidRPr="00B86BE6">
        <w:t xml:space="preserve">Science </w:t>
      </w:r>
      <w:r w:rsidR="001E1D88" w:rsidRPr="00B86BE6">
        <w:t>and scholarly research trumped popular ed</w:t>
      </w:r>
      <w:r w:rsidR="009E0433" w:rsidRPr="00B86BE6">
        <w:t xml:space="preserve">ucation.  By the 1870s, </w:t>
      </w:r>
      <w:r w:rsidR="001E1D88" w:rsidRPr="00B86BE6">
        <w:t xml:space="preserve">the two had fused </w:t>
      </w:r>
      <w:r w:rsidR="009E0433" w:rsidRPr="00B86BE6">
        <w:t xml:space="preserve">and </w:t>
      </w:r>
      <w:r w:rsidR="004A7603" w:rsidRPr="00B86BE6">
        <w:t xml:space="preserve">set the tone for a </w:t>
      </w:r>
      <w:r w:rsidR="001E1D88" w:rsidRPr="00B86BE6">
        <w:t>modern American museum</w:t>
      </w:r>
      <w:r w:rsidR="009E0433" w:rsidRPr="00B86BE6">
        <w:t xml:space="preserve"> that would </w:t>
      </w:r>
      <w:r w:rsidR="001B7126" w:rsidRPr="00B86BE6">
        <w:t xml:space="preserve">simultaneously </w:t>
      </w:r>
      <w:r w:rsidR="00DE487C" w:rsidRPr="00B86BE6">
        <w:t xml:space="preserve">discover </w:t>
      </w:r>
      <w:r w:rsidR="001B7126" w:rsidRPr="00B86BE6">
        <w:t>truths and e</w:t>
      </w:r>
      <w:r w:rsidR="00DE487C" w:rsidRPr="00B86BE6">
        <w:t xml:space="preserve">ducate </w:t>
      </w:r>
      <w:r w:rsidR="001E1D88" w:rsidRPr="00B86BE6">
        <w:t>th</w:t>
      </w:r>
      <w:r w:rsidR="003F5064" w:rsidRPr="00B86BE6">
        <w:t>e public about them.</w:t>
      </w:r>
      <w:r w:rsidR="003F5064" w:rsidRPr="00B86BE6">
        <w:rPr>
          <w:rStyle w:val="EndnoteReference"/>
        </w:rPr>
        <w:endnoteReference w:id="24"/>
      </w:r>
    </w:p>
    <w:p w:rsidR="0043494B" w:rsidRPr="00B86BE6" w:rsidRDefault="0043494B" w:rsidP="0043494B"/>
    <w:p w:rsidR="002806BD" w:rsidRPr="00B86BE6" w:rsidRDefault="00A67923" w:rsidP="004A7603">
      <w:pPr>
        <w:ind w:firstLine="720"/>
      </w:pPr>
      <w:r w:rsidRPr="00B86BE6">
        <w:t xml:space="preserve">By </w:t>
      </w:r>
      <w:r w:rsidR="009E0433" w:rsidRPr="00B86BE6">
        <w:t xml:space="preserve">the </w:t>
      </w:r>
      <w:r w:rsidRPr="00B86BE6">
        <w:t>end of the Civil W</w:t>
      </w:r>
      <w:r w:rsidR="00B02537" w:rsidRPr="00B86BE6">
        <w:t>ar, Boston</w:t>
      </w:r>
      <w:r w:rsidR="009E0433" w:rsidRPr="00B86BE6">
        <w:t xml:space="preserve">’s </w:t>
      </w:r>
      <w:r w:rsidRPr="00B86BE6">
        <w:t>residents numbered close to a quarter of a million</w:t>
      </w:r>
      <w:r w:rsidR="00180E5B" w:rsidRPr="00B86BE6">
        <w:t xml:space="preserve">. </w:t>
      </w:r>
      <w:r w:rsidR="009E0433" w:rsidRPr="00B86BE6">
        <w:t xml:space="preserve"> In 1900</w:t>
      </w:r>
      <w:r w:rsidR="003F5064" w:rsidRPr="00B86BE6">
        <w:t xml:space="preserve">, 30 percent of the city’s residents were foreign born and 70 percent claimed foreign ancestry. The city’s </w:t>
      </w:r>
      <w:r w:rsidR="00A11272" w:rsidRPr="00B86BE6">
        <w:t xml:space="preserve">increased size, </w:t>
      </w:r>
      <w:r w:rsidRPr="00B86BE6">
        <w:t>wealth, and cultural production</w:t>
      </w:r>
      <w:r w:rsidR="00A11272" w:rsidRPr="00B86BE6">
        <w:t xml:space="preserve"> </w:t>
      </w:r>
      <w:r w:rsidR="007C2F32" w:rsidRPr="00B86BE6">
        <w:t xml:space="preserve">went </w:t>
      </w:r>
      <w:r w:rsidRPr="00B86BE6">
        <w:t xml:space="preserve">hand and hand with </w:t>
      </w:r>
      <w:r w:rsidR="00992FFC" w:rsidRPr="00B86BE6">
        <w:t xml:space="preserve">more </w:t>
      </w:r>
      <w:r w:rsidR="00180E5B" w:rsidRPr="00B86BE6">
        <w:t>poverty, infant mortality, and Catholicism</w:t>
      </w:r>
      <w:r w:rsidR="003F5064" w:rsidRPr="00B86BE6">
        <w:t>.</w:t>
      </w:r>
      <w:r w:rsidR="00D93049" w:rsidRPr="00B86BE6">
        <w:rPr>
          <w:rStyle w:val="EndnoteReference"/>
        </w:rPr>
        <w:endnoteReference w:id="25"/>
      </w:r>
      <w:r w:rsidR="00180E5B" w:rsidRPr="00B86BE6">
        <w:t xml:space="preserve"> </w:t>
      </w:r>
      <w:r w:rsidR="009E0433" w:rsidRPr="00B86BE6">
        <w:t xml:space="preserve">The </w:t>
      </w:r>
      <w:r w:rsidR="001A5F54" w:rsidRPr="00B86BE6">
        <w:t xml:space="preserve">elite established </w:t>
      </w:r>
      <w:r w:rsidR="009E0433" w:rsidRPr="00B86BE6">
        <w:t xml:space="preserve">charitable institutions </w:t>
      </w:r>
      <w:r w:rsidR="001A5F54" w:rsidRPr="00B86BE6">
        <w:t xml:space="preserve">with two somewhat conflicting goals in mind.  On the one hand, </w:t>
      </w:r>
      <w:r w:rsidR="00D93049" w:rsidRPr="00B86BE6">
        <w:t xml:space="preserve">they were </w:t>
      </w:r>
      <w:r w:rsidR="000D0144" w:rsidRPr="00B86BE6">
        <w:t>ben</w:t>
      </w:r>
      <w:r w:rsidR="009E0433" w:rsidRPr="00B86BE6">
        <w:t>evol</w:t>
      </w:r>
      <w:r w:rsidR="001A5F54" w:rsidRPr="00B86BE6">
        <w:t xml:space="preserve">ent benefactors who </w:t>
      </w:r>
      <w:r w:rsidR="009E0433" w:rsidRPr="00B86BE6">
        <w:t xml:space="preserve">granted </w:t>
      </w:r>
      <w:r w:rsidR="000D0144" w:rsidRPr="00B86BE6">
        <w:t xml:space="preserve">art </w:t>
      </w:r>
      <w:r w:rsidR="00273A2F" w:rsidRPr="00B86BE6">
        <w:t xml:space="preserve">to </w:t>
      </w:r>
      <w:r w:rsidR="001A5F54" w:rsidRPr="00B86BE6">
        <w:t xml:space="preserve">the people, </w:t>
      </w:r>
      <w:r w:rsidR="007C2F32" w:rsidRPr="00B86BE6">
        <w:t xml:space="preserve">as </w:t>
      </w:r>
      <w:r w:rsidR="000D0144" w:rsidRPr="00B86BE6">
        <w:t xml:space="preserve">Puritan ministers had </w:t>
      </w:r>
      <w:r w:rsidR="000210B2" w:rsidRPr="00B86BE6">
        <w:t>‘granted’ understanding of the B</w:t>
      </w:r>
      <w:r w:rsidR="000D0144" w:rsidRPr="00B86BE6">
        <w:t xml:space="preserve">ible </w:t>
      </w:r>
      <w:r w:rsidR="000210B2" w:rsidRPr="00B86BE6">
        <w:t xml:space="preserve">to their </w:t>
      </w:r>
      <w:r w:rsidR="000D0144" w:rsidRPr="00B86BE6">
        <w:t>follo</w:t>
      </w:r>
      <w:r w:rsidR="00273A2F" w:rsidRPr="00B86BE6">
        <w:t>wers. On the other hand, fears</w:t>
      </w:r>
      <w:r w:rsidR="000D0144" w:rsidRPr="00B86BE6">
        <w:t xml:space="preserve"> of losing the culture </w:t>
      </w:r>
      <w:r w:rsidR="000210B2" w:rsidRPr="00B86BE6">
        <w:t xml:space="preserve">they </w:t>
      </w:r>
      <w:r w:rsidR="00273A2F" w:rsidRPr="00B86BE6">
        <w:t xml:space="preserve">held </w:t>
      </w:r>
      <w:r w:rsidR="00992FFC" w:rsidRPr="00B86BE6">
        <w:t>dear—</w:t>
      </w:r>
      <w:r w:rsidR="000210B2" w:rsidRPr="00B86BE6">
        <w:t xml:space="preserve">and, along with it, their </w:t>
      </w:r>
      <w:r w:rsidR="00992FFC" w:rsidRPr="00B86BE6">
        <w:t>status—</w:t>
      </w:r>
      <w:r w:rsidR="004A7603" w:rsidRPr="00B86BE6">
        <w:t xml:space="preserve">motivated them to </w:t>
      </w:r>
      <w:r w:rsidR="00273A2F" w:rsidRPr="00B86BE6">
        <w:t xml:space="preserve">create </w:t>
      </w:r>
      <w:r w:rsidR="000D0144" w:rsidRPr="00B86BE6">
        <w:t>organizations</w:t>
      </w:r>
      <w:r w:rsidR="001A5F54" w:rsidRPr="00B86BE6">
        <w:t xml:space="preserve"> that preserved </w:t>
      </w:r>
      <w:r w:rsidR="00651241" w:rsidRPr="00B86BE6">
        <w:t xml:space="preserve">high art and social </w:t>
      </w:r>
      <w:r w:rsidR="000210B2" w:rsidRPr="00B86BE6">
        <w:t>prestige</w:t>
      </w:r>
      <w:r w:rsidR="000D0144" w:rsidRPr="00B86BE6">
        <w:t xml:space="preserve">. </w:t>
      </w:r>
      <w:r w:rsidR="00180E5B" w:rsidRPr="00B86BE6">
        <w:t>The city’s m</w:t>
      </w:r>
      <w:r w:rsidR="009E0433" w:rsidRPr="00B86BE6">
        <w:t xml:space="preserve">iddle class </w:t>
      </w:r>
      <w:r w:rsidR="00273A2F" w:rsidRPr="00B86BE6">
        <w:t xml:space="preserve">was </w:t>
      </w:r>
      <w:r w:rsidR="007C2F32" w:rsidRPr="00B86BE6">
        <w:t xml:space="preserve">only too eager to follow, thereby clearly marking the distance </w:t>
      </w:r>
      <w:r w:rsidR="000D0144" w:rsidRPr="00B86BE6">
        <w:t>between themselves and</w:t>
      </w:r>
      <w:r w:rsidR="007C2F32" w:rsidRPr="00B86BE6">
        <w:t xml:space="preserve"> those right below them on the social ladder</w:t>
      </w:r>
      <w:r w:rsidR="002806BD" w:rsidRPr="00B86BE6">
        <w:t>.</w:t>
      </w:r>
      <w:r w:rsidR="00831791" w:rsidRPr="00B86BE6">
        <w:rPr>
          <w:rStyle w:val="EndnoteReference"/>
        </w:rPr>
        <w:endnoteReference w:id="26"/>
      </w:r>
      <w:r w:rsidR="002806BD" w:rsidRPr="00B86BE6">
        <w:t xml:space="preserve"> </w:t>
      </w:r>
    </w:p>
    <w:p w:rsidR="00B82E44" w:rsidRPr="00B86BE6" w:rsidRDefault="00B82E44" w:rsidP="00B82E44"/>
    <w:p w:rsidR="00CC7D7A" w:rsidRPr="00B86BE6" w:rsidRDefault="00B82E44" w:rsidP="00B82E44">
      <w:r w:rsidRPr="00B86BE6">
        <w:tab/>
      </w:r>
      <w:r w:rsidR="00840379" w:rsidRPr="00B86BE6">
        <w:t xml:space="preserve">In February of </w:t>
      </w:r>
      <w:r w:rsidRPr="00B86BE6">
        <w:t xml:space="preserve">1870, </w:t>
      </w:r>
      <w:r w:rsidR="00840379" w:rsidRPr="00B86BE6">
        <w:t xml:space="preserve">the Massachusetts </w:t>
      </w:r>
      <w:r w:rsidRPr="00B86BE6">
        <w:t xml:space="preserve">General Court passed </w:t>
      </w:r>
      <w:r w:rsidR="00840379" w:rsidRPr="00B86BE6">
        <w:t xml:space="preserve">a </w:t>
      </w:r>
      <w:r w:rsidRPr="00B86BE6">
        <w:t xml:space="preserve">bill incorporating the Trustees of the Museum of Art </w:t>
      </w:r>
      <w:r w:rsidR="00840379" w:rsidRPr="00B86BE6">
        <w:t xml:space="preserve">for the </w:t>
      </w:r>
      <w:r w:rsidRPr="00B86BE6">
        <w:t>purpose of “erecting a museum for the preservation and exhibition of works of art, of making, maintaining, and exhibiting collections of such works, and of afford</w:t>
      </w:r>
      <w:r w:rsidR="00F8507E" w:rsidRPr="00B86BE6">
        <w:t>ing instructions in Fine Arts…”</w:t>
      </w:r>
    </w:p>
    <w:p w:rsidR="00C36807" w:rsidRPr="00B86BE6" w:rsidRDefault="00273A2F" w:rsidP="00831791">
      <w:r w:rsidRPr="00B86BE6">
        <w:t xml:space="preserve">The textile and shipping magnates who </w:t>
      </w:r>
      <w:r w:rsidR="001428DF" w:rsidRPr="00B86BE6">
        <w:t xml:space="preserve">founded the institution wanted to create </w:t>
      </w:r>
      <w:r w:rsidRPr="00B86BE6">
        <w:t>visually literate men and women who would go on</w:t>
      </w:r>
      <w:r w:rsidR="004B18C0" w:rsidRPr="00B86BE6">
        <w:t xml:space="preserve"> </w:t>
      </w:r>
      <w:r w:rsidRPr="00B86BE6">
        <w:t>to design</w:t>
      </w:r>
      <w:r w:rsidR="007C2F32" w:rsidRPr="00B86BE6">
        <w:t xml:space="preserve">, produce, and consume goods that could compete with Europe. </w:t>
      </w:r>
      <w:r w:rsidR="00C36807" w:rsidRPr="00B86BE6">
        <w:t xml:space="preserve">“The designer needs a museum of Art,” said </w:t>
      </w:r>
      <w:r w:rsidR="004B18C0" w:rsidRPr="00B86BE6">
        <w:t xml:space="preserve">Martin </w:t>
      </w:r>
      <w:r w:rsidR="00C36807" w:rsidRPr="00B86BE6">
        <w:t>Brimmer,</w:t>
      </w:r>
      <w:r w:rsidR="004B18C0" w:rsidRPr="00B86BE6">
        <w:t xml:space="preserve"> former Mayor and, for 26 years, the President of the MFA,</w:t>
      </w:r>
      <w:r w:rsidR="00C36807" w:rsidRPr="00B86BE6">
        <w:t xml:space="preserve"> “as the man of letters needs a librar</w:t>
      </w:r>
      <w:r w:rsidR="00F8507E" w:rsidRPr="00B86BE6">
        <w:t>y or the botanist a herbarium.”</w:t>
      </w:r>
      <w:r w:rsidR="00F8507E" w:rsidRPr="00B86BE6">
        <w:rPr>
          <w:rStyle w:val="EndnoteReference"/>
        </w:rPr>
        <w:endnoteReference w:id="27"/>
      </w:r>
    </w:p>
    <w:p w:rsidR="004B18C0" w:rsidRPr="00B86BE6" w:rsidRDefault="004B18C0" w:rsidP="00C36807">
      <w:pPr>
        <w:ind w:firstLine="720"/>
      </w:pPr>
    </w:p>
    <w:p w:rsidR="00EC1199" w:rsidRPr="00B86BE6" w:rsidRDefault="00273A2F" w:rsidP="00EC1199">
      <w:pPr>
        <w:ind w:firstLine="720"/>
      </w:pPr>
      <w:r w:rsidRPr="00B86BE6">
        <w:t xml:space="preserve">The best way to teach people about western culture, </w:t>
      </w:r>
      <w:r w:rsidR="007C2F32" w:rsidRPr="00B86BE6">
        <w:t xml:space="preserve">most </w:t>
      </w:r>
      <w:r w:rsidRPr="00B86BE6">
        <w:t>early trus</w:t>
      </w:r>
      <w:r w:rsidR="00C36807" w:rsidRPr="00B86BE6">
        <w:t xml:space="preserve">tees believed, was to </w:t>
      </w:r>
      <w:r w:rsidR="007C2F32" w:rsidRPr="00B86BE6">
        <w:t xml:space="preserve">put </w:t>
      </w:r>
      <w:r w:rsidRPr="00B86BE6">
        <w:t xml:space="preserve">casts and </w:t>
      </w:r>
      <w:r w:rsidR="00865841" w:rsidRPr="00B86BE6">
        <w:t>molds of original masterpieces</w:t>
      </w:r>
      <w:r w:rsidR="007C2F32" w:rsidRPr="00B86BE6">
        <w:t xml:space="preserve"> on display</w:t>
      </w:r>
      <w:r w:rsidR="00865841" w:rsidRPr="00B86BE6">
        <w:t xml:space="preserve">. </w:t>
      </w:r>
      <w:r w:rsidR="00003679" w:rsidRPr="00B86BE6">
        <w:t>The bulk of the collection remained in basement rooms and special alcoves reserved for visiting scholars</w:t>
      </w:r>
      <w:r w:rsidR="00F8507E" w:rsidRPr="00B86BE6">
        <w:t xml:space="preserve"> and experts. </w:t>
      </w:r>
      <w:r w:rsidR="00F8507E" w:rsidRPr="00B86BE6">
        <w:rPr>
          <w:rStyle w:val="EndnoteReference"/>
        </w:rPr>
        <w:endnoteReference w:id="28"/>
      </w:r>
      <w:r w:rsidR="00F8507E" w:rsidRPr="00B86BE6">
        <w:t xml:space="preserve"> </w:t>
      </w:r>
      <w:r w:rsidR="001428DF" w:rsidRPr="00B86BE6">
        <w:t>But s</w:t>
      </w:r>
      <w:r w:rsidR="00C36807" w:rsidRPr="00B86BE6">
        <w:t xml:space="preserve">ome trustees </w:t>
      </w:r>
      <w:r w:rsidR="00831791" w:rsidRPr="00B86BE6">
        <w:t xml:space="preserve">believed </w:t>
      </w:r>
      <w:r w:rsidR="00C36807" w:rsidRPr="00B86BE6">
        <w:t>the museum should collect original art—</w:t>
      </w:r>
      <w:r w:rsidR="001428DF" w:rsidRPr="00B86BE6">
        <w:t>e</w:t>
      </w:r>
      <w:r w:rsidR="00F8507E" w:rsidRPr="00B86BE6">
        <w:t xml:space="preserve">xposing the public to a few beautiful objects </w:t>
      </w:r>
      <w:r w:rsidR="00831791" w:rsidRPr="00B86BE6">
        <w:t xml:space="preserve">would do </w:t>
      </w:r>
      <w:r w:rsidR="007C2F32" w:rsidRPr="00B86BE6">
        <w:t xml:space="preserve">far </w:t>
      </w:r>
      <w:r w:rsidR="00831791" w:rsidRPr="00B86BE6">
        <w:t xml:space="preserve">more to </w:t>
      </w:r>
      <w:r w:rsidR="00F8507E" w:rsidRPr="00B86BE6">
        <w:t>educate and elevate taste</w:t>
      </w:r>
      <w:r w:rsidR="00831791" w:rsidRPr="00B86BE6">
        <w:t xml:space="preserve"> than looking at replicas of great works</w:t>
      </w:r>
      <w:r w:rsidR="00F8507E" w:rsidRPr="00B86BE6">
        <w:t xml:space="preserve">. </w:t>
      </w:r>
      <w:r w:rsidR="004B18C0" w:rsidRPr="00B86BE6">
        <w:t xml:space="preserve">Eventually, </w:t>
      </w:r>
      <w:r w:rsidR="00C36807" w:rsidRPr="00B86BE6">
        <w:t xml:space="preserve">“Monet </w:t>
      </w:r>
      <w:r w:rsidR="00EC1199" w:rsidRPr="00B86BE6">
        <w:t>won</w:t>
      </w:r>
      <w:r w:rsidR="00465526" w:rsidRPr="00B86BE6">
        <w:t>,</w:t>
      </w:r>
      <w:r w:rsidR="00EC1199" w:rsidRPr="00B86BE6">
        <w:t xml:space="preserve">” and still wins today. The MFA’s </w:t>
      </w:r>
      <w:r w:rsidR="00C36807" w:rsidRPr="00B86BE6">
        <w:t xml:space="preserve">populist roots took a back </w:t>
      </w:r>
      <w:r w:rsidR="004B18C0" w:rsidRPr="00B86BE6">
        <w:t>seat to</w:t>
      </w:r>
      <w:r w:rsidR="00831791" w:rsidRPr="00B86BE6">
        <w:t xml:space="preserve"> collecting</w:t>
      </w:r>
      <w:r w:rsidR="00C36807" w:rsidRPr="00B86BE6">
        <w:t>, preserving, and displaying great masterpieces</w:t>
      </w:r>
      <w:r w:rsidR="007C2F32" w:rsidRPr="00B86BE6">
        <w:t>.</w:t>
      </w:r>
      <w:r w:rsidR="007C2F32" w:rsidRPr="00B86BE6">
        <w:rPr>
          <w:rStyle w:val="EndnoteReference"/>
        </w:rPr>
        <w:endnoteReference w:id="29"/>
      </w:r>
      <w:r w:rsidR="00C36807" w:rsidRPr="00B86BE6">
        <w:t xml:space="preserve"> </w:t>
      </w:r>
    </w:p>
    <w:p w:rsidR="00EC1199" w:rsidRPr="00B86BE6" w:rsidRDefault="00EC1199" w:rsidP="00EC1199">
      <w:pPr>
        <w:ind w:firstLine="720"/>
      </w:pPr>
    </w:p>
    <w:p w:rsidR="0049535F" w:rsidRPr="00B86BE6" w:rsidRDefault="00EC1199" w:rsidP="00364E1F">
      <w:pPr>
        <w:ind w:firstLine="720"/>
      </w:pPr>
      <w:r w:rsidRPr="00B86BE6">
        <w:t xml:space="preserve">From the outset, the Museum </w:t>
      </w:r>
      <w:r w:rsidR="0049535F" w:rsidRPr="00B86BE6">
        <w:t>also had</w:t>
      </w:r>
      <w:r w:rsidR="005E2F73" w:rsidRPr="00B86BE6">
        <w:t xml:space="preserve"> strong ties to places around the world</w:t>
      </w:r>
      <w:r w:rsidR="00465526" w:rsidRPr="00B86BE6">
        <w:t>,</w:t>
      </w:r>
      <w:r w:rsidR="0049535F" w:rsidRPr="00B86BE6">
        <w:t xml:space="preserve"> which greatly influenced its collection. </w:t>
      </w:r>
      <w:r w:rsidRPr="00B86BE6">
        <w:t xml:space="preserve">It </w:t>
      </w:r>
      <w:r w:rsidR="0049535F" w:rsidRPr="00B86BE6">
        <w:t xml:space="preserve">boasts </w:t>
      </w:r>
      <w:r w:rsidR="0049535F" w:rsidRPr="00B86BE6">
        <w:rPr>
          <w:rFonts w:cs="Verdana"/>
          <w:lang w:bidi="en-US"/>
        </w:rPr>
        <w:t>one of the largest collections of Japanese art outside Japan, for example, courtesy of a group of forward-thinking Japanophiles living in Boston.</w:t>
      </w:r>
      <w:r w:rsidR="0049535F" w:rsidRPr="00B86BE6">
        <w:rPr>
          <w:rStyle w:val="EndnoteReference"/>
          <w:rFonts w:cs="Verdana"/>
          <w:lang w:bidi="en-US"/>
        </w:rPr>
        <w:endnoteReference w:id="30"/>
      </w:r>
      <w:r w:rsidR="0049535F" w:rsidRPr="00B86BE6">
        <w:rPr>
          <w:rFonts w:cs="Verdana"/>
          <w:lang w:bidi="en-US"/>
        </w:rPr>
        <w:t xml:space="preserve"> Their interests and connections grew out of </w:t>
      </w:r>
      <w:r w:rsidR="0049535F" w:rsidRPr="00B86BE6">
        <w:t xml:space="preserve">the city’s long history of trade with Japan and China. Artist John LaFarge funded his visits to </w:t>
      </w:r>
      <w:r w:rsidRPr="00B86BE6">
        <w:t xml:space="preserve">the East </w:t>
      </w:r>
      <w:r w:rsidR="0049535F" w:rsidRPr="00B86BE6">
        <w:t xml:space="preserve">by taking photos and doing watercolors and illustrations. Edward </w:t>
      </w:r>
      <w:r w:rsidR="000E6576" w:rsidRPr="00B86BE6">
        <w:t>Morse went to</w:t>
      </w:r>
      <w:r w:rsidRPr="00B86BE6">
        <w:t xml:space="preserve"> Japan to</w:t>
      </w:r>
      <w:r w:rsidR="000E6576" w:rsidRPr="00B86BE6">
        <w:t xml:space="preserve"> study brachiopods</w:t>
      </w:r>
      <w:r w:rsidRPr="00B86BE6">
        <w:t>,</w:t>
      </w:r>
      <w:r w:rsidR="00A075AF" w:rsidRPr="00B86BE6">
        <w:t xml:space="preserve"> but</w:t>
      </w:r>
      <w:r w:rsidRPr="00B86BE6">
        <w:t xml:space="preserve"> f</w:t>
      </w:r>
      <w:r w:rsidR="00A075AF" w:rsidRPr="00B86BE6">
        <w:t>ell instantly in love with the country’s</w:t>
      </w:r>
      <w:r w:rsidRPr="00B86BE6">
        <w:t xml:space="preserve"> </w:t>
      </w:r>
      <w:r w:rsidR="000E6576" w:rsidRPr="00B86BE6">
        <w:t>art, architecture, and culture.</w:t>
      </w:r>
      <w:r w:rsidR="0049535F" w:rsidRPr="00B86BE6">
        <w:t xml:space="preserve"> Once there, the Imperial Univ</w:t>
      </w:r>
      <w:r w:rsidR="005E2F73" w:rsidRPr="00B86BE6">
        <w:t>e</w:t>
      </w:r>
      <w:r w:rsidR="000544F5" w:rsidRPr="00B86BE6">
        <w:t xml:space="preserve">rsity hired him as a scientist after he </w:t>
      </w:r>
      <w:r w:rsidR="0008252C" w:rsidRPr="00B86BE6">
        <w:t>effectively sparked the study of</w:t>
      </w:r>
      <w:r w:rsidR="000E6576" w:rsidRPr="00B86BE6">
        <w:t xml:space="preserve"> Japanese pre-history </w:t>
      </w:r>
      <w:r w:rsidR="0008252C" w:rsidRPr="00B86BE6">
        <w:t>when he noticed</w:t>
      </w:r>
      <w:r w:rsidR="000544F5" w:rsidRPr="00B86BE6">
        <w:t xml:space="preserve"> a </w:t>
      </w:r>
      <w:r w:rsidR="000E6576" w:rsidRPr="00B86BE6">
        <w:t xml:space="preserve">shell mound next to the railway between Yokohoma and Tokyo and later </w:t>
      </w:r>
      <w:r w:rsidR="0008252C" w:rsidRPr="00B86BE6">
        <w:t>returned to excavate</w:t>
      </w:r>
      <w:r w:rsidR="000E6576" w:rsidRPr="00B86BE6">
        <w:t xml:space="preserve"> it.</w:t>
      </w:r>
      <w:r w:rsidR="005E2F73" w:rsidRPr="00B86BE6">
        <w:t xml:space="preserve">  </w:t>
      </w:r>
      <w:r w:rsidR="0049535F" w:rsidRPr="00B86BE6">
        <w:t xml:space="preserve">At Morse’s invitation, Ernest Fenellosa </w:t>
      </w:r>
      <w:r w:rsidR="000544F5" w:rsidRPr="00B86BE6">
        <w:t>traveled</w:t>
      </w:r>
      <w:r w:rsidR="0049535F" w:rsidRPr="00B86BE6">
        <w:t xml:space="preserve"> to Japan in 1878 and taught at Tokyo University until 1886. He immersed himself in the region’s art, religion, and philosophy, later returning to tutor prominent intellectuals and collectors such as Isabella Stewart Gardner and Arthur Wesley Dow. In fact, Fenellosa moved back to Boston in 1890 to become the Museum’s </w:t>
      </w:r>
      <w:r w:rsidR="0049535F" w:rsidRPr="00B86BE6">
        <w:rPr>
          <w:rFonts w:cs="ArialMT"/>
          <w:color w:val="000730"/>
          <w:lang w:bidi="en-US"/>
        </w:rPr>
        <w:t xml:space="preserve">first Asian Art curator and </w:t>
      </w:r>
      <w:r w:rsidR="005E2F73" w:rsidRPr="00B86BE6">
        <w:rPr>
          <w:rFonts w:cs="ArialMT"/>
          <w:color w:val="000730"/>
          <w:lang w:bidi="en-US"/>
        </w:rPr>
        <w:t xml:space="preserve">to </w:t>
      </w:r>
      <w:r w:rsidR="0049535F" w:rsidRPr="00B86BE6">
        <w:rPr>
          <w:rFonts w:cs="ArialMT"/>
          <w:color w:val="000730"/>
          <w:lang w:bidi="en-US"/>
        </w:rPr>
        <w:t>oversee the creation of what became its widely acclaimed Japanese collection</w:t>
      </w:r>
      <w:r w:rsidR="000544F5" w:rsidRPr="00B86BE6">
        <w:rPr>
          <w:rFonts w:cs="ArialMT"/>
          <w:i/>
          <w:color w:val="000730"/>
          <w:lang w:bidi="en-US"/>
        </w:rPr>
        <w:t xml:space="preserve">. </w:t>
      </w:r>
      <w:r w:rsidR="0049535F" w:rsidRPr="00B86BE6">
        <w:rPr>
          <w:rFonts w:cs="ArialMT"/>
          <w:color w:val="000730"/>
          <w:lang w:bidi="en-US"/>
        </w:rPr>
        <w:t xml:space="preserve">He lectured frequently to public audiences, </w:t>
      </w:r>
      <w:r w:rsidR="000544F5" w:rsidRPr="00B86BE6">
        <w:rPr>
          <w:rFonts w:cs="ArialMT"/>
          <w:color w:val="000730"/>
          <w:lang w:bidi="en-US"/>
        </w:rPr>
        <w:t xml:space="preserve">and along with Morse and </w:t>
      </w:r>
      <w:r w:rsidR="00364E1F" w:rsidRPr="00B86BE6">
        <w:rPr>
          <w:rFonts w:cs="ArialMT"/>
          <w:color w:val="000730"/>
          <w:lang w:bidi="en-US"/>
        </w:rPr>
        <w:t xml:space="preserve">William Sturgis </w:t>
      </w:r>
      <w:r w:rsidR="000544F5" w:rsidRPr="00B86BE6">
        <w:rPr>
          <w:rFonts w:cs="ArialMT"/>
          <w:color w:val="000730"/>
          <w:lang w:bidi="en-US"/>
        </w:rPr>
        <w:t>Bigelow</w:t>
      </w:r>
      <w:r w:rsidRPr="00B86BE6">
        <w:rPr>
          <w:rFonts w:cs="ArialMT"/>
          <w:color w:val="000730"/>
          <w:lang w:bidi="en-US"/>
        </w:rPr>
        <w:t>,</w:t>
      </w:r>
      <w:r w:rsidR="000544F5" w:rsidRPr="00B86BE6">
        <w:rPr>
          <w:rFonts w:cs="ArialMT"/>
          <w:color w:val="000730"/>
          <w:lang w:bidi="en-US"/>
        </w:rPr>
        <w:t xml:space="preserve"> created</w:t>
      </w:r>
      <w:r w:rsidR="0049535F" w:rsidRPr="00B86BE6">
        <w:rPr>
          <w:rFonts w:cs="ArialMT"/>
          <w:color w:val="000730"/>
          <w:lang w:bidi="en-US"/>
        </w:rPr>
        <w:t xml:space="preserve"> a “buzz” about Japan and extending the social imaginary of the city’s elite far beyond New England.</w:t>
      </w:r>
      <w:r w:rsidR="00364E1F" w:rsidRPr="00B86BE6">
        <w:rPr>
          <w:rStyle w:val="EndnoteReference"/>
          <w:rFonts w:cs="ArialMT"/>
          <w:color w:val="000730"/>
          <w:lang w:bidi="en-US"/>
        </w:rPr>
        <w:endnoteReference w:id="31"/>
      </w:r>
      <w:r w:rsidR="00364E1F" w:rsidRPr="00B86BE6">
        <w:rPr>
          <w:rFonts w:cs="ArialMT"/>
          <w:color w:val="000730"/>
          <w:lang w:bidi="en-US"/>
        </w:rPr>
        <w:t xml:space="preserve"> </w:t>
      </w:r>
      <w:r w:rsidR="0049535F" w:rsidRPr="00B86BE6">
        <w:rPr>
          <w:rFonts w:cs="ArialMT"/>
          <w:color w:val="000730"/>
          <w:lang w:bidi="en-US"/>
        </w:rPr>
        <w:t>The Museum’s Japan connection</w:t>
      </w:r>
      <w:r w:rsidR="005E2F73" w:rsidRPr="00B86BE6">
        <w:rPr>
          <w:rFonts w:cs="ArialMT"/>
          <w:color w:val="000730"/>
          <w:lang w:bidi="en-US"/>
        </w:rPr>
        <w:t xml:space="preserve"> remains strong </w:t>
      </w:r>
      <w:r w:rsidR="0049535F" w:rsidRPr="00B86BE6">
        <w:rPr>
          <w:rFonts w:cs="ArialMT"/>
          <w:color w:val="000730"/>
          <w:lang w:bidi="en-US"/>
        </w:rPr>
        <w:t xml:space="preserve">today. </w:t>
      </w:r>
      <w:r w:rsidRPr="00B86BE6">
        <w:rPr>
          <w:rFonts w:cs="ArialMT"/>
          <w:color w:val="000730"/>
          <w:lang w:bidi="en-US"/>
        </w:rPr>
        <w:t xml:space="preserve">Its </w:t>
      </w:r>
      <w:r w:rsidR="00F137A2" w:rsidRPr="00B86BE6">
        <w:rPr>
          <w:rFonts w:cs="ArialMT"/>
          <w:color w:val="000730"/>
          <w:lang w:bidi="en-US"/>
        </w:rPr>
        <w:t>sister museum, t</w:t>
      </w:r>
      <w:r w:rsidR="0049535F" w:rsidRPr="00B86BE6">
        <w:rPr>
          <w:rFonts w:cs="ArialMT"/>
          <w:color w:val="000730"/>
          <w:lang w:bidi="en-US"/>
        </w:rPr>
        <w:t>he Nagoya Museum of Fine Arts</w:t>
      </w:r>
      <w:r w:rsidR="000544F5" w:rsidRPr="00B86BE6">
        <w:rPr>
          <w:rFonts w:cs="ArialMT"/>
          <w:color w:val="000730"/>
          <w:lang w:bidi="en-US"/>
        </w:rPr>
        <w:t>,</w:t>
      </w:r>
      <w:r w:rsidR="0049535F" w:rsidRPr="00B86BE6">
        <w:rPr>
          <w:rFonts w:cs="ArialMT"/>
          <w:color w:val="000730"/>
          <w:lang w:bidi="en-US"/>
        </w:rPr>
        <w:t xml:space="preserve"> which opened in 1999, regularly features important </w:t>
      </w:r>
      <w:r w:rsidR="00992FFC" w:rsidRPr="00B86BE6">
        <w:rPr>
          <w:rFonts w:cs="ArialMT"/>
          <w:color w:val="000730"/>
          <w:lang w:bidi="en-US"/>
        </w:rPr>
        <w:t xml:space="preserve">works from Boston’s </w:t>
      </w:r>
      <w:r w:rsidR="0049535F" w:rsidRPr="00B86BE6">
        <w:rPr>
          <w:rFonts w:cs="ArialMT"/>
          <w:color w:val="000730"/>
          <w:lang w:bidi="en-US"/>
        </w:rPr>
        <w:t>permanent collection</w:t>
      </w:r>
      <w:r w:rsidR="00364E1F" w:rsidRPr="00B86BE6">
        <w:rPr>
          <w:rFonts w:cs="ArialMT"/>
          <w:color w:val="000730"/>
          <w:lang w:bidi="en-US"/>
        </w:rPr>
        <w:t>.</w:t>
      </w:r>
      <w:r w:rsidR="00364E1F" w:rsidRPr="00B86BE6">
        <w:rPr>
          <w:rStyle w:val="EndnoteReference"/>
          <w:rFonts w:cs="ArialMT"/>
          <w:color w:val="000730"/>
          <w:lang w:bidi="en-US"/>
        </w:rPr>
        <w:endnoteReference w:id="32"/>
      </w:r>
    </w:p>
    <w:p w:rsidR="0049535F" w:rsidRPr="00B86BE6" w:rsidRDefault="0049535F" w:rsidP="0049535F">
      <w:pPr>
        <w:ind w:firstLine="720"/>
      </w:pPr>
    </w:p>
    <w:p w:rsidR="0049535F" w:rsidRPr="00B86BE6" w:rsidRDefault="0049535F" w:rsidP="00EC1199">
      <w:pPr>
        <w:ind w:firstLine="720"/>
      </w:pPr>
      <w:r w:rsidRPr="00B86BE6">
        <w:t xml:space="preserve">Japan was not the only place outside the U.S. where the </w:t>
      </w:r>
      <w:r w:rsidR="00EC1199" w:rsidRPr="00B86BE6">
        <w:t>MFA had</w:t>
      </w:r>
      <w:r w:rsidRPr="00B86BE6">
        <w:t xml:space="preserve"> strong ties. Ananda Coomaraswamy, an eminent art historian and theorist, was another key figure who expanded its reach—this time to India. </w:t>
      </w:r>
      <w:r w:rsidRPr="00B86BE6">
        <w:rPr>
          <w:rFonts w:cs="Helvetica"/>
        </w:rPr>
        <w:t>Coomaraswamy’s birth and childhood left him uniquely positioned to translate India to the West. He was the son of a Sri Lankan legislator,</w:t>
      </w:r>
      <w:r w:rsidRPr="00B86BE6">
        <w:rPr>
          <w:rStyle w:val="EndnoteReference"/>
          <w:rFonts w:cs="Helvetica"/>
        </w:rPr>
        <w:endnoteReference w:id="33"/>
      </w:r>
      <w:r w:rsidRPr="00B86BE6">
        <w:rPr>
          <w:rFonts w:cs="Helvetica"/>
        </w:rPr>
        <w:t xml:space="preserve"> the first from his country to be knighted by Queen Victoria</w:t>
      </w:r>
      <w:r w:rsidRPr="00B86BE6">
        <w:rPr>
          <w:rStyle w:val="EndnoteReference"/>
          <w:rFonts w:cs="Helvetica"/>
        </w:rPr>
        <w:endnoteReference w:id="34"/>
      </w:r>
      <w:r w:rsidRPr="00B86BE6">
        <w:rPr>
          <w:rFonts w:cs="Helvetica"/>
        </w:rPr>
        <w:t xml:space="preserve"> for being “one of the most successful ‘Westernizers’ in the Empire.”</w:t>
      </w:r>
      <w:r w:rsidRPr="00B86BE6">
        <w:rPr>
          <w:rStyle w:val="EndnoteReference"/>
          <w:rFonts w:cs="Helvetica"/>
        </w:rPr>
        <w:endnoteReference w:id="35"/>
      </w:r>
      <w:r w:rsidRPr="00B86BE6">
        <w:rPr>
          <w:rFonts w:cs="Helvetica"/>
        </w:rPr>
        <w:t xml:space="preserve"> The honors didn’t end there: The Archbishop of Canterbury married his father and English mother.</w:t>
      </w:r>
      <w:r w:rsidRPr="00B86BE6">
        <w:rPr>
          <w:rStyle w:val="EndnoteReference"/>
          <w:rFonts w:cs="Helvetica"/>
        </w:rPr>
        <w:endnoteReference w:id="36"/>
      </w:r>
      <w:r w:rsidRPr="00B86BE6">
        <w:rPr>
          <w:rFonts w:cs="Helvetica"/>
        </w:rPr>
        <w:t xml:space="preserve"> But by the mid-19</w:t>
      </w:r>
      <w:r w:rsidRPr="00B86BE6">
        <w:rPr>
          <w:rFonts w:cs="Helvetica"/>
          <w:vertAlign w:val="superscript"/>
        </w:rPr>
        <w:t>th</w:t>
      </w:r>
      <w:r w:rsidRPr="00B86BE6">
        <w:rPr>
          <w:rFonts w:cs="Helvetica"/>
        </w:rPr>
        <w:t xml:space="preserve"> century, the Empire</w:t>
      </w:r>
      <w:r w:rsidR="00992FFC" w:rsidRPr="00B86BE6">
        <w:rPr>
          <w:rFonts w:cs="Helvetica"/>
        </w:rPr>
        <w:t xml:space="preserve"> </w:t>
      </w:r>
      <w:r w:rsidRPr="00B86BE6">
        <w:rPr>
          <w:rFonts w:cs="Helvetica"/>
        </w:rPr>
        <w:t>looked down on intercultural marriages. The couple returned to Sri Lanka, then called Ceylon, where Ananda Kentish Coomaraswamy was born in 1877, his middle name in honor of his mother’s home country.</w:t>
      </w:r>
      <w:r w:rsidRPr="00B86BE6">
        <w:rPr>
          <w:rStyle w:val="EndnoteReference"/>
          <w:rFonts w:cs="Helvetica"/>
        </w:rPr>
        <w:endnoteReference w:id="37"/>
      </w:r>
    </w:p>
    <w:p w:rsidR="0049535F" w:rsidRPr="00B86BE6" w:rsidRDefault="0049535F" w:rsidP="00495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49535F" w:rsidRPr="00B86BE6" w:rsidRDefault="0049535F" w:rsidP="00495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86BE6">
        <w:rPr>
          <w:rFonts w:cs="Helvetica"/>
        </w:rPr>
        <w:tab/>
        <w:t xml:space="preserve">Ananda did not grow up on the subcontinent, but in England. When he was only two, his mother brought him back to await his father, who </w:t>
      </w:r>
      <w:r w:rsidR="005E2F73" w:rsidRPr="00B86BE6">
        <w:rPr>
          <w:rFonts w:cs="Helvetica"/>
        </w:rPr>
        <w:t xml:space="preserve">hoped </w:t>
      </w:r>
      <w:r w:rsidRPr="00B86BE6">
        <w:rPr>
          <w:rFonts w:cs="Helvetica"/>
        </w:rPr>
        <w:t>to return triumphantly to the metropole and stand for Parliament.</w:t>
      </w:r>
      <w:r w:rsidRPr="00B86BE6">
        <w:rPr>
          <w:rStyle w:val="EndnoteReference"/>
          <w:rFonts w:cs="Helvetica"/>
        </w:rPr>
        <w:endnoteReference w:id="38"/>
      </w:r>
      <w:r w:rsidRPr="00B86BE6">
        <w:rPr>
          <w:rFonts w:cs="Helvetica"/>
        </w:rPr>
        <w:t xml:space="preserve"> But Muthu never came. On the day of his departure, he died in Ceylon, at age 46.</w:t>
      </w:r>
      <w:r w:rsidRPr="00B86BE6">
        <w:rPr>
          <w:rStyle w:val="EndnoteReference"/>
          <w:rFonts w:cs="Helvetica"/>
        </w:rPr>
        <w:endnoteReference w:id="39"/>
      </w:r>
      <w:r w:rsidRPr="00B86BE6">
        <w:rPr>
          <w:rFonts w:cs="Helvetica"/>
        </w:rPr>
        <w:t xml:space="preserve">  </w:t>
      </w:r>
      <w:r w:rsidR="005E2F73" w:rsidRPr="00B86BE6">
        <w:rPr>
          <w:rFonts w:cs="Helvetica"/>
        </w:rPr>
        <w:t xml:space="preserve">Although </w:t>
      </w:r>
      <w:r w:rsidRPr="00B86BE6">
        <w:rPr>
          <w:rFonts w:cs="Helvetica"/>
        </w:rPr>
        <w:t>Ananda grew up with his widowed mother, aunt, and grandmother</w:t>
      </w:r>
      <w:r w:rsidR="005E2F73" w:rsidRPr="00B86BE6">
        <w:rPr>
          <w:rFonts w:cs="Helvetica"/>
        </w:rPr>
        <w:t xml:space="preserve"> in England, he never severed his ties to India. </w:t>
      </w:r>
      <w:r w:rsidRPr="00B86BE6">
        <w:rPr>
          <w:rFonts w:cs="Helvetica"/>
        </w:rPr>
        <w:t>His mother’s love for Indian culture equal</w:t>
      </w:r>
      <w:r w:rsidR="00992FFC" w:rsidRPr="00B86BE6">
        <w:rPr>
          <w:rFonts w:cs="Helvetica"/>
        </w:rPr>
        <w:t>ed his father’s enthusiasm for w</w:t>
      </w:r>
      <w:r w:rsidRPr="00B86BE6">
        <w:rPr>
          <w:rFonts w:cs="Helvetica"/>
        </w:rPr>
        <w:t xml:space="preserve">esternization.  </w:t>
      </w:r>
    </w:p>
    <w:p w:rsidR="0049535F" w:rsidRPr="00B86BE6" w:rsidRDefault="0049535F" w:rsidP="00495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49535F" w:rsidRPr="00B86BE6" w:rsidRDefault="0049535F" w:rsidP="00495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86BE6">
        <w:rPr>
          <w:rFonts w:cs="Helvetica"/>
        </w:rPr>
        <w:tab/>
        <w:t>After completing his graduate studies, Coomaraswamy returned to South Asia to work as a geologist.  As he traveled deeper into the remote reaches of Sri Lanka, he became more and more enamored with the vanishing life and culture of the people. So began his fierce and lifelong indignation at the impact of Westernization.</w:t>
      </w:r>
      <w:r w:rsidRPr="00B86BE6">
        <w:rPr>
          <w:rStyle w:val="EndnoteReference"/>
          <w:rFonts w:cs="Helvetica"/>
        </w:rPr>
        <w:endnoteReference w:id="40"/>
      </w:r>
      <w:r w:rsidRPr="00B86BE6">
        <w:rPr>
          <w:rFonts w:cs="Helvetica"/>
        </w:rPr>
        <w:t xml:space="preserve"> With the help of his first wife Ethel, an accomplished photographer, Coomaraswamy switched from documenting Sri Lanka’s mountains and plains to recording its traditional arts and crafts.</w:t>
      </w:r>
      <w:r w:rsidRPr="00B86BE6">
        <w:rPr>
          <w:rStyle w:val="EndnoteReference"/>
          <w:rFonts w:cs="Helvetica"/>
        </w:rPr>
        <w:endnoteReference w:id="41"/>
      </w:r>
      <w:r w:rsidRPr="00B86BE6">
        <w:rPr>
          <w:rFonts w:cs="Helvetica"/>
        </w:rPr>
        <w:t xml:space="preserve"> By 1908, his first art historical book—</w:t>
      </w:r>
      <w:r w:rsidRPr="00B86BE6">
        <w:rPr>
          <w:rFonts w:cs="Helvetica"/>
          <w:i/>
        </w:rPr>
        <w:t>Medieval Sinhalese Art</w:t>
      </w:r>
      <w:r w:rsidRPr="00B86BE6">
        <w:rPr>
          <w:rFonts w:cs="Helvetica"/>
        </w:rPr>
        <w:t>—had been published in England. Between 1910 and 1915, Coomaraswamy traveled across northern India searching for a kind of art he believed existed but no one had studied: Rajput painting.</w:t>
      </w:r>
      <w:r w:rsidRPr="00B86BE6">
        <w:rPr>
          <w:rStyle w:val="EndnoteReference"/>
          <w:rFonts w:cs="Helvetica"/>
        </w:rPr>
        <w:t xml:space="preserve"> </w:t>
      </w:r>
      <w:r w:rsidRPr="00B86BE6">
        <w:rPr>
          <w:rStyle w:val="EndnoteReference"/>
          <w:rFonts w:cs="Helvetica"/>
        </w:rPr>
        <w:endnoteReference w:id="42"/>
      </w:r>
      <w:r w:rsidRPr="00B86BE6">
        <w:rPr>
          <w:rFonts w:cs="Helvetica"/>
        </w:rPr>
        <w:t xml:space="preserve"> His project, a great success, singlehandedly put this work on the map.</w:t>
      </w:r>
      <w:r w:rsidRPr="00B86BE6">
        <w:rPr>
          <w:rStyle w:val="EndnoteReference"/>
          <w:rFonts w:cs="Helvetica"/>
        </w:rPr>
        <w:endnoteReference w:id="43"/>
      </w:r>
    </w:p>
    <w:p w:rsidR="0049535F" w:rsidRPr="00B86BE6" w:rsidRDefault="0049535F" w:rsidP="00495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49535F" w:rsidRPr="00B86BE6" w:rsidRDefault="0049535F" w:rsidP="00495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86BE6">
        <w:rPr>
          <w:rFonts w:cs="Helvetica"/>
        </w:rPr>
        <w:tab/>
        <w:t>Ten years later came anothe</w:t>
      </w:r>
      <w:r w:rsidR="00992FFC" w:rsidRPr="00B86BE6">
        <w:rPr>
          <w:rFonts w:cs="Helvetica"/>
        </w:rPr>
        <w:t xml:space="preserve">r personal turning point and </w:t>
      </w:r>
      <w:r w:rsidRPr="00B86BE6">
        <w:rPr>
          <w:rFonts w:cs="Helvetica"/>
        </w:rPr>
        <w:t>turning point for the world as well. By then, Coomaraswamy was thirty-nine, a full-fledged art historian, distinguished collector, and public intel</w:t>
      </w:r>
      <w:r w:rsidR="00992FFC" w:rsidRPr="00B86BE6">
        <w:rPr>
          <w:rFonts w:cs="Helvetica"/>
        </w:rPr>
        <w:t>lectual. But his public stance against forcing Indians</w:t>
      </w:r>
      <w:r w:rsidRPr="00B86BE6">
        <w:rPr>
          <w:rFonts w:cs="Helvetica"/>
        </w:rPr>
        <w:t xml:space="preserve"> </w:t>
      </w:r>
      <w:r w:rsidR="005E2F73" w:rsidRPr="00B86BE6">
        <w:rPr>
          <w:rFonts w:cs="Helvetica"/>
        </w:rPr>
        <w:t xml:space="preserve">to fight </w:t>
      </w:r>
      <w:r w:rsidRPr="00B86BE6">
        <w:rPr>
          <w:rFonts w:cs="Helvetica"/>
        </w:rPr>
        <w:t>for the British Empire left him vulnerable.</w:t>
      </w:r>
      <w:r w:rsidRPr="00B86BE6">
        <w:rPr>
          <w:rStyle w:val="EndnoteReference"/>
          <w:rFonts w:cs="Helvetica"/>
        </w:rPr>
        <w:endnoteReference w:id="44"/>
      </w:r>
      <w:r w:rsidRPr="00B86BE6">
        <w:rPr>
          <w:rFonts w:cs="Helvetica"/>
        </w:rPr>
        <w:t xml:space="preserve"> </w:t>
      </w:r>
      <w:r w:rsidR="00EC1199" w:rsidRPr="00B86BE6">
        <w:rPr>
          <w:rFonts w:cs="Helvetica"/>
        </w:rPr>
        <w:t xml:space="preserve"> </w:t>
      </w:r>
      <w:r w:rsidRPr="00B86BE6">
        <w:rPr>
          <w:rFonts w:cs="Helvetica"/>
        </w:rPr>
        <w:t>Coomaraswamy had also become disillusioned with India, especially when leaders rejected his proposal to create a national art museum that would</w:t>
      </w:r>
      <w:r w:rsidR="005E2F73" w:rsidRPr="00B86BE6">
        <w:rPr>
          <w:rFonts w:cs="Helvetica"/>
        </w:rPr>
        <w:t>, among other things,</w:t>
      </w:r>
      <w:r w:rsidRPr="00B86BE6">
        <w:rPr>
          <w:rFonts w:cs="Helvetica"/>
        </w:rPr>
        <w:t xml:space="preserve"> house his outstanding collection.</w:t>
      </w:r>
      <w:r w:rsidRPr="00B86BE6">
        <w:rPr>
          <w:rStyle w:val="EndnoteReference"/>
          <w:rFonts w:cs="Helvetica"/>
        </w:rPr>
        <w:endnoteReference w:id="45"/>
      </w:r>
      <w:r w:rsidRPr="00B86BE6">
        <w:rPr>
          <w:rFonts w:cs="Helvetica"/>
        </w:rPr>
        <w:t xml:space="preserve"> In 1917, when the Museum of Fine Arts offered to buy his </w:t>
      </w:r>
      <w:r w:rsidR="00C21A48" w:rsidRPr="00B86BE6">
        <w:rPr>
          <w:rFonts w:cs="Helvetica"/>
        </w:rPr>
        <w:t>acquisitions</w:t>
      </w:r>
      <w:r w:rsidRPr="00B86BE6">
        <w:rPr>
          <w:rFonts w:cs="Helvetica"/>
        </w:rPr>
        <w:t xml:space="preserve"> and make him the first curator of the Indian Art Department, he jumped at the chance.</w:t>
      </w:r>
      <w:r w:rsidRPr="00B86BE6">
        <w:rPr>
          <w:rStyle w:val="EndnoteReference"/>
          <w:rFonts w:cs="Helvetica"/>
        </w:rPr>
        <w:endnoteReference w:id="46"/>
      </w:r>
      <w:r w:rsidRPr="00B86BE6">
        <w:rPr>
          <w:rFonts w:cs="Helvetica"/>
        </w:rPr>
        <w:t xml:space="preserve"> He stayed in the position, and in Massachusetts, for the rest of his life.</w:t>
      </w:r>
      <w:r w:rsidRPr="00B86BE6">
        <w:rPr>
          <w:rStyle w:val="EndnoteReference"/>
          <w:rFonts w:cs="Helvetica"/>
        </w:rPr>
        <w:endnoteReference w:id="47"/>
      </w:r>
      <w:r w:rsidRPr="00B86BE6">
        <w:rPr>
          <w:rFonts w:cs="Helvetica"/>
        </w:rPr>
        <w:t xml:space="preserve"> </w:t>
      </w:r>
    </w:p>
    <w:p w:rsidR="0049535F" w:rsidRPr="00B86BE6" w:rsidRDefault="0049535F" w:rsidP="00495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D72768" w:rsidRPr="00B86BE6" w:rsidRDefault="00B86BE6" w:rsidP="007A26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Pr>
          <w:rFonts w:cs="Helvetica"/>
          <w:b/>
        </w:rPr>
        <w:t>Art of the Americas</w:t>
      </w:r>
    </w:p>
    <w:p w:rsidR="004C40FF" w:rsidRPr="00B86BE6" w:rsidRDefault="004C40FF" w:rsidP="007A26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7A26EA" w:rsidRPr="00B86BE6" w:rsidRDefault="007A26EA" w:rsidP="008E0A80">
      <w:r w:rsidRPr="00B86BE6">
        <w:t xml:space="preserve">“The first thing you see when you walk into the new Art of the America’s Wing,” Elliot Bostwick Davis, the </w:t>
      </w:r>
      <w:r w:rsidR="009A0AE5" w:rsidRPr="00B86BE6">
        <w:rPr>
          <w:rFonts w:eastAsia="ＭＳ 明朝" w:cs="Arial"/>
          <w:color w:val="1A1A1A"/>
        </w:rPr>
        <w:t>John Moors Cabot Chair of the Art of the Americas</w:t>
      </w:r>
      <w:r w:rsidR="009A0AE5" w:rsidRPr="00B86BE6">
        <w:t xml:space="preserve"> </w:t>
      </w:r>
      <w:r w:rsidRPr="00B86BE6">
        <w:t xml:space="preserve">Department told me, “are five spectacular K’iché burial urns, produced by the Maya in the southern highlands of Guatemala in about 750 AD.”  On one earthenware vessel, which stands nearly four feet high and reaches more than two feet across, an impish </w:t>
      </w:r>
      <w:r w:rsidR="00900931" w:rsidRPr="00B86BE6">
        <w:t>deity</w:t>
      </w:r>
      <w:r w:rsidRPr="00B86BE6">
        <w:t>, with T-shaped teeth and</w:t>
      </w:r>
      <w:r w:rsidR="0036545D" w:rsidRPr="00B86BE6">
        <w:t xml:space="preserve"> uneven bangs</w:t>
      </w:r>
      <w:r w:rsidRPr="00B86BE6">
        <w:t>, sits astride a large, round lid. The human heads that stare ferociously out at viewers seem</w:t>
      </w:r>
      <w:r w:rsidR="00745FF9" w:rsidRPr="00B86BE6">
        <w:t xml:space="preserve"> like they are trying to keep predators away</w:t>
      </w:r>
      <w:r w:rsidRPr="00B86BE6">
        <w:t>.  In another even taller and wider urn, a female cat-shaped lid sits atop what looks like babies in a mother’s bel</w:t>
      </w:r>
      <w:r w:rsidR="00745FF9" w:rsidRPr="00B86BE6">
        <w:t xml:space="preserve">ly. “These were produced,” said </w:t>
      </w:r>
      <w:r w:rsidRPr="00B86BE6">
        <w:t>Bostwick Davis, “by a highly sophisticated culture, with its own</w:t>
      </w:r>
      <w:r w:rsidR="005E2F73" w:rsidRPr="00B86BE6">
        <w:t xml:space="preserve"> court rituals and portraiture</w:t>
      </w:r>
      <w:r w:rsidRPr="00B86BE6">
        <w:t>.  We wanted people to see ancient American art and Native American art on their own terms.”  The museum also wants people to see that American art never took shape in a vacuum. From the very outset, cultural connections to other part</w:t>
      </w:r>
      <w:r w:rsidR="005E2F73" w:rsidRPr="00B86BE6">
        <w:t xml:space="preserve">s of the world influenced what the nation created. </w:t>
      </w:r>
      <w:r w:rsidR="00DF13A5" w:rsidRPr="00B86BE6">
        <w:t>American art</w:t>
      </w:r>
      <w:r w:rsidR="00AB78EA" w:rsidRPr="00B86BE6">
        <w:t xml:space="preserve">, visitors </w:t>
      </w:r>
      <w:r w:rsidR="00C21A48" w:rsidRPr="00B86BE6">
        <w:t>learn</w:t>
      </w:r>
      <w:r w:rsidR="00AB78EA" w:rsidRPr="00B86BE6">
        <w:t>,</w:t>
      </w:r>
      <w:r w:rsidR="00DF13A5" w:rsidRPr="00B86BE6">
        <w:t xml:space="preserve"> d</w:t>
      </w:r>
      <w:r w:rsidR="00C21A48" w:rsidRPr="00B86BE6">
        <w:t>id</w:t>
      </w:r>
      <w:r w:rsidR="00DF13A5" w:rsidRPr="00B86BE6">
        <w:t xml:space="preserve"> not start with </w:t>
      </w:r>
      <w:r w:rsidR="00745FF9" w:rsidRPr="00B86BE6">
        <w:t xml:space="preserve">John Singleton </w:t>
      </w:r>
      <w:r w:rsidR="00DF13A5" w:rsidRPr="00B86BE6">
        <w:t>Copley</w:t>
      </w:r>
      <w:r w:rsidR="00C21A48" w:rsidRPr="00B86BE6">
        <w:t>,</w:t>
      </w:r>
      <w:r w:rsidR="00DF13A5" w:rsidRPr="00B86BE6">
        <w:t xml:space="preserve"> </w:t>
      </w:r>
      <w:r w:rsidR="0036545D" w:rsidRPr="00B86BE6">
        <w:t>n</w:t>
      </w:r>
      <w:r w:rsidR="00AB78EA" w:rsidRPr="00B86BE6">
        <w:t xml:space="preserve">or with </w:t>
      </w:r>
      <w:r w:rsidR="00DF13A5" w:rsidRPr="00B86BE6">
        <w:t xml:space="preserve">New England furniture and paintings. </w:t>
      </w:r>
    </w:p>
    <w:p w:rsidR="007A26EA" w:rsidRPr="00B86BE6" w:rsidRDefault="007A26EA" w:rsidP="007A26EA">
      <w:pPr>
        <w:ind w:firstLine="720"/>
      </w:pPr>
    </w:p>
    <w:p w:rsidR="007A26EA" w:rsidRPr="00B86BE6" w:rsidRDefault="0036545D" w:rsidP="007A26EA">
      <w:pPr>
        <w:ind w:firstLine="720"/>
        <w:rPr>
          <w:rFonts w:eastAsia="MS Mincho"/>
        </w:rPr>
      </w:pPr>
      <w:r w:rsidRPr="00B86BE6">
        <w:t>Next up, on Level One</w:t>
      </w:r>
      <w:r w:rsidR="007A26EA" w:rsidRPr="00B86BE6">
        <w:t xml:space="preserve">, displayed in all its glory, is Paul Revere’s iconic Sons of </w:t>
      </w:r>
      <w:r w:rsidR="007A26EA" w:rsidRPr="00B86BE6">
        <w:rPr>
          <w:rFonts w:eastAsia="MS Mincho"/>
        </w:rPr>
        <w:t>Liberty Bowl from 1768.</w:t>
      </w:r>
      <w:r w:rsidRPr="00B86BE6">
        <w:rPr>
          <w:rStyle w:val="EndnoteReference"/>
          <w:rFonts w:eastAsia="MS Mincho"/>
        </w:rPr>
        <w:endnoteReference w:id="48"/>
      </w:r>
      <w:r w:rsidR="007A26EA" w:rsidRPr="00B86BE6">
        <w:rPr>
          <w:rFonts w:eastAsia="MS Mincho"/>
        </w:rPr>
        <w:t xml:space="preserve">  Revere created this silver masterpiece to honor the ninety-two members of the Massachusetts House of Representatives who </w:t>
      </w:r>
      <w:r w:rsidR="00745FF9" w:rsidRPr="00B86BE6">
        <w:rPr>
          <w:rFonts w:eastAsia="MS Mincho"/>
        </w:rPr>
        <w:t xml:space="preserve">“hosted” the Boston Tea Party by emptying their </w:t>
      </w:r>
      <w:r w:rsidR="007A26EA" w:rsidRPr="00B86BE6">
        <w:rPr>
          <w:rFonts w:eastAsia="MS Mincho"/>
        </w:rPr>
        <w:t>teacups and wine glasses</w:t>
      </w:r>
      <w:r w:rsidR="00745FF9" w:rsidRPr="00B86BE6">
        <w:rPr>
          <w:rFonts w:eastAsia="MS Mincho"/>
        </w:rPr>
        <w:t xml:space="preserve"> into the Boston Harbor to protest higher taxes. </w:t>
      </w:r>
      <w:r w:rsidR="007A26EA" w:rsidRPr="00B86BE6">
        <w:rPr>
          <w:rFonts w:eastAsia="MS Mincho"/>
        </w:rPr>
        <w:t xml:space="preserve">Along with the Declaration of Independence and the Constitution, the Liberty Bowl is </w:t>
      </w:r>
      <w:r w:rsidR="00F44B65" w:rsidRPr="00B86BE6">
        <w:rPr>
          <w:rFonts w:eastAsia="MS Mincho"/>
        </w:rPr>
        <w:t xml:space="preserve">one of the </w:t>
      </w:r>
      <w:r w:rsidR="00AB78EA" w:rsidRPr="00B86BE6">
        <w:rPr>
          <w:rFonts w:eastAsia="MS Mincho"/>
        </w:rPr>
        <w:t xml:space="preserve">country’s </w:t>
      </w:r>
      <w:r w:rsidR="007A26EA" w:rsidRPr="00B86BE6">
        <w:rPr>
          <w:rFonts w:eastAsia="MS Mincho"/>
        </w:rPr>
        <w:t xml:space="preserve">most important treasures. </w:t>
      </w:r>
      <w:r w:rsidR="005E2F73" w:rsidRPr="00B86BE6">
        <w:rPr>
          <w:rFonts w:eastAsia="MS Mincho"/>
        </w:rPr>
        <w:t>O</w:t>
      </w:r>
      <w:r w:rsidR="007A26EA" w:rsidRPr="00B86BE6">
        <w:rPr>
          <w:rFonts w:eastAsia="MS Mincho"/>
        </w:rPr>
        <w:t>ver seven hundred Bo</w:t>
      </w:r>
      <w:r w:rsidR="00AB78EA" w:rsidRPr="00B86BE6">
        <w:rPr>
          <w:rFonts w:eastAsia="MS Mincho"/>
        </w:rPr>
        <w:t xml:space="preserve">ston schoolchildren </w:t>
      </w:r>
      <w:r w:rsidR="0039189E" w:rsidRPr="00B86BE6">
        <w:rPr>
          <w:rFonts w:eastAsia="MS Mincho"/>
        </w:rPr>
        <w:t>donated their pennies to help fund its purchase.</w:t>
      </w:r>
    </w:p>
    <w:p w:rsidR="007A26EA" w:rsidRPr="00B86BE6" w:rsidRDefault="007A26EA" w:rsidP="007A26EA">
      <w:pPr>
        <w:ind w:firstLine="720"/>
      </w:pPr>
    </w:p>
    <w:p w:rsidR="007A26EA" w:rsidRPr="00B86BE6" w:rsidRDefault="007A26EA" w:rsidP="007A26EA">
      <w:pPr>
        <w:ind w:firstLine="720"/>
        <w:rPr>
          <w:rFonts w:eastAsia="MS Mincho"/>
        </w:rPr>
      </w:pPr>
      <w:r w:rsidRPr="00B86BE6">
        <w:rPr>
          <w:rFonts w:eastAsia="MS Mincho"/>
        </w:rPr>
        <w:t>What few people know is that the Liberty Bowl is modeled after a Chinese punch bowl.  In the second half of the 18</w:t>
      </w:r>
      <w:r w:rsidRPr="00B86BE6">
        <w:rPr>
          <w:rFonts w:eastAsia="MS Mincho"/>
          <w:vertAlign w:val="superscript"/>
        </w:rPr>
        <w:t>th</w:t>
      </w:r>
      <w:r w:rsidRPr="00B86BE6">
        <w:rPr>
          <w:rFonts w:eastAsia="MS Mincho"/>
        </w:rPr>
        <w:t xml:space="preserve"> century, as Nort</w:t>
      </w:r>
      <w:r w:rsidR="007F37CD" w:rsidRPr="00B86BE6">
        <w:rPr>
          <w:rFonts w:eastAsia="MS Mincho"/>
        </w:rPr>
        <w:t>h Ameri</w:t>
      </w:r>
      <w:r w:rsidR="00C84E32" w:rsidRPr="00B86BE6">
        <w:rPr>
          <w:rFonts w:eastAsia="MS Mincho"/>
        </w:rPr>
        <w:t xml:space="preserve">can colonists grew rich from </w:t>
      </w:r>
      <w:r w:rsidR="007F37CD" w:rsidRPr="00B86BE6">
        <w:rPr>
          <w:rFonts w:eastAsia="MS Mincho"/>
        </w:rPr>
        <w:t xml:space="preserve">international trade, they also acquired art and artifacts from the East, including </w:t>
      </w:r>
      <w:r w:rsidRPr="00B86BE6">
        <w:rPr>
          <w:rFonts w:eastAsia="MS Mincho"/>
        </w:rPr>
        <w:t xml:space="preserve">Chinese silks, porcelains, </w:t>
      </w:r>
      <w:r w:rsidR="000B692B" w:rsidRPr="00B86BE6">
        <w:rPr>
          <w:rFonts w:eastAsia="MS Mincho"/>
        </w:rPr>
        <w:t xml:space="preserve">and </w:t>
      </w:r>
      <w:r w:rsidRPr="00B86BE6">
        <w:rPr>
          <w:rFonts w:eastAsia="MS Mincho"/>
        </w:rPr>
        <w:t>wa</w:t>
      </w:r>
      <w:r w:rsidR="007F37CD" w:rsidRPr="00B86BE6">
        <w:rPr>
          <w:rFonts w:eastAsia="MS Mincho"/>
        </w:rPr>
        <w:t>llpapers</w:t>
      </w:r>
      <w:r w:rsidRPr="00B86BE6">
        <w:rPr>
          <w:rFonts w:eastAsia="MS Mincho"/>
        </w:rPr>
        <w:t xml:space="preserve">.  These status symbols found their way into the portraits of prominent colonists.  In one portrait of Benjamin Franklin, </w:t>
      </w:r>
      <w:r w:rsidR="00F44B65" w:rsidRPr="00B86BE6">
        <w:rPr>
          <w:rFonts w:eastAsia="MS Mincho"/>
        </w:rPr>
        <w:t xml:space="preserve">for example, </w:t>
      </w:r>
      <w:r w:rsidRPr="00B86BE6">
        <w:rPr>
          <w:rFonts w:eastAsia="MS Mincho"/>
        </w:rPr>
        <w:t xml:space="preserve">he wears a </w:t>
      </w:r>
      <w:r w:rsidR="00AE2322" w:rsidRPr="00B86BE6">
        <w:rPr>
          <w:rFonts w:eastAsia="MS Mincho"/>
        </w:rPr>
        <w:t xml:space="preserve">fashionable </w:t>
      </w:r>
      <w:r w:rsidRPr="00B86BE6">
        <w:rPr>
          <w:rFonts w:eastAsia="MS Mincho"/>
        </w:rPr>
        <w:t>dressing gown called a banyan</w:t>
      </w:r>
      <w:r w:rsidR="000B692B" w:rsidRPr="00B86BE6">
        <w:rPr>
          <w:rFonts w:eastAsia="MS Mincho"/>
        </w:rPr>
        <w:t xml:space="preserve">, reflecting </w:t>
      </w:r>
      <w:r w:rsidR="00AE2322" w:rsidRPr="00B86BE6">
        <w:rPr>
          <w:rFonts w:eastAsia="MS Mincho"/>
        </w:rPr>
        <w:t>Persian and Arabic</w:t>
      </w:r>
      <w:r w:rsidR="000B692B" w:rsidRPr="00B86BE6">
        <w:rPr>
          <w:rFonts w:eastAsia="MS Mincho"/>
        </w:rPr>
        <w:t xml:space="preserve"> influences and </w:t>
      </w:r>
      <w:r w:rsidR="00F44B65" w:rsidRPr="00B86BE6">
        <w:rPr>
          <w:rFonts w:eastAsia="MS Mincho"/>
        </w:rPr>
        <w:t xml:space="preserve">meant to </w:t>
      </w:r>
      <w:r w:rsidR="005E2F73" w:rsidRPr="00B86BE6">
        <w:rPr>
          <w:rFonts w:eastAsia="MS Mincho"/>
        </w:rPr>
        <w:t xml:space="preserve">impress </w:t>
      </w:r>
      <w:r w:rsidRPr="00B86BE6">
        <w:rPr>
          <w:rFonts w:eastAsia="MS Mincho"/>
        </w:rPr>
        <w:t>viewers</w:t>
      </w:r>
      <w:r w:rsidR="005E2F73" w:rsidRPr="00B86BE6">
        <w:rPr>
          <w:rFonts w:eastAsia="MS Mincho"/>
        </w:rPr>
        <w:t xml:space="preserve"> with his intelligence and gentility. </w:t>
      </w:r>
      <w:r w:rsidRPr="00B86BE6">
        <w:rPr>
          <w:rFonts w:eastAsia="MS Mincho"/>
        </w:rPr>
        <w:t xml:space="preserve">While Paul Revere did not wear a banyan when John Singleton Copley painted him in 1768, he is holding a teapot </w:t>
      </w:r>
      <w:r w:rsidR="000B692B" w:rsidRPr="00B86BE6">
        <w:rPr>
          <w:rFonts w:eastAsia="MS Mincho"/>
        </w:rPr>
        <w:t>also influenced by China</w:t>
      </w:r>
      <w:r w:rsidR="00425846" w:rsidRPr="00B86BE6">
        <w:rPr>
          <w:rFonts w:eastAsia="MS Mincho"/>
        </w:rPr>
        <w:t>.</w:t>
      </w:r>
      <w:r w:rsidR="007F37CD" w:rsidRPr="00B86BE6">
        <w:rPr>
          <w:rStyle w:val="EndnoteReference"/>
          <w:rFonts w:eastAsia="MS Mincho"/>
        </w:rPr>
        <w:endnoteReference w:id="49"/>
      </w:r>
      <w:r w:rsidR="00425846" w:rsidRPr="00B86BE6">
        <w:rPr>
          <w:rFonts w:eastAsia="MS Mincho"/>
        </w:rPr>
        <w:t xml:space="preserve"> In fact, said</w:t>
      </w:r>
      <w:r w:rsidRPr="00B86BE6">
        <w:rPr>
          <w:rFonts w:eastAsia="MS Mincho"/>
        </w:rPr>
        <w:t xml:space="preserve"> Dennis Carr, Assistant Curator of Decorative Arts and Sculpture, almost any piece of silver in the last half of the 18</w:t>
      </w:r>
      <w:r w:rsidRPr="00B86BE6">
        <w:rPr>
          <w:rFonts w:eastAsia="MS Mincho"/>
          <w:vertAlign w:val="superscript"/>
        </w:rPr>
        <w:t>th</w:t>
      </w:r>
      <w:r w:rsidRPr="00B86BE6">
        <w:rPr>
          <w:rFonts w:eastAsia="MS Mincho"/>
        </w:rPr>
        <w:t xml:space="preserve"> Century wou</w:t>
      </w:r>
      <w:r w:rsidR="006E7056" w:rsidRPr="00B86BE6">
        <w:rPr>
          <w:rFonts w:eastAsia="MS Mincho"/>
        </w:rPr>
        <w:t xml:space="preserve">ld have been Chinese inspired: </w:t>
      </w:r>
      <w:r w:rsidRPr="00B86BE6">
        <w:rPr>
          <w:rFonts w:eastAsia="MS Mincho"/>
        </w:rPr>
        <w:t xml:space="preserve">“There are very few objects that are purely American or purely Chinese. We are trying to tell a complex story. Great nationalistic objects actually tell a very global story.” </w:t>
      </w:r>
    </w:p>
    <w:p w:rsidR="007A26EA" w:rsidRPr="00B86BE6" w:rsidRDefault="007A26EA" w:rsidP="007A26EA">
      <w:pPr>
        <w:ind w:firstLine="720"/>
        <w:rPr>
          <w:rFonts w:eastAsia="MS Mincho"/>
        </w:rPr>
      </w:pPr>
    </w:p>
    <w:p w:rsidR="007A26EA" w:rsidRPr="00B86BE6" w:rsidRDefault="007A26EA" w:rsidP="007A26EA">
      <w:pPr>
        <w:ind w:firstLine="720"/>
        <w:rPr>
          <w:rFonts w:eastAsia="MS Mincho"/>
        </w:rPr>
      </w:pPr>
      <w:r w:rsidRPr="00B86BE6">
        <w:rPr>
          <w:rFonts w:eastAsia="MS Mincho"/>
        </w:rPr>
        <w:t>Another radical change for the museum is its Spanish Colonial gallery.  Boston is, after al</w:t>
      </w:r>
      <w:r w:rsidR="00425846" w:rsidRPr="00B86BE6">
        <w:rPr>
          <w:rFonts w:eastAsia="MS Mincho"/>
        </w:rPr>
        <w:t xml:space="preserve">l, located in New England. Many </w:t>
      </w:r>
      <w:r w:rsidRPr="00B86BE6">
        <w:rPr>
          <w:rFonts w:eastAsia="MS Mincho"/>
        </w:rPr>
        <w:t xml:space="preserve">of the museum’s </w:t>
      </w:r>
      <w:r w:rsidR="00425846" w:rsidRPr="00B86BE6">
        <w:rPr>
          <w:rFonts w:eastAsia="MS Mincho"/>
        </w:rPr>
        <w:t xml:space="preserve">most </w:t>
      </w:r>
      <w:r w:rsidR="000B692B" w:rsidRPr="00B86BE6">
        <w:rPr>
          <w:rFonts w:eastAsia="MS Mincho"/>
        </w:rPr>
        <w:t xml:space="preserve">important </w:t>
      </w:r>
      <w:r w:rsidRPr="00B86BE6">
        <w:rPr>
          <w:rFonts w:eastAsia="MS Mincho"/>
        </w:rPr>
        <w:t xml:space="preserve">donors are from the region, and the paintings </w:t>
      </w:r>
      <w:r w:rsidR="00567325" w:rsidRPr="00B86BE6">
        <w:rPr>
          <w:rFonts w:eastAsia="MS Mincho"/>
        </w:rPr>
        <w:t xml:space="preserve">and living room </w:t>
      </w:r>
      <w:r w:rsidRPr="00B86BE6">
        <w:rPr>
          <w:rFonts w:eastAsia="MS Mincho"/>
        </w:rPr>
        <w:t xml:space="preserve">furniture </w:t>
      </w:r>
      <w:r w:rsidR="000B692B" w:rsidRPr="00B86BE6">
        <w:rPr>
          <w:rFonts w:eastAsia="MS Mincho"/>
        </w:rPr>
        <w:t xml:space="preserve">they </w:t>
      </w:r>
      <w:r w:rsidRPr="00B86BE6">
        <w:rPr>
          <w:rFonts w:eastAsia="MS Mincho"/>
        </w:rPr>
        <w:t xml:space="preserve">donated </w:t>
      </w:r>
      <w:r w:rsidR="000B692B" w:rsidRPr="00B86BE6">
        <w:rPr>
          <w:rFonts w:eastAsia="MS Mincho"/>
        </w:rPr>
        <w:t>overwhelmingly reflect</w:t>
      </w:r>
      <w:r w:rsidRPr="00B86BE6">
        <w:rPr>
          <w:rFonts w:eastAsia="MS Mincho"/>
        </w:rPr>
        <w:t xml:space="preserve"> the New England experience. So, how does the MFA gently break it to Paul Revere fans that accomplished silversmiths </w:t>
      </w:r>
      <w:r w:rsidR="000B692B" w:rsidRPr="00B86BE6">
        <w:rPr>
          <w:rFonts w:eastAsia="MS Mincho"/>
        </w:rPr>
        <w:t xml:space="preserve">also lived </w:t>
      </w:r>
      <w:r w:rsidR="002908E5" w:rsidRPr="00B86BE6">
        <w:rPr>
          <w:rFonts w:eastAsia="MS Mincho"/>
        </w:rPr>
        <w:t xml:space="preserve">south of the </w:t>
      </w:r>
      <w:r w:rsidRPr="00B86BE6">
        <w:rPr>
          <w:rFonts w:eastAsia="MS Mincho"/>
        </w:rPr>
        <w:t xml:space="preserve">border? How </w:t>
      </w:r>
      <w:r w:rsidR="000B692B" w:rsidRPr="00B86BE6">
        <w:rPr>
          <w:rFonts w:eastAsia="MS Mincho"/>
        </w:rPr>
        <w:t xml:space="preserve">can it realistically </w:t>
      </w:r>
      <w:r w:rsidR="00567325" w:rsidRPr="00B86BE6">
        <w:rPr>
          <w:rFonts w:eastAsia="MS Mincho"/>
        </w:rPr>
        <w:t xml:space="preserve">beef up its </w:t>
      </w:r>
      <w:r w:rsidR="000B692B" w:rsidRPr="00B86BE6">
        <w:rPr>
          <w:rFonts w:eastAsia="MS Mincho"/>
        </w:rPr>
        <w:t xml:space="preserve">Spanish Colonial </w:t>
      </w:r>
      <w:r w:rsidR="00C84E32" w:rsidRPr="00B86BE6">
        <w:rPr>
          <w:rFonts w:eastAsia="MS Mincho"/>
        </w:rPr>
        <w:t>holdings so they</w:t>
      </w:r>
      <w:r w:rsidR="005E2F73" w:rsidRPr="00B86BE6">
        <w:rPr>
          <w:rFonts w:eastAsia="MS Mincho"/>
        </w:rPr>
        <w:t xml:space="preserve"> are not overshadowed by its stellar New England colonial </w:t>
      </w:r>
      <w:r w:rsidR="00C84E32" w:rsidRPr="00B86BE6">
        <w:rPr>
          <w:rFonts w:eastAsia="MS Mincho"/>
        </w:rPr>
        <w:t>collection</w:t>
      </w:r>
      <w:r w:rsidR="002908E5" w:rsidRPr="00B86BE6">
        <w:rPr>
          <w:rFonts w:eastAsia="MS Mincho"/>
        </w:rPr>
        <w:t xml:space="preserve">? </w:t>
      </w:r>
    </w:p>
    <w:p w:rsidR="007A26EA" w:rsidRPr="00B86BE6" w:rsidRDefault="007A26EA" w:rsidP="007A26EA">
      <w:pPr>
        <w:ind w:firstLine="720"/>
        <w:rPr>
          <w:rFonts w:eastAsia="MS Mincho"/>
        </w:rPr>
      </w:pPr>
    </w:p>
    <w:p w:rsidR="00A31276" w:rsidRPr="00B86BE6" w:rsidRDefault="007A26EA" w:rsidP="00CF799D">
      <w:pPr>
        <w:ind w:firstLine="720"/>
        <w:rPr>
          <w:rFonts w:eastAsia="MS Mincho"/>
        </w:rPr>
      </w:pPr>
      <w:r w:rsidRPr="00B86BE6">
        <w:rPr>
          <w:rFonts w:eastAsia="MS Mincho"/>
        </w:rPr>
        <w:t xml:space="preserve">The </w:t>
      </w:r>
      <w:r w:rsidR="00691B15" w:rsidRPr="00B86BE6">
        <w:rPr>
          <w:rFonts w:eastAsia="MS Mincho"/>
        </w:rPr>
        <w:t xml:space="preserve">curatorial </w:t>
      </w:r>
      <w:r w:rsidR="00992FFC" w:rsidRPr="00B86BE6">
        <w:rPr>
          <w:rFonts w:eastAsia="MS Mincho"/>
        </w:rPr>
        <w:t xml:space="preserve">term </w:t>
      </w:r>
      <w:r w:rsidR="00691B15" w:rsidRPr="00B86BE6">
        <w:rPr>
          <w:rFonts w:eastAsia="MS Mincho"/>
        </w:rPr>
        <w:t>“</w:t>
      </w:r>
      <w:r w:rsidR="00425846" w:rsidRPr="00B86BE6">
        <w:rPr>
          <w:rFonts w:eastAsia="MS Mincho"/>
        </w:rPr>
        <w:t xml:space="preserve">adjacencies” is </w:t>
      </w:r>
      <w:r w:rsidRPr="00B86BE6">
        <w:rPr>
          <w:rFonts w:eastAsia="MS Mincho"/>
        </w:rPr>
        <w:t xml:space="preserve">key </w:t>
      </w:r>
      <w:r w:rsidR="00425846" w:rsidRPr="00B86BE6">
        <w:rPr>
          <w:rFonts w:eastAsia="MS Mincho"/>
        </w:rPr>
        <w:t xml:space="preserve">to the </w:t>
      </w:r>
      <w:r w:rsidRPr="00B86BE6">
        <w:rPr>
          <w:rFonts w:eastAsia="MS Mincho"/>
        </w:rPr>
        <w:t>answer.  Objects a</w:t>
      </w:r>
      <w:r w:rsidR="00425846" w:rsidRPr="00B86BE6">
        <w:rPr>
          <w:rFonts w:eastAsia="MS Mincho"/>
        </w:rPr>
        <w:t>r</w:t>
      </w:r>
      <w:r w:rsidR="00F50D5A" w:rsidRPr="00B86BE6">
        <w:rPr>
          <w:rFonts w:eastAsia="MS Mincho"/>
        </w:rPr>
        <w:t xml:space="preserve">e placed near each other so </w:t>
      </w:r>
      <w:r w:rsidRPr="00B86BE6">
        <w:rPr>
          <w:rFonts w:eastAsia="MS Mincho"/>
        </w:rPr>
        <w:t>visitor</w:t>
      </w:r>
      <w:r w:rsidR="00425846" w:rsidRPr="00B86BE6">
        <w:rPr>
          <w:rFonts w:eastAsia="MS Mincho"/>
        </w:rPr>
        <w:t xml:space="preserve">s </w:t>
      </w:r>
      <w:r w:rsidR="00CF799D" w:rsidRPr="00B86BE6">
        <w:rPr>
          <w:rFonts w:eastAsia="MS Mincho"/>
        </w:rPr>
        <w:t xml:space="preserve">can grasp </w:t>
      </w:r>
      <w:r w:rsidR="00567325" w:rsidRPr="00B86BE6">
        <w:rPr>
          <w:rFonts w:eastAsia="MS Mincho"/>
        </w:rPr>
        <w:t xml:space="preserve">the </w:t>
      </w:r>
      <w:r w:rsidRPr="00B86BE6">
        <w:rPr>
          <w:rFonts w:eastAsia="MS Mincho"/>
        </w:rPr>
        <w:t>connections between them. After Revere’s</w:t>
      </w:r>
      <w:r w:rsidR="00F50D5A" w:rsidRPr="00B86BE6">
        <w:rPr>
          <w:rFonts w:eastAsia="MS Mincho"/>
        </w:rPr>
        <w:t xml:space="preserve"> Liberty Bowl come</w:t>
      </w:r>
      <w:r w:rsidR="00C84E32" w:rsidRPr="00B86BE6">
        <w:rPr>
          <w:rFonts w:eastAsia="MS Mincho"/>
        </w:rPr>
        <w:t xml:space="preserve"> </w:t>
      </w:r>
      <w:r w:rsidRPr="00B86BE6">
        <w:rPr>
          <w:rFonts w:eastAsia="MS Mincho"/>
        </w:rPr>
        <w:t xml:space="preserve">exquisite, intricately decorated </w:t>
      </w:r>
      <w:r w:rsidR="007F37CD" w:rsidRPr="00B86BE6">
        <w:rPr>
          <w:rFonts w:eastAsia="MS Mincho"/>
        </w:rPr>
        <w:t>silver chalices and liturgical objects</w:t>
      </w:r>
      <w:r w:rsidRPr="00B86BE6">
        <w:rPr>
          <w:rFonts w:eastAsia="MS Mincho"/>
        </w:rPr>
        <w:t>, made in 16</w:t>
      </w:r>
      <w:r w:rsidRPr="00B86BE6">
        <w:rPr>
          <w:rFonts w:eastAsia="MS Mincho"/>
          <w:vertAlign w:val="superscript"/>
        </w:rPr>
        <w:t>th</w:t>
      </w:r>
      <w:r w:rsidRPr="00B86BE6">
        <w:rPr>
          <w:rFonts w:eastAsia="MS Mincho"/>
        </w:rPr>
        <w:t xml:space="preserve"> centu</w:t>
      </w:r>
      <w:r w:rsidR="00C84E32" w:rsidRPr="00B86BE6">
        <w:rPr>
          <w:rFonts w:eastAsia="MS Mincho"/>
        </w:rPr>
        <w:t xml:space="preserve">ry Bolivia and Peru, giving him a run for </w:t>
      </w:r>
      <w:r w:rsidRPr="00B86BE6">
        <w:rPr>
          <w:rFonts w:eastAsia="MS Mincho"/>
        </w:rPr>
        <w:t xml:space="preserve">his money. Just as </w:t>
      </w:r>
      <w:r w:rsidR="00425846" w:rsidRPr="00B86BE6">
        <w:rPr>
          <w:rFonts w:eastAsia="MS Mincho"/>
        </w:rPr>
        <w:t>the Philadelphia lawyer’s</w:t>
      </w:r>
      <w:r w:rsidR="003036A6" w:rsidRPr="00B86BE6">
        <w:rPr>
          <w:rFonts w:eastAsia="MS Mincho"/>
        </w:rPr>
        <w:t xml:space="preserve"> Timothy Matlack stares out </w:t>
      </w:r>
      <w:r w:rsidRPr="00B86BE6">
        <w:rPr>
          <w:rFonts w:eastAsia="MS Mincho"/>
        </w:rPr>
        <w:t xml:space="preserve">powerfully and majestically from the canvas, so does Don Manuel José Rubio y Salinas, the Archbishop of Mexico, painted by the </w:t>
      </w:r>
      <w:r w:rsidR="00C84E32" w:rsidRPr="00B86BE6">
        <w:rPr>
          <w:rFonts w:eastAsia="MS Mincho"/>
        </w:rPr>
        <w:t>mestizo Miguel Cabrera in 1754—</w:t>
      </w:r>
      <w:r w:rsidR="003036A6" w:rsidRPr="00B86BE6">
        <w:rPr>
          <w:rFonts w:eastAsia="MS Mincho"/>
        </w:rPr>
        <w:t>the “lawyer</w:t>
      </w:r>
      <w:r w:rsidR="008E2ABF" w:rsidRPr="00B86BE6">
        <w:rPr>
          <w:rFonts w:eastAsia="MS Mincho"/>
        </w:rPr>
        <w:t>”</w:t>
      </w:r>
      <w:r w:rsidR="003036A6" w:rsidRPr="00B86BE6">
        <w:rPr>
          <w:rFonts w:eastAsia="MS Mincho"/>
        </w:rPr>
        <w:t xml:space="preserve"> </w:t>
      </w:r>
      <w:r w:rsidR="000B692B" w:rsidRPr="00B86BE6">
        <w:rPr>
          <w:rFonts w:eastAsia="MS Mincho"/>
        </w:rPr>
        <w:t xml:space="preserve">and the </w:t>
      </w:r>
      <w:r w:rsidR="008E2ABF" w:rsidRPr="00B86BE6">
        <w:rPr>
          <w:rFonts w:eastAsia="MS Mincho"/>
        </w:rPr>
        <w:t>“</w:t>
      </w:r>
      <w:r w:rsidR="000B692B" w:rsidRPr="00B86BE6">
        <w:rPr>
          <w:rFonts w:eastAsia="MS Mincho"/>
        </w:rPr>
        <w:t xml:space="preserve">priest” in my title. </w:t>
      </w:r>
      <w:r w:rsidR="003036A6" w:rsidRPr="00B86BE6">
        <w:rPr>
          <w:rFonts w:eastAsia="MS Mincho"/>
        </w:rPr>
        <w:t xml:space="preserve">The Archbishop’s </w:t>
      </w:r>
      <w:r w:rsidRPr="00B86BE6">
        <w:rPr>
          <w:rFonts w:eastAsia="MS Mincho"/>
        </w:rPr>
        <w:t>frank</w:t>
      </w:r>
      <w:r w:rsidR="00F50D5A" w:rsidRPr="00B86BE6">
        <w:rPr>
          <w:rFonts w:eastAsia="MS Mincho"/>
        </w:rPr>
        <w:t>,</w:t>
      </w:r>
      <w:r w:rsidRPr="00B86BE6">
        <w:rPr>
          <w:rFonts w:eastAsia="MS Mincho"/>
        </w:rPr>
        <w:t xml:space="preserve"> don’t-mess-with-</w:t>
      </w:r>
      <w:r w:rsidR="00F50D5A" w:rsidRPr="00B86BE6">
        <w:rPr>
          <w:rFonts w:eastAsia="MS Mincho"/>
        </w:rPr>
        <w:t>me gaze;</w:t>
      </w:r>
      <w:r w:rsidR="000B692B" w:rsidRPr="00B86BE6">
        <w:rPr>
          <w:rFonts w:eastAsia="MS Mincho"/>
        </w:rPr>
        <w:t xml:space="preserve"> his regal posture in his </w:t>
      </w:r>
      <w:r w:rsidR="00F50D5A" w:rsidRPr="00B86BE6">
        <w:rPr>
          <w:rFonts w:eastAsia="MS Mincho"/>
        </w:rPr>
        <w:t>throne-like chair;</w:t>
      </w:r>
      <w:r w:rsidRPr="00B86BE6">
        <w:rPr>
          <w:rFonts w:eastAsia="MS Mincho"/>
        </w:rPr>
        <w:t xml:space="preserve"> and his elaborate red robes worn over a finely embroidered white gown resonate with</w:t>
      </w:r>
      <w:r w:rsidR="003036A6" w:rsidRPr="00B86BE6">
        <w:rPr>
          <w:rFonts w:eastAsia="MS Mincho"/>
        </w:rPr>
        <w:t xml:space="preserve"> Charles Wil</w:t>
      </w:r>
      <w:r w:rsidR="00CF799D" w:rsidRPr="00B86BE6">
        <w:rPr>
          <w:rFonts w:eastAsia="MS Mincho"/>
        </w:rPr>
        <w:t>l</w:t>
      </w:r>
      <w:r w:rsidR="003036A6" w:rsidRPr="00B86BE6">
        <w:rPr>
          <w:rFonts w:eastAsia="MS Mincho"/>
        </w:rPr>
        <w:t>son Peale’s</w:t>
      </w:r>
      <w:r w:rsidRPr="00B86BE6">
        <w:rPr>
          <w:rFonts w:eastAsia="MS Mincho"/>
        </w:rPr>
        <w:t xml:space="preserve"> </w:t>
      </w:r>
      <w:r w:rsidR="00AB3782" w:rsidRPr="00B86BE6">
        <w:rPr>
          <w:rFonts w:eastAsia="MS Mincho"/>
        </w:rPr>
        <w:t xml:space="preserve">painting of </w:t>
      </w:r>
      <w:r w:rsidR="00CF799D" w:rsidRPr="00B86BE6">
        <w:rPr>
          <w:rFonts w:eastAsia="MS Mincho"/>
        </w:rPr>
        <w:t xml:space="preserve">Thomas </w:t>
      </w:r>
      <w:r w:rsidR="003036A6" w:rsidRPr="00B86BE6">
        <w:rPr>
          <w:rFonts w:eastAsia="MS Mincho"/>
        </w:rPr>
        <w:t>Matlack</w:t>
      </w:r>
      <w:r w:rsidR="00CF799D" w:rsidRPr="00B86BE6">
        <w:rPr>
          <w:rFonts w:eastAsia="MS Mincho"/>
        </w:rPr>
        <w:t>—radical Whig and letterer of the Declaration of Independence—</w:t>
      </w:r>
      <w:r w:rsidR="00AB3782" w:rsidRPr="00B86BE6">
        <w:rPr>
          <w:rFonts w:eastAsia="MS Mincho"/>
        </w:rPr>
        <w:t xml:space="preserve">that hangs in the neighboring gallery. </w:t>
      </w:r>
      <w:r w:rsidRPr="00B86BE6">
        <w:rPr>
          <w:rFonts w:eastAsia="MS Mincho"/>
        </w:rPr>
        <w:t>Displays of colonial power</w:t>
      </w:r>
      <w:r w:rsidR="005B6C17" w:rsidRPr="00B86BE6">
        <w:rPr>
          <w:rFonts w:eastAsia="MS Mincho"/>
        </w:rPr>
        <w:t xml:space="preserve"> and authority</w:t>
      </w:r>
      <w:r w:rsidRPr="00B86BE6">
        <w:rPr>
          <w:rFonts w:eastAsia="MS Mincho"/>
        </w:rPr>
        <w:t>, whether symbolized by crucifixes and communion wafers</w:t>
      </w:r>
      <w:r w:rsidR="005B6C17" w:rsidRPr="00B86BE6">
        <w:rPr>
          <w:rFonts w:eastAsia="MS Mincho"/>
        </w:rPr>
        <w:t xml:space="preserve">, </w:t>
      </w:r>
      <w:r w:rsidR="003036A6" w:rsidRPr="00B86BE6">
        <w:rPr>
          <w:rFonts w:eastAsia="MS Mincho"/>
        </w:rPr>
        <w:t xml:space="preserve">law books and legal briefs, </w:t>
      </w:r>
      <w:r w:rsidRPr="00B86BE6">
        <w:rPr>
          <w:rFonts w:eastAsia="MS Mincho"/>
        </w:rPr>
        <w:t xml:space="preserve">have a lot in common. </w:t>
      </w:r>
      <w:r w:rsidR="00A31276" w:rsidRPr="00B86BE6">
        <w:rPr>
          <w:rFonts w:eastAsia="MS Mincho"/>
        </w:rPr>
        <w:t xml:space="preserve"> </w:t>
      </w:r>
    </w:p>
    <w:p w:rsidR="007A26EA" w:rsidRPr="00B86BE6" w:rsidRDefault="007A26EA" w:rsidP="007A26EA">
      <w:pPr>
        <w:ind w:firstLine="720"/>
        <w:rPr>
          <w:rFonts w:eastAsia="MS Mincho"/>
        </w:rPr>
      </w:pPr>
    </w:p>
    <w:p w:rsidR="007A26EA" w:rsidRPr="00B86BE6" w:rsidRDefault="007A26EA" w:rsidP="007A26EA">
      <w:pPr>
        <w:ind w:firstLine="720"/>
      </w:pPr>
      <w:r w:rsidRPr="00B86BE6">
        <w:rPr>
          <w:rFonts w:eastAsia="ＭＳ 明朝"/>
        </w:rPr>
        <w:t xml:space="preserve">A </w:t>
      </w:r>
      <w:r w:rsidR="00572EA0" w:rsidRPr="00B86BE6">
        <w:rPr>
          <w:rFonts w:eastAsia="ＭＳ 明朝"/>
        </w:rPr>
        <w:t>row of chairs, which graced 18</w:t>
      </w:r>
      <w:r w:rsidR="00572EA0" w:rsidRPr="00B86BE6">
        <w:rPr>
          <w:rFonts w:eastAsia="ＭＳ 明朝"/>
          <w:vertAlign w:val="superscript"/>
        </w:rPr>
        <w:t>th</w:t>
      </w:r>
      <w:r w:rsidR="00572EA0" w:rsidRPr="00B86BE6">
        <w:rPr>
          <w:rFonts w:eastAsia="ＭＳ 明朝"/>
        </w:rPr>
        <w:t xml:space="preserve"> </w:t>
      </w:r>
      <w:r w:rsidRPr="00B86BE6">
        <w:rPr>
          <w:rFonts w:eastAsia="ＭＳ 明朝"/>
        </w:rPr>
        <w:t>century homes from Boston to Venezuela, also</w:t>
      </w:r>
      <w:r w:rsidR="00567325" w:rsidRPr="00B86BE6">
        <w:rPr>
          <w:rFonts w:eastAsia="ＭＳ 明朝"/>
        </w:rPr>
        <w:t xml:space="preserve"> drives the </w:t>
      </w:r>
      <w:r w:rsidR="00815149" w:rsidRPr="00B86BE6">
        <w:rPr>
          <w:rFonts w:eastAsia="ＭＳ 明朝"/>
        </w:rPr>
        <w:t xml:space="preserve">same </w:t>
      </w:r>
      <w:r w:rsidR="00567325" w:rsidRPr="00B86BE6">
        <w:rPr>
          <w:rFonts w:eastAsia="ＭＳ 明朝"/>
        </w:rPr>
        <w:t>story forward</w:t>
      </w:r>
      <w:r w:rsidRPr="00B86BE6">
        <w:rPr>
          <w:rFonts w:eastAsia="ＭＳ 明朝"/>
        </w:rPr>
        <w:t xml:space="preserve">.  </w:t>
      </w:r>
      <w:r w:rsidR="00572EA0" w:rsidRPr="00B86BE6">
        <w:rPr>
          <w:rFonts w:eastAsia="ＭＳ 明朝"/>
        </w:rPr>
        <w:t>“During the 1700s,</w:t>
      </w:r>
      <w:r w:rsidR="00425846" w:rsidRPr="00B86BE6">
        <w:rPr>
          <w:rFonts w:eastAsia="ＭＳ 明朝"/>
        </w:rPr>
        <w:t>”</w:t>
      </w:r>
      <w:r w:rsidR="00572EA0" w:rsidRPr="00B86BE6">
        <w:rPr>
          <w:rFonts w:eastAsia="ＭＳ 明朝"/>
        </w:rPr>
        <w:t xml:space="preserve"> the wall text reads,</w:t>
      </w:r>
      <w:r w:rsidR="00425846" w:rsidRPr="00B86BE6">
        <w:rPr>
          <w:rFonts w:eastAsia="ＭＳ 明朝"/>
        </w:rPr>
        <w:t xml:space="preserve"> ”</w:t>
      </w:r>
      <w:r w:rsidR="00572EA0" w:rsidRPr="00B86BE6">
        <w:rPr>
          <w:rFonts w:eastAsia="ＭＳ 明朝"/>
        </w:rPr>
        <w:t>artistic styles crossed political borders and jumped oceans like never before.” This gallery, the viewer is told, puts these places and styles side-by-side.  Can yo</w:t>
      </w:r>
      <w:r w:rsidR="00992FFC" w:rsidRPr="00B86BE6">
        <w:rPr>
          <w:rFonts w:eastAsia="ＭＳ 明朝"/>
        </w:rPr>
        <w:t xml:space="preserve">u tell </w:t>
      </w:r>
      <w:r w:rsidR="00572EA0" w:rsidRPr="00B86BE6">
        <w:rPr>
          <w:rFonts w:eastAsia="ＭＳ 明朝"/>
        </w:rPr>
        <w:t>the difference between Boston and Philad</w:t>
      </w:r>
      <w:r w:rsidR="0061670C" w:rsidRPr="00B86BE6">
        <w:rPr>
          <w:rFonts w:eastAsia="ＭＳ 明朝"/>
        </w:rPr>
        <w:t>elphia</w:t>
      </w:r>
      <w:r w:rsidR="00815149" w:rsidRPr="00B86BE6">
        <w:rPr>
          <w:rFonts w:eastAsia="ＭＳ 明朝"/>
        </w:rPr>
        <w:t xml:space="preserve">, New York and </w:t>
      </w:r>
      <w:r w:rsidR="00992FFC" w:rsidRPr="00B86BE6">
        <w:rPr>
          <w:rFonts w:eastAsia="ＭＳ 明朝"/>
        </w:rPr>
        <w:t xml:space="preserve">Barbados, the wall text asks. </w:t>
      </w:r>
      <w:r w:rsidR="0061670C" w:rsidRPr="00B86BE6">
        <w:rPr>
          <w:rFonts w:eastAsia="ＭＳ 明朝"/>
        </w:rPr>
        <w:t xml:space="preserve"> </w:t>
      </w:r>
      <w:r w:rsidR="00425846" w:rsidRPr="00B86BE6">
        <w:rPr>
          <w:rFonts w:eastAsia="ＭＳ 明朝"/>
        </w:rPr>
        <w:t>“The point is</w:t>
      </w:r>
      <w:r w:rsidR="00815149" w:rsidRPr="00B86BE6">
        <w:rPr>
          <w:rFonts w:eastAsia="ＭＳ 明朝"/>
        </w:rPr>
        <w:t>,</w:t>
      </w:r>
      <w:r w:rsidR="00425846" w:rsidRPr="00B86BE6">
        <w:rPr>
          <w:rFonts w:eastAsia="ＭＳ 明朝"/>
        </w:rPr>
        <w:t>” said</w:t>
      </w:r>
      <w:r w:rsidRPr="00B86BE6">
        <w:rPr>
          <w:rFonts w:eastAsia="ＭＳ 明朝"/>
        </w:rPr>
        <w:t xml:space="preserve"> Dennis Carr, “that all of the </w:t>
      </w:r>
      <w:r w:rsidRPr="00B86BE6">
        <w:t>Americas was going through a colonial experience at this time. It could be Dutch, Spanish, Portuguese, French, German…Their governments might differ radically, their cultures might be different, but there were also lots of similarities, they were all participating in a new kind of globalized market for goods for the first time</w:t>
      </w:r>
      <w:r w:rsidR="00567325" w:rsidRPr="00B86BE6">
        <w:t>…</w:t>
      </w:r>
      <w:r w:rsidRPr="00B86BE6">
        <w:t>I think there i</w:t>
      </w:r>
      <w:r w:rsidR="00F50D5A" w:rsidRPr="00B86BE6">
        <w:t>s a lot more connection through</w:t>
      </w:r>
      <w:r w:rsidRPr="00B86BE6">
        <w:t xml:space="preserve">out the Americas than the average person realizes or fully understands.” </w:t>
      </w:r>
    </w:p>
    <w:p w:rsidR="007A26EA" w:rsidRPr="00B86BE6" w:rsidRDefault="007A26EA" w:rsidP="007A26EA"/>
    <w:p w:rsidR="007A26EA" w:rsidRPr="00B86BE6" w:rsidRDefault="007A26EA" w:rsidP="007A26EA">
      <w:pPr>
        <w:ind w:firstLine="720"/>
      </w:pPr>
      <w:r w:rsidRPr="00B86BE6">
        <w:t>“</w:t>
      </w:r>
      <w:r w:rsidR="00425846" w:rsidRPr="00B86BE6">
        <w:t>What is interesting to me,” said</w:t>
      </w:r>
      <w:r w:rsidRPr="00B86BE6">
        <w:t xml:space="preserve"> Erica Hirshler, Senior Curator of American Paintings, who has worked at the museum for nearly 30 years, “is to see what kinds of real estate is being given to different kinds of art. When I first came here in the 1980s, when we talked about Colonial Art, we were talking about New England and Anglo culture. We were talking about Copley and his relationship with England…In the new wing, for the first time, we have a Spanish colonial gallery and that is a huge change for us. It sounds like it shouldn’t be, but it is for Boston, a kind of bastion of Anglo culture, to acknowledge that there was a huge colonial presence somewhere else.”</w:t>
      </w:r>
    </w:p>
    <w:p w:rsidR="007A26EA" w:rsidRPr="00B86BE6" w:rsidRDefault="007A26EA" w:rsidP="007A26EA">
      <w:pPr>
        <w:rPr>
          <w:rFonts w:eastAsia="MS Mincho"/>
        </w:rPr>
      </w:pPr>
    </w:p>
    <w:p w:rsidR="007A26EA" w:rsidRPr="00B86BE6" w:rsidRDefault="007A26EA" w:rsidP="007A26EA">
      <w:pPr>
        <w:widowControl w:val="0"/>
        <w:autoSpaceDE w:val="0"/>
        <w:autoSpaceDN w:val="0"/>
        <w:adjustRightInd w:val="0"/>
        <w:spacing w:after="200" w:line="300" w:lineRule="atLeast"/>
        <w:ind w:firstLine="720"/>
      </w:pPr>
      <w:r w:rsidRPr="00B86BE6">
        <w:t>The story of American art’s porous boundaries continues on the third floor. John Singer</w:t>
      </w:r>
      <w:r w:rsidR="00425846" w:rsidRPr="00B86BE6">
        <w:t xml:space="preserve"> Sargent, who most people consider a quintessential </w:t>
      </w:r>
      <w:r w:rsidRPr="00B86BE6">
        <w:t>American</w:t>
      </w:r>
      <w:r w:rsidR="00C84E32" w:rsidRPr="00B86BE6">
        <w:t xml:space="preserve"> painter, </w:t>
      </w:r>
      <w:r w:rsidR="00567325" w:rsidRPr="00B86BE6">
        <w:t>greets visitor</w:t>
      </w:r>
      <w:r w:rsidR="008E2ABF" w:rsidRPr="00B86BE6">
        <w:t>s</w:t>
      </w:r>
      <w:r w:rsidRPr="00B86BE6">
        <w:t>. But Sargent, born to American expa</w:t>
      </w:r>
      <w:r w:rsidR="00425846" w:rsidRPr="00B86BE6">
        <w:t xml:space="preserve">triates in Florence in 1856 </w:t>
      </w:r>
      <w:r w:rsidRPr="00B86BE6">
        <w:t>spent his childho</w:t>
      </w:r>
      <w:r w:rsidR="00425846" w:rsidRPr="00B86BE6">
        <w:t xml:space="preserve">od traveling throughout Europe and </w:t>
      </w:r>
      <w:r w:rsidRPr="00B86BE6">
        <w:t>did not even visit the U.S. u</w:t>
      </w:r>
      <w:r w:rsidR="00C84E32" w:rsidRPr="00B86BE6">
        <w:t xml:space="preserve">ntil 1876 when he was twenty.  </w:t>
      </w:r>
      <w:r w:rsidRPr="00B86BE6">
        <w:t xml:space="preserve">European art strongly shaped his </w:t>
      </w:r>
      <w:r w:rsidRPr="00B86BE6">
        <w:rPr>
          <w:i/>
        </w:rPr>
        <w:t>oeuvre</w:t>
      </w:r>
      <w:r w:rsidRPr="00B86BE6">
        <w:t>.</w:t>
      </w:r>
      <w:r w:rsidR="000B692B" w:rsidRPr="00B86BE6">
        <w:rPr>
          <w:rStyle w:val="EndnoteReference"/>
        </w:rPr>
        <w:endnoteReference w:id="50"/>
      </w:r>
      <w:r w:rsidRPr="00B86BE6">
        <w:t xml:space="preserve"> </w:t>
      </w:r>
    </w:p>
    <w:p w:rsidR="007A26EA" w:rsidRPr="00B86BE6" w:rsidRDefault="007A26EA" w:rsidP="007A26EA">
      <w:pPr>
        <w:ind w:firstLine="720"/>
      </w:pPr>
      <w:r w:rsidRPr="00B86BE6">
        <w:t>Even the layout of the next main gallery, hung like a Salon, hints at America’s connection</w:t>
      </w:r>
      <w:r w:rsidR="009C1822" w:rsidRPr="00B86BE6">
        <w:t>s</w:t>
      </w:r>
      <w:r w:rsidRPr="00B86BE6">
        <w:t xml:space="preserve"> to the outside worl</w:t>
      </w:r>
      <w:r w:rsidR="000B692B" w:rsidRPr="00B86BE6">
        <w:t xml:space="preserve">d. It </w:t>
      </w:r>
      <w:r w:rsidRPr="00B86BE6">
        <w:t xml:space="preserve">tips its hat at the style, popular in elegant </w:t>
      </w:r>
      <w:r w:rsidR="000B692B" w:rsidRPr="00B86BE6">
        <w:t xml:space="preserve">European </w:t>
      </w:r>
      <w:r w:rsidRPr="00B86BE6">
        <w:t>homes</w:t>
      </w:r>
      <w:r w:rsidR="000B692B" w:rsidRPr="00B86BE6">
        <w:t xml:space="preserve"> of the day</w:t>
      </w:r>
      <w:r w:rsidRPr="00B86BE6">
        <w:t>, of hanging paintings from floor to ceiling.  All of the works are by painters who were, in some way, influenced by European art. “It is a v</w:t>
      </w:r>
      <w:r w:rsidR="00425846" w:rsidRPr="00B86BE6">
        <w:t>ery outward looking space,” said</w:t>
      </w:r>
      <w:r w:rsidRPr="00B86BE6">
        <w:t xml:space="preserve"> Hirshler. “It is about America at that time having almost as much of a cosmopolitan culture as we think we do now.”  It’s not that the omnipresent Hudson River School is not represented.  It’s just not center stage like it would have been in American galleries of the past. “This is huge,” she says. “We are looking for connections with other places and more and more willing to acknowledge them. We are more willing to see how American art fits within the context of European art instead of only talking about what is American about it.” </w:t>
      </w:r>
    </w:p>
    <w:p w:rsidR="007A26EA" w:rsidRPr="00B86BE6" w:rsidRDefault="007A26EA" w:rsidP="007A26EA">
      <w:pPr>
        <w:ind w:firstLine="720"/>
      </w:pPr>
    </w:p>
    <w:p w:rsidR="007A26EA" w:rsidRPr="00B86BE6" w:rsidRDefault="007A26EA" w:rsidP="001E3256">
      <w:pPr>
        <w:ind w:firstLine="720"/>
      </w:pPr>
      <w:r w:rsidRPr="00B86BE6">
        <w:t>People looking for “the immigrant gallery” will be disappointed</w:t>
      </w:r>
      <w:r w:rsidR="00C0341D" w:rsidRPr="00B86BE6">
        <w:t>,</w:t>
      </w:r>
      <w:r w:rsidRPr="00B86BE6">
        <w:t xml:space="preserve"> alth</w:t>
      </w:r>
      <w:r w:rsidR="00425846" w:rsidRPr="00B86BE6">
        <w:t xml:space="preserve">ough the Museum did </w:t>
      </w:r>
      <w:r w:rsidR="009C1822" w:rsidRPr="00B86BE6">
        <w:t xml:space="preserve">acquire some new works to </w:t>
      </w:r>
      <w:r w:rsidR="00C0341D" w:rsidRPr="00B86BE6">
        <w:t xml:space="preserve">broaden its scope. </w:t>
      </w:r>
      <w:r w:rsidRPr="00B86BE6">
        <w:t>There is a painting by</w:t>
      </w:r>
      <w:r w:rsidR="004C733B" w:rsidRPr="00B86BE6">
        <w:t xml:space="preserve"> Argentine avant-gardist</w:t>
      </w:r>
      <w:r w:rsidRPr="00B86BE6">
        <w:t xml:space="preserve"> </w:t>
      </w:r>
      <w:r w:rsidR="000B692B" w:rsidRPr="00B86BE6">
        <w:t>C</w:t>
      </w:r>
      <w:r w:rsidR="008E0E26" w:rsidRPr="00B86BE6">
        <w:t xml:space="preserve">esar Paternosto, entitled </w:t>
      </w:r>
      <w:r w:rsidR="008E0E26" w:rsidRPr="00B86BE6">
        <w:rPr>
          <w:i/>
        </w:rPr>
        <w:t>Staccato</w:t>
      </w:r>
      <w:r w:rsidR="000B692B" w:rsidRPr="00B86BE6">
        <w:t>.</w:t>
      </w:r>
      <w:r w:rsidR="00425846" w:rsidRPr="00B86BE6">
        <w:rPr>
          <w:rStyle w:val="EndnoteReference"/>
        </w:rPr>
        <w:endnoteReference w:id="51"/>
      </w:r>
      <w:r w:rsidR="00425846" w:rsidRPr="00B86BE6">
        <w:t xml:space="preserve"> </w:t>
      </w:r>
      <w:r w:rsidR="00F50D5A" w:rsidRPr="00B86BE6">
        <w:t xml:space="preserve">There is </w:t>
      </w:r>
      <w:r w:rsidR="001E3256" w:rsidRPr="00B86BE6">
        <w:t xml:space="preserve">the </w:t>
      </w:r>
      <w:r w:rsidR="000B692B" w:rsidRPr="00B86BE6">
        <w:t xml:space="preserve">1943 </w:t>
      </w:r>
      <w:r w:rsidR="001E3256" w:rsidRPr="00B86BE6">
        <w:t xml:space="preserve">painting, “Untitled,” </w:t>
      </w:r>
      <w:r w:rsidR="000B692B" w:rsidRPr="00B86BE6">
        <w:t xml:space="preserve">by the Cuban artist </w:t>
      </w:r>
      <w:r w:rsidR="00425846" w:rsidRPr="00B86BE6">
        <w:t xml:space="preserve">Wilfredo </w:t>
      </w:r>
      <w:r w:rsidR="000B692B" w:rsidRPr="00B86BE6">
        <w:t>Lam.</w:t>
      </w:r>
      <w:r w:rsidR="00425846" w:rsidRPr="00B86BE6">
        <w:rPr>
          <w:rStyle w:val="EndnoteReference"/>
        </w:rPr>
        <w:endnoteReference w:id="52"/>
      </w:r>
      <w:r w:rsidR="000B692B" w:rsidRPr="00B86BE6">
        <w:t xml:space="preserve"> </w:t>
      </w:r>
      <w:r w:rsidR="00425846" w:rsidRPr="00B86BE6">
        <w:t xml:space="preserve"> </w:t>
      </w:r>
      <w:r w:rsidR="009C1822" w:rsidRPr="00B86BE6">
        <w:rPr>
          <w:rFonts w:cs="Arial"/>
        </w:rPr>
        <w:t>C</w:t>
      </w:r>
      <w:r w:rsidR="000B692B" w:rsidRPr="00B86BE6">
        <w:rPr>
          <w:rFonts w:cs="Arial"/>
        </w:rPr>
        <w:t xml:space="preserve">urators </w:t>
      </w:r>
      <w:r w:rsidR="001E3256" w:rsidRPr="00B86BE6">
        <w:rPr>
          <w:rFonts w:cs="Arial"/>
        </w:rPr>
        <w:t xml:space="preserve">decided not to ghettoize </w:t>
      </w:r>
      <w:r w:rsidR="00350469" w:rsidRPr="00B86BE6">
        <w:rPr>
          <w:rFonts w:cs="Arial"/>
        </w:rPr>
        <w:t xml:space="preserve">minority </w:t>
      </w:r>
      <w:r w:rsidR="001E3256" w:rsidRPr="00B86BE6">
        <w:rPr>
          <w:rFonts w:cs="Arial"/>
        </w:rPr>
        <w:t>artists.  “There is no gallery of African American art o</w:t>
      </w:r>
      <w:r w:rsidR="00567325" w:rsidRPr="00B86BE6">
        <w:rPr>
          <w:rFonts w:cs="Arial"/>
        </w:rPr>
        <w:t xml:space="preserve">r of women artists,” said </w:t>
      </w:r>
      <w:r w:rsidR="001E3256" w:rsidRPr="00B86BE6">
        <w:rPr>
          <w:rFonts w:cs="Arial"/>
        </w:rPr>
        <w:t xml:space="preserve">Hirshler. “We wanted to put the paintings where they would naturally go.  Women artists should be in the same gallery as male artists. </w:t>
      </w:r>
      <w:r w:rsidR="001E3256" w:rsidRPr="00B86BE6">
        <w:t xml:space="preserve">It’s not helpful to </w:t>
      </w:r>
      <w:r w:rsidRPr="00B86BE6">
        <w:t xml:space="preserve">set </w:t>
      </w:r>
      <w:r w:rsidR="001E3256" w:rsidRPr="00B86BE6">
        <w:t xml:space="preserve">them </w:t>
      </w:r>
      <w:r w:rsidRPr="00B86BE6">
        <w:t xml:space="preserve">apart in a different room. </w:t>
      </w:r>
      <w:r w:rsidR="00350469" w:rsidRPr="00B86BE6">
        <w:t xml:space="preserve">You cannot </w:t>
      </w:r>
      <w:r w:rsidRPr="00B86BE6">
        <w:t>change the canon</w:t>
      </w:r>
      <w:r w:rsidR="001E3256" w:rsidRPr="00B86BE6">
        <w:t xml:space="preserve"> unless you integrate the canon.” </w:t>
      </w:r>
    </w:p>
    <w:p w:rsidR="007A26EA" w:rsidRPr="00B86BE6" w:rsidRDefault="007A26EA" w:rsidP="007A26EA"/>
    <w:p w:rsidR="007A26EA" w:rsidRPr="00B86BE6" w:rsidRDefault="007A26EA" w:rsidP="007A26EA">
      <w:pPr>
        <w:ind w:firstLine="720"/>
        <w:rPr>
          <w:rFonts w:eastAsia="ＭＳ 明朝"/>
        </w:rPr>
      </w:pPr>
      <w:r w:rsidRPr="00B86BE6">
        <w:t xml:space="preserve"> “One of the</w:t>
      </w:r>
      <w:r w:rsidR="00425846" w:rsidRPr="00B86BE6">
        <w:t xml:space="preserve"> messages of the new wing,” summed</w:t>
      </w:r>
      <w:r w:rsidRPr="00B86BE6">
        <w:t xml:space="preserve"> up Bostwick Davis, is that American art is intimately connected to its neighbors to the</w:t>
      </w:r>
      <w:r w:rsidR="00350469" w:rsidRPr="00B86BE6">
        <w:t xml:space="preserve"> north and south. The wing is </w:t>
      </w:r>
      <w:r w:rsidRPr="00B86BE6">
        <w:t xml:space="preserve">very different than every other wing of American art in the country because it </w:t>
      </w:r>
      <w:r w:rsidR="00350469" w:rsidRPr="00B86BE6">
        <w:t xml:space="preserve">includes </w:t>
      </w:r>
      <w:r w:rsidRPr="00B86BE6">
        <w:t>the ancient cultures as far as we can go back, plus what we have from where we happened to land on this planet.  So we are going north, central, and south to work with that as a continuum. We will walk people through so they get a sense of this layering and richness, and I hope for each individual there is an opening of the mind of what is American.”</w:t>
      </w:r>
      <w:r w:rsidR="00350469" w:rsidRPr="00B86BE6">
        <w:rPr>
          <w:rStyle w:val="EndnoteReference"/>
          <w:rFonts w:eastAsia="ＭＳ 明朝"/>
        </w:rPr>
        <w:endnoteReference w:id="53"/>
      </w:r>
      <w:r w:rsidRPr="00B86BE6">
        <w:rPr>
          <w:rFonts w:eastAsia="ＭＳ 明朝"/>
        </w:rPr>
        <w:t xml:space="preserve"> </w:t>
      </w:r>
    </w:p>
    <w:p w:rsidR="007A26EA" w:rsidRPr="00B86BE6" w:rsidRDefault="007A26EA" w:rsidP="007A26EA">
      <w:pPr>
        <w:rPr>
          <w:rFonts w:eastAsia="ＭＳ 明朝"/>
        </w:rPr>
      </w:pPr>
    </w:p>
    <w:p w:rsidR="00EA721B" w:rsidRPr="00B86BE6" w:rsidRDefault="00B86BE6" w:rsidP="004D23A9">
      <w:pPr>
        <w:rPr>
          <w:b/>
        </w:rPr>
      </w:pPr>
      <w:r>
        <w:rPr>
          <w:b/>
        </w:rPr>
        <w:t>Why Here, Why Now?</w:t>
      </w:r>
    </w:p>
    <w:p w:rsidR="007B5F39" w:rsidRPr="00B86BE6" w:rsidRDefault="007B5F39" w:rsidP="00FB5D66"/>
    <w:p w:rsidR="00FB5D66" w:rsidRPr="00B86BE6" w:rsidRDefault="003637B0" w:rsidP="008E0A80">
      <w:r w:rsidRPr="00B86BE6">
        <w:t xml:space="preserve">Part of the idea of </w:t>
      </w:r>
      <w:r w:rsidR="00617AF7" w:rsidRPr="00B86BE6">
        <w:t>tell</w:t>
      </w:r>
      <w:r w:rsidR="00F50D5A" w:rsidRPr="00B86BE6">
        <w:t>ing</w:t>
      </w:r>
      <w:r w:rsidR="00617AF7" w:rsidRPr="00B86BE6">
        <w:t xml:space="preserve"> an “</w:t>
      </w:r>
      <w:r w:rsidR="00E10684" w:rsidRPr="00B86BE6">
        <w:t>Art of the Americas” story grew</w:t>
      </w:r>
      <w:r w:rsidR="00617AF7" w:rsidRPr="00B86BE6">
        <w:t xml:space="preserve"> out o</w:t>
      </w:r>
      <w:r w:rsidR="00831791" w:rsidRPr="00B86BE6">
        <w:t xml:space="preserve">f an institutional restructuring organized by </w:t>
      </w:r>
      <w:r w:rsidR="00E10684" w:rsidRPr="00B86BE6">
        <w:t xml:space="preserve">Director Malcolm Rogers </w:t>
      </w:r>
      <w:r w:rsidR="00617AF7" w:rsidRPr="00B86BE6">
        <w:t>when he arrived</w:t>
      </w:r>
      <w:r w:rsidRPr="00B86BE6">
        <w:t xml:space="preserve"> at the MFA</w:t>
      </w:r>
      <w:r w:rsidR="00617AF7" w:rsidRPr="00B86BE6">
        <w:t xml:space="preserve"> in 1992. To promote </w:t>
      </w:r>
      <w:r w:rsidR="007B5F39" w:rsidRPr="00B86BE6">
        <w:t xml:space="preserve">communication across mediums </w:t>
      </w:r>
      <w:r w:rsidR="00617AF7" w:rsidRPr="00B86BE6">
        <w:t xml:space="preserve">and </w:t>
      </w:r>
      <w:r w:rsidR="007B5F39" w:rsidRPr="00B86BE6">
        <w:t xml:space="preserve">between </w:t>
      </w:r>
      <w:r w:rsidR="00820350" w:rsidRPr="00B86BE6">
        <w:t xml:space="preserve">the </w:t>
      </w:r>
      <w:r w:rsidR="007B5F39" w:rsidRPr="00B86BE6">
        <w:t>people in charge</w:t>
      </w:r>
      <w:r w:rsidR="002D6650" w:rsidRPr="00B86BE6">
        <w:t xml:space="preserve"> of them, Rogers</w:t>
      </w:r>
      <w:r w:rsidR="00821D3E" w:rsidRPr="00B86BE6">
        <w:t xml:space="preserve"> combined American P</w:t>
      </w:r>
      <w:r w:rsidR="00617AF7" w:rsidRPr="00B86BE6">
        <w:t xml:space="preserve">aintings </w:t>
      </w:r>
      <w:r w:rsidR="00940979" w:rsidRPr="00B86BE6">
        <w:t xml:space="preserve">and </w:t>
      </w:r>
      <w:r w:rsidR="00821D3E" w:rsidRPr="00B86BE6">
        <w:t>Decorative A</w:t>
      </w:r>
      <w:r w:rsidR="00617AF7" w:rsidRPr="00B86BE6">
        <w:t>rts an</w:t>
      </w:r>
      <w:r w:rsidR="00940979" w:rsidRPr="00B86BE6">
        <w:t xml:space="preserve">d incorporated </w:t>
      </w:r>
      <w:r w:rsidR="00617AF7" w:rsidRPr="00B86BE6">
        <w:t>some of the Latin American materials</w:t>
      </w:r>
      <w:r w:rsidR="00821D3E" w:rsidRPr="00B86BE6">
        <w:t xml:space="preserve"> previously</w:t>
      </w:r>
      <w:r w:rsidR="00617AF7" w:rsidRPr="00B86BE6">
        <w:t xml:space="preserve"> </w:t>
      </w:r>
      <w:r w:rsidR="00821D3E" w:rsidRPr="00B86BE6">
        <w:t>“included” in Europe.</w:t>
      </w:r>
      <w:r w:rsidR="00940979" w:rsidRPr="00B86BE6">
        <w:t xml:space="preserve">  </w:t>
      </w:r>
      <w:r w:rsidR="00E10684" w:rsidRPr="00B86BE6">
        <w:t xml:space="preserve">He also folded </w:t>
      </w:r>
      <w:r w:rsidR="00831791" w:rsidRPr="00B86BE6">
        <w:t>in a collection of Ancient American</w:t>
      </w:r>
      <w:r w:rsidR="00E10684" w:rsidRPr="00B86BE6">
        <w:t xml:space="preserve"> materia</w:t>
      </w:r>
      <w:r w:rsidRPr="00B86BE6">
        <w:t>ls</w:t>
      </w:r>
      <w:r w:rsidR="00992FFC" w:rsidRPr="00B86BE6">
        <w:t xml:space="preserve"> that never had a home of its </w:t>
      </w:r>
      <w:r w:rsidR="00E10684" w:rsidRPr="00B86BE6">
        <w:t xml:space="preserve">own. </w:t>
      </w:r>
      <w:r w:rsidR="009C1822" w:rsidRPr="00B86BE6">
        <w:t xml:space="preserve"> Staff slowly came to see </w:t>
      </w:r>
      <w:r w:rsidR="00831791" w:rsidRPr="00B86BE6">
        <w:t xml:space="preserve">these </w:t>
      </w:r>
      <w:r w:rsidR="00E10684" w:rsidRPr="00B86BE6">
        <w:t xml:space="preserve">holdings as </w:t>
      </w:r>
      <w:r w:rsidR="009C1822" w:rsidRPr="00B86BE6">
        <w:t xml:space="preserve">the basis for their </w:t>
      </w:r>
      <w:r w:rsidR="00E10684" w:rsidRPr="00B86BE6">
        <w:t>retel</w:t>
      </w:r>
      <w:r w:rsidRPr="00B86BE6">
        <w:t xml:space="preserve">ling of the American art story </w:t>
      </w:r>
      <w:r w:rsidR="002D6650" w:rsidRPr="00B86BE6">
        <w:t xml:space="preserve">because they lie at the </w:t>
      </w:r>
      <w:r w:rsidR="00E10684" w:rsidRPr="00B86BE6">
        <w:t xml:space="preserve">root of </w:t>
      </w:r>
      <w:r w:rsidR="00940979" w:rsidRPr="00B86BE6">
        <w:t xml:space="preserve">connections and conversations with </w:t>
      </w:r>
      <w:r w:rsidR="00831791" w:rsidRPr="00B86BE6">
        <w:t>people and places far away and because they speak to the experiences of indigenous populations.</w:t>
      </w:r>
      <w:r w:rsidR="007B5F39" w:rsidRPr="00B86BE6">
        <w:t xml:space="preserve"> </w:t>
      </w:r>
      <w:r w:rsidR="00E10684" w:rsidRPr="00B86BE6">
        <w:t xml:space="preserve"> These shifts also resonated with the changing demographics of the </w:t>
      </w:r>
      <w:r w:rsidR="009C1822" w:rsidRPr="00B86BE6">
        <w:t xml:space="preserve">Museum’s </w:t>
      </w:r>
      <w:r w:rsidR="00E10684" w:rsidRPr="00B86BE6">
        <w:t xml:space="preserve">visitors.  </w:t>
      </w:r>
      <w:r w:rsidR="00992FFC" w:rsidRPr="00B86BE6">
        <w:t>It behooved the MFA to showcase minorities, and Latinos in particular, given their growing numbers in the city and the country as a whole</w:t>
      </w:r>
      <w:r w:rsidR="002D6650" w:rsidRPr="00B86BE6">
        <w:t>.</w:t>
      </w:r>
      <w:r w:rsidR="00E10684" w:rsidRPr="00B86BE6">
        <w:t xml:space="preserve"> </w:t>
      </w:r>
    </w:p>
    <w:p w:rsidR="00E10684" w:rsidRPr="00B86BE6" w:rsidRDefault="00E10684" w:rsidP="00FB5D66"/>
    <w:p w:rsidR="009865D5" w:rsidRPr="00B86BE6" w:rsidRDefault="00940979" w:rsidP="002D6650">
      <w:pPr>
        <w:widowControl w:val="0"/>
        <w:autoSpaceDE w:val="0"/>
        <w:autoSpaceDN w:val="0"/>
        <w:adjustRightInd w:val="0"/>
        <w:ind w:firstLine="720"/>
      </w:pPr>
      <w:r w:rsidRPr="00B86BE6">
        <w:t xml:space="preserve">The MFA is not </w:t>
      </w:r>
      <w:r w:rsidR="00E10684" w:rsidRPr="00B86BE6">
        <w:t xml:space="preserve">alone in seeing </w:t>
      </w:r>
      <w:r w:rsidRPr="00B86BE6">
        <w:t xml:space="preserve">demographic shifts on the horizon. </w:t>
      </w:r>
      <w:r w:rsidR="00285560" w:rsidRPr="00B86BE6">
        <w:t xml:space="preserve">In 2008, the American Association of Museums launched its Center for the </w:t>
      </w:r>
      <w:r w:rsidR="001C26E9" w:rsidRPr="00B86BE6">
        <w:t>Future of Museum’s Project.  It</w:t>
      </w:r>
      <w:r w:rsidR="00285560" w:rsidRPr="00B86BE6">
        <w:t>s first report, “Museums &amp; Society 2034: Trends and Potential Futures” inc</w:t>
      </w:r>
      <w:r w:rsidRPr="00B86BE6">
        <w:t>luded a striking graphic</w:t>
      </w:r>
      <w:r w:rsidR="00285560" w:rsidRPr="00B86BE6">
        <w:t>.  Between 1900 -1970, minorities made up between 10-13 percent of the U.S. p</w:t>
      </w:r>
      <w:r w:rsidR="0037781D" w:rsidRPr="00B86BE6">
        <w:t>opulation.  By 2008, the figure</w:t>
      </w:r>
      <w:r w:rsidR="00285560" w:rsidRPr="00B86BE6">
        <w:t xml:space="preserve"> </w:t>
      </w:r>
      <w:r w:rsidR="002D6650" w:rsidRPr="00B86BE6">
        <w:t xml:space="preserve">rose to </w:t>
      </w:r>
      <w:r w:rsidR="00285560" w:rsidRPr="00B86BE6">
        <w:t xml:space="preserve">34 percent and </w:t>
      </w:r>
      <w:r w:rsidR="0037781D" w:rsidRPr="00B86BE6">
        <w:t>was predicted to reach 46 percent by 2033.  At the bottom of the chart, a stark line stopped</w:t>
      </w:r>
      <w:r w:rsidR="001C26E9" w:rsidRPr="00B86BE6">
        <w:t xml:space="preserve"> short—only 9 percent of museum</w:t>
      </w:r>
      <w:r w:rsidR="0037781D" w:rsidRPr="00B86BE6">
        <w:t>s</w:t>
      </w:r>
      <w:r w:rsidR="001C26E9" w:rsidRPr="00B86BE6">
        <w:t>’</w:t>
      </w:r>
      <w:r w:rsidR="0037781D" w:rsidRPr="00B86BE6">
        <w:t xml:space="preserve"> core visitors were minorities.</w:t>
      </w:r>
      <w:r w:rsidR="009C1822" w:rsidRPr="00B86BE6">
        <w:rPr>
          <w:rStyle w:val="EndnoteReference"/>
        </w:rPr>
        <w:endnoteReference w:id="54"/>
      </w:r>
      <w:r w:rsidR="0037781D" w:rsidRPr="00B86BE6">
        <w:t xml:space="preserve"> </w:t>
      </w:r>
      <w:r w:rsidR="00ED638A" w:rsidRPr="00B86BE6">
        <w:t>The report,</w:t>
      </w:r>
      <w:r w:rsidR="001C26E9" w:rsidRPr="00B86BE6">
        <w:t xml:space="preserve"> according to founding Director</w:t>
      </w:r>
      <w:r w:rsidR="00ED638A" w:rsidRPr="00B86BE6">
        <w:t xml:space="preserve"> Elizabeth E. Merritt, “went viral.” It “painted a troubling picture of the “probable future”—a future in which, if trends continue in the current grooves, museum audiences are radically less diverse than the American public and museums serve an ever</w:t>
      </w:r>
      <w:r w:rsidR="0037781D" w:rsidRPr="00B86BE6">
        <w:t>-</w:t>
      </w:r>
      <w:r w:rsidR="00ED638A" w:rsidRPr="00B86BE6">
        <w:t xml:space="preserve">shrinking fragment of society.” </w:t>
      </w:r>
      <w:r w:rsidR="00821D3E" w:rsidRPr="00B86BE6">
        <w:rPr>
          <w:rStyle w:val="EndnoteReference"/>
        </w:rPr>
        <w:endnoteReference w:id="55"/>
      </w:r>
      <w:r w:rsidR="002D6650" w:rsidRPr="00B86BE6">
        <w:t xml:space="preserve"> </w:t>
      </w:r>
      <w:r w:rsidR="0037781D" w:rsidRPr="00B86BE6">
        <w:t xml:space="preserve">Findings from </w:t>
      </w:r>
      <w:r w:rsidR="00ED638A" w:rsidRPr="00B86BE6">
        <w:t xml:space="preserve">the </w:t>
      </w:r>
      <w:r w:rsidR="002D6650" w:rsidRPr="00B86BE6">
        <w:t>2008 National Endowment for the Arts</w:t>
      </w:r>
      <w:r w:rsidR="00ED638A" w:rsidRPr="00B86BE6">
        <w:t xml:space="preserve"> Survey of Public Participation in the Arts also produced a collective gasp.</w:t>
      </w:r>
      <w:r w:rsidR="00821D3E" w:rsidRPr="00B86BE6">
        <w:rPr>
          <w:rStyle w:val="EndnoteReference"/>
        </w:rPr>
        <w:endnoteReference w:id="56"/>
      </w:r>
      <w:r w:rsidR="00ED638A" w:rsidRPr="00B86BE6">
        <w:t xml:space="preserve">  It </w:t>
      </w:r>
      <w:r w:rsidR="0037781D" w:rsidRPr="00B86BE6">
        <w:t xml:space="preserve">revealed </w:t>
      </w:r>
      <w:r w:rsidR="0095467B" w:rsidRPr="00B86BE6">
        <w:t xml:space="preserve">a persistent </w:t>
      </w:r>
      <w:r w:rsidR="0037781D" w:rsidRPr="00B86BE6">
        <w:t xml:space="preserve">overall </w:t>
      </w:r>
      <w:r w:rsidR="0095467B" w:rsidRPr="00B86BE6">
        <w:t xml:space="preserve">decline in </w:t>
      </w:r>
      <w:r w:rsidR="0037781D" w:rsidRPr="00B86BE6">
        <w:t xml:space="preserve">participation at </w:t>
      </w:r>
      <w:r w:rsidR="0095467B" w:rsidRPr="00B86BE6">
        <w:t>traditional “high culture” activities and a strong connection between</w:t>
      </w:r>
      <w:r w:rsidR="009865D5" w:rsidRPr="00B86BE6">
        <w:t xml:space="preserve"> attendance, ethnicity, and race</w:t>
      </w:r>
      <w:r w:rsidR="0095467B" w:rsidRPr="00B86BE6">
        <w:t xml:space="preserve">.  Art museums (the only kind </w:t>
      </w:r>
      <w:r w:rsidR="009865D5" w:rsidRPr="00B86BE6">
        <w:t xml:space="preserve">on which </w:t>
      </w:r>
      <w:r w:rsidR="0095467B" w:rsidRPr="00B86BE6">
        <w:t xml:space="preserve">data were collected) fared </w:t>
      </w:r>
      <w:r w:rsidR="009C1822" w:rsidRPr="00B86BE6">
        <w:t xml:space="preserve">only </w:t>
      </w:r>
      <w:r w:rsidR="0095467B" w:rsidRPr="00B86BE6">
        <w:t xml:space="preserve">slightly better than </w:t>
      </w:r>
      <w:r w:rsidR="009865D5" w:rsidRPr="00B86BE6">
        <w:t xml:space="preserve">the symphony or </w:t>
      </w:r>
      <w:r w:rsidRPr="00B86BE6">
        <w:t>ballet.</w:t>
      </w:r>
      <w:r w:rsidRPr="00B86BE6">
        <w:rPr>
          <w:rStyle w:val="EndnoteReference"/>
        </w:rPr>
        <w:endnoteReference w:id="57"/>
      </w:r>
    </w:p>
    <w:p w:rsidR="008D0653" w:rsidRPr="00B86BE6" w:rsidRDefault="008D0653" w:rsidP="00A9635E">
      <w:pPr>
        <w:widowControl w:val="0"/>
        <w:autoSpaceDE w:val="0"/>
        <w:autoSpaceDN w:val="0"/>
        <w:adjustRightInd w:val="0"/>
      </w:pPr>
    </w:p>
    <w:p w:rsidR="008D0653" w:rsidRPr="00B86BE6" w:rsidRDefault="008D0653" w:rsidP="00A9635E">
      <w:pPr>
        <w:widowControl w:val="0"/>
        <w:autoSpaceDE w:val="0"/>
        <w:autoSpaceDN w:val="0"/>
        <w:adjustRightInd w:val="0"/>
      </w:pPr>
      <w:r w:rsidRPr="00B86BE6">
        <w:tab/>
        <w:t>Not</w:t>
      </w:r>
      <w:r w:rsidR="00E10684" w:rsidRPr="00B86BE6">
        <w:t xml:space="preserve"> surprisingly, the </w:t>
      </w:r>
      <w:r w:rsidR="009C1822" w:rsidRPr="00B86BE6">
        <w:t xml:space="preserve">AAM </w:t>
      </w:r>
      <w:r w:rsidR="00E10684" w:rsidRPr="00B86BE6">
        <w:t xml:space="preserve">report came </w:t>
      </w:r>
      <w:r w:rsidRPr="00B86BE6">
        <w:t>chock fu</w:t>
      </w:r>
      <w:r w:rsidR="00E10684" w:rsidRPr="00B86BE6">
        <w:t>ll of recommendations.  It called</w:t>
      </w:r>
      <w:r w:rsidRPr="00B86BE6">
        <w:t xml:space="preserve"> for more data and research and for museum professionals to use it.  It </w:t>
      </w:r>
      <w:r w:rsidR="00E10684" w:rsidRPr="00B86BE6">
        <w:t>stressed</w:t>
      </w:r>
      <w:r w:rsidR="00940979" w:rsidRPr="00B86BE6">
        <w:t xml:space="preserve"> the need for museum professionals to become as diverse as their visitors</w:t>
      </w:r>
      <w:r w:rsidRPr="00B86BE6">
        <w:t xml:space="preserve">—that curators, educators, and staff should look more like the people who come </w:t>
      </w:r>
      <w:r w:rsidR="00E10684" w:rsidRPr="00B86BE6">
        <w:t>through the door.  It encouraged</w:t>
      </w:r>
      <w:r w:rsidRPr="00B86BE6">
        <w:t xml:space="preserve"> museums to broaden how they define their mission and who their constituencies are. </w:t>
      </w:r>
    </w:p>
    <w:p w:rsidR="008D0653" w:rsidRPr="00B86BE6" w:rsidRDefault="008D0653" w:rsidP="00A9635E">
      <w:pPr>
        <w:widowControl w:val="0"/>
        <w:autoSpaceDE w:val="0"/>
        <w:autoSpaceDN w:val="0"/>
        <w:adjustRightInd w:val="0"/>
      </w:pPr>
    </w:p>
    <w:p w:rsidR="008D0653" w:rsidRPr="00B86BE6" w:rsidRDefault="008D0653" w:rsidP="00A9635E">
      <w:pPr>
        <w:widowControl w:val="0"/>
        <w:autoSpaceDE w:val="0"/>
        <w:autoSpaceDN w:val="0"/>
        <w:adjustRightInd w:val="0"/>
      </w:pPr>
      <w:r w:rsidRPr="00B86BE6">
        <w:tab/>
        <w:t xml:space="preserve">This was certainly on the minds of the Art of the Americas Department staff when they </w:t>
      </w:r>
      <w:r w:rsidR="00831791" w:rsidRPr="00B86BE6">
        <w:t xml:space="preserve">planned their </w:t>
      </w:r>
      <w:r w:rsidRPr="00B86BE6">
        <w:t xml:space="preserve">reinstallation. </w:t>
      </w:r>
      <w:r w:rsidR="00E10684" w:rsidRPr="00B86BE6">
        <w:t>They kne</w:t>
      </w:r>
      <w:r w:rsidR="00E17595" w:rsidRPr="00B86BE6">
        <w:t>w</w:t>
      </w:r>
      <w:r w:rsidR="00B86B9D" w:rsidRPr="00B86BE6">
        <w:t xml:space="preserve"> that to </w:t>
      </w:r>
      <w:r w:rsidR="00E17595" w:rsidRPr="00B86BE6">
        <w:t>attract a new</w:t>
      </w:r>
      <w:r w:rsidR="00831791" w:rsidRPr="00B86BE6">
        <w:t>, more diverse</w:t>
      </w:r>
      <w:r w:rsidR="00E17595" w:rsidRPr="00B86BE6">
        <w:t xml:space="preserve"> gen</w:t>
      </w:r>
      <w:r w:rsidR="00E10684" w:rsidRPr="00B86BE6">
        <w:t>eration of donors and visitors</w:t>
      </w:r>
      <w:r w:rsidR="00B86B9D" w:rsidRPr="00B86BE6">
        <w:t xml:space="preserve">, people of color </w:t>
      </w:r>
      <w:r w:rsidR="002D6650" w:rsidRPr="00B86BE6">
        <w:t>needed to see themselves in</w:t>
      </w:r>
      <w:r w:rsidR="00F50D5A" w:rsidRPr="00B86BE6">
        <w:t xml:space="preserve">side their walls. </w:t>
      </w:r>
      <w:r w:rsidR="00E17595" w:rsidRPr="00B86BE6">
        <w:t>They want</w:t>
      </w:r>
      <w:r w:rsidR="00940979" w:rsidRPr="00B86BE6">
        <w:t>ed</w:t>
      </w:r>
      <w:r w:rsidR="00E17595" w:rsidRPr="00B86BE6">
        <w:t xml:space="preserve"> to tell stories that</w:t>
      </w:r>
      <w:r w:rsidR="002D6650" w:rsidRPr="00B86BE6">
        <w:t xml:space="preserve"> helped the cause. </w:t>
      </w:r>
      <w:r w:rsidR="00E17595" w:rsidRPr="00B86BE6">
        <w:t xml:space="preserve">One </w:t>
      </w:r>
      <w:r w:rsidR="00940979" w:rsidRPr="00B86BE6">
        <w:t>story</w:t>
      </w:r>
      <w:r w:rsidR="00E10684" w:rsidRPr="00B86BE6">
        <w:t xml:space="preserve"> was </w:t>
      </w:r>
      <w:r w:rsidR="00220291" w:rsidRPr="00B86BE6">
        <w:t>that what is made in Ame</w:t>
      </w:r>
      <w:r w:rsidR="00B86B9D" w:rsidRPr="00B86BE6">
        <w:t>rica is not just made in the U.S.A</w:t>
      </w:r>
      <w:r w:rsidR="00220291" w:rsidRPr="00B86BE6">
        <w:t xml:space="preserve">. </w:t>
      </w:r>
    </w:p>
    <w:p w:rsidR="0095467B" w:rsidRPr="00B86BE6" w:rsidRDefault="0095467B" w:rsidP="0095467B">
      <w:pPr>
        <w:widowControl w:val="0"/>
        <w:autoSpaceDE w:val="0"/>
        <w:autoSpaceDN w:val="0"/>
        <w:adjustRightInd w:val="0"/>
        <w:rPr>
          <w:rFonts w:eastAsia="ＭＳ 明朝" w:cs="%èòÊˇø‚k∆"/>
        </w:rPr>
      </w:pPr>
    </w:p>
    <w:p w:rsidR="006A038C" w:rsidRPr="00B86BE6" w:rsidRDefault="006A038C" w:rsidP="006A038C">
      <w:pPr>
        <w:ind w:firstLine="720"/>
      </w:pPr>
      <w:r w:rsidRPr="00B86BE6">
        <w:t>Encyclopedic museums</w:t>
      </w:r>
      <w:r w:rsidR="00B86B9D" w:rsidRPr="00B86BE6">
        <w:t xml:space="preserve">, curators told </w:t>
      </w:r>
      <w:r w:rsidR="001A16A4" w:rsidRPr="00B86BE6">
        <w:t>me,</w:t>
      </w:r>
      <w:r w:rsidR="00220291" w:rsidRPr="00B86BE6">
        <w:t xml:space="preserve"> have a different set of tools </w:t>
      </w:r>
      <w:r w:rsidR="00B86B9D" w:rsidRPr="00B86BE6">
        <w:t xml:space="preserve">with which to do </w:t>
      </w:r>
      <w:r w:rsidR="00E10684" w:rsidRPr="00B86BE6">
        <w:t xml:space="preserve">this </w:t>
      </w:r>
      <w:r w:rsidR="00B86B9D" w:rsidRPr="00B86BE6">
        <w:t xml:space="preserve">than </w:t>
      </w:r>
      <w:r w:rsidR="00220291" w:rsidRPr="00B86BE6">
        <w:t xml:space="preserve">museums </w:t>
      </w:r>
      <w:r w:rsidR="00B86B9D" w:rsidRPr="00B86BE6">
        <w:t xml:space="preserve">solely </w:t>
      </w:r>
      <w:r w:rsidR="00220291" w:rsidRPr="00B86BE6">
        <w:t xml:space="preserve">devoted </w:t>
      </w:r>
      <w:r w:rsidR="00B86B9D" w:rsidRPr="00B86BE6">
        <w:t xml:space="preserve">to </w:t>
      </w:r>
      <w:r w:rsidR="00220291" w:rsidRPr="00B86BE6">
        <w:t>America</w:t>
      </w:r>
      <w:r w:rsidR="00B0637A" w:rsidRPr="00B86BE6">
        <w:t xml:space="preserve">n art.  If </w:t>
      </w:r>
      <w:r w:rsidR="00DF0044" w:rsidRPr="00B86BE6">
        <w:t>people see a painting they like</w:t>
      </w:r>
      <w:r w:rsidR="00B0637A" w:rsidRPr="00B86BE6">
        <w:t xml:space="preserve"> that is influenced by Japanese art, you can direct them to the </w:t>
      </w:r>
      <w:r w:rsidRPr="00B86BE6">
        <w:t xml:space="preserve">Japanese collection. </w:t>
      </w:r>
      <w:r w:rsidR="00B0637A" w:rsidRPr="00B86BE6">
        <w:t xml:space="preserve">That, in-and-of-itself, </w:t>
      </w:r>
      <w:r w:rsidR="004F45A8" w:rsidRPr="00B86BE6">
        <w:t xml:space="preserve">helps people see </w:t>
      </w:r>
      <w:r w:rsidR="00220291" w:rsidRPr="00B86BE6">
        <w:t>American art in a broad</w:t>
      </w:r>
      <w:r w:rsidR="00E10684" w:rsidRPr="00B86BE6">
        <w:t xml:space="preserve">er context. In fact, the MFA </w:t>
      </w:r>
      <w:r w:rsidR="00220291" w:rsidRPr="00B86BE6">
        <w:t>now actively helps visitors make th</w:t>
      </w:r>
      <w:r w:rsidR="00831791" w:rsidRPr="00B86BE6">
        <w:t>ose connections by putting special texts</w:t>
      </w:r>
      <w:r w:rsidR="00220291" w:rsidRPr="00B86BE6">
        <w:t xml:space="preserve"> next to objects</w:t>
      </w:r>
      <w:r w:rsidR="00E10684" w:rsidRPr="00B86BE6">
        <w:t xml:space="preserve"> </w:t>
      </w:r>
      <w:r w:rsidR="00831791" w:rsidRPr="00B86BE6">
        <w:t xml:space="preserve">that direct them to </w:t>
      </w:r>
      <w:r w:rsidR="00E10684" w:rsidRPr="00B86BE6">
        <w:t>related works.  H</w:t>
      </w:r>
      <w:r w:rsidR="00220291" w:rsidRPr="00B86BE6">
        <w:t xml:space="preserve">and-held multi-media guides even show visitors </w:t>
      </w:r>
      <w:r w:rsidR="00E10684" w:rsidRPr="00B86BE6">
        <w:t xml:space="preserve">pictures </w:t>
      </w:r>
      <w:r w:rsidR="004F45A8" w:rsidRPr="00B86BE6">
        <w:t xml:space="preserve">of </w:t>
      </w:r>
      <w:r w:rsidR="002D6650" w:rsidRPr="00B86BE6">
        <w:t xml:space="preserve">the </w:t>
      </w:r>
      <w:r w:rsidR="004F45A8" w:rsidRPr="00B86BE6">
        <w:t xml:space="preserve">works and </w:t>
      </w:r>
      <w:r w:rsidR="00220291" w:rsidRPr="00B86BE6">
        <w:t xml:space="preserve">help them </w:t>
      </w:r>
      <w:r w:rsidR="004F45A8" w:rsidRPr="00B86BE6">
        <w:t>find them</w:t>
      </w:r>
      <w:r w:rsidR="00E17595" w:rsidRPr="00B86BE6">
        <w:t xml:space="preserve">—a </w:t>
      </w:r>
      <w:r w:rsidR="00263F23" w:rsidRPr="00B86BE6">
        <w:t xml:space="preserve">precursor to what may someday become a </w:t>
      </w:r>
      <w:r w:rsidR="00E17595" w:rsidRPr="00B86BE6">
        <w:t xml:space="preserve">customized museum </w:t>
      </w:r>
      <w:r w:rsidR="00DF0044" w:rsidRPr="00B86BE6">
        <w:t>GPS</w:t>
      </w:r>
      <w:r w:rsidR="00992FFC" w:rsidRPr="00B86BE6">
        <w:rPr>
          <w:i/>
        </w:rPr>
        <w:t xml:space="preserve"> </w:t>
      </w:r>
      <w:r w:rsidR="00992FFC" w:rsidRPr="00B86BE6">
        <w:t>system.</w:t>
      </w:r>
      <w:r w:rsidR="00E17595" w:rsidRPr="00B86BE6">
        <w:t xml:space="preserve"> </w:t>
      </w:r>
    </w:p>
    <w:p w:rsidR="00B039AA" w:rsidRPr="00B86BE6" w:rsidRDefault="00B039AA" w:rsidP="006A038C">
      <w:pPr>
        <w:ind w:firstLine="720"/>
      </w:pPr>
    </w:p>
    <w:p w:rsidR="001A16A4" w:rsidRPr="00B86BE6" w:rsidRDefault="00D23E62" w:rsidP="002D6650">
      <w:pPr>
        <w:ind w:firstLine="720"/>
      </w:pPr>
      <w:r w:rsidRPr="00B86BE6">
        <w:t xml:space="preserve">But </w:t>
      </w:r>
      <w:r w:rsidR="00E17595" w:rsidRPr="00B86BE6">
        <w:t xml:space="preserve">the MFA is in the United States and </w:t>
      </w:r>
      <w:r w:rsidR="00E10684" w:rsidRPr="00B86BE6">
        <w:t xml:space="preserve">in </w:t>
      </w:r>
      <w:r w:rsidR="00E17595" w:rsidRPr="00B86BE6">
        <w:t>a</w:t>
      </w:r>
      <w:r w:rsidR="00E10684" w:rsidRPr="00B86BE6">
        <w:t xml:space="preserve"> particular region of the country</w:t>
      </w:r>
      <w:r w:rsidR="00940979" w:rsidRPr="00B86BE6">
        <w:t>.  Because it has such a strong Colonial New England collection</w:t>
      </w:r>
      <w:r w:rsidR="00E17595" w:rsidRPr="00B86BE6">
        <w:t>, and because people come to Boston to learn</w:t>
      </w:r>
      <w:r w:rsidR="002C38ED" w:rsidRPr="00B86BE6">
        <w:t xml:space="preserve"> about American history, they </w:t>
      </w:r>
      <w:r w:rsidR="00E17595" w:rsidRPr="00B86BE6">
        <w:t>expect the objects in the Art of the Americas wing to tell a</w:t>
      </w:r>
      <w:r w:rsidR="002D6650" w:rsidRPr="00B86BE6">
        <w:t xml:space="preserve"> particular story</w:t>
      </w:r>
      <w:r w:rsidRPr="00B86BE6">
        <w:t>. “European a</w:t>
      </w:r>
      <w:r w:rsidR="00E17595" w:rsidRPr="00B86BE6">
        <w:t xml:space="preserve">rt,” said Erica Hirshler, “is not being asked to tell a story about European history in this context.” </w:t>
      </w:r>
      <w:r w:rsidR="00E10684" w:rsidRPr="00B86BE6">
        <w:t>W</w:t>
      </w:r>
      <w:r w:rsidR="00E17595" w:rsidRPr="00B86BE6">
        <w:t>here the MFA</w:t>
      </w:r>
      <w:r w:rsidR="00E10684" w:rsidRPr="00B86BE6">
        <w:t xml:space="preserve"> is located, who its donors were </w:t>
      </w:r>
      <w:r w:rsidR="00E17595" w:rsidRPr="00B86BE6">
        <w:t>and what they collected, and its unique role in the</w:t>
      </w:r>
      <w:r w:rsidR="002D6650" w:rsidRPr="00B86BE6">
        <w:t xml:space="preserve"> national and urban</w:t>
      </w:r>
      <w:r w:rsidR="00E17595" w:rsidRPr="00B86BE6">
        <w:t xml:space="preserve"> institutional distribution of labor </w:t>
      </w:r>
      <w:r w:rsidR="002C38ED" w:rsidRPr="00B86BE6">
        <w:t>means that</w:t>
      </w:r>
      <w:r w:rsidR="00E10684" w:rsidRPr="00B86BE6">
        <w:t xml:space="preserve"> there is only so much retelling</w:t>
      </w:r>
      <w:r w:rsidR="002C38ED" w:rsidRPr="00B86BE6">
        <w:t xml:space="preserve"> the MFA</w:t>
      </w:r>
      <w:r w:rsidR="00821D3E" w:rsidRPr="00B86BE6">
        <w:t>, like the Danish National Museum,</w:t>
      </w:r>
      <w:r w:rsidR="002C38ED" w:rsidRPr="00B86BE6">
        <w:t xml:space="preserve"> </w:t>
      </w:r>
      <w:r w:rsidR="00E10684" w:rsidRPr="00B86BE6">
        <w:t>can do. “The MFA,” said Hao Sheng, Wu Tung Curator of Chinese Art, “is as global as a museum in New Engla</w:t>
      </w:r>
      <w:r w:rsidR="002D6650" w:rsidRPr="00B86BE6">
        <w:t>nd can be.  It still has to</w:t>
      </w:r>
      <w:r w:rsidR="00E10684" w:rsidRPr="00B86BE6">
        <w:t xml:space="preserve"> meet the expectations of Euro-American visitors.” </w:t>
      </w:r>
    </w:p>
    <w:p w:rsidR="00821D3E" w:rsidRPr="00B86BE6" w:rsidRDefault="00821D3E" w:rsidP="006A038C">
      <w:pPr>
        <w:ind w:firstLine="720"/>
      </w:pPr>
    </w:p>
    <w:p w:rsidR="00E10684" w:rsidRPr="00B86BE6" w:rsidRDefault="00E10684" w:rsidP="00820350">
      <w:pPr>
        <w:ind w:firstLine="720"/>
        <w:rPr>
          <w:rFonts w:eastAsia="ＭＳ 明朝"/>
        </w:rPr>
      </w:pPr>
      <w:r w:rsidRPr="00B86BE6">
        <w:rPr>
          <w:rFonts w:eastAsia="ＭＳ 明朝"/>
        </w:rPr>
        <w:t>T</w:t>
      </w:r>
      <w:r w:rsidR="00820350" w:rsidRPr="00B86BE6">
        <w:rPr>
          <w:rFonts w:eastAsia="ＭＳ 明朝"/>
        </w:rPr>
        <w:t>he take away message for visitors to the Art of the Americas Wing</w:t>
      </w:r>
      <w:r w:rsidRPr="00B86BE6">
        <w:rPr>
          <w:rFonts w:eastAsia="ＭＳ 明朝"/>
        </w:rPr>
        <w:t>, then,</w:t>
      </w:r>
      <w:r w:rsidR="00820350" w:rsidRPr="00B86BE6">
        <w:rPr>
          <w:rFonts w:eastAsia="ＭＳ 明朝"/>
        </w:rPr>
        <w:t xml:space="preserve"> is that American art was always influenced by outsi</w:t>
      </w:r>
      <w:r w:rsidR="00D23E62" w:rsidRPr="00B86BE6">
        <w:rPr>
          <w:rFonts w:eastAsia="ＭＳ 明朝"/>
        </w:rPr>
        <w:t>de forces, be they a</w:t>
      </w:r>
      <w:r w:rsidR="00263F23" w:rsidRPr="00B86BE6">
        <w:rPr>
          <w:rFonts w:eastAsia="ＭＳ 明朝"/>
        </w:rPr>
        <w:t xml:space="preserve">ncient </w:t>
      </w:r>
      <w:r w:rsidR="00D23E62" w:rsidRPr="00B86BE6">
        <w:rPr>
          <w:rFonts w:eastAsia="ＭＳ 明朝"/>
        </w:rPr>
        <w:t>Mesoa</w:t>
      </w:r>
      <w:r w:rsidR="00263F23" w:rsidRPr="00B86BE6">
        <w:rPr>
          <w:rFonts w:eastAsia="ＭＳ 明朝"/>
        </w:rPr>
        <w:t>merican</w:t>
      </w:r>
      <w:r w:rsidRPr="00B86BE6">
        <w:rPr>
          <w:rFonts w:eastAsia="ＭＳ 明朝"/>
        </w:rPr>
        <w:t xml:space="preserve">, Native American, </w:t>
      </w:r>
      <w:r w:rsidR="00820350" w:rsidRPr="00B86BE6">
        <w:rPr>
          <w:rFonts w:eastAsia="ＭＳ 明朝"/>
        </w:rPr>
        <w:t xml:space="preserve">European or Asia.  The foundations of American art lie in </w:t>
      </w:r>
      <w:r w:rsidR="00D23E62" w:rsidRPr="00B86BE6">
        <w:rPr>
          <w:rFonts w:eastAsia="ＭＳ 明朝"/>
        </w:rPr>
        <w:t xml:space="preserve">what indigenous artists created, </w:t>
      </w:r>
      <w:r w:rsidR="00A17B57" w:rsidRPr="00B86BE6">
        <w:rPr>
          <w:rFonts w:eastAsia="ＭＳ 明朝"/>
        </w:rPr>
        <w:t xml:space="preserve">be they </w:t>
      </w:r>
      <w:r w:rsidR="00D23E62" w:rsidRPr="00B86BE6">
        <w:rPr>
          <w:rFonts w:eastAsia="ＭＳ 明朝"/>
        </w:rPr>
        <w:t>p</w:t>
      </w:r>
      <w:r w:rsidR="00820350" w:rsidRPr="00B86BE6">
        <w:rPr>
          <w:rFonts w:eastAsia="ＭＳ 明朝"/>
        </w:rPr>
        <w:t xml:space="preserve">re-Columbian burial </w:t>
      </w:r>
      <w:r w:rsidR="00A17B57" w:rsidRPr="00B86BE6">
        <w:rPr>
          <w:rFonts w:eastAsia="ＭＳ 明朝"/>
        </w:rPr>
        <w:t xml:space="preserve">urns or </w:t>
      </w:r>
      <w:r w:rsidR="00D23E62" w:rsidRPr="00B86BE6">
        <w:rPr>
          <w:rFonts w:eastAsia="ＭＳ 明朝"/>
        </w:rPr>
        <w:t>Southwestern</w:t>
      </w:r>
      <w:r w:rsidR="002D6650" w:rsidRPr="00B86BE6">
        <w:rPr>
          <w:rFonts w:eastAsia="ＭＳ 明朝"/>
        </w:rPr>
        <w:t xml:space="preserve"> pottery</w:t>
      </w:r>
      <w:r w:rsidR="00A17B57" w:rsidRPr="00B86BE6">
        <w:rPr>
          <w:rFonts w:eastAsia="ＭＳ 明朝"/>
        </w:rPr>
        <w:t>.</w:t>
      </w:r>
      <w:r w:rsidR="00820350" w:rsidRPr="00B86BE6">
        <w:rPr>
          <w:rFonts w:eastAsia="ＭＳ 明朝"/>
        </w:rPr>
        <w:t xml:space="preserve"> The colonial era </w:t>
      </w:r>
      <w:r w:rsidRPr="00B86BE6">
        <w:rPr>
          <w:rFonts w:eastAsia="ＭＳ 明朝"/>
        </w:rPr>
        <w:t xml:space="preserve">took place in Spanish America as well as New England. </w:t>
      </w:r>
      <w:r w:rsidR="00820350" w:rsidRPr="00B86BE6">
        <w:rPr>
          <w:rFonts w:eastAsia="ＭＳ 明朝"/>
        </w:rPr>
        <w:t>The new country’s artist</w:t>
      </w:r>
      <w:r w:rsidR="00A17B57" w:rsidRPr="00B86BE6">
        <w:rPr>
          <w:rFonts w:eastAsia="ＭＳ 明朝"/>
        </w:rPr>
        <w:t xml:space="preserve">ic and cultural production </w:t>
      </w:r>
      <w:r w:rsidR="00820350" w:rsidRPr="00B86BE6">
        <w:rPr>
          <w:rFonts w:eastAsia="ＭＳ 明朝"/>
        </w:rPr>
        <w:t xml:space="preserve">grew in active conversation with Europe, Asia, and the Americas.  </w:t>
      </w:r>
      <w:r w:rsidR="00A17B57" w:rsidRPr="00B86BE6">
        <w:rPr>
          <w:rFonts w:eastAsia="ＭＳ 明朝"/>
        </w:rPr>
        <w:t>International influences strong</w:t>
      </w:r>
      <w:r w:rsidR="003637B0" w:rsidRPr="00B86BE6">
        <w:rPr>
          <w:rFonts w:eastAsia="ＭＳ 明朝"/>
        </w:rPr>
        <w:t>ly</w:t>
      </w:r>
      <w:r w:rsidR="00A17B57" w:rsidRPr="00B86BE6">
        <w:rPr>
          <w:rFonts w:eastAsia="ＭＳ 明朝"/>
        </w:rPr>
        <w:t xml:space="preserve"> shaped national art, </w:t>
      </w:r>
      <w:r w:rsidR="00820350" w:rsidRPr="00B86BE6">
        <w:rPr>
          <w:rFonts w:eastAsia="ＭＳ 明朝"/>
        </w:rPr>
        <w:t>althou</w:t>
      </w:r>
      <w:r w:rsidR="00992FFC" w:rsidRPr="00B86BE6">
        <w:rPr>
          <w:rFonts w:eastAsia="ＭＳ 明朝"/>
        </w:rPr>
        <w:t>gh European influences clearly predominate</w:t>
      </w:r>
      <w:r w:rsidR="00820350" w:rsidRPr="00B86BE6">
        <w:rPr>
          <w:rFonts w:eastAsia="ＭＳ 明朝"/>
        </w:rPr>
        <w:t xml:space="preserve">. </w:t>
      </w:r>
    </w:p>
    <w:p w:rsidR="00E10684" w:rsidRPr="00B86BE6" w:rsidRDefault="00E10684" w:rsidP="00820350">
      <w:pPr>
        <w:ind w:firstLine="720"/>
        <w:rPr>
          <w:rFonts w:eastAsia="ＭＳ 明朝"/>
        </w:rPr>
      </w:pPr>
    </w:p>
    <w:p w:rsidR="00797C14" w:rsidRPr="00B86BE6" w:rsidRDefault="00821D3E" w:rsidP="00797C14">
      <w:pPr>
        <w:ind w:firstLine="720"/>
      </w:pPr>
      <w:r w:rsidRPr="00B86BE6">
        <w:rPr>
          <w:rFonts w:eastAsia="ＭＳ 明朝"/>
        </w:rPr>
        <w:t xml:space="preserve">But </w:t>
      </w:r>
      <w:r w:rsidR="00820350" w:rsidRPr="00B86BE6">
        <w:rPr>
          <w:rFonts w:eastAsia="ＭＳ 明朝"/>
        </w:rPr>
        <w:t>the nation-state still plays the starring role in this story. Visitors unde</w:t>
      </w:r>
      <w:r w:rsidR="00797C14" w:rsidRPr="00B86BE6">
        <w:rPr>
          <w:rFonts w:eastAsia="ＭＳ 明朝"/>
        </w:rPr>
        <w:t xml:space="preserve">rstand what constitutes </w:t>
      </w:r>
      <w:r w:rsidR="00263F23" w:rsidRPr="00B86BE6">
        <w:rPr>
          <w:rFonts w:eastAsia="ＭＳ 明朝"/>
        </w:rPr>
        <w:t>America more clearly</w:t>
      </w:r>
      <w:r w:rsidR="00797C14" w:rsidRPr="00B86BE6">
        <w:rPr>
          <w:rFonts w:eastAsia="ＭＳ 明朝"/>
        </w:rPr>
        <w:t xml:space="preserve">, a more nuanced </w:t>
      </w:r>
      <w:r w:rsidR="00820350" w:rsidRPr="00B86BE6">
        <w:rPr>
          <w:rFonts w:eastAsia="ＭＳ 明朝"/>
        </w:rPr>
        <w:t xml:space="preserve">view looking inward, but they don’t learn much about </w:t>
      </w:r>
      <w:r w:rsidR="00797C14" w:rsidRPr="00B86BE6">
        <w:rPr>
          <w:rFonts w:eastAsia="ＭＳ 明朝"/>
        </w:rPr>
        <w:t xml:space="preserve">how that changes things when they </w:t>
      </w:r>
      <w:r w:rsidR="00820350" w:rsidRPr="00B86BE6">
        <w:rPr>
          <w:rFonts w:eastAsia="ＭＳ 明朝"/>
        </w:rPr>
        <w:t xml:space="preserve">look out— about how </w:t>
      </w:r>
      <w:r w:rsidR="00797C14" w:rsidRPr="00B86BE6">
        <w:rPr>
          <w:rFonts w:eastAsia="ＭＳ 明朝"/>
        </w:rPr>
        <w:t xml:space="preserve">these influences </w:t>
      </w:r>
      <w:r w:rsidR="00820350" w:rsidRPr="00B86BE6">
        <w:rPr>
          <w:rFonts w:eastAsia="ＭＳ 明朝"/>
        </w:rPr>
        <w:t xml:space="preserve">shaped the country’s </w:t>
      </w:r>
      <w:r w:rsidR="00797C14" w:rsidRPr="00B86BE6">
        <w:rPr>
          <w:rFonts w:eastAsia="ＭＳ 明朝"/>
        </w:rPr>
        <w:t>place in the world. T</w:t>
      </w:r>
      <w:r w:rsidR="00797C14" w:rsidRPr="00B86BE6">
        <w:t>he global is not, as in Sweden, a valid goal in and of itself.</w:t>
      </w:r>
      <w:r w:rsidR="00797C14" w:rsidRPr="00B86BE6">
        <w:rPr>
          <w:rFonts w:eastAsia="ＭＳ 明朝"/>
        </w:rPr>
        <w:t xml:space="preserve"> </w:t>
      </w:r>
    </w:p>
    <w:p w:rsidR="00797C14" w:rsidRPr="00B86BE6" w:rsidRDefault="00797C14" w:rsidP="00E10684">
      <w:pPr>
        <w:ind w:firstLine="720"/>
      </w:pPr>
    </w:p>
    <w:p w:rsidR="003637B0" w:rsidRPr="00B86BE6" w:rsidRDefault="00940979" w:rsidP="00C65348">
      <w:pPr>
        <w:ind w:firstLine="720"/>
      </w:pPr>
      <w:r w:rsidRPr="00B86BE6">
        <w:t>Even the architecture of the Museum reflects the story line.  The sheer mass of the new wing makes a very nationalistic stat</w:t>
      </w:r>
      <w:r w:rsidR="00A17B57" w:rsidRPr="00B86BE6">
        <w:t xml:space="preserve">ement.  It telecasts to visitors </w:t>
      </w:r>
      <w:r w:rsidRPr="00B86BE6">
        <w:t xml:space="preserve">through </w:t>
      </w:r>
      <w:r w:rsidR="00A17B57" w:rsidRPr="00B86BE6">
        <w:t xml:space="preserve">its </w:t>
      </w:r>
      <w:r w:rsidRPr="00B86BE6">
        <w:t>bricks an</w:t>
      </w:r>
      <w:r w:rsidR="00797C14" w:rsidRPr="00B86BE6">
        <w:t xml:space="preserve">d mortar what the institutional </w:t>
      </w:r>
      <w:r w:rsidRPr="00B86BE6">
        <w:t>priorit</w:t>
      </w:r>
      <w:r w:rsidR="00A17B57" w:rsidRPr="00B86BE6">
        <w:t xml:space="preserve">ies are.  “The Art of Americas,” </w:t>
      </w:r>
      <w:r w:rsidRPr="00B86BE6">
        <w:t xml:space="preserve">said one museum professional, “is a peculiar thing to do in thinking about </w:t>
      </w:r>
      <w:r w:rsidR="00A17B57" w:rsidRPr="00B86BE6">
        <w:t xml:space="preserve">the future. While it </w:t>
      </w:r>
      <w:r w:rsidRPr="00B86BE6">
        <w:t xml:space="preserve">may sound trite, the community we live in now is not bounded by space and time, cultural boundaries are all merging together. There is little homogeneity but much more cross over and exchange and the creating of new kinds of cultures everywhere.  So such a nationalistic push is interesting at a time when the world is really, truly global. They could have done a much more interpretive approach that would have connected America to the world.” </w:t>
      </w:r>
      <w:r w:rsidR="003637B0" w:rsidRPr="00B86BE6">
        <w:t xml:space="preserve">The old categories still hold, said one museum professional. There is no fundamental reconsideration of what “America” meant socially or spatially at different moments. </w:t>
      </w:r>
      <w:r w:rsidR="003637B0" w:rsidRPr="00B86BE6">
        <w:rPr>
          <w:rFonts w:eastAsia="ＭＳ 明朝"/>
        </w:rPr>
        <w:t xml:space="preserve">“To claim that all art created within a changing set of national boundaries is ‘American,’” he said,  “overlooks the very real and substantial cultural differences that characterize Native American, which encompasses no less than 500 distinct cultures, and other forms of art. Geography does not map onto culture in neat ways.” </w:t>
      </w:r>
    </w:p>
    <w:p w:rsidR="00933B12" w:rsidRPr="00B86BE6" w:rsidRDefault="00940979" w:rsidP="003637B0">
      <w:pPr>
        <w:ind w:firstLine="720"/>
      </w:pPr>
      <w:r w:rsidRPr="00B86BE6">
        <w:t xml:space="preserve"> </w:t>
      </w:r>
    </w:p>
    <w:p w:rsidR="00B9485E" w:rsidRPr="00B86BE6" w:rsidRDefault="00B86BE6" w:rsidP="007A26EA">
      <w:pPr>
        <w:rPr>
          <w:b/>
        </w:rPr>
      </w:pPr>
      <w:r>
        <w:rPr>
          <w:b/>
        </w:rPr>
        <w:t>Cosmopolitan Cowboys</w:t>
      </w:r>
    </w:p>
    <w:p w:rsidR="00B9485E" w:rsidRPr="00B86BE6" w:rsidRDefault="00B9485E" w:rsidP="007A26EA">
      <w:pPr>
        <w:rPr>
          <w:b/>
        </w:rPr>
      </w:pPr>
    </w:p>
    <w:p w:rsidR="00B9485E" w:rsidRPr="00B86BE6" w:rsidRDefault="003637B0" w:rsidP="008E0A80">
      <w:r w:rsidRPr="00B86BE6">
        <w:t xml:space="preserve">The Peabody </w:t>
      </w:r>
      <w:r w:rsidR="00F50D5A" w:rsidRPr="00B86BE6">
        <w:t>Essex Museum</w:t>
      </w:r>
      <w:r w:rsidRPr="00B86BE6">
        <w:t xml:space="preserve"> (PEM) proves that museums in New England are not inherently provincial.  It has always been, in part, </w:t>
      </w:r>
      <w:r w:rsidR="00F50D5A" w:rsidRPr="00B86BE6">
        <w:t>open to the world at the same time that</w:t>
      </w:r>
      <w:r w:rsidRPr="00B86BE6">
        <w:t xml:space="preserve"> it has been strongly regionally focused. </w:t>
      </w:r>
      <w:r w:rsidR="00D66CA8" w:rsidRPr="00B86BE6">
        <w:rPr>
          <w:color w:val="000000"/>
        </w:rPr>
        <w:t xml:space="preserve">Readers might recognize Salem as the home of the </w:t>
      </w:r>
      <w:r w:rsidR="00D66CA8" w:rsidRPr="00B86BE6">
        <w:t>1692 Witch Trials. Nowadays, modern</w:t>
      </w:r>
      <w:r w:rsidR="00B9485E" w:rsidRPr="00B86BE6">
        <w:t>-day w</w:t>
      </w:r>
      <w:r w:rsidRPr="00B86BE6">
        <w:t xml:space="preserve">itches, New Age devotees, and vendors </w:t>
      </w:r>
      <w:r w:rsidR="00D66CA8" w:rsidRPr="00B86BE6">
        <w:t xml:space="preserve">of macabre kitsch </w:t>
      </w:r>
      <w:r w:rsidR="00B9485E" w:rsidRPr="00B86BE6">
        <w:t xml:space="preserve">support a robust tourist industry </w:t>
      </w:r>
      <w:r w:rsidR="00D66CA8" w:rsidRPr="00B86BE6">
        <w:t xml:space="preserve">built </w:t>
      </w:r>
      <w:r w:rsidR="00B9485E" w:rsidRPr="00B86BE6">
        <w:t xml:space="preserve">around the myths and realities of </w:t>
      </w:r>
      <w:r w:rsidR="00D66CA8" w:rsidRPr="00B86BE6">
        <w:t xml:space="preserve">three-century-old </w:t>
      </w:r>
      <w:r w:rsidR="00B9485E" w:rsidRPr="00B86BE6">
        <w:t>horrors</w:t>
      </w:r>
      <w:r w:rsidR="00D66CA8" w:rsidRPr="00B86BE6">
        <w:t xml:space="preserve">. This appeal </w:t>
      </w:r>
      <w:r w:rsidR="00B9485E" w:rsidRPr="00B86BE6">
        <w:t>detracts attention from the swashbuckling trium</w:t>
      </w:r>
      <w:r w:rsidRPr="00B86BE6">
        <w:t xml:space="preserve">phs of Salem’s golden age </w:t>
      </w:r>
      <w:r w:rsidR="005C7BC4" w:rsidRPr="00B86BE6">
        <w:t xml:space="preserve">almost one </w:t>
      </w:r>
      <w:r w:rsidR="00B9485E" w:rsidRPr="00B86BE6">
        <w:t>hundred years later. Durin</w:t>
      </w:r>
      <w:r w:rsidR="00D66CA8" w:rsidRPr="00B86BE6">
        <w:t>g the early years of the newly United S</w:t>
      </w:r>
      <w:r w:rsidR="00B9485E" w:rsidRPr="00B86BE6">
        <w:t>tates, Salem was a crucial seaport and</w:t>
      </w:r>
      <w:r w:rsidR="00D66CA8" w:rsidRPr="00B86BE6">
        <w:t xml:space="preserve"> the sixth largest city in the R</w:t>
      </w:r>
      <w:r w:rsidR="00B9485E" w:rsidRPr="00B86BE6">
        <w:t>epublic. After making their fortunes privateeri</w:t>
      </w:r>
      <w:r w:rsidR="00821D3E" w:rsidRPr="00B86BE6">
        <w:t>ng during the Revolutionary War</w:t>
      </w:r>
      <w:r w:rsidR="00B9485E" w:rsidRPr="00B86BE6">
        <w:t>,</w:t>
      </w:r>
      <w:r w:rsidR="00B9485E" w:rsidRPr="00B86BE6">
        <w:rPr>
          <w:rStyle w:val="EndnoteReference"/>
          <w:rFonts w:eastAsia="Calibri"/>
        </w:rPr>
        <w:endnoteReference w:id="58"/>
      </w:r>
      <w:r w:rsidR="00B9485E" w:rsidRPr="00B86BE6">
        <w:t xml:space="preserve"> Salem’s sea captains and merchants settle</w:t>
      </w:r>
      <w:r w:rsidR="00992FFC" w:rsidRPr="00B86BE6">
        <w:t xml:space="preserve">d into respectability—and often </w:t>
      </w:r>
      <w:r w:rsidR="00B9485E" w:rsidRPr="00B86BE6">
        <w:t>great wealth—as participants in the Old China Trade. Because the British blocked th</w:t>
      </w:r>
      <w:r w:rsidR="00D66CA8" w:rsidRPr="00B86BE6">
        <w:t>eir access to the Atlantic</w:t>
      </w:r>
      <w:r w:rsidR="00B9485E" w:rsidRPr="00B86BE6">
        <w:t>, ev</w:t>
      </w:r>
      <w:r w:rsidR="00D66CA8" w:rsidRPr="00B86BE6">
        <w:t xml:space="preserve">en after the War ended, Salem’s </w:t>
      </w:r>
      <w:r w:rsidR="00B9485E" w:rsidRPr="00B86BE6">
        <w:t xml:space="preserve">elite set their sites on the </w:t>
      </w:r>
      <w:r w:rsidR="00D66CA8" w:rsidRPr="00B86BE6">
        <w:t xml:space="preserve">more distant </w:t>
      </w:r>
      <w:r w:rsidR="00B9485E" w:rsidRPr="00B86BE6">
        <w:t xml:space="preserve">but more welcoming shores of China, India, and other parts of Asia. </w:t>
      </w:r>
      <w:r w:rsidR="00900931" w:rsidRPr="00B86BE6">
        <w:t>American consumers</w:t>
      </w:r>
      <w:r w:rsidR="001513E8" w:rsidRPr="00B86BE6">
        <w:t>, as</w:t>
      </w:r>
      <w:r w:rsidR="00C263CF" w:rsidRPr="00B86BE6">
        <w:t xml:space="preserve"> Paul Revere’s portrait reveals</w:t>
      </w:r>
      <w:r w:rsidR="001513E8" w:rsidRPr="00B86BE6">
        <w:t>,</w:t>
      </w:r>
      <w:r w:rsidR="00900931" w:rsidRPr="00B86BE6">
        <w:t xml:space="preserve"> </w:t>
      </w:r>
      <w:r w:rsidR="00A44237" w:rsidRPr="00B86BE6">
        <w:t xml:space="preserve">soon coveted the </w:t>
      </w:r>
      <w:r w:rsidR="00900931" w:rsidRPr="00B86BE6">
        <w:t xml:space="preserve">goods </w:t>
      </w:r>
      <w:r w:rsidR="005C7BC4" w:rsidRPr="00B86BE6">
        <w:t xml:space="preserve">they brought back in the holds of their </w:t>
      </w:r>
      <w:r w:rsidR="00900931" w:rsidRPr="00B86BE6">
        <w:t>ships.</w:t>
      </w:r>
      <w:r w:rsidR="00900931" w:rsidRPr="00B86BE6">
        <w:rPr>
          <w:rStyle w:val="EndnoteReference"/>
          <w:rFonts w:eastAsia="Calibri"/>
        </w:rPr>
        <w:endnoteReference w:id="59"/>
      </w:r>
    </w:p>
    <w:p w:rsidR="00B9485E" w:rsidRPr="00B86BE6" w:rsidRDefault="00B9485E" w:rsidP="00B9485E">
      <w:pPr>
        <w:ind w:firstLine="720"/>
        <w:rPr>
          <w:b/>
        </w:rPr>
      </w:pPr>
    </w:p>
    <w:p w:rsidR="00B9485E" w:rsidRPr="00B86BE6" w:rsidRDefault="00B9485E" w:rsidP="00B9485E">
      <w:r w:rsidRPr="00B86BE6">
        <w:tab/>
        <w:t xml:space="preserve">These merchants </w:t>
      </w:r>
      <w:r w:rsidR="005C7BC4" w:rsidRPr="00B86BE6">
        <w:t xml:space="preserve">returned not just with </w:t>
      </w:r>
      <w:r w:rsidRPr="00B86BE6">
        <w:t xml:space="preserve">Asian luxury goods—porcelain, indigo, tea, lacquered fans, cinnamon, </w:t>
      </w:r>
      <w:r w:rsidR="005C7BC4" w:rsidRPr="00B86BE6">
        <w:t xml:space="preserve">and </w:t>
      </w:r>
      <w:r w:rsidR="00EE0A04" w:rsidRPr="00B86BE6">
        <w:t xml:space="preserve">exotic </w:t>
      </w:r>
      <w:r w:rsidRPr="00B86BE6">
        <w:t>furniture</w:t>
      </w:r>
      <w:r w:rsidR="003637B0" w:rsidRPr="00B86BE6">
        <w:t>—</w:t>
      </w:r>
      <w:r w:rsidRPr="00B86BE6">
        <w:t xml:space="preserve">but also unusual objects from </w:t>
      </w:r>
      <w:r w:rsidR="001513E8" w:rsidRPr="00B86BE6">
        <w:t xml:space="preserve">all over the world </w:t>
      </w:r>
      <w:r w:rsidRPr="00B86BE6">
        <w:t xml:space="preserve">that some </w:t>
      </w:r>
      <w:r w:rsidR="005C7BC4" w:rsidRPr="00B86BE6">
        <w:t>believed were better preserved and displayed than sold</w:t>
      </w:r>
      <w:r w:rsidRPr="00B86BE6">
        <w:t xml:space="preserve">. In 1799, a number of </w:t>
      </w:r>
      <w:r w:rsidR="006563C8" w:rsidRPr="00B86BE6">
        <w:t xml:space="preserve">likeminded </w:t>
      </w:r>
      <w:r w:rsidRPr="00B86BE6">
        <w:t>sea captains</w:t>
      </w:r>
      <w:r w:rsidR="005C7BC4" w:rsidRPr="00B86BE6">
        <w:t xml:space="preserve">, </w:t>
      </w:r>
      <w:r w:rsidR="005D1F4B" w:rsidRPr="00B86BE6">
        <w:t xml:space="preserve">all of </w:t>
      </w:r>
      <w:r w:rsidR="005C7BC4" w:rsidRPr="00B86BE6">
        <w:t>who</w:t>
      </w:r>
      <w:r w:rsidR="005D1F4B" w:rsidRPr="00B86BE6">
        <w:t>m</w:t>
      </w:r>
      <w:r w:rsidR="005C7BC4" w:rsidRPr="00B86BE6">
        <w:t xml:space="preserve"> </w:t>
      </w:r>
      <w:r w:rsidR="00992FFC" w:rsidRPr="00B86BE6">
        <w:t xml:space="preserve">had </w:t>
      </w:r>
      <w:r w:rsidR="00A44237" w:rsidRPr="00B86BE6">
        <w:t xml:space="preserve">sailed </w:t>
      </w:r>
      <w:r w:rsidR="005D1F4B" w:rsidRPr="00B86BE6">
        <w:t>around</w:t>
      </w:r>
      <w:r w:rsidR="00D66CA8" w:rsidRPr="00B86BE6">
        <w:t xml:space="preserve"> the </w:t>
      </w:r>
      <w:r w:rsidRPr="00B86BE6">
        <w:t>Cape of Good Hope or Cape Horn</w:t>
      </w:r>
      <w:r w:rsidR="005C7BC4" w:rsidRPr="00B86BE6">
        <w:t>,</w:t>
      </w:r>
      <w:r w:rsidRPr="00B86BE6">
        <w:t xml:space="preserve"> joined together to establis</w:t>
      </w:r>
      <w:r w:rsidR="005C7BC4" w:rsidRPr="00B86BE6">
        <w:t>h the East India Marine Society. Its charter provided</w:t>
      </w:r>
      <w:r w:rsidRPr="00B86BE6">
        <w:t xml:space="preserve"> for a “cabinet of natural and artificial curiosities,” souvenirs from all those trips to</w:t>
      </w:r>
      <w:r w:rsidR="005C7BC4" w:rsidRPr="00B86BE6">
        <w:t xml:space="preserve"> the </w:t>
      </w:r>
      <w:r w:rsidRPr="00B86BE6">
        <w:t>East. This cabinet of wonders developed into the more professionalized and less adventurous-sounding Peabody Academy of Science</w:t>
      </w:r>
      <w:r w:rsidR="005D1F4B" w:rsidRPr="00B86BE6">
        <w:t xml:space="preserve"> and eventually became</w:t>
      </w:r>
      <w:r w:rsidR="009068FA" w:rsidRPr="00B86BE6">
        <w:t xml:space="preserve"> </w:t>
      </w:r>
      <w:r w:rsidRPr="00B86BE6">
        <w:t>the Peabody Museum of Salem in the 20</w:t>
      </w:r>
      <w:r w:rsidRPr="00B86BE6">
        <w:rPr>
          <w:vertAlign w:val="superscript"/>
        </w:rPr>
        <w:t>th</w:t>
      </w:r>
      <w:r w:rsidRPr="00B86BE6">
        <w:t xml:space="preserve"> century. </w:t>
      </w:r>
    </w:p>
    <w:p w:rsidR="00B9485E" w:rsidRPr="00B86BE6" w:rsidRDefault="00B9485E" w:rsidP="00B9485E"/>
    <w:p w:rsidR="00B9485E" w:rsidRPr="00B86BE6" w:rsidRDefault="00B9485E" w:rsidP="00B9485E">
      <w:pPr>
        <w:ind w:firstLine="720"/>
        <w:rPr>
          <w:color w:val="000000"/>
        </w:rPr>
      </w:pPr>
      <w:r w:rsidRPr="00B86BE6">
        <w:rPr>
          <w:color w:val="000000"/>
        </w:rPr>
        <w:t xml:space="preserve">The East India Marine Society was a membership only organization.  Wealthy ship owners and sea captains, who paid to belong, </w:t>
      </w:r>
      <w:r w:rsidR="00821D3E" w:rsidRPr="00B86BE6">
        <w:rPr>
          <w:color w:val="000000"/>
        </w:rPr>
        <w:t xml:space="preserve">had to bring back </w:t>
      </w:r>
      <w:r w:rsidRPr="00B86BE6">
        <w:rPr>
          <w:color w:val="000000"/>
        </w:rPr>
        <w:t xml:space="preserve">treasures to stock the Hall’s display cases. </w:t>
      </w:r>
      <w:r w:rsidRPr="00B86BE6">
        <w:t xml:space="preserve">Their vision was to change American’s sense of themselves and their place in the world.  </w:t>
      </w:r>
      <w:r w:rsidRPr="00B86BE6">
        <w:rPr>
          <w:color w:val="000000"/>
        </w:rPr>
        <w:t>“They were,</w:t>
      </w:r>
      <w:r w:rsidR="00CB667D" w:rsidRPr="00B86BE6">
        <w:rPr>
          <w:color w:val="000000"/>
        </w:rPr>
        <w:t xml:space="preserve"> in essence, cowboys,” said Monroe</w:t>
      </w:r>
      <w:r w:rsidRPr="00B86BE6">
        <w:rPr>
          <w:color w:val="000000"/>
        </w:rPr>
        <w:t xml:space="preserve">. “They would get on a ship a block away from where the museum stands today and risk their lives and families.  If they hit it big by sailing around Cape Horn or the Cape of Good Hope, they could become extraordinarily rich or they could lose it all, their lives and their fortunes.” </w:t>
      </w:r>
    </w:p>
    <w:p w:rsidR="00B9485E" w:rsidRPr="00B86BE6" w:rsidRDefault="00B9485E" w:rsidP="00B9485E">
      <w:pPr>
        <w:ind w:firstLine="720"/>
        <w:rPr>
          <w:color w:val="000000"/>
        </w:rPr>
      </w:pPr>
    </w:p>
    <w:p w:rsidR="00992FFC" w:rsidRPr="00B86BE6" w:rsidRDefault="00A44237" w:rsidP="00B9485E">
      <w:pPr>
        <w:ind w:firstLine="720"/>
        <w:rPr>
          <w:color w:val="000000"/>
        </w:rPr>
      </w:pPr>
      <w:r w:rsidRPr="00B86BE6">
        <w:rPr>
          <w:color w:val="000000"/>
        </w:rPr>
        <w:t>At that time, t</w:t>
      </w:r>
      <w:r w:rsidR="005C7BC4" w:rsidRPr="00B86BE6">
        <w:rPr>
          <w:color w:val="000000"/>
        </w:rPr>
        <w:t xml:space="preserve">hese men </w:t>
      </w:r>
      <w:r w:rsidR="00B9485E" w:rsidRPr="00B86BE6">
        <w:rPr>
          <w:color w:val="000000"/>
        </w:rPr>
        <w:t>belonged to a ver</w:t>
      </w:r>
      <w:r w:rsidRPr="00B86BE6">
        <w:rPr>
          <w:color w:val="000000"/>
        </w:rPr>
        <w:t xml:space="preserve">y small group of Americans who </w:t>
      </w:r>
      <w:r w:rsidR="00B9485E" w:rsidRPr="00B86BE6">
        <w:rPr>
          <w:color w:val="000000"/>
        </w:rPr>
        <w:t xml:space="preserve">had first-hand experience with other cultures. Herman Melville, whose great novel, </w:t>
      </w:r>
      <w:r w:rsidR="00B31627" w:rsidRPr="00B86BE6">
        <w:rPr>
          <w:i/>
          <w:color w:val="000000"/>
        </w:rPr>
        <w:t>Moby Dick</w:t>
      </w:r>
      <w:r w:rsidR="00B9485E" w:rsidRPr="00B86BE6">
        <w:rPr>
          <w:i/>
          <w:color w:val="000000"/>
        </w:rPr>
        <w:t xml:space="preserve"> </w:t>
      </w:r>
      <w:r w:rsidR="00B9485E" w:rsidRPr="00B86BE6">
        <w:rPr>
          <w:color w:val="000000"/>
        </w:rPr>
        <w:t xml:space="preserve">begins in </w:t>
      </w:r>
      <w:r w:rsidR="00B31627" w:rsidRPr="00B86BE6">
        <w:rPr>
          <w:color w:val="000000"/>
        </w:rPr>
        <w:t xml:space="preserve">nearby </w:t>
      </w:r>
      <w:r w:rsidR="00B9485E" w:rsidRPr="00B86BE6">
        <w:rPr>
          <w:color w:val="000000"/>
        </w:rPr>
        <w:t>New Bed</w:t>
      </w:r>
      <w:r w:rsidR="005C7BC4" w:rsidRPr="00B86BE6">
        <w:rPr>
          <w:color w:val="000000"/>
        </w:rPr>
        <w:t>ford, M</w:t>
      </w:r>
      <w:r w:rsidR="00B31627" w:rsidRPr="00B86BE6">
        <w:rPr>
          <w:color w:val="000000"/>
        </w:rPr>
        <w:t xml:space="preserve">A, </w:t>
      </w:r>
      <w:r w:rsidR="005C7BC4" w:rsidRPr="00B86BE6">
        <w:rPr>
          <w:color w:val="000000"/>
        </w:rPr>
        <w:t xml:space="preserve">also recognized </w:t>
      </w:r>
      <w:r w:rsidR="00B9485E" w:rsidRPr="00B86BE6">
        <w:rPr>
          <w:color w:val="000000"/>
        </w:rPr>
        <w:t>how cosmopolitan t</w:t>
      </w:r>
      <w:r w:rsidR="00821D3E" w:rsidRPr="00B86BE6">
        <w:rPr>
          <w:color w:val="000000"/>
        </w:rPr>
        <w:t>hese spaces were</w:t>
      </w:r>
      <w:r w:rsidR="00B9485E" w:rsidRPr="00B86BE6">
        <w:rPr>
          <w:color w:val="000000"/>
        </w:rPr>
        <w:t>.  At</w:t>
      </w:r>
      <w:r w:rsidR="00821D3E" w:rsidRPr="00B86BE6">
        <w:rPr>
          <w:color w:val="000000"/>
        </w:rPr>
        <w:t xml:space="preserve"> one point, Melville </w:t>
      </w:r>
      <w:r w:rsidR="00B9485E" w:rsidRPr="00B86BE6">
        <w:rPr>
          <w:color w:val="000000"/>
        </w:rPr>
        <w:t>casually compares the streets of New Bedford, New England’s whaling capital</w:t>
      </w:r>
      <w:r w:rsidR="009068FA" w:rsidRPr="00B86BE6">
        <w:rPr>
          <w:color w:val="000000"/>
        </w:rPr>
        <w:t>,</w:t>
      </w:r>
      <w:r w:rsidR="00B9485E" w:rsidRPr="00B86BE6">
        <w:rPr>
          <w:color w:val="000000"/>
        </w:rPr>
        <w:t xml:space="preserve"> to those of similar cities across the globe: “In thoroughfares nigh the docks, any considerable seaport will frequently offer to view the queerest looking non-descripts from foreign parts. Even in Broadway and Chestnut </w:t>
      </w:r>
      <w:r w:rsidR="00900931" w:rsidRPr="00B86BE6">
        <w:rPr>
          <w:color w:val="000000"/>
        </w:rPr>
        <w:t>Street</w:t>
      </w:r>
      <w:r w:rsidR="00B9485E" w:rsidRPr="00B86BE6">
        <w:rPr>
          <w:color w:val="000000"/>
        </w:rPr>
        <w:t xml:space="preserve">, </w:t>
      </w:r>
      <w:r w:rsidR="00900931" w:rsidRPr="00B86BE6">
        <w:rPr>
          <w:color w:val="000000"/>
        </w:rPr>
        <w:t>Mediterranean</w:t>
      </w:r>
      <w:r w:rsidR="00B9485E" w:rsidRPr="00B86BE6">
        <w:rPr>
          <w:color w:val="000000"/>
        </w:rPr>
        <w:t xml:space="preserve"> mariners will sometimes jostle w</w:t>
      </w:r>
      <w:r w:rsidR="007A3272" w:rsidRPr="00B86BE6">
        <w:rPr>
          <w:color w:val="000000"/>
        </w:rPr>
        <w:t>ith affrighted ladies.  Regent S</w:t>
      </w:r>
      <w:r w:rsidR="00B9485E" w:rsidRPr="00B86BE6">
        <w:rPr>
          <w:color w:val="000000"/>
        </w:rPr>
        <w:t xml:space="preserve">treet is not unknown to Lascars and Malays: and at Bombay, in the Apollo Green, live Yankees </w:t>
      </w:r>
      <w:r w:rsidR="007A3272" w:rsidRPr="00B86BE6">
        <w:rPr>
          <w:color w:val="000000"/>
        </w:rPr>
        <w:t xml:space="preserve">who </w:t>
      </w:r>
      <w:r w:rsidR="00B9485E" w:rsidRPr="00B86BE6">
        <w:rPr>
          <w:color w:val="000000"/>
        </w:rPr>
        <w:t>have often scared the natives</w:t>
      </w:r>
      <w:r w:rsidR="00821D3E" w:rsidRPr="00B86BE6">
        <w:rPr>
          <w:color w:val="000000"/>
        </w:rPr>
        <w:t>.</w:t>
      </w:r>
      <w:r w:rsidR="00821D3E" w:rsidRPr="00B86BE6">
        <w:rPr>
          <w:rStyle w:val="EndnoteReference"/>
          <w:color w:val="000000"/>
        </w:rPr>
        <w:endnoteReference w:id="60"/>
      </w:r>
      <w:r w:rsidR="00821D3E" w:rsidRPr="00B86BE6">
        <w:rPr>
          <w:color w:val="000000"/>
        </w:rPr>
        <w:t xml:space="preserve"> </w:t>
      </w:r>
      <w:r w:rsidR="007A3272" w:rsidRPr="00B86BE6">
        <w:rPr>
          <w:color w:val="000000"/>
        </w:rPr>
        <w:t xml:space="preserve"> </w:t>
      </w:r>
    </w:p>
    <w:p w:rsidR="00992FFC" w:rsidRPr="00B86BE6" w:rsidRDefault="00992FFC" w:rsidP="00B9485E">
      <w:pPr>
        <w:ind w:firstLine="720"/>
        <w:rPr>
          <w:color w:val="000000"/>
        </w:rPr>
      </w:pPr>
    </w:p>
    <w:p w:rsidR="00B9485E" w:rsidRPr="00B86BE6" w:rsidRDefault="009068FA" w:rsidP="00B9485E">
      <w:pPr>
        <w:ind w:firstLine="720"/>
        <w:rPr>
          <w:color w:val="000000"/>
        </w:rPr>
      </w:pPr>
      <w:r w:rsidRPr="00B86BE6">
        <w:t xml:space="preserve">“These guys,” remarked </w:t>
      </w:r>
      <w:r w:rsidR="00B9485E" w:rsidRPr="00B86BE6">
        <w:t>Monroe, “had a global perspective.  They were more familiar with Canton or Calcutta than they were w</w:t>
      </w:r>
      <w:r w:rsidR="000F7397" w:rsidRPr="00B86BE6">
        <w:t>ith Philadelphia or New York.</w:t>
      </w:r>
      <w:r w:rsidR="00821D3E" w:rsidRPr="00B86BE6">
        <w:t>“</w:t>
      </w:r>
      <w:r w:rsidR="000F7397" w:rsidRPr="00B86BE6">
        <w:t xml:space="preserve"> </w:t>
      </w:r>
      <w:r w:rsidR="00B9485E" w:rsidRPr="00B86BE6">
        <w:t xml:space="preserve">That experience changed them—they were not colonials.  They did business on equal terms with people around the world.  When they arrived in China, they didn’t ask for the ancient bronzes. They didn’t get </w:t>
      </w:r>
      <w:r w:rsidR="006563C8" w:rsidRPr="00B86BE6">
        <w:t>to Africa and say,</w:t>
      </w:r>
      <w:r w:rsidR="00A44237" w:rsidRPr="00B86BE6">
        <w:t xml:space="preserve"> </w:t>
      </w:r>
      <w:r w:rsidR="00B9485E" w:rsidRPr="00B86BE6">
        <w:t>“Where are the Benin sculptures?” Instead, they collected the art and culture of the time during a period when t</w:t>
      </w:r>
      <w:r w:rsidRPr="00B86BE6">
        <w:t xml:space="preserve">here were few distinctions </w:t>
      </w:r>
      <w:r w:rsidR="00B9485E" w:rsidRPr="00B86BE6">
        <w:t>between art, history, and science.  Their overflowing trunks, stacked high in the holds of returning ships, were jam-packed with anything from extraordinary works of art to</w:t>
      </w:r>
      <w:r w:rsidR="006563C8" w:rsidRPr="00B86BE6">
        <w:t xml:space="preserve"> chipped teacups</w:t>
      </w:r>
      <w:r w:rsidR="00B9485E" w:rsidRPr="00B86BE6">
        <w:t xml:space="preserve">. </w:t>
      </w:r>
    </w:p>
    <w:p w:rsidR="00B9485E" w:rsidRPr="00B86BE6" w:rsidRDefault="00B9485E" w:rsidP="00B9485E"/>
    <w:p w:rsidR="00B9485E" w:rsidRPr="00B86BE6" w:rsidRDefault="001513E8" w:rsidP="00B9485E">
      <w:pPr>
        <w:ind w:firstLine="720"/>
      </w:pPr>
      <w:r w:rsidRPr="00B86BE6">
        <w:t xml:space="preserve">Meanwhile, the </w:t>
      </w:r>
      <w:r w:rsidR="00B9485E" w:rsidRPr="00B86BE6">
        <w:t xml:space="preserve">Salem-based Essex Institute, </w:t>
      </w:r>
      <w:r w:rsidR="009068FA" w:rsidRPr="00B86BE6">
        <w:t xml:space="preserve">created by a </w:t>
      </w:r>
      <w:r w:rsidRPr="00B86BE6">
        <w:t xml:space="preserve">merger between the </w:t>
      </w:r>
      <w:r w:rsidR="00B9485E" w:rsidRPr="00B86BE6">
        <w:t xml:space="preserve">Essex Historical Society and </w:t>
      </w:r>
      <w:r w:rsidRPr="00B86BE6">
        <w:t xml:space="preserve">the </w:t>
      </w:r>
      <w:r w:rsidR="00B9485E" w:rsidRPr="00B86BE6">
        <w:t xml:space="preserve">Essex Natural History Society in 1848, gathered together artifacts </w:t>
      </w:r>
      <w:r w:rsidR="009068FA" w:rsidRPr="00B86BE6">
        <w:t xml:space="preserve">from the region’s historical </w:t>
      </w:r>
      <w:r w:rsidR="00B9485E" w:rsidRPr="00B86BE6">
        <w:t>and natural environment.</w:t>
      </w:r>
      <w:r w:rsidRPr="00B86BE6">
        <w:rPr>
          <w:rStyle w:val="EndnoteReference"/>
        </w:rPr>
        <w:endnoteReference w:id="61"/>
      </w:r>
      <w:r w:rsidR="00033481" w:rsidRPr="00B86BE6">
        <w:t xml:space="preserve"> W</w:t>
      </w:r>
      <w:r w:rsidR="005C7BC4" w:rsidRPr="00B86BE6">
        <w:t xml:space="preserve">hile the travels of Salem’s </w:t>
      </w:r>
      <w:r w:rsidR="00B9485E" w:rsidRPr="00B86BE6">
        <w:t>distinguished residents were an important part of its story, the Institute was primarily concerned with what these men did at home—a provincial celebration of self and identity.  It was a kind of athenaeum, with a library and the occasional e</w:t>
      </w:r>
      <w:r w:rsidR="005C7BC4" w:rsidRPr="00B86BE6">
        <w:t>xhibit, said</w:t>
      </w:r>
      <w:r w:rsidR="00D355E2" w:rsidRPr="00B86BE6">
        <w:t xml:space="preserve"> Dean Kahikainen, Carolyn and Peter Lynch Curator of American Decorative Art</w:t>
      </w:r>
      <w:r w:rsidRPr="00B86BE6">
        <w:t>, which expanded its focus to include decorative arts and historic houses in the late 1800s. Since s</w:t>
      </w:r>
      <w:r w:rsidR="00B9485E" w:rsidRPr="00B86BE6">
        <w:t>ocial history trumped art</w:t>
      </w:r>
      <w:r w:rsidRPr="00B86BE6">
        <w:t xml:space="preserve">, </w:t>
      </w:r>
      <w:r w:rsidR="00B9485E" w:rsidRPr="00B86BE6">
        <w:t>the collection grew large with portraits of historical figures</w:t>
      </w:r>
      <w:r w:rsidR="009068FA" w:rsidRPr="00B86BE6">
        <w:t>, no matter what their quality.</w:t>
      </w:r>
      <w:r w:rsidR="009068FA" w:rsidRPr="00B86BE6">
        <w:rPr>
          <w:rStyle w:val="EndnoteReference"/>
        </w:rPr>
        <w:endnoteReference w:id="62"/>
      </w:r>
    </w:p>
    <w:p w:rsidR="00B9485E" w:rsidRPr="00B86BE6" w:rsidRDefault="00B9485E" w:rsidP="00B9485E">
      <w:pPr>
        <w:rPr>
          <w:color w:val="000000"/>
        </w:rPr>
      </w:pPr>
    </w:p>
    <w:p w:rsidR="00B9485E" w:rsidRPr="00B86BE6" w:rsidRDefault="00B9485E" w:rsidP="00CB667D">
      <w:pPr>
        <w:ind w:firstLine="720"/>
      </w:pPr>
      <w:r w:rsidRPr="00B86BE6">
        <w:t>The region’s leading lum</w:t>
      </w:r>
      <w:r w:rsidR="00A44237" w:rsidRPr="00B86BE6">
        <w:t xml:space="preserve">inaries and gentlemen scholars </w:t>
      </w:r>
      <w:r w:rsidRPr="00B86BE6">
        <w:t xml:space="preserve">sustained the two institutions for more than a century </w:t>
      </w:r>
      <w:r w:rsidR="009068FA" w:rsidRPr="00B86BE6">
        <w:t xml:space="preserve">by sheer force of their </w:t>
      </w:r>
      <w:r w:rsidRPr="00B86BE6">
        <w:t>collecting, education, and research. They lived across the street from each other but barely spoke. By the time Monroe arrived in 1992, both institutions needed major overhauls.  Marriage was the only way forward</w:t>
      </w:r>
      <w:r w:rsidR="00CB667D" w:rsidRPr="00B86BE6">
        <w:t xml:space="preserve"> and he was hired to tie the knot. </w:t>
      </w:r>
      <w:r w:rsidRPr="00B86BE6">
        <w:t>He wanted, he said, to create a new kind of art museum, which went beyond the standard mission of collecting, preserving, interpreting, and acquiring. Instead, the new PEM would create artistic and cultural experiences, ideas, and information that</w:t>
      </w:r>
      <w:r w:rsidR="00BD2A44" w:rsidRPr="00B86BE6">
        <w:t xml:space="preserve"> would</w:t>
      </w:r>
      <w:r w:rsidRPr="00B86BE6">
        <w:t xml:space="preserve"> transform people’s lives. The transformation might come with a big or a small “T.” It might not happen on site but over time, in a cumulative way, and through a variety of activities that went </w:t>
      </w:r>
      <w:r w:rsidR="009068FA" w:rsidRPr="00B86BE6">
        <w:t xml:space="preserve">way </w:t>
      </w:r>
      <w:r w:rsidRPr="00B86BE6">
        <w:t xml:space="preserve">beyond </w:t>
      </w:r>
      <w:r w:rsidR="009068FA" w:rsidRPr="00B86BE6">
        <w:t xml:space="preserve">what was on display. </w:t>
      </w:r>
    </w:p>
    <w:p w:rsidR="00B9485E" w:rsidRPr="00B86BE6" w:rsidRDefault="00B9485E" w:rsidP="00B9485E"/>
    <w:p w:rsidR="00B9485E" w:rsidRPr="00B86BE6" w:rsidRDefault="00B9485E" w:rsidP="00B9485E">
      <w:r w:rsidRPr="00B86BE6">
        <w:tab/>
        <w:t>Art, Monroe believes, has the capacity to bridge time, space</w:t>
      </w:r>
      <w:r w:rsidR="00BD2A44" w:rsidRPr="00B86BE6">
        <w:t>,</w:t>
      </w:r>
      <w:r w:rsidRPr="00B86BE6">
        <w:t xml:space="preserve"> and cultural boundaries by helping people imagine themselves and their place in the world differently.  But art is best understood, and has its greatest impact and meaning, if it is connected to the world in which it is made.  For </w:t>
      </w:r>
      <w:r w:rsidR="00992FFC" w:rsidRPr="00B86BE6">
        <w:t xml:space="preserve">most museums </w:t>
      </w:r>
      <w:r w:rsidR="005C7BC4" w:rsidRPr="00B86BE6">
        <w:t>that means</w:t>
      </w:r>
      <w:r w:rsidRPr="00B86BE6">
        <w:t xml:space="preserve"> </w:t>
      </w:r>
      <w:r w:rsidR="006563C8" w:rsidRPr="00B86BE6">
        <w:t xml:space="preserve">putting up large </w:t>
      </w:r>
      <w:r w:rsidRPr="00B86BE6">
        <w:t>photographs</w:t>
      </w:r>
      <w:r w:rsidR="005C7BC4" w:rsidRPr="00B86BE6">
        <w:t xml:space="preserve"> of </w:t>
      </w:r>
      <w:r w:rsidR="00FC00DE" w:rsidRPr="00B86BE6">
        <w:t xml:space="preserve">something </w:t>
      </w:r>
      <w:r w:rsidR="003637B0" w:rsidRPr="00B86BE6">
        <w:t xml:space="preserve">being created </w:t>
      </w:r>
      <w:r w:rsidR="00FC00DE" w:rsidRPr="00B86BE6">
        <w:t xml:space="preserve">or </w:t>
      </w:r>
      <w:r w:rsidRPr="00B86BE6">
        <w:t>piping in dance music</w:t>
      </w:r>
      <w:r w:rsidR="00FC00DE" w:rsidRPr="00B86BE6">
        <w:t>—a type of c</w:t>
      </w:r>
      <w:r w:rsidR="0004205C" w:rsidRPr="00B86BE6">
        <w:t>ontextualization Monroe rejects</w:t>
      </w:r>
      <w:r w:rsidR="00FC00DE" w:rsidRPr="00B86BE6">
        <w:t xml:space="preserve">. He wants </w:t>
      </w:r>
      <w:r w:rsidRPr="00B86BE6">
        <w:t xml:space="preserve">visitors to recognize that </w:t>
      </w:r>
      <w:r w:rsidR="00FC00DE" w:rsidRPr="00B86BE6">
        <w:t xml:space="preserve">in </w:t>
      </w:r>
      <w:r w:rsidRPr="00B86BE6">
        <w:t>different cultures</w:t>
      </w:r>
      <w:r w:rsidR="00FC00DE" w:rsidRPr="00B86BE6">
        <w:t xml:space="preserve">, people have different relationships with objects. </w:t>
      </w:r>
      <w:r w:rsidR="0004205C" w:rsidRPr="00B86BE6">
        <w:t>All societies create art</w:t>
      </w:r>
      <w:r w:rsidR="00B653B6" w:rsidRPr="00B86BE6">
        <w:t>,</w:t>
      </w:r>
      <w:r w:rsidR="0004205C" w:rsidRPr="00B86BE6">
        <w:t xml:space="preserve"> but </w:t>
      </w:r>
      <w:r w:rsidR="00B653B6" w:rsidRPr="00B86BE6">
        <w:t>not all art was created to be related to in the same way; each piece</w:t>
      </w:r>
      <w:r w:rsidR="0004205C" w:rsidRPr="00B86BE6">
        <w:t xml:space="preserve"> needs to be taken on its own terms. </w:t>
      </w:r>
    </w:p>
    <w:p w:rsidR="0004205C" w:rsidRPr="00B86BE6" w:rsidRDefault="0004205C" w:rsidP="00B9485E"/>
    <w:p w:rsidR="00C4531D" w:rsidRPr="00B86BE6" w:rsidRDefault="00B9485E" w:rsidP="00C4531D">
      <w:pPr>
        <w:ind w:firstLine="720"/>
      </w:pPr>
      <w:r w:rsidRPr="00B86BE6">
        <w:t xml:space="preserve">One way to </w:t>
      </w:r>
      <w:r w:rsidR="009068FA" w:rsidRPr="00B86BE6">
        <w:t xml:space="preserve">reinvent the PEM </w:t>
      </w:r>
      <w:r w:rsidRPr="00B86BE6">
        <w:t xml:space="preserve">was to </w:t>
      </w:r>
      <w:r w:rsidR="0004205C" w:rsidRPr="00B86BE6">
        <w:t xml:space="preserve">go back to the </w:t>
      </w:r>
      <w:r w:rsidR="00D355E2" w:rsidRPr="00B86BE6">
        <w:t xml:space="preserve">museum’s actual history, not its mythical one. </w:t>
      </w:r>
      <w:r w:rsidR="003438B9" w:rsidRPr="00B86BE6">
        <w:t>Most visitors thought of t</w:t>
      </w:r>
      <w:r w:rsidR="006563C8" w:rsidRPr="00B86BE6">
        <w:t xml:space="preserve">he Peabody as a maritime museum. </w:t>
      </w:r>
      <w:r w:rsidR="005C7BC4" w:rsidRPr="00B86BE6">
        <w:t>But w</w:t>
      </w:r>
      <w:r w:rsidR="006563C8" w:rsidRPr="00B86BE6">
        <w:t xml:space="preserve">hile the Museum’s </w:t>
      </w:r>
      <w:r w:rsidR="009068FA" w:rsidRPr="00B86BE6">
        <w:t xml:space="preserve">collection of Maritime Arts is outstanding, </w:t>
      </w:r>
      <w:r w:rsidRPr="00B86BE6">
        <w:t xml:space="preserve">scrimshaw and ship models represent only </w:t>
      </w:r>
      <w:r w:rsidR="009068FA" w:rsidRPr="00B86BE6">
        <w:t>8 percent of its holdings.  Its f</w:t>
      </w:r>
      <w:r w:rsidRPr="00B86BE6">
        <w:t xml:space="preserve">ounders </w:t>
      </w:r>
      <w:r w:rsidR="0004205C" w:rsidRPr="00B86BE6">
        <w:t xml:space="preserve">were much more interested in </w:t>
      </w:r>
      <w:r w:rsidRPr="00B86BE6">
        <w:t xml:space="preserve">celebrating </w:t>
      </w:r>
      <w:r w:rsidR="006563C8" w:rsidRPr="00B86BE6">
        <w:t xml:space="preserve">contemporary </w:t>
      </w:r>
      <w:r w:rsidRPr="00B86BE6">
        <w:t xml:space="preserve">art from around the world than </w:t>
      </w:r>
      <w:r w:rsidR="0004205C" w:rsidRPr="00B86BE6">
        <w:t xml:space="preserve">in </w:t>
      </w:r>
      <w:r w:rsidRPr="00B86BE6">
        <w:t xml:space="preserve">paying attention to what happened at sea, </w:t>
      </w:r>
      <w:r w:rsidR="003637B0" w:rsidRPr="00B86BE6">
        <w:t>which</w:t>
      </w:r>
      <w:r w:rsidR="00992FFC" w:rsidRPr="00B86BE6">
        <w:t xml:space="preserve"> was part of their daily lives</w:t>
      </w:r>
      <w:r w:rsidR="003637B0" w:rsidRPr="00B86BE6">
        <w:t>.  Instead, they c</w:t>
      </w:r>
      <w:r w:rsidR="003438B9" w:rsidRPr="00B86BE6">
        <w:t>ollected the art of their times</w:t>
      </w:r>
      <w:r w:rsidR="003637B0" w:rsidRPr="00B86BE6">
        <w:t xml:space="preserve"> with an eye toward enabling Americans to learn about the world. </w:t>
      </w:r>
    </w:p>
    <w:p w:rsidR="00B9485E" w:rsidRPr="00B86BE6" w:rsidRDefault="00B9485E" w:rsidP="00B9485E"/>
    <w:p w:rsidR="00B9485E" w:rsidRPr="00B86BE6" w:rsidRDefault="00992FFC" w:rsidP="00A14599">
      <w:pPr>
        <w:ind w:firstLine="720"/>
      </w:pPr>
      <w:r w:rsidRPr="00B86BE6">
        <w:t xml:space="preserve"> “We want,” said</w:t>
      </w:r>
      <w:r w:rsidR="00B9485E" w:rsidRPr="00B86BE6">
        <w:t xml:space="preserve"> </w:t>
      </w:r>
      <w:r w:rsidR="005C7BC4" w:rsidRPr="00B86BE6">
        <w:t xml:space="preserve">Lynda </w:t>
      </w:r>
      <w:r w:rsidR="00B9485E" w:rsidRPr="00B86BE6">
        <w:t xml:space="preserve">Hartigan, </w:t>
      </w:r>
      <w:r w:rsidR="005C7BC4" w:rsidRPr="00B86BE6">
        <w:t xml:space="preserve">the </w:t>
      </w:r>
      <w:r w:rsidR="005C7BC4" w:rsidRPr="00B86BE6">
        <w:rPr>
          <w:rFonts w:eastAsia="ＭＳ 明朝" w:cs="Arial"/>
          <w:color w:val="1A1A1A"/>
        </w:rPr>
        <w:t xml:space="preserve">James B. and Mary Lou Hawkes Chief Curator, </w:t>
      </w:r>
      <w:r w:rsidR="00B9485E" w:rsidRPr="00B86BE6">
        <w:t>“to show the commonality across fields, to create experiences that suggest the art of connectivity rather than separateness.”</w:t>
      </w:r>
      <w:r w:rsidR="00A74362" w:rsidRPr="00B86BE6">
        <w:t xml:space="preserve"> In essence</w:t>
      </w:r>
      <w:r w:rsidR="0029193C" w:rsidRPr="00B86BE6">
        <w:t>,</w:t>
      </w:r>
      <w:r w:rsidR="00A74362" w:rsidRPr="00B86BE6">
        <w:t xml:space="preserve"> that means creating cosmopolitan capabilit</w:t>
      </w:r>
      <w:r w:rsidR="00946BE8" w:rsidRPr="00B86BE6">
        <w:t>ies by showcasing objects, ideas, or feelings we can all relate to—the shared stuff of human experience.</w:t>
      </w:r>
      <w:r w:rsidR="00B9485E" w:rsidRPr="00B86BE6">
        <w:t xml:space="preserve"> </w:t>
      </w:r>
      <w:r w:rsidR="00A14599" w:rsidRPr="00B86BE6">
        <w:t>It’s a challenge</w:t>
      </w:r>
      <w:r w:rsidRPr="00B86BE6">
        <w:t>, Hartigan admitted</w:t>
      </w:r>
      <w:r w:rsidR="003637B0" w:rsidRPr="00B86BE6">
        <w:t>,</w:t>
      </w:r>
      <w:r w:rsidR="00A14599" w:rsidRPr="00B86BE6">
        <w:t xml:space="preserve"> because art history is so </w:t>
      </w:r>
      <w:r w:rsidR="00B9485E" w:rsidRPr="00B86BE6">
        <w:t xml:space="preserve">nationalistic.  For so long, western viewers glossed over all non-western art as equally exotic and enticing.  Curators had to fight to get </w:t>
      </w:r>
      <w:r w:rsidR="00E139BC" w:rsidRPr="00B86BE6">
        <w:t xml:space="preserve">people to recognize that </w:t>
      </w:r>
      <w:r w:rsidR="00B9485E" w:rsidRPr="00B86BE6">
        <w:t>Chinese</w:t>
      </w:r>
      <w:r w:rsidR="005C7BC4" w:rsidRPr="00B86BE6">
        <w:t xml:space="preserve">, Korean, or Japanese art </w:t>
      </w:r>
      <w:r w:rsidR="00E139BC" w:rsidRPr="00B86BE6">
        <w:t xml:space="preserve">are not the </w:t>
      </w:r>
      <w:r w:rsidR="00A14599" w:rsidRPr="00B86BE6">
        <w:t xml:space="preserve">same. </w:t>
      </w:r>
      <w:r w:rsidRPr="00B86BE6">
        <w:t>Right now, she said</w:t>
      </w:r>
      <w:r w:rsidR="00B9485E" w:rsidRPr="00B86BE6">
        <w:t>, the</w:t>
      </w:r>
      <w:r w:rsidR="00A14599" w:rsidRPr="00B86BE6">
        <w:t>re are fans from different countries in every gallery</w:t>
      </w:r>
      <w:r w:rsidR="0029193C" w:rsidRPr="00B86BE6">
        <w:t>,</w:t>
      </w:r>
      <w:r w:rsidR="00A14599" w:rsidRPr="00B86BE6">
        <w:t xml:space="preserve"> but </w:t>
      </w:r>
      <w:r w:rsidR="0004205C" w:rsidRPr="00B86BE6">
        <w:t xml:space="preserve">someday </w:t>
      </w:r>
      <w:r w:rsidR="00E139BC" w:rsidRPr="00B86BE6">
        <w:t xml:space="preserve">she </w:t>
      </w:r>
      <w:r w:rsidR="0004205C" w:rsidRPr="00B86BE6">
        <w:t xml:space="preserve">hopes they can all be displayed in one </w:t>
      </w:r>
      <w:r w:rsidR="005C7BC4" w:rsidRPr="00B86BE6">
        <w:t>room</w:t>
      </w:r>
      <w:r w:rsidR="00B9485E" w:rsidRPr="00B86BE6">
        <w:t xml:space="preserve">.  </w:t>
      </w:r>
      <w:r w:rsidR="00E139BC" w:rsidRPr="00B86BE6">
        <w:t>“</w:t>
      </w:r>
      <w:r w:rsidR="00B9485E" w:rsidRPr="00B86BE6">
        <w:t>All of th</w:t>
      </w:r>
      <w:r w:rsidR="005C7BC4" w:rsidRPr="00B86BE6">
        <w:t>ese cultures made fans</w:t>
      </w:r>
      <w:r w:rsidR="0029193C" w:rsidRPr="00B86BE6">
        <w:t>,</w:t>
      </w:r>
      <w:r w:rsidR="005C7BC4" w:rsidRPr="00B86BE6">
        <w:t xml:space="preserve"> </w:t>
      </w:r>
      <w:r w:rsidR="00B9485E" w:rsidRPr="00B86BE6">
        <w:t xml:space="preserve">but people don’t want to acknowledge how they influenced each other because the Japanese conquered, the Koreans hate the Chinese, etc. The curators say </w:t>
      </w:r>
      <w:r w:rsidR="00E139BC" w:rsidRPr="00B86BE6">
        <w:t xml:space="preserve">they’ve worked </w:t>
      </w:r>
      <w:r w:rsidR="0083233B" w:rsidRPr="00B86BE6">
        <w:t xml:space="preserve">so hard to make the </w:t>
      </w:r>
      <w:r w:rsidR="00A14599" w:rsidRPr="00B86BE6">
        <w:t>difference</w:t>
      </w:r>
      <w:r w:rsidR="0004205C" w:rsidRPr="00B86BE6">
        <w:t>s</w:t>
      </w:r>
      <w:r w:rsidR="00A14599" w:rsidRPr="00B86BE6">
        <w:t xml:space="preserve"> </w:t>
      </w:r>
      <w:r w:rsidR="005C7BC4" w:rsidRPr="00B86BE6">
        <w:t>between Korean, Chinese, and</w:t>
      </w:r>
      <w:r w:rsidR="00B9485E" w:rsidRPr="00B86BE6">
        <w:t xml:space="preserve"> Japanese art</w:t>
      </w:r>
      <w:r w:rsidR="0083233B" w:rsidRPr="00B86BE6">
        <w:t xml:space="preserve"> clear </w:t>
      </w:r>
      <w:r w:rsidR="00A14599" w:rsidRPr="00B86BE6">
        <w:t xml:space="preserve">that </w:t>
      </w:r>
      <w:r w:rsidR="00B9485E" w:rsidRPr="00B86BE6">
        <w:t xml:space="preserve">stressing </w:t>
      </w:r>
      <w:r w:rsidR="00A14599" w:rsidRPr="00B86BE6">
        <w:t>the</w:t>
      </w:r>
      <w:r w:rsidR="005C7BC4" w:rsidRPr="00B86BE6">
        <w:t>ir</w:t>
      </w:r>
      <w:r w:rsidR="00A14599" w:rsidRPr="00B86BE6">
        <w:t xml:space="preserve"> </w:t>
      </w:r>
      <w:r w:rsidR="00B9485E" w:rsidRPr="00B86BE6">
        <w:t xml:space="preserve">similarities </w:t>
      </w:r>
      <w:r w:rsidR="0083233B" w:rsidRPr="00B86BE6">
        <w:t xml:space="preserve">seems like </w:t>
      </w:r>
      <w:r w:rsidR="00E139BC" w:rsidRPr="00B86BE6">
        <w:t>a step backwards.”</w:t>
      </w:r>
    </w:p>
    <w:p w:rsidR="0083233B" w:rsidRPr="00B86BE6" w:rsidRDefault="0083233B" w:rsidP="00A14599">
      <w:pPr>
        <w:ind w:firstLine="720"/>
      </w:pPr>
    </w:p>
    <w:p w:rsidR="00C4531D" w:rsidRPr="00B86BE6" w:rsidRDefault="00946BE8" w:rsidP="00C4531D">
      <w:pPr>
        <w:ind w:firstLine="720"/>
      </w:pPr>
      <w:r w:rsidRPr="00B86BE6">
        <w:t xml:space="preserve">The PEM, said Monroe, is not really an institution that is particularly about America. </w:t>
      </w:r>
      <w:r w:rsidR="00C03E03" w:rsidRPr="00B86BE6">
        <w:t>“</w:t>
      </w:r>
      <w:r w:rsidR="0083233B" w:rsidRPr="00B86BE6">
        <w:t>A large part of the collection is American because Americans made the objects and they were incredibly important for the evolution of Am</w:t>
      </w:r>
      <w:r w:rsidR="0004205C" w:rsidRPr="00B86BE6">
        <w:t xml:space="preserve">erican art and industry.  A </w:t>
      </w:r>
      <w:r w:rsidR="0083233B" w:rsidRPr="00B86BE6">
        <w:t>lot of the objects were used in America but made elsewhere. Some parts of the collection were created well before there was an America.</w:t>
      </w:r>
      <w:r w:rsidR="00C03E03" w:rsidRPr="00B86BE6">
        <w:t>”</w:t>
      </w:r>
      <w:r w:rsidR="0083233B" w:rsidRPr="00B86BE6">
        <w:t xml:space="preserve"> </w:t>
      </w:r>
      <w:r w:rsidR="00AF5446" w:rsidRPr="00B86BE6">
        <w:t xml:space="preserve">But the museums </w:t>
      </w:r>
      <w:r w:rsidRPr="00B86BE6">
        <w:t xml:space="preserve">use them not to tell an American story but to help visitors grasp their connection to people near and far away. </w:t>
      </w:r>
      <w:r w:rsidR="003637B0" w:rsidRPr="00B86BE6">
        <w:t>No one expected the PEM to attract large numbers.  “Everything we do,” said Dan Monroe, “brings in less people than it would in Boston simply because the PEM is in Salem. That is liberating.”</w:t>
      </w:r>
    </w:p>
    <w:p w:rsidR="00B9485E" w:rsidRPr="00B86BE6" w:rsidRDefault="00B9485E" w:rsidP="00C03E03">
      <w:pPr>
        <w:ind w:firstLine="720"/>
      </w:pPr>
    </w:p>
    <w:p w:rsidR="005244D9" w:rsidRPr="00B86BE6" w:rsidRDefault="00B9485E" w:rsidP="005244D9">
      <w:pPr>
        <w:ind w:firstLine="720"/>
      </w:pPr>
      <w:r w:rsidRPr="00B86BE6">
        <w:t xml:space="preserve">Monroe is keenly aware of the </w:t>
      </w:r>
      <w:r w:rsidR="00E139BC" w:rsidRPr="00B86BE6">
        <w:t xml:space="preserve">nearby </w:t>
      </w:r>
      <w:r w:rsidR="005244D9" w:rsidRPr="00B86BE6">
        <w:t>institutions</w:t>
      </w:r>
      <w:r w:rsidR="003637B0" w:rsidRPr="00B86BE6">
        <w:t xml:space="preserve"> he competes with</w:t>
      </w:r>
      <w:r w:rsidRPr="00B86BE6">
        <w:t xml:space="preserve">.  But, when he thinks strategically about the future, </w:t>
      </w:r>
      <w:r w:rsidR="00C03E03" w:rsidRPr="00B86BE6">
        <w:t xml:space="preserve">he </w:t>
      </w:r>
      <w:r w:rsidR="00E139BC" w:rsidRPr="00B86BE6">
        <w:t xml:space="preserve">doesn’t just think </w:t>
      </w:r>
      <w:r w:rsidR="00C03E03" w:rsidRPr="00B86BE6">
        <w:t xml:space="preserve">about the region but </w:t>
      </w:r>
      <w:r w:rsidR="00E139BC" w:rsidRPr="00B86BE6">
        <w:t xml:space="preserve">about the nation and the </w:t>
      </w:r>
      <w:r w:rsidR="00C03E03" w:rsidRPr="00B86BE6">
        <w:t>world</w:t>
      </w:r>
      <w:r w:rsidR="00E139BC" w:rsidRPr="00B86BE6">
        <w:t xml:space="preserve"> beyond</w:t>
      </w:r>
      <w:r w:rsidR="00C03E03" w:rsidRPr="00B86BE6">
        <w:t>.  His audience</w:t>
      </w:r>
      <w:r w:rsidR="005244D9" w:rsidRPr="00B86BE6">
        <w:t>, he says,</w:t>
      </w:r>
      <w:r w:rsidR="00C03E03" w:rsidRPr="00B86BE6">
        <w:t xml:space="preserve"> is not just the</w:t>
      </w:r>
      <w:r w:rsidR="005244D9" w:rsidRPr="00B86BE6">
        <w:t xml:space="preserve"> </w:t>
      </w:r>
      <w:r w:rsidR="00C03E03" w:rsidRPr="00B86BE6">
        <w:t xml:space="preserve">260,000 </w:t>
      </w:r>
      <w:r w:rsidRPr="00B86BE6">
        <w:t>visi</w:t>
      </w:r>
      <w:r w:rsidR="005244D9" w:rsidRPr="00B86BE6">
        <w:t xml:space="preserve">tors who come through </w:t>
      </w:r>
      <w:r w:rsidR="00E139BC" w:rsidRPr="00B86BE6">
        <w:t xml:space="preserve">the door </w:t>
      </w:r>
      <w:r w:rsidRPr="00B86BE6">
        <w:t xml:space="preserve">but </w:t>
      </w:r>
      <w:r w:rsidR="00C03E03" w:rsidRPr="00B86BE6">
        <w:t xml:space="preserve">the </w:t>
      </w:r>
      <w:r w:rsidRPr="00B86BE6">
        <w:t xml:space="preserve">500,000 </w:t>
      </w:r>
      <w:r w:rsidR="00C03E03" w:rsidRPr="00B86BE6">
        <w:t xml:space="preserve">or so </w:t>
      </w:r>
      <w:r w:rsidR="005244D9" w:rsidRPr="00B86BE6">
        <w:t xml:space="preserve">who </w:t>
      </w:r>
      <w:r w:rsidR="00C4531D" w:rsidRPr="00B86BE6">
        <w:t>visit exhibitions organized by the PEM at major art museums around the world or who visit the</w:t>
      </w:r>
      <w:r w:rsidR="00C03E03" w:rsidRPr="00B86BE6">
        <w:t xml:space="preserve"> website</w:t>
      </w:r>
      <w:r w:rsidRPr="00B86BE6">
        <w:t xml:space="preserve">. </w:t>
      </w:r>
      <w:r w:rsidR="003637B0" w:rsidRPr="00B86BE6">
        <w:t>However, he says,</w:t>
      </w:r>
      <w:r w:rsidR="00513905" w:rsidRPr="00B86BE6">
        <w:t xml:space="preserve"> </w:t>
      </w:r>
      <w:r w:rsidR="00C03E03" w:rsidRPr="00B86BE6">
        <w:t>“</w:t>
      </w:r>
      <w:r w:rsidR="003637B0" w:rsidRPr="00B86BE6">
        <w:t>w</w:t>
      </w:r>
      <w:r w:rsidRPr="00B86BE6">
        <w:t>e are not going to do an exhibit about the horrors of immigrant policy. We are not driving that kind of explicit, immediate agenda. Hammering people over the head about climate change or immigration is not the role we are trying to play. But globally, we are interested in helping people understand that every group creates its own art and culture, blended work, every group manifests elements of humanity that we all share and basic desires that tie us all together as human beings.  We have a lot of trouble remembering and acting upon that on a day-by-day basis. We are in a constant battle with our own kind of tribalism. What I want to do is brain flexing, to encourage people to be more exploratory, to take accepted ideas and test them, to learn to think creatively and outside the box and to accept that there are lots of values around the wo</w:t>
      </w:r>
      <w:r w:rsidR="00E139BC" w:rsidRPr="00B86BE6">
        <w:t xml:space="preserve">rld other than one’s </w:t>
      </w:r>
      <w:r w:rsidR="00C03E03" w:rsidRPr="00B86BE6">
        <w:t>own.  No on</w:t>
      </w:r>
      <w:r w:rsidRPr="00B86BE6">
        <w:t>e has a corner on the market. We can’t go to ethical relativism.  You have to draw the line somewhere.  We’re not going to say it</w:t>
      </w:r>
      <w:r w:rsidR="00A6337A" w:rsidRPr="00B86BE6">
        <w:t>’</w:t>
      </w:r>
      <w:r w:rsidRPr="00B86BE6">
        <w:t>s okay to mutilate women’s bodies in Africa. But the number of things that are actually not okay are not that many.</w:t>
      </w:r>
      <w:r w:rsidR="002D635A" w:rsidRPr="00B86BE6">
        <w:t>”</w:t>
      </w:r>
      <w:r w:rsidRPr="00B86BE6">
        <w:t xml:space="preserve"> </w:t>
      </w:r>
      <w:r w:rsidR="00D45B78" w:rsidRPr="00B86BE6">
        <w:t xml:space="preserve"> </w:t>
      </w:r>
      <w:r w:rsidR="00B00617" w:rsidRPr="00B86BE6">
        <w:t xml:space="preserve">The Monroe Doctrine of Cosmopolitanism. </w:t>
      </w:r>
    </w:p>
    <w:p w:rsidR="00CA2C95" w:rsidRPr="00B86BE6" w:rsidRDefault="00CA2C95" w:rsidP="005244D9">
      <w:pPr>
        <w:ind w:firstLine="720"/>
      </w:pPr>
    </w:p>
    <w:p w:rsidR="00B9485E" w:rsidRPr="00B86BE6" w:rsidRDefault="00B86BE6" w:rsidP="007A26EA">
      <w:pPr>
        <w:rPr>
          <w:b/>
        </w:rPr>
      </w:pPr>
      <w:r>
        <w:rPr>
          <w:b/>
        </w:rPr>
        <w:t>Meanwhile, Back in Boston</w:t>
      </w:r>
    </w:p>
    <w:p w:rsidR="00CA2C95" w:rsidRPr="00B86BE6" w:rsidRDefault="00CA2C95" w:rsidP="007A26EA">
      <w:pPr>
        <w:rPr>
          <w:b/>
        </w:rPr>
      </w:pPr>
    </w:p>
    <w:p w:rsidR="006D6A0F" w:rsidRPr="00B86BE6" w:rsidRDefault="00185BFA" w:rsidP="008E0A80">
      <w:r w:rsidRPr="00B86BE6">
        <w:t>C</w:t>
      </w:r>
      <w:r w:rsidR="006D6A0F" w:rsidRPr="00B86BE6">
        <w:t>re</w:t>
      </w:r>
      <w:r w:rsidR="008E1DC5" w:rsidRPr="00B86BE6">
        <w:t xml:space="preserve">ating citizens of any kind </w:t>
      </w:r>
      <w:r w:rsidRPr="00B86BE6">
        <w:t xml:space="preserve">has </w:t>
      </w:r>
      <w:r w:rsidR="006D6A0F" w:rsidRPr="00B86BE6">
        <w:t xml:space="preserve">not </w:t>
      </w:r>
      <w:r w:rsidRPr="00B86BE6">
        <w:t xml:space="preserve">been </w:t>
      </w:r>
      <w:r w:rsidR="006D6A0F" w:rsidRPr="00B86BE6">
        <w:t xml:space="preserve">high on the </w:t>
      </w:r>
      <w:r w:rsidR="00B00617" w:rsidRPr="00B86BE6">
        <w:t xml:space="preserve">MFA’s </w:t>
      </w:r>
      <w:r w:rsidR="008E1DC5" w:rsidRPr="00B86BE6">
        <w:t xml:space="preserve">agenda. </w:t>
      </w:r>
      <w:r w:rsidR="00AF5446" w:rsidRPr="00B86BE6">
        <w:t xml:space="preserve">Rather </w:t>
      </w:r>
      <w:r w:rsidR="008E1DC5" w:rsidRPr="00B86BE6">
        <w:t>m</w:t>
      </w:r>
      <w:r w:rsidR="006D6A0F" w:rsidRPr="00B86BE6">
        <w:t>useums are about preserving, collecting, and conserving</w:t>
      </w:r>
      <w:r w:rsidR="008E1DC5" w:rsidRPr="00B86BE6">
        <w:t>, and</w:t>
      </w:r>
      <w:r w:rsidR="006D6A0F" w:rsidRPr="00B86BE6">
        <w:t xml:space="preserve"> about teaching visitors visual and aesthetic literacy. “I do not think that museums create citizens,” </w:t>
      </w:r>
      <w:r w:rsidR="00AF5446" w:rsidRPr="00B86BE6">
        <w:t xml:space="preserve">Elliot </w:t>
      </w:r>
      <w:r w:rsidR="00946BE8" w:rsidRPr="00B86BE6">
        <w:t xml:space="preserve">Bostwick </w:t>
      </w:r>
      <w:r w:rsidR="006D6A0F" w:rsidRPr="00B86BE6">
        <w:t xml:space="preserve">Davis told me, “I hope </w:t>
      </w:r>
      <w:r w:rsidR="00B00617" w:rsidRPr="00B86BE6">
        <w:t xml:space="preserve">that universities do that.” It is not that this will never happen, said </w:t>
      </w:r>
      <w:r w:rsidR="00023896" w:rsidRPr="00B86BE6">
        <w:t>Erica Hirs</w:t>
      </w:r>
      <w:r w:rsidR="006D6A0F" w:rsidRPr="00B86BE6">
        <w:t>hler, “One might hope that a discussion of world citizenship could happen. But we have been thinking more about helping everyone from every kind of background feel comfortable in an institution that has always be</w:t>
      </w:r>
      <w:r w:rsidR="00B00617" w:rsidRPr="00B86BE6">
        <w:t>en upper class, white, and WASP.</w:t>
      </w:r>
      <w:r w:rsidR="006D6A0F" w:rsidRPr="00B86BE6">
        <w:t xml:space="preserve">  So we are still in that phase of wanting a broader community to feel that this is their museum.  If they do, then I think you will create global citizens.  Because they will find things about themselves and find things about the other people who are here too.” </w:t>
      </w:r>
      <w:r w:rsidR="00A170C3" w:rsidRPr="00B86BE6">
        <w:t xml:space="preserve">In other words, </w:t>
      </w:r>
      <w:r w:rsidR="001A6D18" w:rsidRPr="00B86BE6">
        <w:t>right now, if the MFA inspires openness and a willingness to engage with difference, it does so by helping people</w:t>
      </w:r>
      <w:r w:rsidR="00946BE8" w:rsidRPr="00B86BE6">
        <w:t xml:space="preserve"> get</w:t>
      </w:r>
      <w:r w:rsidR="001A6D18" w:rsidRPr="00B86BE6">
        <w:t xml:space="preserve"> </w:t>
      </w:r>
      <w:r w:rsidR="00A170C3" w:rsidRPr="00B86BE6">
        <w:t xml:space="preserve">comfortable with the diversity next door. </w:t>
      </w:r>
    </w:p>
    <w:p w:rsidR="0063493E" w:rsidRPr="00B86BE6" w:rsidRDefault="0063493E" w:rsidP="00B00617"/>
    <w:p w:rsidR="00F14E9A" w:rsidRPr="00B86BE6" w:rsidRDefault="00946BE8" w:rsidP="00946BE8">
      <w:pPr>
        <w:ind w:firstLine="720"/>
      </w:pPr>
      <w:r w:rsidRPr="00B86BE6">
        <w:rPr>
          <w:i/>
        </w:rPr>
        <w:t>Fresh Ink</w:t>
      </w:r>
      <w:r w:rsidRPr="00B86BE6">
        <w:t xml:space="preserve">, an exhibit mounted in 2010 by </w:t>
      </w:r>
      <w:r w:rsidRPr="00B86BE6">
        <w:rPr>
          <w:rFonts w:eastAsia="ＭＳ 明朝" w:cs="Helvetica"/>
          <w:bCs/>
        </w:rPr>
        <w:t>Hao Sheng</w:t>
      </w:r>
      <w:r w:rsidRPr="00B86BE6">
        <w:rPr>
          <w:rFonts w:eastAsia="ＭＳ 明朝" w:cs="Helvetica"/>
        </w:rPr>
        <w:t>, Wu Tung Curator of Chinese Art</w:t>
      </w:r>
      <w:r w:rsidR="001321DE" w:rsidRPr="00B86BE6">
        <w:rPr>
          <w:rFonts w:eastAsia="ＭＳ 明朝" w:cs="Helvetica"/>
        </w:rPr>
        <w:t>,</w:t>
      </w:r>
      <w:r w:rsidRPr="00B86BE6">
        <w:rPr>
          <w:rFonts w:eastAsia="ＭＳ 明朝" w:cs="Helvetica"/>
        </w:rPr>
        <w:t xml:space="preserve"> </w:t>
      </w:r>
      <w:r w:rsidR="003637B0" w:rsidRPr="00B86BE6">
        <w:t xml:space="preserve">linked the </w:t>
      </w:r>
      <w:r w:rsidRPr="00B86BE6">
        <w:t xml:space="preserve">immigrant experience to the world. He asked five artists in China and five artists of Chinese ancestry in the United States to make a work in response to something from the MFA’s collection. </w:t>
      </w:r>
      <w:r w:rsidR="001321DE" w:rsidRPr="00B86BE6">
        <w:t xml:space="preserve">Meanwhile, </w:t>
      </w:r>
      <w:r w:rsidR="0063493E" w:rsidRPr="00B86BE6">
        <w:t>Laura Weinstein,</w:t>
      </w:r>
      <w:r w:rsidR="00B00617" w:rsidRPr="00B86BE6">
        <w:t xml:space="preserve"> the </w:t>
      </w:r>
      <w:r w:rsidR="00B00617" w:rsidRPr="00B86BE6">
        <w:rPr>
          <w:rFonts w:eastAsia="ＭＳ 明朝" w:cs="Arial"/>
          <w:color w:val="1A1A1A"/>
        </w:rPr>
        <w:t>Ananda Coomaraswamy Curator of South Asian and Islamic Art,</w:t>
      </w:r>
      <w:r w:rsidR="00AF5446" w:rsidRPr="00B86BE6">
        <w:rPr>
          <w:rFonts w:eastAsia="ＭＳ 明朝" w:cs="Arial"/>
          <w:color w:val="1A1A1A"/>
        </w:rPr>
        <w:t xml:space="preserve"> recently </w:t>
      </w:r>
      <w:r w:rsidR="0063493E" w:rsidRPr="00B86BE6">
        <w:t xml:space="preserve">reinstalled the </w:t>
      </w:r>
      <w:r w:rsidR="00A70C3C" w:rsidRPr="00B86BE6">
        <w:t xml:space="preserve">MFA’s </w:t>
      </w:r>
      <w:r w:rsidR="0063493E" w:rsidRPr="00B86BE6">
        <w:t>South Asian g</w:t>
      </w:r>
      <w:r w:rsidR="00C03E03" w:rsidRPr="00B86BE6">
        <w:t>alleries</w:t>
      </w:r>
      <w:r w:rsidR="002D635A" w:rsidRPr="00B86BE6">
        <w:t xml:space="preserve">. The new </w:t>
      </w:r>
      <w:r w:rsidR="003637B0" w:rsidRPr="00B86BE6">
        <w:t xml:space="preserve">installation, bringing together </w:t>
      </w:r>
      <w:r w:rsidR="00F20738" w:rsidRPr="00B86BE6">
        <w:t>material</w:t>
      </w:r>
      <w:r w:rsidR="002D635A" w:rsidRPr="00B86BE6">
        <w:t xml:space="preserve">s from South and Southeast Asia, is filled with references to </w:t>
      </w:r>
      <w:r w:rsidR="00E77E30" w:rsidRPr="00B86BE6">
        <w:t>trade and connection. “Covering an area of more than 3 million square miles, South and Southeast Asia have been home to innumerable societies throughout history,” the wall text reads.  “This gallery explores how, over the course of 2000 years, those societies were brought into contact with one another—a story told through the remarkable art they made. Trade, culture, and politics fueled interaction and exchange between South and Southeast Asi</w:t>
      </w:r>
      <w:r w:rsidR="00B00617" w:rsidRPr="00B86BE6">
        <w:t>a…</w:t>
      </w:r>
      <w:r w:rsidR="00C03E03" w:rsidRPr="00B86BE6">
        <w:t xml:space="preserve">” The physical clustering of materials is meant to </w:t>
      </w:r>
      <w:r w:rsidR="000C7158" w:rsidRPr="00B86BE6">
        <w:t>reflect contact—about how pow</w:t>
      </w:r>
      <w:r w:rsidR="001A6D18" w:rsidRPr="00B86BE6">
        <w:t>er and money traveled as well as i</w:t>
      </w:r>
      <w:r w:rsidR="000C7158" w:rsidRPr="00B86BE6">
        <w:t>deas and iconography.  “</w:t>
      </w:r>
      <w:r w:rsidR="00EF432F" w:rsidRPr="00B86BE6">
        <w:t>I’m coming out of a generation that is interested in talking about exch</w:t>
      </w:r>
      <w:r w:rsidR="00C03E03" w:rsidRPr="00B86BE6">
        <w:t>ange and intercultural contacts,</w:t>
      </w:r>
      <w:r w:rsidR="000C7158" w:rsidRPr="00B86BE6">
        <w:t>”</w:t>
      </w:r>
      <w:r w:rsidR="00AF5446" w:rsidRPr="00B86BE6">
        <w:rPr>
          <w:b/>
        </w:rPr>
        <w:t xml:space="preserve"> </w:t>
      </w:r>
      <w:r w:rsidR="00A70C3C" w:rsidRPr="00B86BE6">
        <w:t>Weinstein said</w:t>
      </w:r>
      <w:r w:rsidR="00C03E03" w:rsidRPr="00B86BE6">
        <w:t xml:space="preserve">, “so it is natural for me to tell a more global story.” </w:t>
      </w:r>
    </w:p>
    <w:p w:rsidR="00946BE8" w:rsidRPr="00B86BE6" w:rsidRDefault="00946BE8" w:rsidP="00946BE8">
      <w:pPr>
        <w:ind w:firstLine="720"/>
      </w:pPr>
    </w:p>
    <w:p w:rsidR="00FD1339" w:rsidRPr="00B86BE6" w:rsidRDefault="00F14E9A" w:rsidP="00A562AA">
      <w:r w:rsidRPr="00B86BE6">
        <w:tab/>
      </w:r>
      <w:r w:rsidR="00A70C3C" w:rsidRPr="00B86BE6">
        <w:t xml:space="preserve">The MFA is also changing how it communicates with visitors. </w:t>
      </w:r>
      <w:r w:rsidR="00B00617" w:rsidRPr="00B86BE6">
        <w:t xml:space="preserve">Instead </w:t>
      </w:r>
      <w:r w:rsidRPr="00B86BE6">
        <w:t xml:space="preserve">of </w:t>
      </w:r>
      <w:r w:rsidR="007E7DC1" w:rsidRPr="00B86BE6">
        <w:t xml:space="preserve">speaking in an </w:t>
      </w:r>
      <w:r w:rsidRPr="00B86BE6">
        <w:t>anonymous curatorial voice</w:t>
      </w:r>
      <w:r w:rsidR="00FC4A78" w:rsidRPr="00B86BE6">
        <w:t xml:space="preserve">, emanating </w:t>
      </w:r>
      <w:r w:rsidR="00A31276" w:rsidRPr="00B86BE6">
        <w:t>somewhe</w:t>
      </w:r>
      <w:r w:rsidR="00A70C3C" w:rsidRPr="00B86BE6">
        <w:t xml:space="preserve">re from the bowels of the institution, </w:t>
      </w:r>
      <w:r w:rsidR="007E7DC1" w:rsidRPr="00B86BE6">
        <w:t xml:space="preserve">many </w:t>
      </w:r>
      <w:r w:rsidRPr="00B86BE6">
        <w:t xml:space="preserve">galleries </w:t>
      </w:r>
      <w:r w:rsidR="00FC4A78" w:rsidRPr="00B86BE6">
        <w:t xml:space="preserve">now </w:t>
      </w:r>
      <w:r w:rsidRPr="00B86BE6">
        <w:t>include a</w:t>
      </w:r>
      <w:r w:rsidR="00A70C3C" w:rsidRPr="00B86BE6">
        <w:t xml:space="preserve"> statement by</w:t>
      </w:r>
      <w:r w:rsidR="003637B0" w:rsidRPr="00B86BE6">
        <w:t xml:space="preserve"> and photos of</w:t>
      </w:r>
      <w:r w:rsidR="00A70C3C" w:rsidRPr="00B86BE6">
        <w:t xml:space="preserve"> the curator</w:t>
      </w:r>
      <w:r w:rsidR="003637B0" w:rsidRPr="00B86BE6">
        <w:t xml:space="preserve">. </w:t>
      </w:r>
      <w:r w:rsidR="00FD1339" w:rsidRPr="00B86BE6">
        <w:t>“When you start exhibits with these personal statements,” says Chris Geary,</w:t>
      </w:r>
      <w:r w:rsidR="00FC4A78" w:rsidRPr="00B86BE6">
        <w:t xml:space="preserve"> </w:t>
      </w:r>
      <w:r w:rsidR="00FC4A78" w:rsidRPr="00B86BE6">
        <w:rPr>
          <w:rFonts w:eastAsia="ＭＳ 明朝" w:cs="Arial"/>
          <w:color w:val="1A1A1A"/>
        </w:rPr>
        <w:t>Teel Senior Curator of African and Oceanic Art</w:t>
      </w:r>
      <w:r w:rsidR="00FC4A78" w:rsidRPr="00B86BE6">
        <w:t xml:space="preserve"> </w:t>
      </w:r>
      <w:r w:rsidR="00FD1339" w:rsidRPr="00B86BE6">
        <w:t>“it’s not the anonymous voice of the museum speaking but people who have ideas that not everyone agrees with.  Doing exhibitions are interpretive acts.  That is important. They don’t come out of nowhere.”</w:t>
      </w:r>
      <w:r w:rsidR="007E7DC1" w:rsidRPr="00B86BE6">
        <w:rPr>
          <w:rStyle w:val="EndnoteReference"/>
        </w:rPr>
        <w:endnoteReference w:id="63"/>
      </w:r>
      <w:r w:rsidR="00FD1339" w:rsidRPr="00B86BE6">
        <w:t xml:space="preserve"> </w:t>
      </w:r>
    </w:p>
    <w:p w:rsidR="00FD1339" w:rsidRPr="00B86BE6" w:rsidRDefault="00FD1339" w:rsidP="00A562AA"/>
    <w:p w:rsidR="00A31276" w:rsidRPr="00B86BE6" w:rsidRDefault="00A31276" w:rsidP="00A562AA">
      <w:r w:rsidRPr="00B86BE6">
        <w:tab/>
      </w:r>
      <w:r w:rsidR="00A70C3C" w:rsidRPr="00B86BE6">
        <w:t>St</w:t>
      </w:r>
      <w:r w:rsidR="001A6D18" w:rsidRPr="00B86BE6">
        <w:t xml:space="preserve">aff also felt that people want to learn more about </w:t>
      </w:r>
      <w:r w:rsidR="00A70C3C" w:rsidRPr="00B86BE6">
        <w:t xml:space="preserve">how </w:t>
      </w:r>
      <w:r w:rsidR="00822BDB" w:rsidRPr="00B86BE6">
        <w:t xml:space="preserve">curators make choices about what to collect, conserve, and </w:t>
      </w:r>
      <w:r w:rsidR="007E7DC1" w:rsidRPr="00B86BE6">
        <w:t>put on disp</w:t>
      </w:r>
      <w:r w:rsidR="00FC4A78" w:rsidRPr="00B86BE6">
        <w:t xml:space="preserve">lay. The new wing includes two “Behind the Scenes” galleries where visitors </w:t>
      </w:r>
      <w:r w:rsidR="00946BE8" w:rsidRPr="00B86BE6">
        <w:t>can watch videos about topics such as t</w:t>
      </w:r>
      <w:r w:rsidR="001A6D18" w:rsidRPr="00B86BE6">
        <w:t xml:space="preserve">he </w:t>
      </w:r>
      <w:r w:rsidR="007B499A" w:rsidRPr="00B86BE6">
        <w:t xml:space="preserve">pros and cons of </w:t>
      </w:r>
      <w:r w:rsidR="003637B0" w:rsidRPr="00B86BE6">
        <w:t xml:space="preserve">different </w:t>
      </w:r>
      <w:r w:rsidR="00946BE8" w:rsidRPr="00B86BE6">
        <w:t>c</w:t>
      </w:r>
      <w:r w:rsidR="007E7DC1" w:rsidRPr="00B86BE6">
        <w:t>onservation approaches</w:t>
      </w:r>
      <w:r w:rsidR="001A6D18" w:rsidRPr="00B86BE6">
        <w:t xml:space="preserve">.  Important collectors </w:t>
      </w:r>
      <w:r w:rsidR="00822BDB" w:rsidRPr="00B86BE6">
        <w:t>are showcased.  And, perhaps most important</w:t>
      </w:r>
      <w:r w:rsidR="007E7DC1" w:rsidRPr="00B86BE6">
        <w:t>ly,</w:t>
      </w:r>
      <w:r w:rsidR="00822BDB" w:rsidRPr="00B86BE6">
        <w:t xml:space="preserve"> for the purposes of this book, there’s a mea culpa reflection on why the museum’s Native</w:t>
      </w:r>
      <w:r w:rsidR="00A70C3C" w:rsidRPr="00B86BE6">
        <w:t xml:space="preserve"> American c</w:t>
      </w:r>
      <w:r w:rsidR="00753EDE" w:rsidRPr="00B86BE6">
        <w:t>ollection is so weak—</w:t>
      </w:r>
      <w:r w:rsidR="00946BE8" w:rsidRPr="00B86BE6">
        <w:t xml:space="preserve">for which the </w:t>
      </w:r>
      <w:r w:rsidR="00753EDE" w:rsidRPr="00B86BE6">
        <w:t>new Wing has been criticized.</w:t>
      </w:r>
      <w:r w:rsidR="00822BDB" w:rsidRPr="00B86BE6">
        <w:t xml:space="preserve"> </w:t>
      </w:r>
    </w:p>
    <w:p w:rsidR="00822BDB" w:rsidRPr="00B86BE6" w:rsidRDefault="00822BDB" w:rsidP="00A562AA"/>
    <w:p w:rsidR="0079293C" w:rsidRPr="00B86BE6" w:rsidRDefault="00822BDB" w:rsidP="0079293C">
      <w:r w:rsidRPr="00B86BE6">
        <w:tab/>
      </w:r>
      <w:r w:rsidR="003B6E1D" w:rsidRPr="00B86BE6">
        <w:t xml:space="preserve"> </w:t>
      </w:r>
      <w:r w:rsidRPr="00B86BE6">
        <w:t>“In terms of collecti</w:t>
      </w:r>
      <w:r w:rsidR="007E7DC1" w:rsidRPr="00B86BE6">
        <w:t>ng Native American art,” Gerald W. R. Ward, Katharine Lane Weems Senior Curator of Decorative Arts and Sculpture tells visitors</w:t>
      </w:r>
      <w:r w:rsidR="00FB4B6F">
        <w:t xml:space="preserve"> in a video on display in the gallery</w:t>
      </w:r>
      <w:r w:rsidR="007E7DC1" w:rsidRPr="00B86BE6">
        <w:t xml:space="preserve">, </w:t>
      </w:r>
      <w:r w:rsidRPr="00B86BE6">
        <w:t>“this institution was interested in those materials from the time of our founding in 1870 until about 1900 or 1905 in which we amassed a collection, particularly of ceramics but also of other things as well… Then we lapsed into the hiatus of well over fifty years in which there was relatively little interest in Native American or Indian materials.  And, really for the better part of fifty years</w:t>
      </w:r>
      <w:r w:rsidR="00753EDE" w:rsidRPr="00B86BE6">
        <w:t>,</w:t>
      </w:r>
      <w:r w:rsidRPr="00B86BE6">
        <w:t xml:space="preserve"> the emphasis was on Colonial American art, </w:t>
      </w:r>
      <w:r w:rsidR="00B511BD" w:rsidRPr="00B86BE6">
        <w:t>European art from France, Britai</w:t>
      </w:r>
      <w:r w:rsidRPr="00B86BE6">
        <w:t>n, Italy and that w</w:t>
      </w:r>
      <w:r w:rsidR="00B511BD" w:rsidRPr="00B86BE6">
        <w:t>a</w:t>
      </w:r>
      <w:r w:rsidRPr="00B86BE6">
        <w:t>s the w</w:t>
      </w:r>
      <w:r w:rsidR="00B511BD" w:rsidRPr="00B86BE6">
        <w:t>ay the museum tried to acculturate</w:t>
      </w:r>
      <w:r w:rsidRPr="00B86BE6">
        <w:t xml:space="preserve"> </w:t>
      </w:r>
      <w:r w:rsidR="00B511BD" w:rsidRPr="00B86BE6">
        <w:t>its visitors over the years</w:t>
      </w:r>
      <w:r w:rsidR="009A6A14" w:rsidRPr="00B86BE6">
        <w:t>, [until]</w:t>
      </w:r>
      <w:r w:rsidR="00B511BD" w:rsidRPr="00B86BE6">
        <w:t xml:space="preserve"> </w:t>
      </w:r>
      <w:r w:rsidRPr="00B86BE6">
        <w:t>there began to be an expansion of the canon of what is ‘beautiful.’ Beginning in 1985, or 84, we b</w:t>
      </w:r>
      <w:r w:rsidR="00B511BD" w:rsidRPr="00B86BE6">
        <w:t>e</w:t>
      </w:r>
      <w:r w:rsidRPr="00B86BE6">
        <w:t xml:space="preserve">gan to </w:t>
      </w:r>
      <w:r w:rsidR="00B511BD" w:rsidRPr="00B86BE6">
        <w:t>be much more interested, pursue</w:t>
      </w:r>
      <w:r w:rsidRPr="00B86BE6">
        <w:t>d objects with much more vigor since and now five different curatorial departments co</w:t>
      </w:r>
      <w:r w:rsidR="00B511BD" w:rsidRPr="00B86BE6">
        <w:t xml:space="preserve">llect Native American materials.” </w:t>
      </w:r>
    </w:p>
    <w:p w:rsidR="001E0C20" w:rsidRPr="00B86BE6" w:rsidRDefault="001E0C20" w:rsidP="001E0C20"/>
    <w:p w:rsidR="00420DAC" w:rsidRPr="00B86BE6" w:rsidRDefault="00420DAC" w:rsidP="00FC4A78">
      <w:pPr>
        <w:ind w:firstLine="720"/>
      </w:pPr>
      <w:r w:rsidRPr="00B86BE6">
        <w:t xml:space="preserve">But when it comes to showcasing Boston’s diversity, one curator admits, “the museum is still behind the curve.” </w:t>
      </w:r>
      <w:r w:rsidR="00AF5446" w:rsidRPr="00B86BE6">
        <w:t xml:space="preserve">How much progress gets made often depends on how </w:t>
      </w:r>
      <w:r w:rsidR="00946BE8" w:rsidRPr="00B86BE6">
        <w:t xml:space="preserve">vocal a particular immigrant </w:t>
      </w:r>
      <w:r w:rsidR="0098728A" w:rsidRPr="00B86BE6">
        <w:t>community is and</w:t>
      </w:r>
      <w:r w:rsidR="00946BE8" w:rsidRPr="00B86BE6">
        <w:t xml:space="preserve"> how much money it has.  </w:t>
      </w:r>
      <w:r w:rsidR="00160011" w:rsidRPr="00B86BE6">
        <w:t xml:space="preserve">Some complain, for example, that the MFA does more </w:t>
      </w:r>
      <w:r w:rsidR="00AF5446" w:rsidRPr="00B86BE6">
        <w:t xml:space="preserve">on contemporary South Asian </w:t>
      </w:r>
      <w:r w:rsidR="00160011" w:rsidRPr="00B86BE6">
        <w:t xml:space="preserve">than about </w:t>
      </w:r>
      <w:r w:rsidR="00E910D1" w:rsidRPr="00B86BE6">
        <w:t xml:space="preserve">work from </w:t>
      </w:r>
      <w:r w:rsidR="00AF5446" w:rsidRPr="00B86BE6">
        <w:t xml:space="preserve">other regions </w:t>
      </w:r>
      <w:r w:rsidR="00160011" w:rsidRPr="00B86BE6">
        <w:t xml:space="preserve">because the community is </w:t>
      </w:r>
      <w:r w:rsidR="0098728A" w:rsidRPr="00B86BE6">
        <w:t>wealthier</w:t>
      </w:r>
      <w:r w:rsidR="00AF5446" w:rsidRPr="00B86BE6">
        <w:t xml:space="preserve"> and more organized</w:t>
      </w:r>
      <w:r w:rsidR="00160011" w:rsidRPr="00B86BE6">
        <w:t xml:space="preserve">. </w:t>
      </w:r>
      <w:r w:rsidRPr="00B86BE6">
        <w:t xml:space="preserve">In </w:t>
      </w:r>
      <w:r w:rsidR="00E910D1" w:rsidRPr="00B86BE6">
        <w:t xml:space="preserve">November 2011, however, the Museum </w:t>
      </w:r>
      <w:r w:rsidRPr="00B86BE6">
        <w:t>took a</w:t>
      </w:r>
      <w:r w:rsidR="00E910D1" w:rsidRPr="00B86BE6">
        <w:t xml:space="preserve">n important </w:t>
      </w:r>
      <w:r w:rsidRPr="00B86BE6">
        <w:t xml:space="preserve">step </w:t>
      </w:r>
      <w:r w:rsidR="00FC4A78" w:rsidRPr="00B86BE6">
        <w:t xml:space="preserve">toward filling one of its most </w:t>
      </w:r>
      <w:r w:rsidRPr="00B86BE6">
        <w:t xml:space="preserve">conspicuous gaps </w:t>
      </w:r>
      <w:r w:rsidR="00644C90" w:rsidRPr="00B86BE6">
        <w:t xml:space="preserve">by acquiring </w:t>
      </w:r>
      <w:r w:rsidRPr="00B86BE6">
        <w:t>67 works by African-American and Afro-Brazilian artists.</w:t>
      </w:r>
      <w:r w:rsidR="00644C90" w:rsidRPr="00B86BE6">
        <w:rPr>
          <w:rStyle w:val="EndnoteReference"/>
        </w:rPr>
        <w:endnoteReference w:id="64"/>
      </w:r>
      <w:r w:rsidRPr="00B86BE6">
        <w:t xml:space="preserve"> </w:t>
      </w:r>
      <w:r w:rsidR="00FC4A78" w:rsidRPr="00B86BE6">
        <w:t xml:space="preserve">According to </w:t>
      </w:r>
      <w:r w:rsidRPr="00B86BE6">
        <w:t>Bostwick Davis</w:t>
      </w:r>
      <w:r w:rsidR="0098728A" w:rsidRPr="00B86BE6">
        <w:t>,</w:t>
      </w:r>
      <w:r w:rsidRPr="00B86BE6">
        <w:t xml:space="preserve"> such works “greatly enhance the MFA’s Art of the Americas holdings, allowing us to tell the broader story of American art</w:t>
      </w:r>
      <w:r w:rsidR="00FC4A78" w:rsidRPr="00B86BE6">
        <w:t>.”</w:t>
      </w:r>
    </w:p>
    <w:p w:rsidR="005E457A" w:rsidRPr="00B86BE6" w:rsidRDefault="005E457A" w:rsidP="001E0C20"/>
    <w:p w:rsidR="002E3B55" w:rsidRPr="00B86BE6" w:rsidRDefault="00FD1339" w:rsidP="0098728A">
      <w:pPr>
        <w:ind w:firstLine="720"/>
      </w:pPr>
      <w:r w:rsidRPr="00B86BE6">
        <w:t xml:space="preserve">And what about creating global citizens? </w:t>
      </w:r>
      <w:r w:rsidR="005E457A" w:rsidRPr="00B86BE6">
        <w:t xml:space="preserve"> </w:t>
      </w:r>
      <w:r w:rsidR="00554D7E" w:rsidRPr="00B86BE6">
        <w:t xml:space="preserve">According to </w:t>
      </w:r>
      <w:r w:rsidR="00AF5446" w:rsidRPr="00B86BE6">
        <w:t xml:space="preserve">Curator of Education </w:t>
      </w:r>
      <w:r w:rsidR="005E457A" w:rsidRPr="00B86BE6">
        <w:t>Barbara Martin</w:t>
      </w:r>
      <w:r w:rsidR="00554D7E" w:rsidRPr="00B86BE6">
        <w:t xml:space="preserve">, the museum is changing and, </w:t>
      </w:r>
      <w:r w:rsidR="00FC4A78" w:rsidRPr="00B86BE6">
        <w:t xml:space="preserve">taken </w:t>
      </w:r>
      <w:r w:rsidR="005E457A" w:rsidRPr="00B86BE6">
        <w:t xml:space="preserve">together, </w:t>
      </w:r>
      <w:r w:rsidR="00FC4A78" w:rsidRPr="00B86BE6">
        <w:t>these changes add up over time. “</w:t>
      </w:r>
      <w:r w:rsidR="005E457A" w:rsidRPr="00B86BE6">
        <w:t>If we effec</w:t>
      </w:r>
      <w:r w:rsidR="002E3B55" w:rsidRPr="00B86BE6">
        <w:t>tively communicate the human dimension of the art from e</w:t>
      </w:r>
      <w:r w:rsidR="005E457A" w:rsidRPr="00B86BE6">
        <w:t>a</w:t>
      </w:r>
      <w:r w:rsidR="002E3B55" w:rsidRPr="00B86BE6">
        <w:t>c</w:t>
      </w:r>
      <w:r w:rsidR="005E457A" w:rsidRPr="00B86BE6">
        <w:t xml:space="preserve">h culture </w:t>
      </w:r>
      <w:r w:rsidR="007E7DC1" w:rsidRPr="00B86BE6">
        <w:t xml:space="preserve">and </w:t>
      </w:r>
      <w:r w:rsidR="005E457A" w:rsidRPr="00B86BE6">
        <w:t>that then cum</w:t>
      </w:r>
      <w:r w:rsidR="008F75E9" w:rsidRPr="00B86BE6">
        <w:t>ulativel</w:t>
      </w:r>
      <w:r w:rsidR="0098728A" w:rsidRPr="00B86BE6">
        <w:t>y leads you to those clicks—‘</w:t>
      </w:r>
      <w:r w:rsidR="002E3B55" w:rsidRPr="00B86BE6">
        <w:t>oh</w:t>
      </w:r>
      <w:r w:rsidR="0098728A" w:rsidRPr="00B86BE6">
        <w:t xml:space="preserve">, that’s what I do,’ </w:t>
      </w:r>
      <w:r w:rsidR="002E3B55" w:rsidRPr="00B86BE6">
        <w:t xml:space="preserve">or </w:t>
      </w:r>
      <w:r w:rsidR="0098728A" w:rsidRPr="00B86BE6">
        <w:t>‘</w:t>
      </w:r>
      <w:r w:rsidR="008F75E9" w:rsidRPr="00B86BE6">
        <w:t>that’s what my grandfather used to say</w:t>
      </w:r>
      <w:r w:rsidR="0098728A" w:rsidRPr="00B86BE6">
        <w:t>’—</w:t>
      </w:r>
      <w:r w:rsidR="008F75E9" w:rsidRPr="00B86BE6">
        <w:t xml:space="preserve"> </w:t>
      </w:r>
      <w:r w:rsidR="002E3B55" w:rsidRPr="00B86BE6">
        <w:t>that leads you to a resona</w:t>
      </w:r>
      <w:r w:rsidR="00753EDE" w:rsidRPr="00B86BE6">
        <w:t>nce across cultures</w:t>
      </w:r>
      <w:r w:rsidR="00E910D1" w:rsidRPr="00B86BE6">
        <w:t>.</w:t>
      </w:r>
      <w:r w:rsidR="00160011" w:rsidRPr="00B86BE6">
        <w:t>”</w:t>
      </w:r>
    </w:p>
    <w:p w:rsidR="00604955" w:rsidRPr="00B86BE6" w:rsidRDefault="00604955" w:rsidP="002E3B55"/>
    <w:p w:rsidR="00B86BE6" w:rsidRDefault="00B86BE6" w:rsidP="0009629F">
      <w:pPr>
        <w:rPr>
          <w:b/>
        </w:rPr>
      </w:pPr>
      <w:r>
        <w:rPr>
          <w:b/>
        </w:rPr>
        <w:t>Brooklyn an</w:t>
      </w:r>
      <w:r w:rsidRPr="00B86BE6">
        <w:rPr>
          <w:b/>
        </w:rPr>
        <w:t>d Bey</w:t>
      </w:r>
      <w:r>
        <w:rPr>
          <w:b/>
        </w:rPr>
        <w:t>ond: Helping People Make Sense of the World t</w:t>
      </w:r>
      <w:r w:rsidRPr="00B86BE6">
        <w:rPr>
          <w:b/>
        </w:rPr>
        <w:t>hrough Art</w:t>
      </w:r>
    </w:p>
    <w:p w:rsidR="0009629F" w:rsidRPr="00B86BE6" w:rsidRDefault="0009629F" w:rsidP="0009629F">
      <w:pPr>
        <w:rPr>
          <w:b/>
        </w:rPr>
      </w:pPr>
    </w:p>
    <w:p w:rsidR="00C77E8A" w:rsidRPr="00B86BE6" w:rsidRDefault="00870A91" w:rsidP="00870A91">
      <w:r w:rsidRPr="00B86BE6">
        <w:t xml:space="preserve">In 1823, a group of civic-minded </w:t>
      </w:r>
      <w:r w:rsidR="004B0774" w:rsidRPr="00B86BE6">
        <w:t>Brooklyn residents established t</w:t>
      </w:r>
      <w:r w:rsidRPr="00B86BE6">
        <w:t xml:space="preserve">he Apprentices’ Library Association so that working men and boys could learn </w:t>
      </w:r>
      <w:r w:rsidR="008412AC" w:rsidRPr="00B86BE6">
        <w:t xml:space="preserve">trade </w:t>
      </w:r>
      <w:r w:rsidRPr="00B86BE6">
        <w:t xml:space="preserve">skills, be exposed to the broader intellectual currents of the day, and </w:t>
      </w:r>
      <w:r w:rsidR="00C77E8A" w:rsidRPr="00B86BE6">
        <w:t>stay out of trouble</w:t>
      </w:r>
      <w:r w:rsidRPr="00B86BE6">
        <w:t xml:space="preserve">. </w:t>
      </w:r>
      <w:r w:rsidR="008412AC" w:rsidRPr="00B86BE6">
        <w:t>As Brooklyn’s population grew from 15,000 in 1830 to 267,000 by 1860, t</w:t>
      </w:r>
      <w:r w:rsidR="00004BFC" w:rsidRPr="00B86BE6">
        <w:t xml:space="preserve">hey worried </w:t>
      </w:r>
      <w:r w:rsidR="00C77E8A" w:rsidRPr="00B86BE6">
        <w:t xml:space="preserve">that the Irish, English, and German immigrants pouring into their </w:t>
      </w:r>
      <w:r w:rsidRPr="00B86BE6">
        <w:t>city</w:t>
      </w:r>
      <w:r w:rsidR="00AF5446" w:rsidRPr="00B86BE6">
        <w:t xml:space="preserve"> would be a bad influence</w:t>
      </w:r>
      <w:r w:rsidR="00160011" w:rsidRPr="00B86BE6">
        <w:t>.</w:t>
      </w:r>
      <w:r w:rsidRPr="00B86BE6">
        <w:t xml:space="preserve"> By the mid 1800s, immigrants m</w:t>
      </w:r>
      <w:r w:rsidR="00AF5446" w:rsidRPr="00B86BE6">
        <w:t xml:space="preserve">ade up nearly 50 percent of the borough’s </w:t>
      </w:r>
      <w:r w:rsidRPr="00B86BE6">
        <w:t>population</w:t>
      </w:r>
      <w:r w:rsidR="00004BFC" w:rsidRPr="00B86BE6">
        <w:t>.</w:t>
      </w:r>
      <w:r w:rsidR="00004BFC" w:rsidRPr="00B86BE6">
        <w:rPr>
          <w:rStyle w:val="EndnoteReference"/>
        </w:rPr>
        <w:endnoteReference w:id="65"/>
      </w:r>
      <w:r w:rsidRPr="00B86BE6">
        <w:t xml:space="preserve"> The Library’s art collection, which included </w:t>
      </w:r>
      <w:r w:rsidR="005B6A2C" w:rsidRPr="00B86BE6">
        <w:t xml:space="preserve">just </w:t>
      </w:r>
      <w:r w:rsidRPr="00B86BE6">
        <w:t xml:space="preserve">17 paintings, would later become the Brooklyn Museum of Art.  </w:t>
      </w:r>
    </w:p>
    <w:p w:rsidR="00C77E8A" w:rsidRPr="00B86BE6" w:rsidRDefault="00C77E8A" w:rsidP="00870A91"/>
    <w:p w:rsidR="00870A91" w:rsidRPr="00B86BE6" w:rsidRDefault="00870A91" w:rsidP="00C77E8A">
      <w:pPr>
        <w:ind w:firstLine="720"/>
      </w:pPr>
      <w:r w:rsidRPr="00B86BE6">
        <w:t>Augustus Graham, a prominent philanthropist, pur</w:t>
      </w:r>
      <w:r w:rsidR="00004BFC" w:rsidRPr="00B86BE6">
        <w:t xml:space="preserve">chased some of its first </w:t>
      </w:r>
      <w:r w:rsidR="005B6A2C" w:rsidRPr="00B86BE6">
        <w:t>holdings</w:t>
      </w:r>
      <w:r w:rsidRPr="00B86BE6">
        <w:t xml:space="preserve">. Born in 1776, Graham emigrated from England </w:t>
      </w:r>
      <w:r w:rsidR="00004BFC" w:rsidRPr="00B86BE6">
        <w:t xml:space="preserve">to Baltimore </w:t>
      </w:r>
      <w:r w:rsidRPr="00B86BE6">
        <w:t xml:space="preserve">as a young man. </w:t>
      </w:r>
      <w:r w:rsidR="00004BFC" w:rsidRPr="00B86BE6">
        <w:t xml:space="preserve">In the early 1800s, Graham met </w:t>
      </w:r>
      <w:r w:rsidRPr="00B86BE6">
        <w:t>John Bell, a yo</w:t>
      </w:r>
      <w:r w:rsidR="00C77E8A" w:rsidRPr="00B86BE6">
        <w:t xml:space="preserve">ung Scot from Northern Ireland.  The two </w:t>
      </w:r>
      <w:r w:rsidRPr="00B86BE6">
        <w:t>decided to “unite their capital, adopt a kindred name and relation,”—to masquerade as brothers—“and proceed further north in quest of better fortunes.” Graham left h</w:t>
      </w:r>
      <w:r w:rsidR="00004BFC" w:rsidRPr="00B86BE6">
        <w:t>is wife and two children behind, al</w:t>
      </w:r>
      <w:r w:rsidRPr="00B86BE6">
        <w:t>though h</w:t>
      </w:r>
      <w:r w:rsidR="00004BFC" w:rsidRPr="00B86BE6">
        <w:t>e continued to provide for them</w:t>
      </w:r>
      <w:r w:rsidRPr="00B86BE6">
        <w:t xml:space="preserve">, and </w:t>
      </w:r>
      <w:r w:rsidR="005B6A2C" w:rsidRPr="00B86BE6">
        <w:t xml:space="preserve">eventually started the brewery that made them rich. </w:t>
      </w:r>
      <w:r w:rsidR="00160011" w:rsidRPr="00B86BE6">
        <w:t>Some believe</w:t>
      </w:r>
      <w:r w:rsidRPr="00B86BE6">
        <w:t xml:space="preserve"> that Graham and Bell were romantically involved, living together as a loving couple under the guise </w:t>
      </w:r>
      <w:r w:rsidR="00160011" w:rsidRPr="00B86BE6">
        <w:t>of brotherhood for many decades</w:t>
      </w:r>
      <w:r w:rsidRPr="00B86BE6">
        <w:t>.</w:t>
      </w:r>
      <w:r w:rsidRPr="00B86BE6">
        <w:rPr>
          <w:rStyle w:val="EndnoteReference"/>
          <w:rFonts w:eastAsia="Calibri"/>
        </w:rPr>
        <w:endnoteReference w:id="66"/>
      </w:r>
    </w:p>
    <w:p w:rsidR="00004BFC" w:rsidRPr="00B86BE6" w:rsidRDefault="00004BFC" w:rsidP="00870A91">
      <w:pPr>
        <w:ind w:firstLine="720"/>
      </w:pPr>
    </w:p>
    <w:p w:rsidR="005D1C63" w:rsidRPr="00B86BE6" w:rsidRDefault="00160011" w:rsidP="00870A91">
      <w:pPr>
        <w:ind w:firstLine="720"/>
      </w:pPr>
      <w:r w:rsidRPr="00B86BE6">
        <w:t xml:space="preserve">In 1822, </w:t>
      </w:r>
      <w:r w:rsidR="00D350DF" w:rsidRPr="00B86BE6">
        <w:t xml:space="preserve">the now wealthy </w:t>
      </w:r>
      <w:r w:rsidR="0051065E" w:rsidRPr="00B86BE6">
        <w:t xml:space="preserve">Graham </w:t>
      </w:r>
      <w:r w:rsidR="00870A91" w:rsidRPr="00B86BE6">
        <w:t xml:space="preserve">retired from the alcohol </w:t>
      </w:r>
      <w:r w:rsidR="00D350DF" w:rsidRPr="00B86BE6">
        <w:t>industry</w:t>
      </w:r>
      <w:r w:rsidR="00870A91" w:rsidRPr="00B86BE6">
        <w:t>—but not from bu</w:t>
      </w:r>
      <w:r w:rsidR="0051065E" w:rsidRPr="00B86BE6">
        <w:t xml:space="preserve">siness or public life.  He and Bell decided to </w:t>
      </w:r>
      <w:r w:rsidR="00870A91" w:rsidRPr="00B86BE6">
        <w:t xml:space="preserve">devote </w:t>
      </w:r>
      <w:r w:rsidR="0035373A" w:rsidRPr="00B86BE6">
        <w:t>t</w:t>
      </w:r>
      <w:r w:rsidR="005C07D6" w:rsidRPr="00B86BE6">
        <w:t xml:space="preserve">heir fortune to public service, in what also </w:t>
      </w:r>
      <w:r w:rsidR="0035373A" w:rsidRPr="00B86BE6">
        <w:t xml:space="preserve">proved to be a good </w:t>
      </w:r>
      <w:r w:rsidR="005C07D6" w:rsidRPr="00B86BE6">
        <w:t xml:space="preserve">business venture. While Graham opened a </w:t>
      </w:r>
      <w:r w:rsidR="00870A91" w:rsidRPr="00B86BE6">
        <w:t>paint factory</w:t>
      </w:r>
      <w:r w:rsidRPr="00B86BE6">
        <w:t xml:space="preserve"> because he wanted</w:t>
      </w:r>
      <w:r w:rsidR="00E910D1" w:rsidRPr="00B86BE6">
        <w:t xml:space="preserve"> to give jobs to </w:t>
      </w:r>
      <w:r w:rsidR="00870A91" w:rsidRPr="00B86BE6">
        <w:t>out-of-</w:t>
      </w:r>
      <w:r w:rsidR="00004BFC" w:rsidRPr="00B86BE6">
        <w:t>work Brooklynites</w:t>
      </w:r>
      <w:r w:rsidRPr="00B86BE6">
        <w:t xml:space="preserve">, the business took off, </w:t>
      </w:r>
      <w:r w:rsidR="00E910D1" w:rsidRPr="00B86BE6">
        <w:t xml:space="preserve">enabling him to become an even more </w:t>
      </w:r>
      <w:r w:rsidRPr="00B86BE6">
        <w:t xml:space="preserve">active philanthropist. </w:t>
      </w:r>
      <w:r w:rsidR="00004BFC" w:rsidRPr="00B86BE6">
        <w:t xml:space="preserve">Because he disapproved </w:t>
      </w:r>
      <w:r w:rsidR="00870A91" w:rsidRPr="00B86BE6">
        <w:t xml:space="preserve">of his young workers’ devotion to grog and gambling, </w:t>
      </w:r>
      <w:r w:rsidR="00D350DF" w:rsidRPr="00B86BE6">
        <w:t>the former liquor producer</w:t>
      </w:r>
      <w:r w:rsidRPr="00B86BE6">
        <w:t xml:space="preserve"> </w:t>
      </w:r>
      <w:r w:rsidR="00870A91" w:rsidRPr="00B86BE6">
        <w:t>joined the nascent radical temperance movement and in 1824 founded the Apprentices’ Library as an alternative to saloons and other dens of vice. Over the next two decades, the Library grew into an Institute</w:t>
      </w:r>
      <w:r w:rsidR="00C77E8A" w:rsidRPr="00B86BE6">
        <w:t>,</w:t>
      </w:r>
      <w:r w:rsidR="00870A91" w:rsidRPr="00B86BE6">
        <w:t xml:space="preserve"> </w:t>
      </w:r>
      <w:r w:rsidR="00113C9C" w:rsidRPr="00B86BE6">
        <w:t xml:space="preserve">even </w:t>
      </w:r>
      <w:r w:rsidR="00004BFC" w:rsidRPr="00B86BE6">
        <w:t xml:space="preserve">offering </w:t>
      </w:r>
      <w:r w:rsidR="00870A91" w:rsidRPr="00B86BE6">
        <w:t xml:space="preserve">evening </w:t>
      </w:r>
      <w:r w:rsidR="00C77E8A" w:rsidRPr="00B86BE6">
        <w:t>art classes</w:t>
      </w:r>
      <w:r w:rsidR="00870A91" w:rsidRPr="00B86BE6">
        <w:t xml:space="preserve">, not </w:t>
      </w:r>
      <w:r w:rsidR="00113C9C" w:rsidRPr="00B86BE6">
        <w:t xml:space="preserve">an opportunity </w:t>
      </w:r>
      <w:r w:rsidR="00870A91" w:rsidRPr="00B86BE6">
        <w:t>young workers in the mid-19</w:t>
      </w:r>
      <w:r w:rsidR="00870A91" w:rsidRPr="00B86BE6">
        <w:rPr>
          <w:vertAlign w:val="superscript"/>
        </w:rPr>
        <w:t>th</w:t>
      </w:r>
      <w:r w:rsidR="001360C9" w:rsidRPr="00B86BE6">
        <w:t xml:space="preserve"> century</w:t>
      </w:r>
      <w:r w:rsidR="00C77E8A" w:rsidRPr="00B86BE6">
        <w:t xml:space="preserve"> usually </w:t>
      </w:r>
      <w:r w:rsidR="00AF5446" w:rsidRPr="00B86BE6">
        <w:t>enjoyed</w:t>
      </w:r>
      <w:r w:rsidR="00113C9C" w:rsidRPr="00B86BE6">
        <w:t>. The Institute</w:t>
      </w:r>
      <w:r w:rsidR="001360C9" w:rsidRPr="00B86BE6">
        <w:t xml:space="preserve"> also </w:t>
      </w:r>
      <w:r w:rsidR="00870A91" w:rsidRPr="00B86BE6">
        <w:t xml:space="preserve">laid </w:t>
      </w:r>
      <w:r w:rsidR="00E910D1" w:rsidRPr="00B86BE6">
        <w:t xml:space="preserve">the cornerstone for </w:t>
      </w:r>
      <w:r w:rsidR="005C07D6" w:rsidRPr="00B86BE6">
        <w:t xml:space="preserve">the gallery </w:t>
      </w:r>
      <w:r w:rsidR="00AD15F5" w:rsidRPr="00B86BE6">
        <w:t xml:space="preserve">Graham, </w:t>
      </w:r>
      <w:r w:rsidR="00870A91" w:rsidRPr="00B86BE6">
        <w:t>endowed in his will</w:t>
      </w:r>
      <w:r w:rsidR="00AD15F5" w:rsidRPr="00B86BE6">
        <w:t>,</w:t>
      </w:r>
      <w:r w:rsidR="00E910D1" w:rsidRPr="00B86BE6">
        <w:t xml:space="preserve"> which </w:t>
      </w:r>
      <w:r w:rsidR="00133BA1" w:rsidRPr="00B86BE6">
        <w:t xml:space="preserve">was to </w:t>
      </w:r>
      <w:r w:rsidR="00AD15F5" w:rsidRPr="00B86BE6">
        <w:t>beco</w:t>
      </w:r>
      <w:r w:rsidR="005C07D6" w:rsidRPr="00B86BE6">
        <w:t>me the Brooklyn Museum</w:t>
      </w:r>
      <w:r w:rsidR="005D1C63" w:rsidRPr="00B86BE6">
        <w:t>.</w:t>
      </w:r>
      <w:r w:rsidR="005D1C63" w:rsidRPr="00B86BE6">
        <w:rPr>
          <w:rStyle w:val="EndnoteReference"/>
        </w:rPr>
        <w:endnoteReference w:id="67"/>
      </w:r>
    </w:p>
    <w:p w:rsidR="001360C9" w:rsidRPr="00B86BE6" w:rsidRDefault="001360C9" w:rsidP="00870A91">
      <w:pPr>
        <w:ind w:firstLine="720"/>
      </w:pPr>
    </w:p>
    <w:p w:rsidR="00EA75F2" w:rsidRPr="00B86BE6" w:rsidRDefault="001360C9" w:rsidP="00EA75F2">
      <w:pPr>
        <w:ind w:firstLine="720"/>
        <w:rPr>
          <w:rFonts w:eastAsiaTheme="minorEastAsia" w:cs="Arial"/>
          <w:color w:val="262626"/>
        </w:rPr>
      </w:pPr>
      <w:r w:rsidRPr="00B86BE6">
        <w:rPr>
          <w:rFonts w:eastAsiaTheme="minorEastAsia" w:cs="Arial"/>
          <w:color w:val="262626"/>
        </w:rPr>
        <w:t xml:space="preserve">By </w:t>
      </w:r>
      <w:r w:rsidR="00133BA1" w:rsidRPr="00B86BE6">
        <w:rPr>
          <w:rFonts w:eastAsiaTheme="minorEastAsia" w:cs="Arial"/>
          <w:color w:val="262626"/>
        </w:rPr>
        <w:t>1890, t</w:t>
      </w:r>
      <w:r w:rsidR="009E70FC" w:rsidRPr="00B86BE6">
        <w:rPr>
          <w:rFonts w:eastAsiaTheme="minorEastAsia" w:cs="Arial"/>
          <w:color w:val="262626"/>
        </w:rPr>
        <w:t xml:space="preserve">he </w:t>
      </w:r>
      <w:r w:rsidR="00EA75F2" w:rsidRPr="00B86BE6">
        <w:rPr>
          <w:rFonts w:eastAsiaTheme="minorEastAsia" w:cs="Arial"/>
          <w:color w:val="262626"/>
        </w:rPr>
        <w:t>Brooklyn</w:t>
      </w:r>
      <w:r w:rsidR="00E910D1" w:rsidRPr="00B86BE6">
        <w:rPr>
          <w:rFonts w:eastAsiaTheme="minorEastAsia" w:cs="Arial"/>
          <w:color w:val="262626"/>
        </w:rPr>
        <w:t xml:space="preserve"> Institute of Art and Sciences </w:t>
      </w:r>
      <w:r w:rsidR="009E70FC" w:rsidRPr="00B86BE6">
        <w:rPr>
          <w:rFonts w:eastAsiaTheme="minorEastAsia" w:cs="Arial"/>
          <w:color w:val="262626"/>
        </w:rPr>
        <w:t xml:space="preserve">was </w:t>
      </w:r>
      <w:r w:rsidR="00C77E8A" w:rsidRPr="00B86BE6">
        <w:rPr>
          <w:rFonts w:eastAsiaTheme="minorEastAsia" w:cs="Arial"/>
          <w:color w:val="262626"/>
        </w:rPr>
        <w:t xml:space="preserve">the parent organization of </w:t>
      </w:r>
      <w:r w:rsidR="00EA75F2" w:rsidRPr="00B86BE6">
        <w:rPr>
          <w:rFonts w:eastAsiaTheme="minorEastAsia" w:cs="Arial"/>
          <w:color w:val="262626"/>
        </w:rPr>
        <w:t>the Brooklyn Museum, the Brooklyn Academy of Music, the Botanical Garden</w:t>
      </w:r>
      <w:r w:rsidR="00133BA1" w:rsidRPr="00B86BE6">
        <w:rPr>
          <w:rFonts w:eastAsiaTheme="minorEastAsia" w:cs="Arial"/>
          <w:color w:val="262626"/>
        </w:rPr>
        <w:t>,</w:t>
      </w:r>
      <w:r w:rsidR="00EA75F2" w:rsidRPr="00B86BE6">
        <w:rPr>
          <w:rFonts w:eastAsiaTheme="minorEastAsia" w:cs="Arial"/>
          <w:color w:val="262626"/>
        </w:rPr>
        <w:t xml:space="preserve"> and the Brooklyn Children’s Museum.  When fire destroyed </w:t>
      </w:r>
      <w:r w:rsidR="009E70FC" w:rsidRPr="00B86BE6">
        <w:rPr>
          <w:rFonts w:eastAsiaTheme="minorEastAsia" w:cs="Arial"/>
          <w:color w:val="262626"/>
        </w:rPr>
        <w:t xml:space="preserve">its </w:t>
      </w:r>
      <w:r w:rsidR="00EA75F2" w:rsidRPr="00B86BE6">
        <w:rPr>
          <w:rFonts w:eastAsiaTheme="minorEastAsia" w:cs="Arial"/>
          <w:color w:val="262626"/>
        </w:rPr>
        <w:t xml:space="preserve">original building, the trustees </w:t>
      </w:r>
      <w:r w:rsidR="00C77E8A" w:rsidRPr="00B86BE6">
        <w:rPr>
          <w:rFonts w:eastAsiaTheme="minorEastAsia" w:cs="Arial"/>
          <w:color w:val="262626"/>
        </w:rPr>
        <w:t xml:space="preserve">built </w:t>
      </w:r>
      <w:r w:rsidR="00EA75F2" w:rsidRPr="00B86BE6">
        <w:rPr>
          <w:rFonts w:eastAsiaTheme="minorEastAsia" w:cs="Arial"/>
          <w:color w:val="262626"/>
        </w:rPr>
        <w:t>a great, new museum next to Prospect Park.  The Museum of the Brooklyn Institute of Arts and Sciences was to be a “Museum for Everything for Everybody</w:t>
      </w:r>
      <w:r w:rsidR="00985E38" w:rsidRPr="00B86BE6">
        <w:rPr>
          <w:rFonts w:eastAsiaTheme="minorEastAsia" w:cs="Arial"/>
          <w:color w:val="262626"/>
        </w:rPr>
        <w:t>.</w:t>
      </w:r>
      <w:r w:rsidRPr="00B86BE6">
        <w:rPr>
          <w:rFonts w:eastAsiaTheme="minorEastAsia" w:cs="Arial"/>
          <w:color w:val="262626"/>
        </w:rPr>
        <w:t>”</w:t>
      </w:r>
      <w:r w:rsidRPr="00B86BE6">
        <w:rPr>
          <w:rStyle w:val="EndnoteReference"/>
          <w:rFonts w:eastAsiaTheme="minorEastAsia" w:cs="Arial"/>
          <w:color w:val="262626"/>
        </w:rPr>
        <w:endnoteReference w:id="68"/>
      </w:r>
      <w:r w:rsidRPr="00B86BE6">
        <w:rPr>
          <w:rFonts w:eastAsiaTheme="minorEastAsia" w:cs="Arial"/>
          <w:color w:val="262626"/>
        </w:rPr>
        <w:t xml:space="preserve"> </w:t>
      </w:r>
      <w:r w:rsidR="00985E38" w:rsidRPr="00B86BE6">
        <w:rPr>
          <w:rFonts w:eastAsiaTheme="minorEastAsia" w:cs="Arial"/>
          <w:color w:val="262626"/>
        </w:rPr>
        <w:t>None, according to Augustus Healey, the President of the Board of Trustees, were “to be more welcome than the tired mechanic or the laboring man or domestic of our household who comes to the Museum for recreation or enjoyment, or to gain a little knowledge that is elsewhere inaccessible to him of the secrets of nature or the triumphs of art</w:t>
      </w:r>
      <w:r w:rsidRPr="00B86BE6">
        <w:rPr>
          <w:rFonts w:eastAsiaTheme="minorEastAsia" w:cs="Arial"/>
          <w:color w:val="262626"/>
        </w:rPr>
        <w:t xml:space="preserve">.” </w:t>
      </w:r>
      <w:r w:rsidRPr="00B86BE6">
        <w:rPr>
          <w:rStyle w:val="EndnoteReference"/>
          <w:rFonts w:eastAsiaTheme="minorEastAsia" w:cs="Arial"/>
          <w:color w:val="262626"/>
        </w:rPr>
        <w:endnoteReference w:id="69"/>
      </w:r>
    </w:p>
    <w:p w:rsidR="00EA75F2" w:rsidRPr="00B86BE6" w:rsidRDefault="00EA75F2" w:rsidP="00EA75F2">
      <w:pPr>
        <w:ind w:firstLine="720"/>
        <w:rPr>
          <w:rFonts w:eastAsiaTheme="minorEastAsia" w:cs="Arial"/>
          <w:color w:val="262626"/>
        </w:rPr>
      </w:pPr>
    </w:p>
    <w:p w:rsidR="005C07D6" w:rsidRPr="00B86BE6" w:rsidRDefault="009E70FC" w:rsidP="005C07D6">
      <w:pPr>
        <w:widowControl w:val="0"/>
        <w:autoSpaceDE w:val="0"/>
        <w:autoSpaceDN w:val="0"/>
        <w:adjustRightInd w:val="0"/>
        <w:ind w:firstLine="720"/>
        <w:rPr>
          <w:rFonts w:eastAsia="ＭＳ 明朝" w:cs="Arial"/>
          <w:color w:val="1A1A1A"/>
          <w:sz w:val="26"/>
          <w:szCs w:val="26"/>
        </w:rPr>
      </w:pPr>
      <w:r w:rsidRPr="00B86BE6">
        <w:rPr>
          <w:rFonts w:eastAsia="ＭＳ 明朝"/>
        </w:rPr>
        <w:t>When the</w:t>
      </w:r>
      <w:r w:rsidR="005C07D6" w:rsidRPr="00B86BE6">
        <w:rPr>
          <w:rFonts w:eastAsia="ＭＳ 明朝"/>
        </w:rPr>
        <w:t xml:space="preserve"> first wing of</w:t>
      </w:r>
      <w:r w:rsidRPr="00B86BE6">
        <w:rPr>
          <w:rFonts w:eastAsia="ＭＳ 明朝"/>
        </w:rPr>
        <w:t xml:space="preserve"> </w:t>
      </w:r>
      <w:r w:rsidR="00160011" w:rsidRPr="00B86BE6">
        <w:rPr>
          <w:rFonts w:eastAsia="ＭＳ 明朝"/>
        </w:rPr>
        <w:t xml:space="preserve">the </w:t>
      </w:r>
      <w:r w:rsidR="00985E38" w:rsidRPr="00B86BE6">
        <w:rPr>
          <w:rFonts w:eastAsia="ＭＳ 明朝"/>
        </w:rPr>
        <w:t xml:space="preserve">new building </w:t>
      </w:r>
      <w:r w:rsidR="0009629F" w:rsidRPr="00B86BE6">
        <w:rPr>
          <w:rFonts w:eastAsia="ＭＳ 明朝"/>
        </w:rPr>
        <w:t xml:space="preserve">opened in </w:t>
      </w:r>
      <w:r w:rsidR="0009629F" w:rsidRPr="00B86BE6">
        <w:t>1893</w:t>
      </w:r>
      <w:r w:rsidRPr="00B86BE6">
        <w:t xml:space="preserve">, </w:t>
      </w:r>
      <w:r w:rsidR="0009629F" w:rsidRPr="00B86BE6">
        <w:t>Brookly</w:t>
      </w:r>
      <w:r w:rsidR="00AF5446" w:rsidRPr="00B86BE6">
        <w:t>n was still an independent city—</w:t>
      </w:r>
      <w:r w:rsidR="0009629F" w:rsidRPr="00B86BE6">
        <w:t>in fact one of the largest and wealthiest in the world.  The plans for the museum, like the borough where it was located, were quite a</w:t>
      </w:r>
      <w:r w:rsidR="005C07D6" w:rsidRPr="00B86BE6">
        <w:t xml:space="preserve">mbitious and </w:t>
      </w:r>
      <w:r w:rsidR="00160011" w:rsidRPr="00B86BE6">
        <w:t xml:space="preserve">competed with </w:t>
      </w:r>
      <w:r w:rsidR="005C07D6" w:rsidRPr="00B86BE6">
        <w:t xml:space="preserve">neighboring </w:t>
      </w:r>
      <w:r w:rsidR="00985E38" w:rsidRPr="00B86BE6">
        <w:t>Manhatta</w:t>
      </w:r>
      <w:r w:rsidR="0009629F" w:rsidRPr="00B86BE6">
        <w:t xml:space="preserve">n.  The </w:t>
      </w:r>
      <w:r w:rsidRPr="00B86BE6">
        <w:t xml:space="preserve">proposed </w:t>
      </w:r>
      <w:r w:rsidR="0009629F" w:rsidRPr="00B86BE6">
        <w:t xml:space="preserve">building </w:t>
      </w:r>
      <w:r w:rsidR="00C77E8A" w:rsidRPr="00B86BE6">
        <w:t xml:space="preserve">was </w:t>
      </w:r>
      <w:r w:rsidR="00160011" w:rsidRPr="00B86BE6">
        <w:t xml:space="preserve">to </w:t>
      </w:r>
      <w:r w:rsidR="00C77E8A" w:rsidRPr="00B86BE6">
        <w:t xml:space="preserve">be six </w:t>
      </w:r>
      <w:r w:rsidR="0009629F" w:rsidRPr="00B86BE6">
        <w:t>times i</w:t>
      </w:r>
      <w:r w:rsidRPr="00B86BE6">
        <w:t xml:space="preserve">ts current </w:t>
      </w:r>
      <w:r w:rsidR="00133BA1" w:rsidRPr="00B86BE6">
        <w:t>size</w:t>
      </w:r>
      <w:r w:rsidRPr="00B86BE6">
        <w:t xml:space="preserve"> and </w:t>
      </w:r>
      <w:r w:rsidR="00133BA1" w:rsidRPr="00B86BE6">
        <w:t xml:space="preserve">to </w:t>
      </w:r>
      <w:r w:rsidR="0009629F" w:rsidRPr="00B86BE6">
        <w:t xml:space="preserve">include a children’s museum, a natural history collection, and a botanical garden all under one roof.  </w:t>
      </w:r>
    </w:p>
    <w:p w:rsidR="00902EC3" w:rsidRPr="00B86BE6" w:rsidRDefault="005C07D6" w:rsidP="005C07D6">
      <w:pPr>
        <w:ind w:firstLine="720"/>
      </w:pPr>
      <w:r w:rsidRPr="00B86BE6">
        <w:rPr>
          <w:rFonts w:eastAsia="ＭＳ 明朝" w:cs="Calibri"/>
          <w:color w:val="1A356E"/>
          <w:sz w:val="30"/>
          <w:szCs w:val="30"/>
        </w:rPr>
        <w:t> </w:t>
      </w:r>
    </w:p>
    <w:p w:rsidR="0009629F" w:rsidRPr="00B86BE6" w:rsidRDefault="003C3542" w:rsidP="0009629F">
      <w:pPr>
        <w:widowControl w:val="0"/>
        <w:autoSpaceDE w:val="0"/>
        <w:autoSpaceDN w:val="0"/>
        <w:adjustRightInd w:val="0"/>
        <w:spacing w:after="320"/>
        <w:ind w:firstLine="720"/>
      </w:pPr>
      <w:r w:rsidRPr="00B86BE6">
        <w:t>But the world had other plans</w:t>
      </w:r>
      <w:r w:rsidR="0009629F" w:rsidRPr="00B86BE6">
        <w:t>. Brooklyn became p</w:t>
      </w:r>
      <w:r w:rsidR="00133BA1" w:rsidRPr="00B86BE6">
        <w:t>art of New York City in 1</w:t>
      </w:r>
      <w:r w:rsidR="0009629F" w:rsidRPr="00B86BE6">
        <w:t>8</w:t>
      </w:r>
      <w:r w:rsidR="00133BA1" w:rsidRPr="00B86BE6">
        <w:t>98</w:t>
      </w:r>
      <w:r w:rsidR="0009629F" w:rsidRPr="00B86BE6">
        <w:t>. The Grea</w:t>
      </w:r>
      <w:r w:rsidR="00985E38" w:rsidRPr="00B86BE6">
        <w:t>t Depression came. Th</w:t>
      </w:r>
      <w:r w:rsidR="001360C9" w:rsidRPr="00B86BE6">
        <w:t>e T</w:t>
      </w:r>
      <w:r w:rsidR="00985E38" w:rsidRPr="00B86BE6">
        <w:t>rustees</w:t>
      </w:r>
      <w:r w:rsidR="0009629F" w:rsidRPr="00B86BE6">
        <w:t xml:space="preserve"> felt the Museum needed to sharpen its focus and do w</w:t>
      </w:r>
      <w:r w:rsidR="00AC21BC" w:rsidRPr="00B86BE6">
        <w:t>hat it did best. In 1934, they</w:t>
      </w:r>
      <w:r w:rsidR="00985E38" w:rsidRPr="00B86BE6">
        <w:t xml:space="preserve"> de-accessioned its </w:t>
      </w:r>
      <w:r w:rsidR="0009629F" w:rsidRPr="00B86BE6">
        <w:t>natural history collections</w:t>
      </w:r>
      <w:r w:rsidR="00AC21BC" w:rsidRPr="00B86BE6">
        <w:t xml:space="preserve">, finally abandoning science for art. </w:t>
      </w:r>
      <w:r w:rsidR="00CC6827" w:rsidRPr="00B86BE6">
        <w:t>Most of the</w:t>
      </w:r>
      <w:r w:rsidR="009E70FC" w:rsidRPr="00B86BE6">
        <w:t xml:space="preserve"> planned expansion went uncompleted. </w:t>
      </w:r>
      <w:r w:rsidR="00985E38" w:rsidRPr="00B86BE6">
        <w:t xml:space="preserve">Still, visitors came in droves. </w:t>
      </w:r>
      <w:r w:rsidR="00105204" w:rsidRPr="00B86BE6">
        <w:t>At its height</w:t>
      </w:r>
      <w:r w:rsidR="0009629F" w:rsidRPr="00B86BE6">
        <w:t>, the Museum w</w:t>
      </w:r>
      <w:r w:rsidR="00985E38" w:rsidRPr="00B86BE6">
        <w:t xml:space="preserve">elcomed over a million people </w:t>
      </w:r>
      <w:r w:rsidR="0009629F" w:rsidRPr="00B86BE6">
        <w:t>each year.</w:t>
      </w:r>
      <w:r w:rsidR="00105204" w:rsidRPr="00B86BE6">
        <w:t xml:space="preserve"> In the 1930s and 40s, Curator Herbert Spinden </w:t>
      </w:r>
      <w:r w:rsidR="00AC21BC" w:rsidRPr="00B86BE6">
        <w:t>even became somewhat of a radio celebr</w:t>
      </w:r>
      <w:r w:rsidR="001360C9" w:rsidRPr="00B86BE6">
        <w:t xml:space="preserve">ity, broadcasting popular segments </w:t>
      </w:r>
      <w:r w:rsidR="00AC21BC" w:rsidRPr="00B86BE6">
        <w:t xml:space="preserve">about the </w:t>
      </w:r>
      <w:r w:rsidR="00105204" w:rsidRPr="00B86BE6">
        <w:t xml:space="preserve">Museum’s collection </w:t>
      </w:r>
      <w:r w:rsidR="00985E38" w:rsidRPr="00B86BE6">
        <w:t xml:space="preserve">to </w:t>
      </w:r>
      <w:r w:rsidR="00AC21BC" w:rsidRPr="00B86BE6">
        <w:t>rapt audience</w:t>
      </w:r>
      <w:r w:rsidR="00985E38" w:rsidRPr="00B86BE6">
        <w:t>s</w:t>
      </w:r>
      <w:r w:rsidRPr="00B86BE6">
        <w:t>.</w:t>
      </w:r>
      <w:r w:rsidRPr="00B86BE6">
        <w:rPr>
          <w:rStyle w:val="EndnoteReference"/>
        </w:rPr>
        <w:endnoteReference w:id="70"/>
      </w:r>
      <w:r w:rsidRPr="00B86BE6">
        <w:t xml:space="preserve"> </w:t>
      </w:r>
      <w:r w:rsidR="00AC21BC" w:rsidRPr="00B86BE6">
        <w:t>In</w:t>
      </w:r>
      <w:r w:rsidR="00BC7A67" w:rsidRPr="00B86BE6">
        <w:t xml:space="preserve"> 1934, the Board </w:t>
      </w:r>
      <w:r w:rsidR="00985E38" w:rsidRPr="00B86BE6">
        <w:t xml:space="preserve">approved the removal of </w:t>
      </w:r>
      <w:r w:rsidR="00BC7A67" w:rsidRPr="00B86BE6">
        <w:t xml:space="preserve">the </w:t>
      </w:r>
      <w:r w:rsidR="00AC21BC" w:rsidRPr="00B86BE6">
        <w:t xml:space="preserve">grand staircase </w:t>
      </w:r>
      <w:r w:rsidR="009E70FC" w:rsidRPr="00B86BE6">
        <w:t>that led up</w:t>
      </w:r>
      <w:r w:rsidR="00985E38" w:rsidRPr="00B86BE6">
        <w:t xml:space="preserve"> to the </w:t>
      </w:r>
      <w:r w:rsidR="00BC7A67" w:rsidRPr="00B86BE6">
        <w:t>Museum</w:t>
      </w:r>
      <w:r w:rsidR="00985E38" w:rsidRPr="00B86BE6">
        <w:t xml:space="preserve">’s Eastern Parkway </w:t>
      </w:r>
      <w:r w:rsidR="00E910D1" w:rsidRPr="00B86BE6">
        <w:t xml:space="preserve">entrance, </w:t>
      </w:r>
      <w:r w:rsidR="00BC7A67" w:rsidRPr="00B86BE6">
        <w:t xml:space="preserve">a widely criticized </w:t>
      </w:r>
      <w:r w:rsidR="009E70FC" w:rsidRPr="00B86BE6">
        <w:t xml:space="preserve">decision </w:t>
      </w:r>
      <w:r w:rsidR="00BC7A67" w:rsidRPr="00B86BE6">
        <w:t xml:space="preserve">meant </w:t>
      </w:r>
      <w:r w:rsidR="00985E38" w:rsidRPr="00B86BE6">
        <w:t>to make the museum more acces</w:t>
      </w:r>
      <w:r w:rsidRPr="00B86BE6">
        <w:t>sible and welcoming to visitors.</w:t>
      </w:r>
      <w:r w:rsidRPr="00B86BE6">
        <w:rPr>
          <w:rStyle w:val="EndnoteReference"/>
        </w:rPr>
        <w:endnoteReference w:id="71"/>
      </w:r>
      <w:r w:rsidR="00E910D1" w:rsidRPr="00B86BE6">
        <w:t xml:space="preserve"> </w:t>
      </w:r>
      <w:r w:rsidR="0009629F" w:rsidRPr="00B86BE6">
        <w:t xml:space="preserve">Their efforts </w:t>
      </w:r>
      <w:r w:rsidR="005B6A2C" w:rsidRPr="00B86BE6">
        <w:t xml:space="preserve">reflected the Museum’s populist past and institutionalized its populist future, </w:t>
      </w:r>
      <w:r w:rsidR="0009629F" w:rsidRPr="00B86BE6">
        <w:t>foreshad</w:t>
      </w:r>
      <w:r w:rsidR="005B6A2C" w:rsidRPr="00B86BE6">
        <w:t>owing</w:t>
      </w:r>
      <w:r w:rsidR="0009629F" w:rsidRPr="00B86BE6">
        <w:t xml:space="preserve"> the words, written in big block letters that </w:t>
      </w:r>
      <w:r w:rsidR="00E910D1" w:rsidRPr="00B86BE6">
        <w:t xml:space="preserve">currently </w:t>
      </w:r>
      <w:r w:rsidR="0009629F" w:rsidRPr="00B86BE6">
        <w:t>greet visitors</w:t>
      </w:r>
      <w:r w:rsidR="00BC7A67" w:rsidRPr="00B86BE6">
        <w:t xml:space="preserve"> </w:t>
      </w:r>
      <w:r w:rsidR="00985E38" w:rsidRPr="00B86BE6">
        <w:t>in the main entrance hall</w:t>
      </w:r>
      <w:r w:rsidR="0009629F" w:rsidRPr="00B86BE6">
        <w:t xml:space="preserve">: “EVERYONE WELCOME HERE.” </w:t>
      </w:r>
    </w:p>
    <w:p w:rsidR="0009629F" w:rsidRPr="00B86BE6" w:rsidRDefault="00900931" w:rsidP="001360C9">
      <w:pPr>
        <w:widowControl w:val="0"/>
        <w:autoSpaceDE w:val="0"/>
        <w:autoSpaceDN w:val="0"/>
        <w:adjustRightInd w:val="0"/>
        <w:spacing w:after="320"/>
        <w:ind w:firstLine="720"/>
      </w:pPr>
      <w:r w:rsidRPr="00B86BE6">
        <w:t>Right through the 1950s, the Board of Trustees still consisted of people from Broo</w:t>
      </w:r>
      <w:r w:rsidR="00A42794" w:rsidRPr="00B86BE6">
        <w:t xml:space="preserve">klyn’s </w:t>
      </w:r>
      <w:r w:rsidR="00AF5446" w:rsidRPr="00B86BE6">
        <w:t>“r</w:t>
      </w:r>
      <w:r w:rsidR="00A42794" w:rsidRPr="00B86BE6">
        <w:t>oyal</w:t>
      </w:r>
      <w:r w:rsidR="00AF5446" w:rsidRPr="00B86BE6">
        <w:t>”</w:t>
      </w:r>
      <w:r w:rsidR="00A42794" w:rsidRPr="00B86BE6">
        <w:t xml:space="preserve"> families—Pratt, </w:t>
      </w:r>
      <w:r w:rsidR="001E4823" w:rsidRPr="00B86BE6">
        <w:t>Voorhees, and other illustrious names.</w:t>
      </w:r>
      <w:r w:rsidRPr="00B86BE6">
        <w:t xml:space="preserve"> </w:t>
      </w:r>
      <w:r w:rsidR="0009629F" w:rsidRPr="00B86BE6">
        <w:t xml:space="preserve">But by the time </w:t>
      </w:r>
      <w:r w:rsidR="005A38F5" w:rsidRPr="00B86BE6">
        <w:t xml:space="preserve">Chief Curator </w:t>
      </w:r>
      <w:r w:rsidR="0009629F" w:rsidRPr="00B86BE6">
        <w:t xml:space="preserve">Kevin Stayton arrived in 1980, Brooklyn </w:t>
      </w:r>
      <w:r w:rsidR="00CC6827" w:rsidRPr="00B86BE6">
        <w:t>had</w:t>
      </w:r>
      <w:r w:rsidR="009E70FC" w:rsidRPr="00B86BE6">
        <w:t xml:space="preserve"> seen better days</w:t>
      </w:r>
      <w:r w:rsidR="0009629F" w:rsidRPr="00B86BE6">
        <w:t xml:space="preserve">. </w:t>
      </w:r>
      <w:r w:rsidR="00693D1C" w:rsidRPr="00B86BE6">
        <w:t xml:space="preserve">Racial unrest </w:t>
      </w:r>
      <w:r w:rsidR="005A38F5" w:rsidRPr="00B86BE6">
        <w:t xml:space="preserve">during the </w:t>
      </w:r>
      <w:r w:rsidR="00693D1C" w:rsidRPr="00B86BE6">
        <w:t xml:space="preserve">1960s </w:t>
      </w:r>
      <w:r w:rsidR="00CC6827" w:rsidRPr="00B86BE6">
        <w:t xml:space="preserve">destroyed </w:t>
      </w:r>
      <w:r w:rsidR="00693D1C" w:rsidRPr="00B86BE6">
        <w:t xml:space="preserve">many homes and businesses. </w:t>
      </w:r>
      <w:r w:rsidR="00CC6827" w:rsidRPr="00B86BE6">
        <w:t xml:space="preserve">Unemployment soared. </w:t>
      </w:r>
      <w:r w:rsidR="009E70FC" w:rsidRPr="00B86BE6">
        <w:t>White residents fled the borough and poorer minorities moved in.</w:t>
      </w:r>
      <w:r w:rsidR="00CC6827" w:rsidRPr="00B86BE6">
        <w:t xml:space="preserve"> </w:t>
      </w:r>
      <w:r w:rsidR="00693D1C" w:rsidRPr="00B86BE6">
        <w:t xml:space="preserve">The Museum not only lost many of </w:t>
      </w:r>
      <w:r w:rsidR="00C77E8A" w:rsidRPr="00B86BE6">
        <w:t xml:space="preserve">its traditional donors but </w:t>
      </w:r>
      <w:r w:rsidR="00A42794" w:rsidRPr="00B86BE6">
        <w:t xml:space="preserve">also </w:t>
      </w:r>
      <w:r w:rsidR="00693D1C" w:rsidRPr="00B86BE6">
        <w:t xml:space="preserve">much of its visitor base. </w:t>
      </w:r>
    </w:p>
    <w:p w:rsidR="0009629F" w:rsidRPr="00B86BE6" w:rsidRDefault="00E910D1" w:rsidP="009E70FC">
      <w:pPr>
        <w:ind w:firstLine="720"/>
      </w:pPr>
      <w:r w:rsidRPr="00B86BE6">
        <w:t xml:space="preserve">Back then, the </w:t>
      </w:r>
      <w:r w:rsidR="00A42794" w:rsidRPr="00B86BE6">
        <w:t>m</w:t>
      </w:r>
      <w:r w:rsidR="0009629F" w:rsidRPr="00B86BE6">
        <w:t xml:space="preserve">ission statement </w:t>
      </w:r>
      <w:r w:rsidR="00693D1C" w:rsidRPr="00B86BE6">
        <w:t>resembled</w:t>
      </w:r>
      <w:r w:rsidR="00A42794" w:rsidRPr="00B86BE6">
        <w:t xml:space="preserve"> that of</w:t>
      </w:r>
      <w:r w:rsidR="00693D1C" w:rsidRPr="00B86BE6">
        <w:t xml:space="preserve"> most </w:t>
      </w:r>
      <w:r w:rsidR="0009629F" w:rsidRPr="00B86BE6">
        <w:t>museums from the 19</w:t>
      </w:r>
      <w:r w:rsidR="0009629F" w:rsidRPr="00B86BE6">
        <w:rPr>
          <w:vertAlign w:val="superscript"/>
        </w:rPr>
        <w:t>th</w:t>
      </w:r>
      <w:r w:rsidR="00A42794" w:rsidRPr="00B86BE6">
        <w:t xml:space="preserve"> century: </w:t>
      </w:r>
      <w:r w:rsidR="0009629F" w:rsidRPr="00B86BE6">
        <w:t>“collect, preserve, and pre</w:t>
      </w:r>
      <w:r w:rsidR="00693D1C" w:rsidRPr="00B86BE6">
        <w:t>sent in that order.”  By the time Mr. Lehman arrived</w:t>
      </w:r>
      <w:r w:rsidR="009E70FC" w:rsidRPr="00B86BE6">
        <w:t>, everyone recognized tha</w:t>
      </w:r>
      <w:r w:rsidR="001360C9" w:rsidRPr="00B86BE6">
        <w:t>t</w:t>
      </w:r>
      <w:r w:rsidRPr="00B86BE6">
        <w:t xml:space="preserve"> things had to change</w:t>
      </w:r>
      <w:r w:rsidR="009E70FC" w:rsidRPr="00B86BE6">
        <w:t>. The museum had to rethink</w:t>
      </w:r>
      <w:r w:rsidR="0009629F" w:rsidRPr="00B86BE6">
        <w:t xml:space="preserve"> its relationship to its community. </w:t>
      </w:r>
      <w:r w:rsidR="001360C9" w:rsidRPr="00B86BE6">
        <w:t>It red</w:t>
      </w:r>
      <w:r w:rsidR="00160011" w:rsidRPr="00B86BE6">
        <w:t>efined its constituencies, in des</w:t>
      </w:r>
      <w:r w:rsidR="001360C9" w:rsidRPr="00B86BE6">
        <w:t xml:space="preserve">cending order of importance, as </w:t>
      </w:r>
      <w:r w:rsidR="0009629F" w:rsidRPr="00B86BE6">
        <w:t xml:space="preserve">the neighborhood </w:t>
      </w:r>
      <w:r w:rsidR="001360C9" w:rsidRPr="00B86BE6">
        <w:t xml:space="preserve">surrounding the museum, </w:t>
      </w:r>
      <w:r w:rsidR="0009629F" w:rsidRPr="00B86BE6">
        <w:t xml:space="preserve">the Borough of Brooklyn, New York City, and the art community of </w:t>
      </w:r>
      <w:r w:rsidR="00160011" w:rsidRPr="00B86BE6">
        <w:t xml:space="preserve">the </w:t>
      </w:r>
      <w:r w:rsidR="0009629F" w:rsidRPr="00B86BE6">
        <w:t>world. A new mission statement</w:t>
      </w:r>
      <w:r w:rsidR="00693D1C" w:rsidRPr="00B86BE6">
        <w:t>, approved about 10 years ago,</w:t>
      </w:r>
      <w:r w:rsidR="0009629F" w:rsidRPr="00B86BE6">
        <w:t xml:space="preserve"> says that the Museum “provides a bridge between the art we hold and the </w:t>
      </w:r>
      <w:r w:rsidR="00693D1C" w:rsidRPr="00B86BE6">
        <w:t>community we serve</w:t>
      </w:r>
      <w:r w:rsidR="0009629F" w:rsidRPr="00B86BE6">
        <w:t xml:space="preserve">.” </w:t>
      </w:r>
      <w:r w:rsidR="00693D1C" w:rsidRPr="00B86BE6">
        <w:t xml:space="preserve">Mr. Lehman describes this </w:t>
      </w:r>
      <w:r w:rsidR="0009629F" w:rsidRPr="00B86BE6">
        <w:t>as the s</w:t>
      </w:r>
      <w:r w:rsidR="00693D1C" w:rsidRPr="00B86BE6">
        <w:t>weet spo</w:t>
      </w:r>
      <w:r w:rsidR="009E70FC" w:rsidRPr="00B86BE6">
        <w:t xml:space="preserve">t on the tennis racket, </w:t>
      </w:r>
      <w:r w:rsidR="003C3542" w:rsidRPr="00B86BE6">
        <w:t xml:space="preserve">where </w:t>
      </w:r>
      <w:r w:rsidR="00693D1C" w:rsidRPr="00B86BE6">
        <w:t>the collection, the interested communit</w:t>
      </w:r>
      <w:r w:rsidR="003C3542" w:rsidRPr="00B86BE6">
        <w:t xml:space="preserve">ies, and vibrant major project </w:t>
      </w:r>
      <w:r w:rsidR="00693D1C" w:rsidRPr="00B86BE6">
        <w:t xml:space="preserve">meet. </w:t>
      </w:r>
      <w:r w:rsidR="0009629F" w:rsidRPr="00B86BE6">
        <w:t xml:space="preserve">“The sweet spot is when they all overlap, and they are all served, and we </w:t>
      </w:r>
      <w:r w:rsidR="00693D1C" w:rsidRPr="00B86BE6">
        <w:t xml:space="preserve">do it in such </w:t>
      </w:r>
      <w:r w:rsidR="0009629F" w:rsidRPr="00B86BE6">
        <w:t xml:space="preserve">a fashion that people are pulled into the museum.”  </w:t>
      </w:r>
    </w:p>
    <w:p w:rsidR="0009629F" w:rsidRPr="00B86BE6" w:rsidRDefault="0009629F" w:rsidP="0009629F"/>
    <w:p w:rsidR="0009629F" w:rsidRPr="00B86BE6" w:rsidRDefault="0009629F" w:rsidP="0009629F">
      <w:r w:rsidRPr="00B86BE6">
        <w:tab/>
      </w:r>
      <w:r w:rsidR="00693D1C" w:rsidRPr="00B86BE6">
        <w:t xml:space="preserve">In the past, the </w:t>
      </w:r>
      <w:r w:rsidRPr="00B86BE6">
        <w:t>Brooklyn M</w:t>
      </w:r>
      <w:r w:rsidR="00693D1C" w:rsidRPr="00B86BE6">
        <w:t xml:space="preserve">useum suffered from a full-blown inferiority complex.  “We </w:t>
      </w:r>
      <w:r w:rsidRPr="00B86BE6">
        <w:t>traditionally viewed ourse</w:t>
      </w:r>
      <w:r w:rsidR="005A38F5" w:rsidRPr="00B86BE6">
        <w:t>lves as a poor sister of the Met</w:t>
      </w:r>
      <w:r w:rsidRPr="00B86BE6">
        <w:t>,”</w:t>
      </w:r>
      <w:r w:rsidR="00160011" w:rsidRPr="00B86BE6">
        <w:rPr>
          <w:rStyle w:val="EndnoteReference"/>
        </w:rPr>
        <w:endnoteReference w:id="72"/>
      </w:r>
      <w:r w:rsidR="00AF5446" w:rsidRPr="00B86BE6">
        <w:t xml:space="preserve"> said</w:t>
      </w:r>
      <w:r w:rsidRPr="00B86BE6">
        <w:t xml:space="preserve"> Kevin Stayt</w:t>
      </w:r>
      <w:r w:rsidR="009E70FC" w:rsidRPr="00B86BE6">
        <w:t>on.  But when Mr. Lehman arrived</w:t>
      </w:r>
      <w:r w:rsidR="00693D1C" w:rsidRPr="00B86BE6">
        <w:t xml:space="preserve">, he </w:t>
      </w:r>
      <w:r w:rsidR="009E70FC" w:rsidRPr="00B86BE6">
        <w:t xml:space="preserve">put an end to that </w:t>
      </w:r>
      <w:r w:rsidRPr="00B86BE6">
        <w:t xml:space="preserve">no-win contest. Getting tourists to </w:t>
      </w:r>
      <w:r w:rsidR="005A38F5" w:rsidRPr="00B86BE6">
        <w:t xml:space="preserve">come to </w:t>
      </w:r>
      <w:r w:rsidR="003C3542" w:rsidRPr="00B86BE6">
        <w:t xml:space="preserve">Brooklyn was </w:t>
      </w:r>
      <w:r w:rsidRPr="00B86BE6">
        <w:t xml:space="preserve">a losing battle.  But it was more than that. </w:t>
      </w:r>
      <w:r w:rsidR="008471BC" w:rsidRPr="00B86BE6">
        <w:t xml:space="preserve"> To survive and</w:t>
      </w:r>
      <w:r w:rsidR="000A53CE" w:rsidRPr="00B86BE6">
        <w:t xml:space="preserve"> thrive, Mr. Stayton said, Brooklyn </w:t>
      </w:r>
      <w:r w:rsidR="008471BC" w:rsidRPr="00B86BE6">
        <w:t>needed to thin</w:t>
      </w:r>
      <w:r w:rsidR="003C3542" w:rsidRPr="00B86BE6">
        <w:t xml:space="preserve">k differently and reorder its </w:t>
      </w:r>
      <w:r w:rsidR="008471BC" w:rsidRPr="00B86BE6">
        <w:t xml:space="preserve">priorities. </w:t>
      </w:r>
      <w:r w:rsidRPr="00B86BE6">
        <w:t>“I had a very traditional museum education and art history bac</w:t>
      </w:r>
      <w:r w:rsidR="008471BC" w:rsidRPr="00B86BE6">
        <w:t>kground. I came to the Museum l</w:t>
      </w:r>
      <w:r w:rsidRPr="00B86BE6">
        <w:t>oving</w:t>
      </w:r>
      <w:r w:rsidR="008471BC" w:rsidRPr="00B86BE6">
        <w:t xml:space="preserve"> great design, aesthetics. I am, </w:t>
      </w:r>
      <w:r w:rsidRPr="00B86BE6">
        <w:t>by nature</w:t>
      </w:r>
      <w:r w:rsidR="008471BC" w:rsidRPr="00B86BE6">
        <w:t>,</w:t>
      </w:r>
      <w:r w:rsidRPr="00B86BE6">
        <w:t xml:space="preserve"> deeply acquisitive. I love collecting and amassing th</w:t>
      </w:r>
      <w:r w:rsidR="00A42794" w:rsidRPr="00B86BE6">
        <w:t xml:space="preserve">ings. But then I began to think, </w:t>
      </w:r>
      <w:r w:rsidRPr="00B86BE6">
        <w:t>why are we collecting 50 teap</w:t>
      </w:r>
      <w:r w:rsidR="005A38F5" w:rsidRPr="00B86BE6">
        <w:t>ots when we can only show three?</w:t>
      </w:r>
      <w:r w:rsidRPr="00B86BE6">
        <w:t xml:space="preserve">  What is the meaning, as this institution marches into the future, of having all th</w:t>
      </w:r>
      <w:r w:rsidR="00C77E8A" w:rsidRPr="00B86BE6">
        <w:t xml:space="preserve">is stuff, as much as I love it? </w:t>
      </w:r>
      <w:r w:rsidRPr="00B86BE6">
        <w:t xml:space="preserve">Arnold </w:t>
      </w:r>
      <w:r w:rsidR="000A53CE" w:rsidRPr="00B86BE6">
        <w:t xml:space="preserve">Lehman </w:t>
      </w:r>
      <w:r w:rsidRPr="00B86BE6">
        <w:t>came along with a better answer. He said lets start asking these questions out loud and think about what it is</w:t>
      </w:r>
      <w:r w:rsidR="00C77E8A" w:rsidRPr="00B86BE6">
        <w:t xml:space="preserve"> we really need to do, where </w:t>
      </w:r>
      <w:r w:rsidRPr="00B86BE6">
        <w:t>our place</w:t>
      </w:r>
      <w:r w:rsidR="00C77E8A" w:rsidRPr="00B86BE6">
        <w:t xml:space="preserve"> is</w:t>
      </w:r>
      <w:r w:rsidRPr="00B86BE6">
        <w:t xml:space="preserve"> in the future, what is it that we need to do for the community?</w:t>
      </w:r>
      <w:r w:rsidR="005A38F5" w:rsidRPr="00B86BE6">
        <w:t>”</w:t>
      </w:r>
    </w:p>
    <w:p w:rsidR="0009629F" w:rsidRPr="00B86BE6" w:rsidRDefault="0009629F" w:rsidP="0009629F"/>
    <w:p w:rsidR="0009629F" w:rsidRPr="00B86BE6" w:rsidRDefault="00AC39D6" w:rsidP="00C77E8A">
      <w:pPr>
        <w:ind w:firstLine="720"/>
      </w:pPr>
      <w:r w:rsidRPr="00B86BE6">
        <w:t>The answer is as simple as “Everyone Welcome Here.” And just as Brooklyn is seeing better days, so the Brooklyn Museum is also enjoying better fortunes.</w:t>
      </w:r>
      <w:r w:rsidR="00C77E8A" w:rsidRPr="00B86BE6">
        <w:rPr>
          <w:rStyle w:val="EndnoteReference"/>
        </w:rPr>
        <w:endnoteReference w:id="73"/>
      </w:r>
      <w:r w:rsidR="00C77E8A" w:rsidRPr="00B86BE6">
        <w:t xml:space="preserve"> </w:t>
      </w:r>
      <w:r w:rsidR="008471BC" w:rsidRPr="00B86BE6">
        <w:t xml:space="preserve">These shifts in the winds are also reflected </w:t>
      </w:r>
      <w:r w:rsidR="00A42794" w:rsidRPr="00B86BE6">
        <w:t xml:space="preserve">in the exhibit </w:t>
      </w:r>
      <w:r w:rsidR="0009629F" w:rsidRPr="00B86BE6">
        <w:rPr>
          <w:i/>
        </w:rPr>
        <w:t>American Identities: A New Look</w:t>
      </w:r>
      <w:r w:rsidR="00A42794" w:rsidRPr="00B86BE6">
        <w:t xml:space="preserve">, </w:t>
      </w:r>
      <w:r w:rsidR="0009629F" w:rsidRPr="00B86BE6">
        <w:t>Brooklyn’s equivalent of the MFA’s Art of the Amer</w:t>
      </w:r>
      <w:r w:rsidR="009E70FC" w:rsidRPr="00B86BE6">
        <w:t>ica’s Wing.  In many ways, the</w:t>
      </w:r>
      <w:r w:rsidR="0009629F" w:rsidRPr="00B86BE6">
        <w:t xml:space="preserve"> two exhibits have similar goals. They </w:t>
      </w:r>
      <w:r w:rsidR="009E70FC" w:rsidRPr="00B86BE6">
        <w:t xml:space="preserve">both </w:t>
      </w:r>
      <w:r w:rsidR="0009629F" w:rsidRPr="00B86BE6">
        <w:t>want to tell a different story about</w:t>
      </w:r>
      <w:r w:rsidR="005A4D9E" w:rsidRPr="00B86BE6">
        <w:t xml:space="preserve"> American art, to show </w:t>
      </w:r>
      <w:r w:rsidR="00004A71" w:rsidRPr="00B86BE6">
        <w:t xml:space="preserve">how it has been influenced by a more diverse cast of characters and by forces beyond its borders. </w:t>
      </w:r>
      <w:r w:rsidR="0009629F" w:rsidRPr="00B86BE6">
        <w:t xml:space="preserve">They </w:t>
      </w:r>
      <w:r w:rsidR="009E70FC" w:rsidRPr="00B86BE6">
        <w:t xml:space="preserve">both mixed </w:t>
      </w:r>
      <w:r w:rsidR="00720570" w:rsidRPr="00B86BE6">
        <w:t>mediums</w:t>
      </w:r>
      <w:r w:rsidR="0009629F" w:rsidRPr="00B86BE6">
        <w:t>, combining paintings and decorative arts</w:t>
      </w:r>
      <w:r w:rsidR="00C77E8A" w:rsidRPr="00B86BE6">
        <w:t>,</w:t>
      </w:r>
      <w:r w:rsidR="0009629F" w:rsidRPr="00B86BE6">
        <w:t xml:space="preserve"> to drive the narrative</w:t>
      </w:r>
      <w:r w:rsidR="009E70FC" w:rsidRPr="00B86BE6">
        <w:t xml:space="preserve"> forward</w:t>
      </w:r>
      <w:r w:rsidR="0009629F" w:rsidRPr="00B86BE6">
        <w:t xml:space="preserve">.  </w:t>
      </w:r>
      <w:r w:rsidR="0009629F" w:rsidRPr="00B86BE6">
        <w:rPr>
          <w:rFonts w:eastAsia="ＭＳ 明朝"/>
        </w:rPr>
        <w:t xml:space="preserve">But there are also real </w:t>
      </w:r>
      <w:r w:rsidR="009E70FC" w:rsidRPr="00B86BE6">
        <w:rPr>
          <w:rFonts w:eastAsia="ＭＳ 明朝"/>
        </w:rPr>
        <w:t xml:space="preserve">aesthetic and ideological </w:t>
      </w:r>
      <w:r w:rsidR="00004A71" w:rsidRPr="00B86BE6">
        <w:rPr>
          <w:rFonts w:eastAsia="ＭＳ 明朝"/>
        </w:rPr>
        <w:t xml:space="preserve">differences that </w:t>
      </w:r>
      <w:r w:rsidR="0009629F" w:rsidRPr="00B86BE6">
        <w:rPr>
          <w:rFonts w:eastAsia="ＭＳ 明朝"/>
        </w:rPr>
        <w:t>reflect</w:t>
      </w:r>
      <w:r w:rsidR="009E70FC" w:rsidRPr="00B86BE6">
        <w:rPr>
          <w:rFonts w:eastAsia="ＭＳ 明朝"/>
        </w:rPr>
        <w:t xml:space="preserve"> variations in</w:t>
      </w:r>
      <w:r w:rsidR="005A38F5" w:rsidRPr="00B86BE6">
        <w:rPr>
          <w:rFonts w:eastAsia="ＭＳ 明朝"/>
        </w:rPr>
        <w:t xml:space="preserve"> each institution’s historical relationship to its community</w:t>
      </w:r>
      <w:r w:rsidR="009E70FC" w:rsidRPr="00B86BE6">
        <w:rPr>
          <w:rFonts w:eastAsia="ＭＳ 明朝"/>
        </w:rPr>
        <w:t xml:space="preserve">, </w:t>
      </w:r>
      <w:r w:rsidR="0009629F" w:rsidRPr="00B86BE6">
        <w:rPr>
          <w:rFonts w:eastAsia="ＭＳ 明朝"/>
        </w:rPr>
        <w:t xml:space="preserve">the role </w:t>
      </w:r>
      <w:r w:rsidR="005A38F5" w:rsidRPr="00B86BE6">
        <w:rPr>
          <w:rFonts w:eastAsia="ＭＳ 明朝"/>
        </w:rPr>
        <w:t xml:space="preserve">each city plays in the </w:t>
      </w:r>
      <w:r w:rsidR="0009629F" w:rsidRPr="00B86BE6">
        <w:rPr>
          <w:rFonts w:eastAsia="ＭＳ 明朝"/>
        </w:rPr>
        <w:t xml:space="preserve">national cultural performance, and </w:t>
      </w:r>
      <w:r w:rsidR="00AF5446" w:rsidRPr="00B86BE6">
        <w:rPr>
          <w:rFonts w:eastAsia="ＭＳ 明朝"/>
        </w:rPr>
        <w:t xml:space="preserve">in </w:t>
      </w:r>
      <w:r w:rsidR="0009629F" w:rsidRPr="00B86BE6">
        <w:rPr>
          <w:rFonts w:eastAsia="ＭＳ 明朝"/>
        </w:rPr>
        <w:t xml:space="preserve">how </w:t>
      </w:r>
      <w:r w:rsidR="00E910D1" w:rsidRPr="00B86BE6">
        <w:rPr>
          <w:rFonts w:eastAsia="ＭＳ 明朝"/>
        </w:rPr>
        <w:t>New York and Boston</w:t>
      </w:r>
      <w:r w:rsidR="00AF5446" w:rsidRPr="00B86BE6">
        <w:rPr>
          <w:rFonts w:eastAsia="ＭＳ 明朝"/>
        </w:rPr>
        <w:t xml:space="preserve"> relate to the world</w:t>
      </w:r>
      <w:r w:rsidR="00E910D1" w:rsidRPr="00B86BE6">
        <w:rPr>
          <w:rFonts w:eastAsia="ＭＳ 明朝"/>
        </w:rPr>
        <w:t xml:space="preserve">. </w:t>
      </w:r>
    </w:p>
    <w:p w:rsidR="0009629F" w:rsidRPr="00B86BE6" w:rsidRDefault="0009629F" w:rsidP="0009629F">
      <w:pPr>
        <w:rPr>
          <w:rFonts w:eastAsia="ＭＳ 明朝"/>
        </w:rPr>
      </w:pPr>
    </w:p>
    <w:p w:rsidR="0009629F" w:rsidRPr="00B86BE6" w:rsidRDefault="008E0A80" w:rsidP="0009629F">
      <w:pPr>
        <w:rPr>
          <w:rFonts w:eastAsia="ＭＳ 明朝"/>
          <w:b/>
        </w:rPr>
      </w:pPr>
      <w:r>
        <w:rPr>
          <w:rFonts w:eastAsia="ＭＳ 明朝"/>
          <w:b/>
        </w:rPr>
        <w:t>American identities: A New Look</w:t>
      </w:r>
    </w:p>
    <w:p w:rsidR="0009629F" w:rsidRPr="00B86BE6" w:rsidRDefault="0009629F" w:rsidP="0009629F">
      <w:pPr>
        <w:rPr>
          <w:rFonts w:eastAsia="ＭＳ 明朝"/>
          <w:b/>
        </w:rPr>
      </w:pPr>
    </w:p>
    <w:p w:rsidR="0009629F" w:rsidRPr="00B86BE6" w:rsidRDefault="009E70FC" w:rsidP="008E0A80">
      <w:r w:rsidRPr="00B86BE6">
        <w:rPr>
          <w:rFonts w:eastAsia="ＭＳ 明朝"/>
        </w:rPr>
        <w:t xml:space="preserve">A quote from Booker T. Washington, from a 1986 speech to the </w:t>
      </w:r>
      <w:r w:rsidR="0009629F" w:rsidRPr="00B86BE6">
        <w:rPr>
          <w:rFonts w:eastAsia="ＭＳ 明朝"/>
        </w:rPr>
        <w:t>Brooklyn Institute of Arts and Sciences</w:t>
      </w:r>
      <w:r w:rsidR="00030465" w:rsidRPr="00B86BE6">
        <w:rPr>
          <w:rFonts w:eastAsia="ＭＳ 明朝"/>
        </w:rPr>
        <w:t>,</w:t>
      </w:r>
      <w:r w:rsidRPr="00B86BE6">
        <w:rPr>
          <w:rFonts w:eastAsia="ＭＳ 明朝"/>
        </w:rPr>
        <w:t xml:space="preserve"> greets visitors entering the </w:t>
      </w:r>
      <w:r w:rsidRPr="00B86BE6">
        <w:rPr>
          <w:rFonts w:eastAsia="ＭＳ 明朝"/>
          <w:i/>
        </w:rPr>
        <w:t>American Identities</w:t>
      </w:r>
      <w:r w:rsidRPr="00B86BE6">
        <w:rPr>
          <w:rFonts w:eastAsia="ＭＳ 明朝"/>
        </w:rPr>
        <w:t xml:space="preserve"> exhibit</w:t>
      </w:r>
      <w:r w:rsidR="0009629F" w:rsidRPr="00B86BE6">
        <w:rPr>
          <w:rFonts w:eastAsia="ＭＳ 明朝"/>
        </w:rPr>
        <w:t>, “The study of Art that does not result in making the strong less willing to oppress the weak means l</w:t>
      </w:r>
      <w:r w:rsidR="00004A71" w:rsidRPr="00B86BE6">
        <w:rPr>
          <w:rFonts w:eastAsia="ＭＳ 明朝"/>
        </w:rPr>
        <w:t xml:space="preserve">ittle.”  Walt Whitman, from his </w:t>
      </w:r>
      <w:r w:rsidR="0009629F" w:rsidRPr="00B86BE6">
        <w:rPr>
          <w:rFonts w:eastAsia="ＭＳ 明朝"/>
        </w:rPr>
        <w:t xml:space="preserve">1855 </w:t>
      </w:r>
      <w:r w:rsidR="0009629F" w:rsidRPr="00B86BE6">
        <w:rPr>
          <w:rFonts w:eastAsia="ＭＳ 明朝"/>
          <w:i/>
        </w:rPr>
        <w:t xml:space="preserve">Leaves of Grass, </w:t>
      </w:r>
      <w:r w:rsidRPr="00B86BE6">
        <w:rPr>
          <w:rFonts w:eastAsia="ＭＳ 明朝"/>
        </w:rPr>
        <w:t>follows</w:t>
      </w:r>
      <w:r w:rsidR="0009629F" w:rsidRPr="00B86BE6">
        <w:rPr>
          <w:rFonts w:eastAsia="ＭＳ 明朝"/>
        </w:rPr>
        <w:t xml:space="preserve">, “Here is not a nation but a teeming nation of nations.” </w:t>
      </w:r>
      <w:r w:rsidR="0009629F" w:rsidRPr="00B86BE6">
        <w:t xml:space="preserve"> </w:t>
      </w:r>
      <w:r w:rsidR="0009629F" w:rsidRPr="00B86BE6">
        <w:rPr>
          <w:rFonts w:eastAsia="ＭＳ 明朝"/>
        </w:rPr>
        <w:t xml:space="preserve">This is the story of America through a Brooklyn lens. </w:t>
      </w:r>
      <w:r w:rsidR="00030465" w:rsidRPr="00B86BE6">
        <w:rPr>
          <w:rFonts w:eastAsia="ＭＳ 明朝"/>
        </w:rPr>
        <w:t xml:space="preserve">But it is also </w:t>
      </w:r>
      <w:r w:rsidR="005A38F5" w:rsidRPr="00B86BE6">
        <w:rPr>
          <w:rFonts w:eastAsia="ＭＳ 明朝"/>
        </w:rPr>
        <w:t xml:space="preserve">a </w:t>
      </w:r>
      <w:r w:rsidR="00030465" w:rsidRPr="00B86BE6">
        <w:rPr>
          <w:rFonts w:eastAsia="ＭＳ 明朝"/>
        </w:rPr>
        <w:t xml:space="preserve">larger story. </w:t>
      </w:r>
      <w:r w:rsidR="00030465" w:rsidRPr="00B86BE6">
        <w:rPr>
          <w:rFonts w:eastAsiaTheme="minorEastAsia" w:cs="Arial"/>
        </w:rPr>
        <w:t>“</w:t>
      </w:r>
      <w:r w:rsidR="0009629F" w:rsidRPr="00B86BE6">
        <w:rPr>
          <w:rFonts w:eastAsiaTheme="minorEastAsia" w:cs="Arial"/>
        </w:rPr>
        <w:t>In an effort to broaden convention</w:t>
      </w:r>
      <w:r w:rsidR="00E64A4D" w:rsidRPr="00B86BE6">
        <w:rPr>
          <w:rFonts w:eastAsiaTheme="minorEastAsia" w:cs="Arial"/>
        </w:rPr>
        <w:t>al notions of what constitutes ‘American’</w:t>
      </w:r>
      <w:r w:rsidR="0009629F" w:rsidRPr="00B86BE6">
        <w:rPr>
          <w:rFonts w:eastAsiaTheme="minorEastAsia" w:cs="Arial"/>
        </w:rPr>
        <w:t xml:space="preserve"> art,</w:t>
      </w:r>
      <w:r w:rsidR="00030465" w:rsidRPr="00B86BE6">
        <w:rPr>
          <w:rFonts w:eastAsiaTheme="minorEastAsia" w:cs="Arial"/>
        </w:rPr>
        <w:t>” the wall text reads,</w:t>
      </w:r>
      <w:r w:rsidR="0009629F" w:rsidRPr="00B86BE6">
        <w:rPr>
          <w:rFonts w:eastAsiaTheme="minorEastAsia" w:cs="Arial"/>
        </w:rPr>
        <w:t xml:space="preserve"> </w:t>
      </w:r>
      <w:r w:rsidR="00030465" w:rsidRPr="00B86BE6">
        <w:rPr>
          <w:rFonts w:eastAsiaTheme="minorEastAsia" w:cs="Arial"/>
        </w:rPr>
        <w:t>“</w:t>
      </w:r>
      <w:r w:rsidR="0009629F" w:rsidRPr="00B86BE6">
        <w:rPr>
          <w:rFonts w:eastAsiaTheme="minorEastAsia" w:cs="Arial"/>
        </w:rPr>
        <w:t>we have also included Native American objects, as well as fine and decorative arts of the Spanish colonial era in Mexico and South America from the Museum's equally stellar collections in those areas.</w:t>
      </w:r>
      <w:r w:rsidR="00C77E8A" w:rsidRPr="00B86BE6">
        <w:rPr>
          <w:rFonts w:eastAsiaTheme="minorEastAsia" w:cs="Arial"/>
        </w:rPr>
        <w:t>”</w:t>
      </w:r>
      <w:r w:rsidR="0009629F" w:rsidRPr="00B86BE6">
        <w:rPr>
          <w:rFonts w:eastAsiaTheme="minorEastAsia" w:cs="Arial"/>
        </w:rPr>
        <w:t xml:space="preserve"> “</w:t>
      </w:r>
      <w:r w:rsidR="0009629F" w:rsidRPr="00B86BE6">
        <w:t xml:space="preserve">We are defining </w:t>
      </w:r>
      <w:r w:rsidR="00E64A4D" w:rsidRPr="00B86BE6">
        <w:t>‘</w:t>
      </w:r>
      <w:r w:rsidR="0009629F" w:rsidRPr="00B86BE6">
        <w:t>America</w:t>
      </w:r>
      <w:r w:rsidR="00E64A4D" w:rsidRPr="00B86BE6">
        <w:t>’</w:t>
      </w:r>
      <w:r w:rsidR="0009629F" w:rsidRPr="00B86BE6">
        <w:t xml:space="preserve"> as broadly as possible,” said Kevin Stayton, “North and South America, indigenous, immigrants, Europeans, and Americans</w:t>
      </w:r>
      <w:r w:rsidR="00E64A4D" w:rsidRPr="00B86BE6">
        <w:t>,</w:t>
      </w:r>
      <w:r w:rsidR="0009629F" w:rsidRPr="00B86BE6">
        <w:t xml:space="preserve"> and we are hoping to show how diverse it is now but</w:t>
      </w:r>
      <w:r w:rsidR="00E64A4D" w:rsidRPr="00B86BE6">
        <w:t xml:space="preserve"> [also]</w:t>
      </w:r>
      <w:r w:rsidR="0009629F" w:rsidRPr="00B86BE6">
        <w:t xml:space="preserve"> how diverse it has always been.” </w:t>
      </w:r>
      <w:r w:rsidR="00030465" w:rsidRPr="00B86BE6">
        <w:rPr>
          <w:rFonts w:eastAsia="ＭＳ 明朝"/>
        </w:rPr>
        <w:t xml:space="preserve">An </w:t>
      </w:r>
      <w:r w:rsidR="0009629F" w:rsidRPr="00B86BE6">
        <w:rPr>
          <w:rFonts w:eastAsiaTheme="minorEastAsia" w:cs="Arial"/>
        </w:rPr>
        <w:t>old p</w:t>
      </w:r>
      <w:r w:rsidR="00E64A4D" w:rsidRPr="00B86BE6">
        <w:rPr>
          <w:rFonts w:eastAsiaTheme="minorEastAsia" w:cs="Arial"/>
        </w:rPr>
        <w:t>hoto of bathers at Coney Island,</w:t>
      </w:r>
      <w:r w:rsidR="00E910D1" w:rsidRPr="00B86BE6">
        <w:rPr>
          <w:rFonts w:eastAsiaTheme="minorEastAsia" w:cs="Arial"/>
        </w:rPr>
        <w:t xml:space="preserve"> </w:t>
      </w:r>
      <w:r w:rsidR="0009629F" w:rsidRPr="00B86BE6">
        <w:rPr>
          <w:rFonts w:eastAsiaTheme="minorEastAsia" w:cs="Arial"/>
        </w:rPr>
        <w:t>Georgia O’Keefe</w:t>
      </w:r>
      <w:r w:rsidR="00E910D1" w:rsidRPr="00B86BE6">
        <w:rPr>
          <w:rFonts w:eastAsiaTheme="minorEastAsia" w:cs="Arial"/>
        </w:rPr>
        <w:t>’s 1949</w:t>
      </w:r>
      <w:r w:rsidR="0009629F" w:rsidRPr="00B86BE6">
        <w:rPr>
          <w:rFonts w:eastAsiaTheme="minorEastAsia" w:cs="Arial"/>
        </w:rPr>
        <w:t xml:space="preserve"> painting of</w:t>
      </w:r>
      <w:r w:rsidR="00E64A4D" w:rsidRPr="00B86BE6">
        <w:rPr>
          <w:rFonts w:eastAsiaTheme="minorEastAsia" w:cs="Arial"/>
        </w:rPr>
        <w:t xml:space="preserve"> the Brooklyn Bridge, Ray Komai’</w:t>
      </w:r>
      <w:r w:rsidR="0009629F" w:rsidRPr="00B86BE6">
        <w:rPr>
          <w:rFonts w:eastAsiaTheme="minorEastAsia" w:cs="Arial"/>
        </w:rPr>
        <w:t xml:space="preserve">s molded plywood chair </w:t>
      </w:r>
      <w:r w:rsidR="00030465" w:rsidRPr="00B86BE6">
        <w:rPr>
          <w:rFonts w:eastAsiaTheme="minorEastAsia" w:cs="Arial"/>
        </w:rPr>
        <w:t xml:space="preserve">made </w:t>
      </w:r>
      <w:r w:rsidR="0009629F" w:rsidRPr="00B86BE6">
        <w:rPr>
          <w:rFonts w:eastAsiaTheme="minorEastAsia" w:cs="Arial"/>
        </w:rPr>
        <w:t>in Brooklyn</w:t>
      </w:r>
      <w:r w:rsidR="00E910D1" w:rsidRPr="00B86BE6">
        <w:rPr>
          <w:rFonts w:eastAsiaTheme="minorEastAsia" w:cs="Arial"/>
        </w:rPr>
        <w:t xml:space="preserve"> </w:t>
      </w:r>
      <w:r w:rsidR="0009629F" w:rsidRPr="00B86BE6">
        <w:rPr>
          <w:rFonts w:eastAsiaTheme="minorEastAsia" w:cs="Arial"/>
        </w:rPr>
        <w:t>using the la</w:t>
      </w:r>
      <w:r w:rsidR="00E64A4D" w:rsidRPr="00B86BE6">
        <w:rPr>
          <w:rFonts w:eastAsiaTheme="minorEastAsia" w:cs="Arial"/>
        </w:rPr>
        <w:t>test technology,</w:t>
      </w:r>
      <w:r w:rsidR="0009629F" w:rsidRPr="00B86BE6">
        <w:rPr>
          <w:rFonts w:eastAsiaTheme="minorEastAsia" w:cs="Arial"/>
        </w:rPr>
        <w:t xml:space="preserve"> </w:t>
      </w:r>
      <w:r w:rsidR="005A38F5" w:rsidRPr="00B86BE6">
        <w:rPr>
          <w:rFonts w:eastAsiaTheme="minorEastAsia" w:cs="Arial"/>
        </w:rPr>
        <w:t xml:space="preserve">and </w:t>
      </w:r>
      <w:r w:rsidR="0009629F" w:rsidRPr="00B86BE6">
        <w:rPr>
          <w:rFonts w:eastAsiaTheme="minorEastAsia" w:cs="Arial"/>
        </w:rPr>
        <w:t>a</w:t>
      </w:r>
      <w:r w:rsidR="005A38F5" w:rsidRPr="00B86BE6">
        <w:rPr>
          <w:rFonts w:eastAsiaTheme="minorEastAsia" w:cs="Arial"/>
        </w:rPr>
        <w:t>n Alice Neel</w:t>
      </w:r>
      <w:r w:rsidR="0009629F" w:rsidRPr="00B86BE6">
        <w:rPr>
          <w:rFonts w:eastAsiaTheme="minorEastAsia" w:cs="Arial"/>
        </w:rPr>
        <w:t xml:space="preserve"> portrait of Jack Baur, the head of the Museum’s Department of Paintings and Sculptu</w:t>
      </w:r>
      <w:r w:rsidR="00030465" w:rsidRPr="00B86BE6">
        <w:rPr>
          <w:rFonts w:eastAsiaTheme="minorEastAsia" w:cs="Arial"/>
        </w:rPr>
        <w:t>re from 1936-1952</w:t>
      </w:r>
      <w:r w:rsidR="00E64A4D" w:rsidRPr="00B86BE6">
        <w:rPr>
          <w:rFonts w:eastAsiaTheme="minorEastAsia" w:cs="Arial"/>
        </w:rPr>
        <w:t>,</w:t>
      </w:r>
      <w:r w:rsidR="00030465" w:rsidRPr="00B86BE6">
        <w:rPr>
          <w:rFonts w:eastAsiaTheme="minorEastAsia" w:cs="Arial"/>
        </w:rPr>
        <w:t xml:space="preserve"> are just some of the items featured in this introductory section.</w:t>
      </w:r>
      <w:r w:rsidR="0009629F" w:rsidRPr="00B86BE6">
        <w:rPr>
          <w:rFonts w:eastAsiaTheme="minorEastAsia" w:cs="Arial"/>
        </w:rPr>
        <w:t xml:space="preserve"> “</w:t>
      </w:r>
      <w:r w:rsidR="0009629F" w:rsidRPr="00B86BE6">
        <w:t>This s</w:t>
      </w:r>
      <w:r w:rsidR="00C77E8A" w:rsidRPr="00B86BE6">
        <w:t xml:space="preserve">ection is about Brooklyn,” </w:t>
      </w:r>
      <w:r w:rsidR="005A38F5" w:rsidRPr="00B86BE6">
        <w:t xml:space="preserve">Mr. Stayton said, </w:t>
      </w:r>
      <w:r w:rsidR="0009629F" w:rsidRPr="00B86BE6">
        <w:t xml:space="preserve">“things that were made here or sometimes about this institution. We are trying to say that we are local and in Brooklyn but that this is a world-class collection and our vision is the world. </w:t>
      </w:r>
      <w:r w:rsidR="0009629F" w:rsidRPr="00B86BE6">
        <w:rPr>
          <w:i/>
        </w:rPr>
        <w:t>American Identities</w:t>
      </w:r>
      <w:r w:rsidR="0009629F" w:rsidRPr="00B86BE6">
        <w:t xml:space="preserve"> is about America</w:t>
      </w:r>
      <w:r w:rsidR="00E64A4D" w:rsidRPr="00B86BE6">
        <w:t>,</w:t>
      </w:r>
      <w:r w:rsidR="0009629F" w:rsidRPr="00B86BE6">
        <w:t xml:space="preserve"> but we also tried to connect with ideas about what communities make up that mix.”</w:t>
      </w:r>
    </w:p>
    <w:p w:rsidR="00030465" w:rsidRPr="00B86BE6" w:rsidRDefault="00030465" w:rsidP="00030465">
      <w:pPr>
        <w:ind w:firstLine="720"/>
        <w:rPr>
          <w:rFonts w:eastAsia="ＭＳ 明朝"/>
        </w:rPr>
      </w:pPr>
    </w:p>
    <w:p w:rsidR="0009629F" w:rsidRPr="00B86BE6" w:rsidRDefault="0009629F" w:rsidP="00030465">
      <w:pPr>
        <w:ind w:firstLine="720"/>
        <w:rPr>
          <w:rFonts w:eastAsia="ＭＳ 明朝"/>
        </w:rPr>
      </w:pPr>
      <w:r w:rsidRPr="00B86BE6">
        <w:rPr>
          <w:rFonts w:eastAsia="ＭＳ 明朝"/>
        </w:rPr>
        <w:t>T</w:t>
      </w:r>
      <w:r w:rsidR="000A53CE" w:rsidRPr="00B86BE6">
        <w:rPr>
          <w:rFonts w:eastAsia="ＭＳ 明朝"/>
        </w:rPr>
        <w:t xml:space="preserve">he </w:t>
      </w:r>
      <w:r w:rsidR="00762D19" w:rsidRPr="00B86BE6">
        <w:rPr>
          <w:rFonts w:eastAsia="ＭＳ 明朝"/>
        </w:rPr>
        <w:t xml:space="preserve">new </w:t>
      </w:r>
      <w:r w:rsidR="000A53CE" w:rsidRPr="00B86BE6">
        <w:rPr>
          <w:rFonts w:eastAsia="ＭＳ 明朝"/>
          <w:i/>
        </w:rPr>
        <w:t>American Identities</w:t>
      </w:r>
      <w:r w:rsidR="000A53CE" w:rsidRPr="00B86BE6">
        <w:rPr>
          <w:rFonts w:eastAsia="ＭＳ 明朝"/>
        </w:rPr>
        <w:t xml:space="preserve"> </w:t>
      </w:r>
      <w:r w:rsidRPr="00B86BE6">
        <w:rPr>
          <w:rFonts w:eastAsia="ＭＳ 明朝"/>
        </w:rPr>
        <w:t>exhibit</w:t>
      </w:r>
      <w:r w:rsidR="00762D19" w:rsidRPr="00B86BE6">
        <w:rPr>
          <w:rFonts w:eastAsia="ＭＳ 明朝"/>
        </w:rPr>
        <w:t xml:space="preserve"> opened</w:t>
      </w:r>
      <w:r w:rsidRPr="00B86BE6">
        <w:rPr>
          <w:rFonts w:eastAsia="ＭＳ 明朝"/>
        </w:rPr>
        <w:t xml:space="preserve"> in 2001. </w:t>
      </w:r>
      <w:r w:rsidRPr="00B86BE6">
        <w:t xml:space="preserve"> “We were,” said</w:t>
      </w:r>
      <w:r w:rsidR="000A53CE" w:rsidRPr="00B86BE6">
        <w:t xml:space="preserve"> Terry Carbone, </w:t>
      </w:r>
      <w:r w:rsidR="000A53CE" w:rsidRPr="00B86BE6">
        <w:rPr>
          <w:rFonts w:eastAsia="ＭＳ 明朝" w:cs="Arial"/>
        </w:rPr>
        <w:t>Andrew W. Mellon Curator of American Art</w:t>
      </w:r>
      <w:r w:rsidR="00C0341D" w:rsidRPr="00B86BE6">
        <w:rPr>
          <w:rFonts w:eastAsia="ＭＳ 明朝" w:cs="Arial"/>
        </w:rPr>
        <w:t>,</w:t>
      </w:r>
      <w:r w:rsidR="00B84113" w:rsidRPr="00B86BE6">
        <w:rPr>
          <w:rFonts w:eastAsia="ＭＳ 明朝" w:cs="Arial"/>
        </w:rPr>
        <w:t xml:space="preserve"> </w:t>
      </w:r>
      <w:r w:rsidRPr="00B86BE6">
        <w:t xml:space="preserve">“departing from the notion that there was a linear history in American art. We were bringing the objects together in new ways in order to show the multiplicity of narratives.” </w:t>
      </w:r>
      <w:r w:rsidR="000A53CE" w:rsidRPr="00B86BE6">
        <w:t>The staff, she said,</w:t>
      </w:r>
      <w:r w:rsidR="00030465" w:rsidRPr="00B86BE6">
        <w:t xml:space="preserve"> </w:t>
      </w:r>
      <w:r w:rsidRPr="00B86BE6">
        <w:t>saw themselves as brea</w:t>
      </w:r>
      <w:r w:rsidR="00022896" w:rsidRPr="00B86BE6">
        <w:t>king down barriers between mediums</w:t>
      </w:r>
      <w:r w:rsidRPr="00B86BE6">
        <w:t xml:space="preserve">, time periods, groups, and between self-taught and academically trained artists </w:t>
      </w:r>
      <w:r w:rsidR="00C77E8A" w:rsidRPr="00B86BE6">
        <w:t xml:space="preserve">in order to </w:t>
      </w:r>
      <w:r w:rsidR="00030465" w:rsidRPr="00B86BE6">
        <w:t xml:space="preserve">tell many different stories. </w:t>
      </w:r>
      <w:r w:rsidRPr="00B86BE6">
        <w:t>Contemporary and older work</w:t>
      </w:r>
      <w:r w:rsidR="00022896" w:rsidRPr="00B86BE6">
        <w:t>s</w:t>
      </w:r>
      <w:r w:rsidRPr="00B86BE6">
        <w:t xml:space="preserve"> stand side-by-side. </w:t>
      </w:r>
      <w:r w:rsidR="00030465" w:rsidRPr="00B86BE6">
        <w:t xml:space="preserve"> Important objects from the American collection </w:t>
      </w:r>
      <w:r w:rsidR="00022896" w:rsidRPr="00B86BE6">
        <w:t xml:space="preserve">are </w:t>
      </w:r>
      <w:r w:rsidR="00030465" w:rsidRPr="00B86BE6">
        <w:t xml:space="preserve">displayed alongside major works of Native American and Spanish Colonial art. </w:t>
      </w:r>
      <w:r w:rsidRPr="00B86BE6">
        <w:t>“We weave native American throughout the exhibit to create dialogue and juxtapositions that compel people t</w:t>
      </w:r>
      <w:r w:rsidR="00B84113" w:rsidRPr="00B86BE6">
        <w:t>o think differently,</w:t>
      </w:r>
      <w:r w:rsidR="00E910D1" w:rsidRPr="00B86BE6">
        <w:t>”</w:t>
      </w:r>
      <w:r w:rsidR="00B84113" w:rsidRPr="00B86BE6">
        <w:t xml:space="preserve"> said Ms. </w:t>
      </w:r>
      <w:r w:rsidRPr="00B86BE6">
        <w:t>Carbone. “When we have a Zuni water jar from the mid 18</w:t>
      </w:r>
      <w:r w:rsidRPr="00B86BE6">
        <w:rPr>
          <w:vertAlign w:val="superscript"/>
        </w:rPr>
        <w:t>th</w:t>
      </w:r>
      <w:r w:rsidR="00004A71" w:rsidRPr="00B86BE6">
        <w:t xml:space="preserve"> century next to a k</w:t>
      </w:r>
      <w:r w:rsidR="00030465" w:rsidRPr="00B86BE6">
        <w:t>ast</w:t>
      </w:r>
      <w:r w:rsidR="00160011" w:rsidRPr="00B86BE6">
        <w:rPr>
          <w:rStyle w:val="EndnoteReference"/>
        </w:rPr>
        <w:endnoteReference w:id="74"/>
      </w:r>
      <w:r w:rsidR="00030465" w:rsidRPr="00B86BE6">
        <w:t xml:space="preserve"> from Dutch New Y</w:t>
      </w:r>
      <w:r w:rsidRPr="00B86BE6">
        <w:t xml:space="preserve">ork, you can read the exhibit as a conversation about indigenous cultures versus outside cultures. There is a much more fluid mixing of genres, media, </w:t>
      </w:r>
      <w:r w:rsidR="00103CF5" w:rsidRPr="00B86BE6">
        <w:t xml:space="preserve">and </w:t>
      </w:r>
      <w:r w:rsidRPr="00B86BE6">
        <w:t>chronology</w:t>
      </w:r>
      <w:r w:rsidR="00103CF5" w:rsidRPr="00B86BE6">
        <w:t>,</w:t>
      </w:r>
      <w:r w:rsidRPr="00B86BE6">
        <w:t xml:space="preserve"> and that was very deliberate.” </w:t>
      </w:r>
    </w:p>
    <w:p w:rsidR="0009629F" w:rsidRPr="00B86BE6" w:rsidRDefault="0009629F" w:rsidP="0009629F"/>
    <w:p w:rsidR="0009629F" w:rsidRPr="00B86BE6" w:rsidRDefault="0009629F" w:rsidP="0009629F">
      <w:r w:rsidRPr="00B86BE6">
        <w:tab/>
      </w:r>
      <w:r w:rsidR="00030465" w:rsidRPr="00B86BE6">
        <w:t xml:space="preserve">Curators also felt </w:t>
      </w:r>
      <w:r w:rsidR="00B84113" w:rsidRPr="00B86BE6">
        <w:t xml:space="preserve">these kinds of </w:t>
      </w:r>
      <w:r w:rsidR="00030465" w:rsidRPr="00B86BE6">
        <w:t xml:space="preserve">displays would </w:t>
      </w:r>
      <w:r w:rsidR="00B84113" w:rsidRPr="00B86BE6">
        <w:t xml:space="preserve">be more accessible to less experienced </w:t>
      </w:r>
      <w:r w:rsidRPr="00B86BE6">
        <w:t xml:space="preserve">museum visitors. </w:t>
      </w:r>
      <w:r w:rsidR="00004A71" w:rsidRPr="00B86BE6">
        <w:t xml:space="preserve">They believed that people </w:t>
      </w:r>
      <w:r w:rsidR="00030465" w:rsidRPr="00B86BE6">
        <w:t xml:space="preserve">who </w:t>
      </w:r>
      <w:r w:rsidR="00004A71" w:rsidRPr="00B86BE6">
        <w:t>rarely visit muse</w:t>
      </w:r>
      <w:r w:rsidR="00E910D1" w:rsidRPr="00B86BE6">
        <w:t xml:space="preserve">ums would not feel at home in </w:t>
      </w:r>
      <w:r w:rsidR="00030465" w:rsidRPr="00B86BE6">
        <w:t xml:space="preserve">very formal </w:t>
      </w:r>
      <w:r w:rsidR="00E910D1" w:rsidRPr="00B86BE6">
        <w:t xml:space="preserve">galleries </w:t>
      </w:r>
      <w:r w:rsidR="00AF5446" w:rsidRPr="00B86BE6">
        <w:t xml:space="preserve">which required </w:t>
      </w:r>
      <w:r w:rsidR="00004A71" w:rsidRPr="00B86BE6">
        <w:t xml:space="preserve">some background </w:t>
      </w:r>
      <w:r w:rsidR="00E910D1" w:rsidRPr="00B86BE6">
        <w:t>to understand what is going on</w:t>
      </w:r>
      <w:r w:rsidR="00004A71" w:rsidRPr="00B86BE6">
        <w:t xml:space="preserve">. </w:t>
      </w:r>
      <w:r w:rsidRPr="00B86BE6">
        <w:t>That’s why the galleries are lively, offer</w:t>
      </w:r>
      <w:r w:rsidR="00030465" w:rsidRPr="00B86BE6">
        <w:t>ing</w:t>
      </w:r>
      <w:r w:rsidRPr="00B86BE6">
        <w:t xml:space="preserve"> many different entrance points, and they focus on Brooklyn. </w:t>
      </w:r>
      <w:r w:rsidR="00030465" w:rsidRPr="00B86BE6">
        <w:t xml:space="preserve">That’s why all the walls are painted deep blues and greens rather than white. </w:t>
      </w:r>
      <w:r w:rsidRPr="00B86BE6">
        <w:t xml:space="preserve">It’s also why there are four </w:t>
      </w:r>
      <w:r w:rsidR="00030465" w:rsidRPr="00B86BE6">
        <w:t>places</w:t>
      </w:r>
      <w:r w:rsidR="00160011" w:rsidRPr="00B86BE6">
        <w:t xml:space="preserve"> in the galleries</w:t>
      </w:r>
      <w:r w:rsidR="00AF5446" w:rsidRPr="00B86BE6">
        <w:t>—</w:t>
      </w:r>
      <w:r w:rsidR="00E910D1" w:rsidRPr="00B86BE6">
        <w:t xml:space="preserve"> where visitors can relax in comfortable chairs and simply gaze at the art. </w:t>
      </w:r>
    </w:p>
    <w:p w:rsidR="00030465" w:rsidRPr="00B86BE6" w:rsidRDefault="00030465" w:rsidP="0009629F"/>
    <w:p w:rsidR="0009629F" w:rsidRPr="00B86BE6" w:rsidRDefault="00C77E8A" w:rsidP="00030465">
      <w:r w:rsidRPr="00B86BE6">
        <w:tab/>
        <w:t>So b</w:t>
      </w:r>
      <w:r w:rsidR="0009629F" w:rsidRPr="00B86BE6">
        <w:t xml:space="preserve">oth the MFA and the Brooklyn Museum </w:t>
      </w:r>
      <w:r w:rsidRPr="00B86BE6">
        <w:t xml:space="preserve">have rewritten the </w:t>
      </w:r>
      <w:r w:rsidR="00103CF5" w:rsidRPr="00B86BE6">
        <w:t>story of American a</w:t>
      </w:r>
      <w:r w:rsidR="0009629F" w:rsidRPr="00B86BE6">
        <w:t xml:space="preserve">rt. But </w:t>
      </w:r>
      <w:r w:rsidRPr="00B86BE6">
        <w:t>the narrative</w:t>
      </w:r>
      <w:r w:rsidR="00B84113" w:rsidRPr="00B86BE6">
        <w:t>s</w:t>
      </w:r>
      <w:r w:rsidRPr="00B86BE6">
        <w:t xml:space="preserve"> each institution </w:t>
      </w:r>
      <w:r w:rsidR="00535493" w:rsidRPr="00B86BE6">
        <w:t xml:space="preserve">constructed and how </w:t>
      </w:r>
      <w:r w:rsidR="00A31D8A" w:rsidRPr="00B86BE6">
        <w:t xml:space="preserve">they </w:t>
      </w:r>
      <w:r w:rsidR="00B84113" w:rsidRPr="00B86BE6">
        <w:t>tell them reflect</w:t>
      </w:r>
      <w:r w:rsidR="00030465" w:rsidRPr="00B86BE6">
        <w:t xml:space="preserve"> their unique </w:t>
      </w:r>
      <w:r w:rsidR="00A31D8A" w:rsidRPr="00B86BE6">
        <w:t>histories</w:t>
      </w:r>
      <w:r w:rsidR="0009629F" w:rsidRPr="00B86BE6">
        <w:t xml:space="preserve">. </w:t>
      </w:r>
      <w:r w:rsidR="00B84113" w:rsidRPr="00B86BE6">
        <w:t>While</w:t>
      </w:r>
      <w:r w:rsidR="00E910D1" w:rsidRPr="00B86BE6">
        <w:t xml:space="preserve"> the MFA’s founders began with</w:t>
      </w:r>
      <w:r w:rsidR="00B84113" w:rsidRPr="00B86BE6">
        <w:t xml:space="preserve"> populist intentions, </w:t>
      </w:r>
      <w:r w:rsidR="00AF5446" w:rsidRPr="00B86BE6">
        <w:t xml:space="preserve">the institution </w:t>
      </w:r>
      <w:r w:rsidR="00B84113" w:rsidRPr="00B86BE6">
        <w:t>soon be</w:t>
      </w:r>
      <w:r w:rsidR="00004A71" w:rsidRPr="00B86BE6">
        <w:t>came part</w:t>
      </w:r>
      <w:r w:rsidR="00535493" w:rsidRPr="00B86BE6">
        <w:t xml:space="preserve"> of the arsenal of tools city leaders used to</w:t>
      </w:r>
      <w:r w:rsidR="00E910D1" w:rsidRPr="00B86BE6">
        <w:t xml:space="preserve"> reinforce social distinctions</w:t>
      </w:r>
      <w:r w:rsidR="00B84113" w:rsidRPr="00B86BE6">
        <w:t xml:space="preserve">. </w:t>
      </w:r>
      <w:r w:rsidR="0009629F" w:rsidRPr="00B86BE6">
        <w:t>The MFA</w:t>
      </w:r>
      <w:r w:rsidR="00E910D1" w:rsidRPr="00B86BE6">
        <w:t xml:space="preserve">’s collection is so dominated by colonial New England masterpieces </w:t>
      </w:r>
      <w:r w:rsidR="00CA1146" w:rsidRPr="00B86BE6">
        <w:t xml:space="preserve">that even when it tells a </w:t>
      </w:r>
      <w:r w:rsidR="00603848" w:rsidRPr="00B86BE6">
        <w:t xml:space="preserve">more diverse story, </w:t>
      </w:r>
      <w:r w:rsidR="00103CF5" w:rsidRPr="00B86BE6">
        <w:t xml:space="preserve">the deck is </w:t>
      </w:r>
      <w:r w:rsidR="00A31D8A" w:rsidRPr="00B86BE6">
        <w:t xml:space="preserve">stacked. </w:t>
      </w:r>
      <w:r w:rsidR="00603848" w:rsidRPr="00B86BE6">
        <w:t xml:space="preserve">What’s more, </w:t>
      </w:r>
      <w:r w:rsidR="00E910D1" w:rsidRPr="00B86BE6">
        <w:t xml:space="preserve">the Museum has to tell the colonial American story because that is </w:t>
      </w:r>
      <w:r w:rsidR="00160011" w:rsidRPr="00B86BE6">
        <w:t xml:space="preserve">what people come to hear. </w:t>
      </w:r>
    </w:p>
    <w:p w:rsidR="0009629F" w:rsidRPr="00B86BE6" w:rsidRDefault="0009629F" w:rsidP="0009629F">
      <w:pPr>
        <w:ind w:firstLine="720"/>
      </w:pPr>
    </w:p>
    <w:p w:rsidR="000F2302" w:rsidRPr="00B86BE6" w:rsidRDefault="0009629F" w:rsidP="000F2302">
      <w:r w:rsidRPr="00B86BE6">
        <w:t xml:space="preserve"> </w:t>
      </w:r>
      <w:r w:rsidR="00BC7A67" w:rsidRPr="00B86BE6">
        <w:tab/>
      </w:r>
      <w:r w:rsidRPr="00B86BE6">
        <w:t xml:space="preserve">The Brooklyn Museum </w:t>
      </w:r>
      <w:r w:rsidR="00C77E8A" w:rsidRPr="00B86BE6">
        <w:t>had</w:t>
      </w:r>
      <w:r w:rsidR="00C95CB4" w:rsidRPr="00B86BE6">
        <w:t xml:space="preserve"> a </w:t>
      </w:r>
      <w:r w:rsidRPr="00B86BE6">
        <w:t>different set of tools with which to</w:t>
      </w:r>
      <w:r w:rsidR="00C77E8A" w:rsidRPr="00B86BE6">
        <w:t xml:space="preserve"> do its rewrite</w:t>
      </w:r>
      <w:r w:rsidR="00BC7A67" w:rsidRPr="00B86BE6">
        <w:t xml:space="preserve">.  In the </w:t>
      </w:r>
      <w:r w:rsidRPr="00B86BE6">
        <w:t>1600s, it was the Dutch</w:t>
      </w:r>
      <w:r w:rsidR="00103CF5" w:rsidRPr="00B86BE6">
        <w:t>,</w:t>
      </w:r>
      <w:r w:rsidRPr="00B86BE6">
        <w:t xml:space="preserve"> not the Br</w:t>
      </w:r>
      <w:r w:rsidR="00BC7A67" w:rsidRPr="00B86BE6">
        <w:t>itish</w:t>
      </w:r>
      <w:r w:rsidR="00103CF5" w:rsidRPr="00B86BE6">
        <w:t>,</w:t>
      </w:r>
      <w:r w:rsidR="00BC7A67" w:rsidRPr="00B86BE6">
        <w:t xml:space="preserve"> who colonized Manhattan’s shores</w:t>
      </w:r>
      <w:r w:rsidR="00E910D1" w:rsidRPr="00B86BE6">
        <w:t xml:space="preserve">. So </w:t>
      </w:r>
      <w:r w:rsidR="00103CF5" w:rsidRPr="00B86BE6">
        <w:t>the museum’s</w:t>
      </w:r>
      <w:r w:rsidR="00C95CB4" w:rsidRPr="00B86BE6">
        <w:t xml:space="preserve"> </w:t>
      </w:r>
      <w:r w:rsidR="000F2302" w:rsidRPr="00B86BE6">
        <w:t>collections include objects</w:t>
      </w:r>
      <w:r w:rsidR="00CA1146" w:rsidRPr="00B86BE6">
        <w:t xml:space="preserve"> that allow it to </w:t>
      </w:r>
      <w:r w:rsidR="00E910D1" w:rsidRPr="00B86BE6">
        <w:t xml:space="preserve">tell </w:t>
      </w:r>
      <w:r w:rsidR="00CA1146" w:rsidRPr="00B86BE6">
        <w:t>the story of multiple colonial experiences</w:t>
      </w:r>
      <w:r w:rsidR="00E910D1" w:rsidRPr="00B86BE6">
        <w:t xml:space="preserve"> more easily</w:t>
      </w:r>
      <w:r w:rsidR="000F2302" w:rsidRPr="00B86BE6">
        <w:t xml:space="preserve">. </w:t>
      </w:r>
      <w:r w:rsidR="00535493" w:rsidRPr="00B86BE6">
        <w:t xml:space="preserve">Thanks to two </w:t>
      </w:r>
      <w:r w:rsidRPr="00B86BE6">
        <w:t>curators, R. Stewart</w:t>
      </w:r>
      <w:r w:rsidR="000F2302" w:rsidRPr="00B86BE6">
        <w:t xml:space="preserve"> Culin and Herbert Spinden, Brooklyn also boasts much stronger holdings in </w:t>
      </w:r>
      <w:r w:rsidRPr="00B86BE6">
        <w:t xml:space="preserve">Native American and Spanish Colonial materials. </w:t>
      </w:r>
      <w:r w:rsidR="00921F57" w:rsidRPr="00B86BE6">
        <w:t xml:space="preserve">“The other thing we do,” says Nancy Rosoff, Curator of </w:t>
      </w:r>
      <w:r w:rsidR="00CA1146" w:rsidRPr="00B86BE6">
        <w:t>the Arts o</w:t>
      </w:r>
      <w:r w:rsidR="0021744C" w:rsidRPr="00B86BE6">
        <w:t xml:space="preserve">f the Americas, </w:t>
      </w:r>
      <w:r w:rsidR="00E910D1" w:rsidRPr="00B86BE6">
        <w:t>“</w:t>
      </w:r>
      <w:r w:rsidR="00921F57" w:rsidRPr="00B86BE6">
        <w:t>is include works by young artists. You don’t have to be dead or old or famous to be here.</w:t>
      </w:r>
      <w:r w:rsidR="00E910D1" w:rsidRPr="00B86BE6">
        <w:t>”</w:t>
      </w:r>
      <w:r w:rsidR="00921F57" w:rsidRPr="00B86BE6">
        <w:t xml:space="preserve"> </w:t>
      </w:r>
      <w:r w:rsidR="00E910D1" w:rsidRPr="00B86BE6">
        <w:t xml:space="preserve">Its visitors do not expect </w:t>
      </w:r>
      <w:r w:rsidR="00AF5446" w:rsidRPr="00B86BE6">
        <w:t xml:space="preserve">to hear the same </w:t>
      </w:r>
      <w:r w:rsidR="00E910D1" w:rsidRPr="00B86BE6">
        <w:t xml:space="preserve">story </w:t>
      </w:r>
      <w:r w:rsidR="00AF5446" w:rsidRPr="00B86BE6">
        <w:t xml:space="preserve">as in </w:t>
      </w:r>
      <w:r w:rsidR="00E910D1" w:rsidRPr="00B86BE6">
        <w:t xml:space="preserve">Boston. </w:t>
      </w:r>
      <w:r w:rsidR="00676304" w:rsidRPr="00B86BE6">
        <w:t xml:space="preserve">In fact, curators feel, </w:t>
      </w:r>
      <w:r w:rsidR="00020B2E" w:rsidRPr="00B86BE6">
        <w:t xml:space="preserve">Brooklyn </w:t>
      </w:r>
      <w:r w:rsidR="00676304" w:rsidRPr="00B86BE6">
        <w:t>has to be about diversity and connectivity because that is what its primary cons</w:t>
      </w:r>
      <w:r w:rsidR="00020B2E" w:rsidRPr="00B86BE6">
        <w:t>tituents want (and need) to see</w:t>
      </w:r>
      <w:r w:rsidR="00676304" w:rsidRPr="00B86BE6">
        <w:t xml:space="preserve">. </w:t>
      </w:r>
    </w:p>
    <w:p w:rsidR="00A31D8A" w:rsidRPr="00B86BE6" w:rsidRDefault="00A31D8A" w:rsidP="000F2302"/>
    <w:p w:rsidR="0095623A" w:rsidRPr="00B86BE6" w:rsidRDefault="000F2302" w:rsidP="000F2302">
      <w:r w:rsidRPr="00B86BE6">
        <w:tab/>
      </w:r>
      <w:r w:rsidR="00571F28" w:rsidRPr="00B86BE6">
        <w:t>Stewart Culin came to the Brookl</w:t>
      </w:r>
      <w:r w:rsidR="00C77E8A" w:rsidRPr="00B86BE6">
        <w:t>yn Museum in 1903 as the first D</w:t>
      </w:r>
      <w:r w:rsidR="00571F28" w:rsidRPr="00B86BE6">
        <w:t xml:space="preserve">irector of </w:t>
      </w:r>
      <w:r w:rsidR="00CA1146" w:rsidRPr="00B86BE6">
        <w:t xml:space="preserve">the </w:t>
      </w:r>
      <w:r w:rsidR="00571F28" w:rsidRPr="00B86BE6">
        <w:t xml:space="preserve">new Department of Ethnology. </w:t>
      </w:r>
      <w:r w:rsidR="00CA1146" w:rsidRPr="00B86BE6">
        <w:t xml:space="preserve"> </w:t>
      </w:r>
      <w:r w:rsidR="00C77E8A" w:rsidRPr="00B86BE6">
        <w:t xml:space="preserve">He was </w:t>
      </w:r>
      <w:r w:rsidR="00571F28" w:rsidRPr="00B86BE6">
        <w:t>one of “the first curators to recognize the museum installation as an art form in itself and to display ethnological collections as art objects, not as mere specimens</w:t>
      </w:r>
      <w:r w:rsidR="00AF5446" w:rsidRPr="00B86BE6">
        <w:t>.</w:t>
      </w:r>
      <w:r w:rsidR="00B8025D" w:rsidRPr="00B86BE6">
        <w:t xml:space="preserve">” </w:t>
      </w:r>
      <w:r w:rsidR="00AF5446" w:rsidRPr="00B86BE6">
        <w:t>H</w:t>
      </w:r>
      <w:r w:rsidR="00B8025D" w:rsidRPr="00B86BE6">
        <w:t xml:space="preserve">e saw the museum </w:t>
      </w:r>
      <w:r w:rsidR="00571F28" w:rsidRPr="00B86BE6">
        <w:t>“not as a place of antiquities and relics, but as preserving the seed of things wh</w:t>
      </w:r>
      <w:r w:rsidR="00A31D8A" w:rsidRPr="00B86BE6">
        <w:t>ich may blossom and fruit again.</w:t>
      </w:r>
      <w:r w:rsidR="00571F28" w:rsidRPr="00B86BE6">
        <w:t>”</w:t>
      </w:r>
      <w:r w:rsidR="00571F28" w:rsidRPr="00B86BE6">
        <w:rPr>
          <w:rStyle w:val="EndnoteReference"/>
          <w:rFonts w:eastAsia="Calibri"/>
        </w:rPr>
        <w:endnoteReference w:id="75"/>
      </w:r>
      <w:r w:rsidR="00571F28" w:rsidRPr="00B86BE6">
        <w:t xml:space="preserve"> </w:t>
      </w:r>
      <w:r w:rsidR="00CA1146" w:rsidRPr="00B86BE6">
        <w:t xml:space="preserve"> </w:t>
      </w:r>
      <w:r w:rsidR="0095623A" w:rsidRPr="00B86BE6">
        <w:t>Like many of his contemporaries, Culin worried that Native American cul</w:t>
      </w:r>
      <w:r w:rsidR="003F282F" w:rsidRPr="00B86BE6">
        <w:t xml:space="preserve">tures were disappearing and believed the museum </w:t>
      </w:r>
      <w:r w:rsidR="001E7EE1" w:rsidRPr="00B86BE6">
        <w:t xml:space="preserve">should </w:t>
      </w:r>
      <w:r w:rsidR="003F282F" w:rsidRPr="00B86BE6">
        <w:t>collect these</w:t>
      </w:r>
      <w:r w:rsidR="0095623A" w:rsidRPr="00B86BE6">
        <w:t xml:space="preserve"> materials before it was too late. By 1911, he had amassed over 9,000 objects from the Southwest, the Northwest Coast</w:t>
      </w:r>
      <w:r w:rsidR="003F282F" w:rsidRPr="00B86BE6">
        <w:t xml:space="preserve">, California and Oklahoma—the </w:t>
      </w:r>
      <w:r w:rsidR="0080419E" w:rsidRPr="00B86BE6">
        <w:t xml:space="preserve">core of the Museum’s </w:t>
      </w:r>
      <w:r w:rsidR="00B8025D" w:rsidRPr="00B86BE6">
        <w:t xml:space="preserve">Native American </w:t>
      </w:r>
      <w:r w:rsidR="0080419E" w:rsidRPr="00B86BE6">
        <w:t>collection</w:t>
      </w:r>
      <w:r w:rsidR="00001A07" w:rsidRPr="00B86BE6">
        <w:t>.</w:t>
      </w:r>
      <w:r w:rsidR="00C77E8A" w:rsidRPr="00B86BE6">
        <w:rPr>
          <w:rStyle w:val="EndnoteReference"/>
        </w:rPr>
        <w:endnoteReference w:id="76"/>
      </w:r>
      <w:r w:rsidR="00001A07" w:rsidRPr="00B86BE6">
        <w:t xml:space="preserve">  In 1925, </w:t>
      </w:r>
      <w:r w:rsidR="003F282F" w:rsidRPr="00B86BE6">
        <w:t xml:space="preserve">Culin created </w:t>
      </w:r>
      <w:r w:rsidR="00001A07" w:rsidRPr="00B86BE6">
        <w:t>t</w:t>
      </w:r>
      <w:r w:rsidR="003F282F" w:rsidRPr="00B86BE6">
        <w:t xml:space="preserve">he </w:t>
      </w:r>
      <w:r w:rsidR="005558B6" w:rsidRPr="00B86BE6">
        <w:t>“</w:t>
      </w:r>
      <w:r w:rsidR="003F282F" w:rsidRPr="00B86BE6">
        <w:t>Rainbow House</w:t>
      </w:r>
      <w:r w:rsidR="00611814" w:rsidRPr="00B86BE6">
        <w:t>,</w:t>
      </w:r>
      <w:r w:rsidR="005558B6" w:rsidRPr="00B86BE6">
        <w:t>”</w:t>
      </w:r>
      <w:r w:rsidR="00611814" w:rsidRPr="00B86BE6">
        <w:t xml:space="preserve"> </w:t>
      </w:r>
      <w:r w:rsidR="005E209C" w:rsidRPr="00B86BE6">
        <w:t xml:space="preserve">in which </w:t>
      </w:r>
      <w:r w:rsidR="005558B6" w:rsidRPr="00B86BE6">
        <w:t>“</w:t>
      </w:r>
      <w:r w:rsidR="005E209C" w:rsidRPr="00B86BE6">
        <w:t>the art of different peoples [were] distinguished</w:t>
      </w:r>
      <w:r w:rsidR="005558B6" w:rsidRPr="00B86BE6">
        <w:t>” by differently painted cases, with, for example, reds and pinks signifying Native American objects</w:t>
      </w:r>
      <w:r w:rsidR="005E209C" w:rsidRPr="00B86BE6">
        <w:t>.</w:t>
      </w:r>
      <w:r w:rsidR="005E209C" w:rsidRPr="00B86BE6">
        <w:rPr>
          <w:rStyle w:val="EndnoteReference"/>
        </w:rPr>
        <w:endnoteReference w:id="77"/>
      </w:r>
      <w:r w:rsidR="005E209C" w:rsidRPr="00B86BE6">
        <w:t xml:space="preserve"> </w:t>
      </w:r>
      <w:r w:rsidR="005558B6" w:rsidRPr="00B86BE6">
        <w:t>The gallery’s</w:t>
      </w:r>
      <w:r w:rsidR="005E209C" w:rsidRPr="00B86BE6">
        <w:t xml:space="preserve"> </w:t>
      </w:r>
      <w:r w:rsidR="0080419E" w:rsidRPr="00B86BE6">
        <w:t xml:space="preserve">vibrant colors and stunning objects </w:t>
      </w:r>
      <w:r w:rsidR="00762D19" w:rsidRPr="00B86BE6">
        <w:t xml:space="preserve">are remembered by </w:t>
      </w:r>
      <w:r w:rsidR="0080419E" w:rsidRPr="00B86BE6">
        <w:t>generations</w:t>
      </w:r>
      <w:r w:rsidR="00762D19" w:rsidRPr="00B86BE6">
        <w:t xml:space="preserve"> of visitors</w:t>
      </w:r>
      <w:r w:rsidR="0080419E" w:rsidRPr="00B86BE6">
        <w:t xml:space="preserve">.   </w:t>
      </w:r>
    </w:p>
    <w:p w:rsidR="0009629F" w:rsidRPr="00B86BE6" w:rsidRDefault="0009629F" w:rsidP="0009629F"/>
    <w:p w:rsidR="0002219C" w:rsidRPr="00B86BE6" w:rsidRDefault="0009629F" w:rsidP="0002219C">
      <w:r w:rsidRPr="00B86BE6">
        <w:tab/>
      </w:r>
      <w:r w:rsidR="003F282F" w:rsidRPr="00B86BE6">
        <w:t xml:space="preserve">While Culin was responsible for the Museum’s impressive Native American holdings, his successor, </w:t>
      </w:r>
      <w:r w:rsidR="000F2302" w:rsidRPr="00B86BE6">
        <w:t>Herbert Joseph Spinden</w:t>
      </w:r>
      <w:r w:rsidR="0080419E" w:rsidRPr="00B86BE6">
        <w:t xml:space="preserve">, gets </w:t>
      </w:r>
      <w:r w:rsidR="003F282F" w:rsidRPr="00B86BE6">
        <w:t xml:space="preserve">credit for amassing its </w:t>
      </w:r>
      <w:r w:rsidR="001A7048" w:rsidRPr="00B86BE6">
        <w:t xml:space="preserve">pre-Columbian and </w:t>
      </w:r>
      <w:r w:rsidR="003F282F" w:rsidRPr="00B86BE6">
        <w:t>Spanish colonial cache.</w:t>
      </w:r>
      <w:r w:rsidR="0049535F" w:rsidRPr="00B86BE6">
        <w:rPr>
          <w:rStyle w:val="EndnoteReference"/>
        </w:rPr>
        <w:endnoteReference w:id="78"/>
      </w:r>
      <w:r w:rsidR="003F282F" w:rsidRPr="00B86BE6">
        <w:t xml:space="preserve"> Spinden came on as </w:t>
      </w:r>
      <w:r w:rsidR="000F2302" w:rsidRPr="00B86BE6">
        <w:t>Curator of Ethnology in 1929 an</w:t>
      </w:r>
      <w:r w:rsidR="00941800" w:rsidRPr="00B86BE6">
        <w:t xml:space="preserve">d stayed at the helm until 1950.  He also served as Director of Education </w:t>
      </w:r>
      <w:r w:rsidR="005A73D2" w:rsidRPr="00B86BE6">
        <w:t xml:space="preserve">until 1935. </w:t>
      </w:r>
      <w:r w:rsidR="00A21E3B" w:rsidRPr="00B86BE6">
        <w:t xml:space="preserve">The </w:t>
      </w:r>
      <w:r w:rsidR="00A31D8A" w:rsidRPr="00B86BE6">
        <w:t xml:space="preserve">U.S. Government </w:t>
      </w:r>
      <w:r w:rsidR="00530100" w:rsidRPr="00B86BE6">
        <w:t>Office of the Coordinator o</w:t>
      </w:r>
      <w:r w:rsidR="0080419E" w:rsidRPr="00B86BE6">
        <w:t>f Inter-American Affairs (CIAA)</w:t>
      </w:r>
      <w:r w:rsidR="00A21E3B" w:rsidRPr="00B86BE6">
        <w:t>, set up to encourage cultural exchange</w:t>
      </w:r>
      <w:r w:rsidR="0003319C" w:rsidRPr="00B86BE6">
        <w:t xml:space="preserve"> throughout the region</w:t>
      </w:r>
      <w:r w:rsidR="00A21E3B" w:rsidRPr="00B86BE6">
        <w:t xml:space="preserve">, </w:t>
      </w:r>
      <w:r w:rsidR="0080419E" w:rsidRPr="00B86BE6">
        <w:t>sent Spinden</w:t>
      </w:r>
      <w:r w:rsidR="00A21E3B" w:rsidRPr="00B86BE6">
        <w:t xml:space="preserve"> on six speaking tours </w:t>
      </w:r>
      <w:r w:rsidR="0003319C" w:rsidRPr="00B86BE6">
        <w:t xml:space="preserve">during which he </w:t>
      </w:r>
      <w:r w:rsidR="00A21E3B" w:rsidRPr="00B86BE6">
        <w:t>acquired Mayan ceramics from Honduras, textiles from Paracas, Peru, and ceramics and gold from Panama.</w:t>
      </w:r>
      <w:r w:rsidR="00A21E3B" w:rsidRPr="00B86BE6">
        <w:rPr>
          <w:rStyle w:val="EndnoteReference"/>
        </w:rPr>
        <w:endnoteReference w:id="79"/>
      </w:r>
      <w:r w:rsidR="00A21E3B" w:rsidRPr="00B86BE6">
        <w:t xml:space="preserve">  Spinden then used these materials to organize</w:t>
      </w:r>
      <w:r w:rsidR="001E7EE1" w:rsidRPr="00B86BE6">
        <w:t xml:space="preserve"> </w:t>
      </w:r>
      <w:r w:rsidR="0002219C" w:rsidRPr="00B86BE6">
        <w:t>traveling exhibits that toured schools and publi</w:t>
      </w:r>
      <w:r w:rsidR="001E7EE1" w:rsidRPr="00B86BE6">
        <w:t>c institutions all over the U.S</w:t>
      </w:r>
      <w:r w:rsidR="0002219C" w:rsidRPr="00B86BE6">
        <w:t>.  “It’s not an accident that</w:t>
      </w:r>
      <w:r w:rsidR="001E7EE1" w:rsidRPr="00B86BE6">
        <w:t xml:space="preserve"> we sent an expedition in 1941,” remarked Kevin Stayton. “</w:t>
      </w:r>
      <w:r w:rsidR="0002219C" w:rsidRPr="00B86BE6">
        <w:t>This was a last ditch effort to weave together the Americas and ignore Europe</w:t>
      </w:r>
      <w:r w:rsidR="00A31D8A" w:rsidRPr="00B86BE6">
        <w:t xml:space="preserve"> during World War II</w:t>
      </w:r>
      <w:r w:rsidR="0002219C" w:rsidRPr="00B86BE6">
        <w:t xml:space="preserve"> at a time we thought we could still get away with that.”  Exploiting </w:t>
      </w:r>
      <w:r w:rsidR="001E7EE1" w:rsidRPr="00B86BE6">
        <w:t xml:space="preserve">the </w:t>
      </w:r>
      <w:r w:rsidR="0002219C" w:rsidRPr="00B86BE6">
        <w:t>geo-political moment, Spinden</w:t>
      </w:r>
      <w:r w:rsidR="001E7EE1" w:rsidRPr="00B86BE6">
        <w:t xml:space="preserve"> took time o</w:t>
      </w:r>
      <w:r w:rsidR="00795D3C" w:rsidRPr="00B86BE6">
        <w:t xml:space="preserve">ut from delivering </w:t>
      </w:r>
      <w:r w:rsidR="001E7EE1" w:rsidRPr="00B86BE6">
        <w:t xml:space="preserve">speeches to </w:t>
      </w:r>
      <w:r w:rsidR="0002219C" w:rsidRPr="00B86BE6">
        <w:t xml:space="preserve">acquire hundreds of Spanish Colonial artifacts and folk art objects for the Museum. </w:t>
      </w:r>
      <w:r w:rsidR="00795D3C" w:rsidRPr="00B86BE6">
        <w:t>“</w:t>
      </w:r>
      <w:r w:rsidR="001E7EE1" w:rsidRPr="00B86BE6">
        <w:t xml:space="preserve">And it is </w:t>
      </w:r>
      <w:r w:rsidR="00673A18" w:rsidRPr="00B86BE6">
        <w:t xml:space="preserve">also no </w:t>
      </w:r>
      <w:r w:rsidR="0002219C" w:rsidRPr="00B86BE6">
        <w:t>accident,</w:t>
      </w:r>
      <w:r w:rsidR="00795D3C" w:rsidRPr="00B86BE6">
        <w:t>”</w:t>
      </w:r>
      <w:r w:rsidR="0002219C" w:rsidRPr="00B86BE6">
        <w:t xml:space="preserve"> </w:t>
      </w:r>
      <w:r w:rsidR="001E7EE1" w:rsidRPr="00B86BE6">
        <w:t xml:space="preserve">Stayton </w:t>
      </w:r>
      <w:r w:rsidR="00795D3C" w:rsidRPr="00B86BE6">
        <w:t>reflected</w:t>
      </w:r>
      <w:r w:rsidR="0002219C" w:rsidRPr="00B86BE6">
        <w:t xml:space="preserve">, </w:t>
      </w:r>
      <w:r w:rsidR="00020B2E" w:rsidRPr="00B86BE6">
        <w:t>“</w:t>
      </w:r>
      <w:r w:rsidR="0002219C" w:rsidRPr="00B86BE6">
        <w:t xml:space="preserve">that </w:t>
      </w:r>
      <w:r w:rsidR="001E7EE1" w:rsidRPr="00B86BE6">
        <w:t xml:space="preserve">the </w:t>
      </w:r>
      <w:r w:rsidR="0002219C" w:rsidRPr="00B86BE6">
        <w:t>collection disappeared into our storerooms when</w:t>
      </w:r>
      <w:r w:rsidR="00673A18" w:rsidRPr="00B86BE6">
        <w:t xml:space="preserve"> achieving hemispheric unity receded in importance.”</w:t>
      </w:r>
    </w:p>
    <w:p w:rsidR="00673A18" w:rsidRPr="00B86BE6" w:rsidRDefault="00673A18" w:rsidP="0002219C"/>
    <w:p w:rsidR="0009629F" w:rsidRPr="00B86BE6" w:rsidRDefault="008C2C2C" w:rsidP="0003319C">
      <w:r w:rsidRPr="00B86BE6">
        <w:tab/>
        <w:t>What Spinden</w:t>
      </w:r>
      <w:r w:rsidR="001E7EE1" w:rsidRPr="00B86BE6">
        <w:t xml:space="preserve"> also cemented </w:t>
      </w:r>
      <w:r w:rsidR="00673A18" w:rsidRPr="00B86BE6">
        <w:t xml:space="preserve">was </w:t>
      </w:r>
      <w:r w:rsidR="001E7EE1" w:rsidRPr="00B86BE6">
        <w:t xml:space="preserve">the </w:t>
      </w:r>
      <w:r w:rsidR="001A7048" w:rsidRPr="00B86BE6">
        <w:t>Museum’s</w:t>
      </w:r>
      <w:r w:rsidR="001E7EE1" w:rsidRPr="00B86BE6">
        <w:t xml:space="preserve"> commitment to the masses</w:t>
      </w:r>
      <w:r w:rsidR="001A7048" w:rsidRPr="00B86BE6">
        <w:t xml:space="preserve">. </w:t>
      </w:r>
      <w:r w:rsidR="00A126E6" w:rsidRPr="00B86BE6">
        <w:t xml:space="preserve">As </w:t>
      </w:r>
      <w:r w:rsidRPr="00B86BE6">
        <w:t>Director of E</w:t>
      </w:r>
      <w:r w:rsidR="001A7048" w:rsidRPr="00B86BE6">
        <w:t>ducation, he</w:t>
      </w:r>
      <w:r w:rsidR="00A126E6" w:rsidRPr="00B86BE6">
        <w:t xml:space="preserve"> </w:t>
      </w:r>
      <w:r w:rsidR="00673A18" w:rsidRPr="00B86BE6">
        <w:t xml:space="preserve">made the building more welcoming </w:t>
      </w:r>
      <w:r w:rsidRPr="00B86BE6">
        <w:t xml:space="preserve">not only </w:t>
      </w:r>
      <w:r w:rsidR="001E7EE1" w:rsidRPr="00B86BE6">
        <w:t xml:space="preserve">through his </w:t>
      </w:r>
      <w:r w:rsidR="00A126E6" w:rsidRPr="00B86BE6">
        <w:t xml:space="preserve">radio </w:t>
      </w:r>
      <w:r w:rsidR="001E7EE1" w:rsidRPr="00B86BE6">
        <w:t xml:space="preserve">broadcasts </w:t>
      </w:r>
      <w:r w:rsidR="00673A18" w:rsidRPr="00B86BE6">
        <w:t xml:space="preserve">but </w:t>
      </w:r>
      <w:r w:rsidR="00C93086" w:rsidRPr="00B86BE6">
        <w:t xml:space="preserve">also </w:t>
      </w:r>
      <w:r w:rsidR="00A126E6" w:rsidRPr="00B86BE6">
        <w:t>by organizing</w:t>
      </w:r>
      <w:r w:rsidR="00216E08" w:rsidRPr="00B86BE6">
        <w:t xml:space="preserve"> </w:t>
      </w:r>
      <w:r w:rsidR="001A7048" w:rsidRPr="00B86BE6">
        <w:t>Nativ</w:t>
      </w:r>
      <w:r w:rsidR="00A126E6" w:rsidRPr="00B86BE6">
        <w:t>e American craft demonstrations and</w:t>
      </w:r>
      <w:r w:rsidR="001A7048" w:rsidRPr="00B86BE6">
        <w:t xml:space="preserve"> art workshops for local designers and manufacturers</w:t>
      </w:r>
      <w:r w:rsidR="00A126E6" w:rsidRPr="00B86BE6">
        <w:t>. On Saturdays, the Ethnological Hall filled with visitors</w:t>
      </w:r>
      <w:r w:rsidR="00C93086" w:rsidRPr="00B86BE6">
        <w:t xml:space="preserve"> who came to watch basket </w:t>
      </w:r>
      <w:r w:rsidR="001E7EE1" w:rsidRPr="00B86BE6">
        <w:t xml:space="preserve">weaving but who also, </w:t>
      </w:r>
      <w:r w:rsidR="00020B2E" w:rsidRPr="00B86BE6">
        <w:t>admits</w:t>
      </w:r>
      <w:r w:rsidR="00A21E3B" w:rsidRPr="00B86BE6">
        <w:t xml:space="preserve"> </w:t>
      </w:r>
      <w:r w:rsidR="00A126E6" w:rsidRPr="00B86BE6">
        <w:t xml:space="preserve">Stayton, </w:t>
      </w:r>
      <w:r w:rsidR="001E7EE1" w:rsidRPr="00B86BE6">
        <w:t xml:space="preserve">really liked the </w:t>
      </w:r>
      <w:r w:rsidR="00C93086" w:rsidRPr="00B86BE6">
        <w:t xml:space="preserve">hot </w:t>
      </w:r>
      <w:r w:rsidR="00A126E6" w:rsidRPr="00B86BE6">
        <w:t xml:space="preserve">dogs.  </w:t>
      </w:r>
      <w:r w:rsidR="0006562B" w:rsidRPr="00B86BE6">
        <w:t xml:space="preserve">Spinden </w:t>
      </w:r>
      <w:r w:rsidR="001E7EE1" w:rsidRPr="00B86BE6">
        <w:t xml:space="preserve">created the </w:t>
      </w:r>
      <w:r w:rsidR="00A126E6" w:rsidRPr="00B86BE6">
        <w:t>Brooklyn Museum School S</w:t>
      </w:r>
      <w:r w:rsidR="00C93086" w:rsidRPr="00B86BE6">
        <w:t xml:space="preserve">ervice, which </w:t>
      </w:r>
      <w:r w:rsidR="00673A18" w:rsidRPr="00B86BE6">
        <w:t xml:space="preserve">welcomed school groups free of charge.  The </w:t>
      </w:r>
      <w:r w:rsidR="001E7EE1" w:rsidRPr="00B86BE6">
        <w:t xml:space="preserve">program aimed to </w:t>
      </w:r>
      <w:r w:rsidR="00216E08" w:rsidRPr="00B86BE6">
        <w:t xml:space="preserve">teach </w:t>
      </w:r>
      <w:r w:rsidRPr="00B86BE6">
        <w:t xml:space="preserve">students </w:t>
      </w:r>
      <w:r w:rsidR="001E7EE1" w:rsidRPr="00B86BE6">
        <w:t xml:space="preserve">about </w:t>
      </w:r>
      <w:r w:rsidR="00020B2E" w:rsidRPr="00B86BE6">
        <w:t xml:space="preserve">distant cultures </w:t>
      </w:r>
      <w:r w:rsidR="0003319C" w:rsidRPr="00B86BE6">
        <w:t xml:space="preserve">but also to make </w:t>
      </w:r>
      <w:r w:rsidR="00A126E6" w:rsidRPr="00B86BE6">
        <w:t>Brooklyn’s ever increasing immigrant population into Americans.</w:t>
      </w:r>
      <w:r w:rsidR="00795D3C" w:rsidRPr="00B86BE6">
        <w:rPr>
          <w:rStyle w:val="EndnoteReference"/>
        </w:rPr>
        <w:endnoteReference w:id="80"/>
      </w:r>
    </w:p>
    <w:p w:rsidR="00216E08" w:rsidRPr="00B86BE6" w:rsidRDefault="00216E08" w:rsidP="00216E08">
      <w:pPr>
        <w:ind w:firstLine="720"/>
      </w:pPr>
    </w:p>
    <w:p w:rsidR="0009629F" w:rsidRPr="00B86BE6" w:rsidRDefault="0009629F" w:rsidP="0009629F">
      <w:r w:rsidRPr="00B86BE6">
        <w:tab/>
        <w:t xml:space="preserve">So, let’s take a walk </w:t>
      </w:r>
      <w:r w:rsidR="00216E08" w:rsidRPr="00B86BE6">
        <w:t xml:space="preserve">through the </w:t>
      </w:r>
      <w:r w:rsidR="00216E08" w:rsidRPr="00B86BE6">
        <w:rPr>
          <w:i/>
        </w:rPr>
        <w:t xml:space="preserve">American Identities </w:t>
      </w:r>
      <w:r w:rsidR="00216E08" w:rsidRPr="00B86BE6">
        <w:t xml:space="preserve">exhibit </w:t>
      </w:r>
      <w:r w:rsidR="00673A18" w:rsidRPr="00B86BE6">
        <w:t xml:space="preserve">and see what there is to </w:t>
      </w:r>
      <w:r w:rsidRPr="00B86BE6">
        <w:t xml:space="preserve">see. In the </w:t>
      </w:r>
      <w:r w:rsidR="00D22BDC" w:rsidRPr="00B86BE6">
        <w:t>“</w:t>
      </w:r>
      <w:r w:rsidRPr="00B86BE6">
        <w:t>Colony to Nation</w:t>
      </w:r>
      <w:r w:rsidR="00D22BDC" w:rsidRPr="00B86BE6">
        <w:t>” g</w:t>
      </w:r>
      <w:r w:rsidRPr="00B86BE6">
        <w:t>allery, Copley portraits of important New Englanders and o</w:t>
      </w:r>
      <w:r w:rsidR="00D22BDC" w:rsidRPr="00B86BE6">
        <w:t>bjects from the Anglo-Dutch era</w:t>
      </w:r>
      <w:r w:rsidRPr="00B86BE6">
        <w:t xml:space="preserve"> hang side by side with </w:t>
      </w:r>
      <w:r w:rsidR="0042504A" w:rsidRPr="00B86BE6">
        <w:t xml:space="preserve">a </w:t>
      </w:r>
      <w:r w:rsidR="0042504A" w:rsidRPr="00B86BE6">
        <w:rPr>
          <w:rFonts w:eastAsiaTheme="minorEastAsia" w:cs="Arial"/>
          <w:color w:val="262626"/>
        </w:rPr>
        <w:t xml:space="preserve">table from </w:t>
      </w:r>
      <w:r w:rsidRPr="00B86BE6">
        <w:rPr>
          <w:rFonts w:eastAsiaTheme="minorEastAsia" w:cs="Arial"/>
          <w:color w:val="262626"/>
        </w:rPr>
        <w:t>Argentina</w:t>
      </w:r>
      <w:r w:rsidR="001E7EE1" w:rsidRPr="00B86BE6">
        <w:rPr>
          <w:rFonts w:eastAsiaTheme="minorEastAsia" w:cs="Arial"/>
          <w:color w:val="262626"/>
        </w:rPr>
        <w:t xml:space="preserve"> and a Zuni water jug.</w:t>
      </w:r>
      <w:r w:rsidRPr="00B86BE6">
        <w:t xml:space="preserve"> </w:t>
      </w:r>
      <w:r w:rsidR="0042504A" w:rsidRPr="00B86BE6">
        <w:t xml:space="preserve"> These pairings are meant to show the connections between the art and objects produced </w:t>
      </w:r>
      <w:r w:rsidR="00676304" w:rsidRPr="00B86BE6">
        <w:t xml:space="preserve">at the time </w:t>
      </w:r>
      <w:r w:rsidR="0042504A" w:rsidRPr="00B86BE6">
        <w:t xml:space="preserve">throughout the region. </w:t>
      </w:r>
      <w:r w:rsidR="0003729F" w:rsidRPr="00B86BE6">
        <w:rPr>
          <w:rFonts w:eastAsiaTheme="minorEastAsia" w:cs="Arial"/>
        </w:rPr>
        <w:t>The Zun</w:t>
      </w:r>
      <w:r w:rsidR="00D22BDC" w:rsidRPr="00B86BE6">
        <w:rPr>
          <w:rFonts w:eastAsiaTheme="minorEastAsia" w:cs="Arial"/>
        </w:rPr>
        <w:t xml:space="preserve">i water jug, </w:t>
      </w:r>
      <w:r w:rsidR="0003729F" w:rsidRPr="00B86BE6">
        <w:rPr>
          <w:rFonts w:eastAsiaTheme="minorEastAsia" w:cs="Arial"/>
        </w:rPr>
        <w:t>“created at the same moment as many of the European-derived portraits</w:t>
      </w:r>
      <w:r w:rsidR="00D22BDC" w:rsidRPr="00B86BE6">
        <w:rPr>
          <w:rFonts w:eastAsiaTheme="minorEastAsia" w:cs="Arial"/>
        </w:rPr>
        <w:t xml:space="preserve"> and furnishings in the gallery,</w:t>
      </w:r>
      <w:r w:rsidR="0003729F" w:rsidRPr="00B86BE6">
        <w:rPr>
          <w:rFonts w:eastAsiaTheme="minorEastAsia" w:cs="Arial"/>
        </w:rPr>
        <w:t xml:space="preserve"> serves as a reminder of the independent continuity of Indian artistic traditions in North America throughout the colonial period.” </w:t>
      </w:r>
      <w:r w:rsidR="0042504A" w:rsidRPr="00B86BE6">
        <w:t xml:space="preserve">The Chippendale-inspired </w:t>
      </w:r>
      <w:r w:rsidR="00D22BDC" w:rsidRPr="00B86BE6">
        <w:t xml:space="preserve">table </w:t>
      </w:r>
      <w:r w:rsidR="001E7EE1" w:rsidRPr="00B86BE6">
        <w:t xml:space="preserve">that sits </w:t>
      </w:r>
      <w:r w:rsidRPr="00B86BE6">
        <w:t>barely a foot</w:t>
      </w:r>
      <w:r w:rsidR="00795D3C" w:rsidRPr="00B86BE6">
        <w:t xml:space="preserve"> off the floor, Mr. Stayton said</w:t>
      </w:r>
      <w:r w:rsidRPr="00B86BE6">
        <w:t>, “was made for an English tea ceremony, which is itself an import from Asia to the West.  But</w:t>
      </w:r>
      <w:r w:rsidR="00673A18" w:rsidRPr="00B86BE6">
        <w:t xml:space="preserve"> much more mi</w:t>
      </w:r>
      <w:r w:rsidR="0003319C" w:rsidRPr="00B86BE6">
        <w:t xml:space="preserve">xing occurred in South America.” </w:t>
      </w:r>
      <w:r w:rsidR="00673A18" w:rsidRPr="00B86BE6">
        <w:t xml:space="preserve">The table is </w:t>
      </w:r>
      <w:r w:rsidR="001E7EE1" w:rsidRPr="00B86BE6">
        <w:t xml:space="preserve">low because the Spanish </w:t>
      </w:r>
      <w:r w:rsidR="0042504A" w:rsidRPr="00B86BE6">
        <w:t xml:space="preserve">who traveled to the </w:t>
      </w:r>
      <w:r w:rsidR="001E7EE1" w:rsidRPr="00B86BE6">
        <w:t>New World brought</w:t>
      </w:r>
      <w:r w:rsidR="0042504A" w:rsidRPr="00B86BE6">
        <w:t xml:space="preserve"> with them their memories of Moorish times. </w:t>
      </w:r>
      <w:r w:rsidR="001E7EE1" w:rsidRPr="00B86BE6">
        <w:t>In those days, men sat on c</w:t>
      </w:r>
      <w:r w:rsidR="00BC3311" w:rsidRPr="00B86BE6">
        <w:t>hairs and women sat on cushions placed on low tables. In Argentina, though, the drawing room drink of c</w:t>
      </w:r>
      <w:r w:rsidR="00020B2E" w:rsidRPr="00B86BE6">
        <w:t>hoice was mate</w:t>
      </w:r>
      <w:r w:rsidR="00360DD1" w:rsidRPr="00B86BE6">
        <w:t xml:space="preserve">, </w:t>
      </w:r>
      <w:r w:rsidR="00D22BDC" w:rsidRPr="00B86BE6">
        <w:t>an infusion of dried yerba mate leaves</w:t>
      </w:r>
      <w:r w:rsidR="00360DD1" w:rsidRPr="00B86BE6">
        <w:t>—served in a hollow calabash gourd with a silver straw—acquired</w:t>
      </w:r>
      <w:r w:rsidR="00020B2E" w:rsidRPr="00B86BE6">
        <w:t xml:space="preserve"> from indigenous </w:t>
      </w:r>
      <w:r w:rsidR="00F24D89" w:rsidRPr="00B86BE6">
        <w:t>societies based in Paraguay</w:t>
      </w:r>
      <w:r w:rsidR="00BC3311" w:rsidRPr="00B86BE6">
        <w:t xml:space="preserve">.  </w:t>
      </w:r>
      <w:r w:rsidRPr="00B86BE6">
        <w:t>“So right here, you have English, Spanish, Moorish and N</w:t>
      </w:r>
      <w:r w:rsidR="00762D19" w:rsidRPr="00B86BE6">
        <w:t>ative traditions combined,</w:t>
      </w:r>
      <w:r w:rsidR="00795D3C" w:rsidRPr="00B86BE6">
        <w:t xml:space="preserve">” </w:t>
      </w:r>
      <w:r w:rsidR="00762D19" w:rsidRPr="00B86BE6">
        <w:t xml:space="preserve">noted Stayton. </w:t>
      </w:r>
    </w:p>
    <w:p w:rsidR="0009629F" w:rsidRPr="00B86BE6" w:rsidRDefault="0009629F" w:rsidP="0009629F">
      <w:pPr>
        <w:rPr>
          <w:rFonts w:eastAsiaTheme="minorEastAsia" w:cs="Arial"/>
        </w:rPr>
      </w:pPr>
    </w:p>
    <w:p w:rsidR="0009629F" w:rsidRPr="00B86BE6" w:rsidRDefault="00BC3311" w:rsidP="0009629F">
      <w:r w:rsidRPr="00B86BE6">
        <w:rPr>
          <w:rFonts w:eastAsiaTheme="minorEastAsia" w:cs="Arial"/>
        </w:rPr>
        <w:tab/>
        <w:t xml:space="preserve">Another </w:t>
      </w:r>
      <w:r w:rsidR="00F24D89" w:rsidRPr="00B86BE6">
        <w:rPr>
          <w:rFonts w:eastAsiaTheme="minorEastAsia" w:cs="Arial"/>
        </w:rPr>
        <w:t>“colonial pairing” showcases</w:t>
      </w:r>
      <w:r w:rsidR="0009629F" w:rsidRPr="00B86BE6">
        <w:rPr>
          <w:rFonts w:eastAsiaTheme="minorEastAsia" w:cs="Arial"/>
        </w:rPr>
        <w:t xml:space="preserve"> </w:t>
      </w:r>
      <w:r w:rsidR="0042504A" w:rsidRPr="00B86BE6">
        <w:rPr>
          <w:rFonts w:eastAsiaTheme="minorEastAsia" w:cs="Arial"/>
        </w:rPr>
        <w:t xml:space="preserve">William William’s </w:t>
      </w:r>
      <w:r w:rsidR="0009629F" w:rsidRPr="00B86BE6">
        <w:rPr>
          <w:rFonts w:eastAsiaTheme="minorEastAsia" w:cs="Arial"/>
        </w:rPr>
        <w:t xml:space="preserve">portrait of </w:t>
      </w:r>
      <w:r w:rsidR="0009629F" w:rsidRPr="00B86BE6">
        <w:t>Deborah Hall</w:t>
      </w:r>
      <w:r w:rsidR="00051272" w:rsidRPr="00B86BE6">
        <w:t>,</w:t>
      </w:r>
      <w:r w:rsidRPr="00B86BE6">
        <w:t xml:space="preserve"> dau</w:t>
      </w:r>
      <w:r w:rsidR="00020B2E" w:rsidRPr="00B86BE6">
        <w:t>g</w:t>
      </w:r>
      <w:r w:rsidR="00051272" w:rsidRPr="00B86BE6">
        <w:t>hter of the printer David Hall (</w:t>
      </w:r>
      <w:r w:rsidRPr="00B86BE6">
        <w:t>Benja</w:t>
      </w:r>
      <w:r w:rsidR="00020B2E" w:rsidRPr="00B86BE6">
        <w:t>min Franklin’s business partner</w:t>
      </w:r>
      <w:r w:rsidR="00051272" w:rsidRPr="00B86BE6">
        <w:t>)</w:t>
      </w:r>
      <w:r w:rsidR="00020B2E" w:rsidRPr="00B86BE6">
        <w:t>,</w:t>
      </w:r>
      <w:r w:rsidR="0042504A" w:rsidRPr="00B86BE6">
        <w:t xml:space="preserve"> </w:t>
      </w:r>
      <w:r w:rsidR="00F24D89" w:rsidRPr="00B86BE6">
        <w:t>next to</w:t>
      </w:r>
      <w:r w:rsidRPr="00B86BE6">
        <w:t xml:space="preserve"> a </w:t>
      </w:r>
      <w:r w:rsidR="0009629F" w:rsidRPr="00B86BE6">
        <w:t xml:space="preserve">portrait of Doña Mariana Belsunse y Salasar, a member of the </w:t>
      </w:r>
      <w:r w:rsidR="00F24D89" w:rsidRPr="00B86BE6">
        <w:rPr>
          <w:i/>
        </w:rPr>
        <w:t>c</w:t>
      </w:r>
      <w:r w:rsidR="00900931" w:rsidRPr="00B86BE6">
        <w:rPr>
          <w:i/>
        </w:rPr>
        <w:t>r</w:t>
      </w:r>
      <w:r w:rsidR="00F24D89" w:rsidRPr="00B86BE6">
        <w:rPr>
          <w:i/>
        </w:rPr>
        <w:t>iollo</w:t>
      </w:r>
      <w:r w:rsidR="0006562B" w:rsidRPr="00B86BE6">
        <w:rPr>
          <w:i/>
        </w:rPr>
        <w:t xml:space="preserve"> </w:t>
      </w:r>
      <w:r w:rsidR="0006562B" w:rsidRPr="00B86BE6">
        <w:rPr>
          <w:rStyle w:val="EndnoteReference"/>
          <w:i/>
        </w:rPr>
        <w:endnoteReference w:id="81"/>
      </w:r>
      <w:r w:rsidR="0009629F" w:rsidRPr="00B86BE6">
        <w:t>el</w:t>
      </w:r>
      <w:r w:rsidR="00020B2E" w:rsidRPr="00B86BE6">
        <w:t>ite, whose painter is un</w:t>
      </w:r>
      <w:r w:rsidR="0009629F" w:rsidRPr="00B86BE6">
        <w:t>known. Both p</w:t>
      </w:r>
      <w:r w:rsidR="00F24D89" w:rsidRPr="00B86BE6">
        <w:t xml:space="preserve">aintings were completed in the 1760s, </w:t>
      </w:r>
      <w:r w:rsidR="0009629F" w:rsidRPr="00B86BE6">
        <w:t xml:space="preserve">one in colonial Philadelphia and the other in </w:t>
      </w:r>
      <w:r w:rsidR="00795D3C" w:rsidRPr="00B86BE6">
        <w:t xml:space="preserve">colonial </w:t>
      </w:r>
      <w:r w:rsidR="00F24D89" w:rsidRPr="00B86BE6">
        <w:t xml:space="preserve">Lima, Peru. </w:t>
      </w:r>
      <w:r w:rsidR="0003729F" w:rsidRPr="00B86BE6">
        <w:t xml:space="preserve">The paintings </w:t>
      </w:r>
      <w:r w:rsidR="00F24D89" w:rsidRPr="00B86BE6">
        <w:t>broad</w:t>
      </w:r>
      <w:r w:rsidR="0003729F" w:rsidRPr="00B86BE6">
        <w:t xml:space="preserve">cast the </w:t>
      </w:r>
      <w:r w:rsidR="0003729F" w:rsidRPr="00B86BE6">
        <w:rPr>
          <w:rFonts w:cs="Brooklynesque"/>
        </w:rPr>
        <w:t xml:space="preserve">elite status of their subjects in much </w:t>
      </w:r>
      <w:r w:rsidRPr="00B86BE6">
        <w:rPr>
          <w:rFonts w:cs="Brooklynesque"/>
        </w:rPr>
        <w:t xml:space="preserve">the </w:t>
      </w:r>
      <w:r w:rsidR="00673A18" w:rsidRPr="00B86BE6">
        <w:rPr>
          <w:rFonts w:cs="Brooklynesque"/>
        </w:rPr>
        <w:t xml:space="preserve">same </w:t>
      </w:r>
      <w:r w:rsidR="0003729F" w:rsidRPr="00B86BE6">
        <w:rPr>
          <w:rFonts w:cs="Brooklynesque"/>
        </w:rPr>
        <w:t xml:space="preserve">way as the </w:t>
      </w:r>
      <w:r w:rsidRPr="00B86BE6">
        <w:rPr>
          <w:rFonts w:cs="Brooklynesque"/>
        </w:rPr>
        <w:t xml:space="preserve">European portraits of the day: </w:t>
      </w:r>
      <w:r w:rsidR="0009629F" w:rsidRPr="00B86BE6">
        <w:rPr>
          <w:rFonts w:cs="Brooklynesque"/>
        </w:rPr>
        <w:t xml:space="preserve">both </w:t>
      </w:r>
      <w:r w:rsidR="00762D19" w:rsidRPr="00B86BE6">
        <w:rPr>
          <w:rFonts w:cs="Brooklynesque"/>
        </w:rPr>
        <w:t xml:space="preserve">women stand in </w:t>
      </w:r>
      <w:r w:rsidR="0009629F" w:rsidRPr="00B86BE6">
        <w:rPr>
          <w:rFonts w:cs="Brooklynesque"/>
        </w:rPr>
        <w:t xml:space="preserve">front of </w:t>
      </w:r>
      <w:r w:rsidR="00F24D89" w:rsidRPr="00B86BE6">
        <w:rPr>
          <w:rFonts w:cs="Brooklynesque"/>
        </w:rPr>
        <w:t xml:space="preserve">(probably fanciful) </w:t>
      </w:r>
      <w:r w:rsidR="0009629F" w:rsidRPr="00B86BE6">
        <w:rPr>
          <w:rFonts w:cs="Brooklynesque"/>
        </w:rPr>
        <w:t xml:space="preserve">formal </w:t>
      </w:r>
      <w:r w:rsidR="0006562B" w:rsidRPr="00B86BE6">
        <w:rPr>
          <w:rFonts w:cs="Brooklynesque"/>
        </w:rPr>
        <w:t>gardens. T</w:t>
      </w:r>
      <w:r w:rsidR="0009629F" w:rsidRPr="00B86BE6">
        <w:rPr>
          <w:rFonts w:cs="Brooklynesque"/>
        </w:rPr>
        <w:t>hey are dressed</w:t>
      </w:r>
      <w:r w:rsidR="00F24D89" w:rsidRPr="00B86BE6">
        <w:rPr>
          <w:rFonts w:cs="Brooklynesque"/>
        </w:rPr>
        <w:t xml:space="preserve"> to the nines</w:t>
      </w:r>
      <w:r w:rsidR="0006562B" w:rsidRPr="00B86BE6">
        <w:rPr>
          <w:rFonts w:cs="Brooklynesque"/>
        </w:rPr>
        <w:t xml:space="preserve">, gazing </w:t>
      </w:r>
      <w:r w:rsidR="00795D3C" w:rsidRPr="00B86BE6">
        <w:rPr>
          <w:rFonts w:cs="Brooklynesque"/>
        </w:rPr>
        <w:t xml:space="preserve">out </w:t>
      </w:r>
      <w:r w:rsidR="0009629F" w:rsidRPr="00B86BE6">
        <w:rPr>
          <w:rFonts w:cs="Brooklynesque"/>
        </w:rPr>
        <w:t xml:space="preserve">elegantly from the frame. </w:t>
      </w:r>
      <w:r w:rsidR="0003729F" w:rsidRPr="00B86BE6">
        <w:rPr>
          <w:rFonts w:cs="Brooklynesque"/>
        </w:rPr>
        <w:t xml:space="preserve"> The iconography is also familiar. </w:t>
      </w:r>
      <w:r w:rsidR="0009629F" w:rsidRPr="00B86BE6">
        <w:rPr>
          <w:rFonts w:eastAsiaTheme="minorEastAsia" w:cs="Arial"/>
        </w:rPr>
        <w:t xml:space="preserve">The flowers, which </w:t>
      </w:r>
      <w:r w:rsidR="0003729F" w:rsidRPr="00B86BE6">
        <w:rPr>
          <w:rFonts w:eastAsiaTheme="minorEastAsia" w:cs="Arial"/>
        </w:rPr>
        <w:t xml:space="preserve">symbolize </w:t>
      </w:r>
      <w:r w:rsidR="0009629F" w:rsidRPr="00B86BE6">
        <w:rPr>
          <w:rFonts w:eastAsiaTheme="minorEastAsia" w:cs="Arial"/>
        </w:rPr>
        <w:t xml:space="preserve">love and beauty, may tell viewers </w:t>
      </w:r>
      <w:r w:rsidR="00676304" w:rsidRPr="00B86BE6">
        <w:rPr>
          <w:rFonts w:eastAsiaTheme="minorEastAsia" w:cs="Arial"/>
        </w:rPr>
        <w:t xml:space="preserve">they are ready to </w:t>
      </w:r>
      <w:r w:rsidR="009665BF" w:rsidRPr="00B86BE6">
        <w:rPr>
          <w:rFonts w:eastAsiaTheme="minorEastAsia" w:cs="Arial"/>
        </w:rPr>
        <w:t xml:space="preserve">marry. The </w:t>
      </w:r>
      <w:r w:rsidR="00795D3C" w:rsidRPr="00B86BE6">
        <w:rPr>
          <w:rFonts w:eastAsiaTheme="minorEastAsia" w:cs="Arial"/>
        </w:rPr>
        <w:t>timepieces probably in</w:t>
      </w:r>
      <w:r w:rsidR="0003729F" w:rsidRPr="00B86BE6">
        <w:rPr>
          <w:rFonts w:eastAsiaTheme="minorEastAsia" w:cs="Arial"/>
        </w:rPr>
        <w:t xml:space="preserve">dicate that time is </w:t>
      </w:r>
      <w:r w:rsidR="00762D19" w:rsidRPr="00B86BE6">
        <w:rPr>
          <w:rFonts w:eastAsiaTheme="minorEastAsia" w:cs="Arial"/>
        </w:rPr>
        <w:t>ticking away</w:t>
      </w:r>
      <w:r w:rsidR="0009629F" w:rsidRPr="00B86BE6">
        <w:rPr>
          <w:rFonts w:eastAsiaTheme="minorEastAsia" w:cs="Arial"/>
        </w:rPr>
        <w:t>.</w:t>
      </w:r>
      <w:r w:rsidR="00673A18" w:rsidRPr="00B86BE6">
        <w:rPr>
          <w:rStyle w:val="EndnoteReference"/>
          <w:rFonts w:eastAsiaTheme="minorEastAsia" w:cs="Arial"/>
        </w:rPr>
        <w:endnoteReference w:id="82"/>
      </w:r>
      <w:r w:rsidR="0009629F" w:rsidRPr="00B86BE6">
        <w:t xml:space="preserve"> </w:t>
      </w:r>
    </w:p>
    <w:p w:rsidR="0009629F" w:rsidRPr="00B86BE6" w:rsidRDefault="0009629F" w:rsidP="0009629F"/>
    <w:p w:rsidR="0009629F" w:rsidRPr="00B86BE6" w:rsidRDefault="0009629F" w:rsidP="0009629F">
      <w:pPr>
        <w:rPr>
          <w:rFonts w:cs="Arial"/>
        </w:rPr>
      </w:pPr>
      <w:r w:rsidRPr="00B86BE6">
        <w:tab/>
      </w:r>
      <w:r w:rsidR="0003729F" w:rsidRPr="00B86BE6">
        <w:t xml:space="preserve">Next up is a </w:t>
      </w:r>
      <w:r w:rsidR="00345A38" w:rsidRPr="00B86BE6">
        <w:t>Pizarro commemorative p</w:t>
      </w:r>
      <w:r w:rsidRPr="00B86BE6">
        <w:t>late, made in Peru in the 19</w:t>
      </w:r>
      <w:r w:rsidRPr="00B86BE6">
        <w:rPr>
          <w:vertAlign w:val="superscript"/>
        </w:rPr>
        <w:t>th</w:t>
      </w:r>
      <w:r w:rsidRPr="00B86BE6">
        <w:t xml:space="preserve"> century, </w:t>
      </w:r>
      <w:r w:rsidR="0003729F" w:rsidRPr="00B86BE6">
        <w:t xml:space="preserve">probably created in response to </w:t>
      </w:r>
      <w:r w:rsidRPr="00B86BE6">
        <w:t xml:space="preserve">Peruvian’s </w:t>
      </w:r>
      <w:r w:rsidR="00BC3311" w:rsidRPr="00B86BE6">
        <w:t xml:space="preserve">renewed </w:t>
      </w:r>
      <w:r w:rsidRPr="00B86BE6">
        <w:t xml:space="preserve">interest in their </w:t>
      </w:r>
      <w:r w:rsidRPr="00B86BE6">
        <w:rPr>
          <w:rFonts w:cs="Arial"/>
        </w:rPr>
        <w:t>colonial history</w:t>
      </w:r>
      <w:r w:rsidR="00BC3311" w:rsidRPr="00B86BE6">
        <w:rPr>
          <w:rFonts w:cs="Arial"/>
        </w:rPr>
        <w:t xml:space="preserve">, </w:t>
      </w:r>
      <w:r w:rsidR="0003729F" w:rsidRPr="00B86BE6">
        <w:rPr>
          <w:rFonts w:cs="Arial"/>
        </w:rPr>
        <w:t xml:space="preserve">which coincided with a </w:t>
      </w:r>
      <w:r w:rsidR="00BC3311" w:rsidRPr="00B86BE6">
        <w:rPr>
          <w:rFonts w:cs="Arial"/>
        </w:rPr>
        <w:t xml:space="preserve">growing </w:t>
      </w:r>
      <w:r w:rsidR="009665BF" w:rsidRPr="00B86BE6">
        <w:rPr>
          <w:rFonts w:cs="Arial"/>
        </w:rPr>
        <w:t xml:space="preserve">North American </w:t>
      </w:r>
      <w:r w:rsidR="00BC3311" w:rsidRPr="00B86BE6">
        <w:rPr>
          <w:rFonts w:cs="Arial"/>
        </w:rPr>
        <w:t xml:space="preserve">fascination </w:t>
      </w:r>
      <w:r w:rsidRPr="00B86BE6">
        <w:rPr>
          <w:rFonts w:cs="Arial"/>
        </w:rPr>
        <w:t>with the indigenous cultures of Central</w:t>
      </w:r>
      <w:r w:rsidR="00636497" w:rsidRPr="00B86BE6">
        <w:rPr>
          <w:rFonts w:cs="Arial"/>
        </w:rPr>
        <w:t xml:space="preserve"> and South America.  Framed like a</w:t>
      </w:r>
      <w:r w:rsidRPr="00B86BE6">
        <w:rPr>
          <w:rFonts w:cs="Arial"/>
        </w:rPr>
        <w:t xml:space="preserve"> formal coat of arms are portraits of the last Inca emperor </w:t>
      </w:r>
      <w:r w:rsidR="00900931" w:rsidRPr="00B86BE6">
        <w:rPr>
          <w:rFonts w:cs="Arial"/>
        </w:rPr>
        <w:t>Atahualpa</w:t>
      </w:r>
      <w:r w:rsidR="00673A18" w:rsidRPr="00B86BE6">
        <w:rPr>
          <w:rFonts w:cs="Arial"/>
        </w:rPr>
        <w:t xml:space="preserve"> </w:t>
      </w:r>
      <w:r w:rsidRPr="00B86BE6">
        <w:rPr>
          <w:rFonts w:cs="Arial"/>
        </w:rPr>
        <w:t xml:space="preserve">and the Spaniard Don Francisco Pizarro, </w:t>
      </w:r>
      <w:r w:rsidR="0003729F" w:rsidRPr="00B86BE6">
        <w:rPr>
          <w:rFonts w:cs="Arial"/>
        </w:rPr>
        <w:t>his vanquisher</w:t>
      </w:r>
      <w:r w:rsidR="009665BF" w:rsidRPr="00B86BE6">
        <w:rPr>
          <w:rFonts w:cs="Arial"/>
        </w:rPr>
        <w:t xml:space="preserve">. </w:t>
      </w:r>
      <w:r w:rsidRPr="00B86BE6">
        <w:rPr>
          <w:rFonts w:cs="Arial"/>
        </w:rPr>
        <w:t xml:space="preserve">The inscription only honors the conqueror, however, suggesting that, even </w:t>
      </w:r>
      <w:r w:rsidR="009665BF" w:rsidRPr="00B86BE6">
        <w:rPr>
          <w:rFonts w:cs="Arial"/>
        </w:rPr>
        <w:t xml:space="preserve">in the </w:t>
      </w:r>
      <w:r w:rsidRPr="00B86BE6">
        <w:rPr>
          <w:rFonts w:cs="Arial"/>
        </w:rPr>
        <w:t>19</w:t>
      </w:r>
      <w:r w:rsidRPr="00B86BE6">
        <w:rPr>
          <w:rFonts w:cs="Arial"/>
          <w:vertAlign w:val="superscript"/>
        </w:rPr>
        <w:t>th</w:t>
      </w:r>
      <w:r w:rsidRPr="00B86BE6">
        <w:rPr>
          <w:rFonts w:cs="Arial"/>
        </w:rPr>
        <w:t xml:space="preserve"> century</w:t>
      </w:r>
      <w:r w:rsidR="009665BF" w:rsidRPr="00B86BE6">
        <w:rPr>
          <w:rFonts w:cs="Arial"/>
        </w:rPr>
        <w:t xml:space="preserve">, </w:t>
      </w:r>
      <w:r w:rsidRPr="00B86BE6">
        <w:rPr>
          <w:rFonts w:cs="Arial"/>
        </w:rPr>
        <w:t>Peruvians still viewed the Spanish invasion as an illustrious period in their history</w:t>
      </w:r>
      <w:r w:rsidR="00BA10E5" w:rsidRPr="00B86BE6">
        <w:rPr>
          <w:rFonts w:cs="Arial"/>
        </w:rPr>
        <w:t>.</w:t>
      </w:r>
      <w:r w:rsidR="00BA10E5" w:rsidRPr="00B86BE6">
        <w:rPr>
          <w:rStyle w:val="EndnoteReference"/>
          <w:rFonts w:cs="Arial"/>
        </w:rPr>
        <w:endnoteReference w:id="83"/>
      </w:r>
      <w:r w:rsidRPr="00B86BE6">
        <w:rPr>
          <w:rFonts w:cs="Arial"/>
        </w:rPr>
        <w:t xml:space="preserve"> </w:t>
      </w:r>
    </w:p>
    <w:p w:rsidR="00BA10E5" w:rsidRPr="00B86BE6" w:rsidRDefault="00BA10E5" w:rsidP="0009629F"/>
    <w:p w:rsidR="0009629F" w:rsidRPr="00B86BE6" w:rsidRDefault="0009629F" w:rsidP="00636497">
      <w:pPr>
        <w:widowControl w:val="0"/>
        <w:autoSpaceDE w:val="0"/>
        <w:autoSpaceDN w:val="0"/>
        <w:adjustRightInd w:val="0"/>
        <w:spacing w:after="320"/>
        <w:ind w:firstLine="720"/>
        <w:rPr>
          <w:rFonts w:cs="Arial"/>
        </w:rPr>
      </w:pPr>
      <w:r w:rsidRPr="00B86BE6">
        <w:rPr>
          <w:rFonts w:cs="Arial"/>
          <w:bCs/>
        </w:rPr>
        <w:t xml:space="preserve">Pizarro and Atahualpa hang next to a silver tray </w:t>
      </w:r>
      <w:r w:rsidR="0003729F" w:rsidRPr="00B86BE6">
        <w:rPr>
          <w:rFonts w:cs="Arial"/>
          <w:bCs/>
        </w:rPr>
        <w:t xml:space="preserve">first shown at the </w:t>
      </w:r>
      <w:r w:rsidRPr="00B86BE6">
        <w:rPr>
          <w:rFonts w:cs="Arial"/>
          <w:bCs/>
        </w:rPr>
        <w:t xml:space="preserve">Tiffany’s exhibition at the </w:t>
      </w:r>
      <w:r w:rsidRPr="00B86BE6">
        <w:rPr>
          <w:rFonts w:cs="Arial"/>
        </w:rPr>
        <w:t xml:space="preserve">1893 World's Columbian Exposition in Chicago. </w:t>
      </w:r>
      <w:r w:rsidR="0003729F" w:rsidRPr="00B86BE6">
        <w:rPr>
          <w:rFonts w:cs="Arial"/>
        </w:rPr>
        <w:t xml:space="preserve">It is modeled after the Aztec’s famous sun calendar, </w:t>
      </w:r>
      <w:r w:rsidR="00636497" w:rsidRPr="00B86BE6">
        <w:rPr>
          <w:rFonts w:cs="Arial"/>
        </w:rPr>
        <w:t xml:space="preserve">an icon of Mexico’s </w:t>
      </w:r>
      <w:r w:rsidR="0003729F" w:rsidRPr="00B86BE6">
        <w:rPr>
          <w:rFonts w:cs="Arial"/>
        </w:rPr>
        <w:t xml:space="preserve">Pre-Columbian past. </w:t>
      </w:r>
      <w:r w:rsidRPr="00B86BE6">
        <w:rPr>
          <w:rFonts w:cs="Arial"/>
        </w:rPr>
        <w:t>It reflects “the nineteenth-century search for America's roots in its pre-European cultures.”</w:t>
      </w:r>
      <w:r w:rsidR="00BA10E5" w:rsidRPr="00B86BE6">
        <w:rPr>
          <w:rStyle w:val="EndnoteReference"/>
          <w:rFonts w:cs="Arial"/>
        </w:rPr>
        <w:endnoteReference w:id="84"/>
      </w:r>
      <w:r w:rsidR="00BA10E5" w:rsidRPr="00B86BE6">
        <w:rPr>
          <w:rFonts w:cs="Arial"/>
        </w:rPr>
        <w:t xml:space="preserve"> </w:t>
      </w:r>
      <w:r w:rsidR="003B2CA0" w:rsidRPr="00B86BE6">
        <w:rPr>
          <w:rFonts w:cs="Arial"/>
        </w:rPr>
        <w:t>This, said</w:t>
      </w:r>
      <w:r w:rsidRPr="00B86BE6">
        <w:rPr>
          <w:rFonts w:cs="Arial"/>
        </w:rPr>
        <w:t xml:space="preserve"> Mr. Stayton, is the United States spreading out and becoming more international.  After the Civil War, people wanted to connect to an American past that did not </w:t>
      </w:r>
      <w:r w:rsidR="00020B2E" w:rsidRPr="00B86BE6">
        <w:rPr>
          <w:rFonts w:cs="Arial"/>
        </w:rPr>
        <w:t xml:space="preserve">just </w:t>
      </w:r>
      <w:r w:rsidRPr="00B86BE6">
        <w:rPr>
          <w:rFonts w:cs="Arial"/>
        </w:rPr>
        <w:t xml:space="preserve">involve Europe. </w:t>
      </w:r>
      <w:r w:rsidR="0003729F" w:rsidRPr="00B86BE6">
        <w:rPr>
          <w:rFonts w:cs="Arial"/>
        </w:rPr>
        <w:t xml:space="preserve">After the Exposition, </w:t>
      </w:r>
      <w:r w:rsidR="00636497" w:rsidRPr="00B86BE6">
        <w:rPr>
          <w:rFonts w:cs="Arial"/>
        </w:rPr>
        <w:t xml:space="preserve">magnate </w:t>
      </w:r>
      <w:r w:rsidR="0003729F" w:rsidRPr="00B86BE6">
        <w:rPr>
          <w:rFonts w:cs="Arial"/>
        </w:rPr>
        <w:t xml:space="preserve">William Randolph Hearst purchased the tray </w:t>
      </w:r>
      <w:r w:rsidR="00636497" w:rsidRPr="00B86BE6">
        <w:rPr>
          <w:rFonts w:cs="Arial"/>
        </w:rPr>
        <w:t xml:space="preserve">for </w:t>
      </w:r>
      <w:r w:rsidR="0003729F" w:rsidRPr="00B86BE6">
        <w:rPr>
          <w:rFonts w:cs="Arial"/>
        </w:rPr>
        <w:t xml:space="preserve">his palatial home, San Simeon. </w:t>
      </w:r>
    </w:p>
    <w:p w:rsidR="0009629F" w:rsidRPr="00B86BE6" w:rsidRDefault="0009629F" w:rsidP="003B2CA0">
      <w:pPr>
        <w:widowControl w:val="0"/>
        <w:autoSpaceDE w:val="0"/>
        <w:autoSpaceDN w:val="0"/>
        <w:adjustRightInd w:val="0"/>
        <w:spacing w:after="320"/>
        <w:ind w:firstLine="720"/>
        <w:rPr>
          <w:rFonts w:cs="Arial"/>
          <w:color w:val="262626"/>
        </w:rPr>
      </w:pPr>
      <w:r w:rsidRPr="00B86BE6">
        <w:rPr>
          <w:rFonts w:cs="Arial"/>
        </w:rPr>
        <w:t xml:space="preserve">If you look closely, </w:t>
      </w:r>
      <w:r w:rsidRPr="00B86BE6">
        <w:rPr>
          <w:rFonts w:cs="Arial"/>
          <w:i/>
        </w:rPr>
        <w:t xml:space="preserve">American Identities </w:t>
      </w:r>
      <w:r w:rsidRPr="00B86BE6">
        <w:rPr>
          <w:rFonts w:cs="Arial"/>
        </w:rPr>
        <w:t xml:space="preserve">also calls out </w:t>
      </w:r>
      <w:r w:rsidR="00345A38" w:rsidRPr="00B86BE6">
        <w:rPr>
          <w:rFonts w:cs="Arial"/>
        </w:rPr>
        <w:t xml:space="preserve">to </w:t>
      </w:r>
      <w:r w:rsidRPr="00B86BE6">
        <w:rPr>
          <w:rFonts w:cs="Arial"/>
        </w:rPr>
        <w:t xml:space="preserve">the immigrant and African American experience. There is a richly carved staff commemorating the Emancipation Proclamation that ended slavery in 1863. </w:t>
      </w:r>
      <w:r w:rsidR="00636497" w:rsidRPr="00B86BE6">
        <w:rPr>
          <w:rFonts w:cs="Arial"/>
        </w:rPr>
        <w:t xml:space="preserve">In a section on the </w:t>
      </w:r>
      <w:r w:rsidR="003B2CA0" w:rsidRPr="00B86BE6">
        <w:rPr>
          <w:rFonts w:cs="Arial"/>
        </w:rPr>
        <w:t xml:space="preserve">Centennial Era, which </w:t>
      </w:r>
      <w:r w:rsidRPr="00B86BE6">
        <w:rPr>
          <w:rFonts w:cs="Arial"/>
        </w:rPr>
        <w:t xml:space="preserve">explores </w:t>
      </w:r>
      <w:r w:rsidR="00020B2E" w:rsidRPr="00B86BE6">
        <w:rPr>
          <w:rFonts w:cs="Arial"/>
        </w:rPr>
        <w:t xml:space="preserve">the creation of a </w:t>
      </w:r>
      <w:r w:rsidR="00676304" w:rsidRPr="00B86BE6">
        <w:rPr>
          <w:rFonts w:cs="Arial"/>
        </w:rPr>
        <w:t xml:space="preserve">unique </w:t>
      </w:r>
      <w:r w:rsidR="00636497" w:rsidRPr="00B86BE6">
        <w:rPr>
          <w:rFonts w:cs="Arial"/>
        </w:rPr>
        <w:t xml:space="preserve">national </w:t>
      </w:r>
      <w:r w:rsidRPr="00B86BE6">
        <w:rPr>
          <w:rFonts w:cs="Arial"/>
        </w:rPr>
        <w:t xml:space="preserve">iconography, </w:t>
      </w:r>
      <w:r w:rsidR="00636497" w:rsidRPr="00B86BE6">
        <w:rPr>
          <w:rFonts w:cs="Arial"/>
        </w:rPr>
        <w:t>there is a tea set</w:t>
      </w:r>
      <w:r w:rsidRPr="00B86BE6">
        <w:rPr>
          <w:rFonts w:cs="Arial"/>
        </w:rPr>
        <w:t xml:space="preserve"> </w:t>
      </w:r>
      <w:r w:rsidR="00636497" w:rsidRPr="00B86BE6">
        <w:rPr>
          <w:rFonts w:cs="Arial"/>
        </w:rPr>
        <w:t xml:space="preserve">from around 1876, modeled after </w:t>
      </w:r>
      <w:r w:rsidRPr="00B86BE6">
        <w:rPr>
          <w:rFonts w:cs="Arial"/>
        </w:rPr>
        <w:t>18</w:t>
      </w:r>
      <w:r w:rsidRPr="00B86BE6">
        <w:rPr>
          <w:rFonts w:cs="Arial"/>
          <w:vertAlign w:val="superscript"/>
        </w:rPr>
        <w:t>th</w:t>
      </w:r>
      <w:r w:rsidR="004F27E9" w:rsidRPr="00B86BE6">
        <w:rPr>
          <w:rFonts w:cs="Arial"/>
        </w:rPr>
        <w:t xml:space="preserve"> century r</w:t>
      </w:r>
      <w:r w:rsidRPr="00B86BE6">
        <w:rPr>
          <w:rFonts w:cs="Arial"/>
        </w:rPr>
        <w:t>ococo style</w:t>
      </w:r>
      <w:r w:rsidR="00636497" w:rsidRPr="00B86BE6">
        <w:rPr>
          <w:rFonts w:cs="Arial"/>
        </w:rPr>
        <w:t xml:space="preserve"> tea sets</w:t>
      </w:r>
      <w:r w:rsidRPr="00B86BE6">
        <w:rPr>
          <w:rFonts w:cs="Arial"/>
        </w:rPr>
        <w:t xml:space="preserve"> but</w:t>
      </w:r>
      <w:r w:rsidR="003B2CA0" w:rsidRPr="00B86BE6">
        <w:rPr>
          <w:rFonts w:cs="Arial"/>
        </w:rPr>
        <w:t xml:space="preserve"> decorated with flora and fauna. </w:t>
      </w:r>
      <w:r w:rsidRPr="00B86BE6">
        <w:rPr>
          <w:rFonts w:cs="Arial"/>
        </w:rPr>
        <w:t xml:space="preserve">The </w:t>
      </w:r>
      <w:r w:rsidR="00636497" w:rsidRPr="00B86BE6">
        <w:rPr>
          <w:rFonts w:cs="Arial"/>
        </w:rPr>
        <w:t xml:space="preserve">handles of the </w:t>
      </w:r>
      <w:r w:rsidRPr="00B86BE6">
        <w:rPr>
          <w:rFonts w:cs="Arial"/>
        </w:rPr>
        <w:t xml:space="preserve">teapot and the sugar bowl, in the </w:t>
      </w:r>
      <w:r w:rsidR="00BC3311" w:rsidRPr="00B86BE6">
        <w:rPr>
          <w:rFonts w:cs="Arial"/>
        </w:rPr>
        <w:t xml:space="preserve">shape of </w:t>
      </w:r>
      <w:r w:rsidRPr="00B86BE6">
        <w:rPr>
          <w:rFonts w:cs="Arial"/>
        </w:rPr>
        <w:t xml:space="preserve">an Asian male and a Black sugar cane picker respectively, </w:t>
      </w:r>
      <w:r w:rsidR="00636497" w:rsidRPr="00B86BE6">
        <w:rPr>
          <w:rFonts w:cs="Arial"/>
        </w:rPr>
        <w:t>“</w:t>
      </w:r>
      <w:r w:rsidR="00BC3311" w:rsidRPr="00B86BE6">
        <w:rPr>
          <w:rFonts w:cs="Arial"/>
        </w:rPr>
        <w:t xml:space="preserve">would probably strike most </w:t>
      </w:r>
      <w:r w:rsidR="00E74BF4" w:rsidRPr="00B86BE6">
        <w:rPr>
          <w:rFonts w:cs="Arial"/>
        </w:rPr>
        <w:t xml:space="preserve">contemporary </w:t>
      </w:r>
      <w:r w:rsidR="00BC3311" w:rsidRPr="00B86BE6">
        <w:rPr>
          <w:rFonts w:cs="Arial"/>
        </w:rPr>
        <w:t xml:space="preserve">viewers as </w:t>
      </w:r>
      <w:r w:rsidRPr="00B86BE6">
        <w:rPr>
          <w:rFonts w:cs="Arial"/>
        </w:rPr>
        <w:t>racist</w:t>
      </w:r>
      <w:r w:rsidR="004F27E9" w:rsidRPr="00B86BE6">
        <w:rPr>
          <w:rFonts w:cs="Arial"/>
        </w:rPr>
        <w:t>,</w:t>
      </w:r>
      <w:r w:rsidRPr="00B86BE6">
        <w:rPr>
          <w:rFonts w:cs="Arial"/>
        </w:rPr>
        <w:t xml:space="preserve"> </w:t>
      </w:r>
      <w:r w:rsidR="00BC3311" w:rsidRPr="00B86BE6">
        <w:rPr>
          <w:rFonts w:cs="Arial"/>
        </w:rPr>
        <w:t>but</w:t>
      </w:r>
      <w:r w:rsidR="00E74BF4" w:rsidRPr="00B86BE6">
        <w:rPr>
          <w:rFonts w:cs="Arial"/>
        </w:rPr>
        <w:t xml:space="preserve"> the 19</w:t>
      </w:r>
      <w:r w:rsidR="00E74BF4" w:rsidRPr="00B86BE6">
        <w:rPr>
          <w:rFonts w:cs="Arial"/>
          <w:vertAlign w:val="superscript"/>
        </w:rPr>
        <w:t>th</w:t>
      </w:r>
      <w:r w:rsidR="00E74BF4" w:rsidRPr="00B86BE6">
        <w:rPr>
          <w:rFonts w:cs="Arial"/>
        </w:rPr>
        <w:t xml:space="preserve"> century consumer probably </w:t>
      </w:r>
      <w:r w:rsidRPr="00B86BE6">
        <w:rPr>
          <w:rFonts w:cs="Arial"/>
        </w:rPr>
        <w:t>considered them benign</w:t>
      </w:r>
      <w:r w:rsidR="00E74BF4" w:rsidRPr="00B86BE6">
        <w:rPr>
          <w:rFonts w:cs="Arial"/>
        </w:rPr>
        <w:t xml:space="preserve">, clever shorthand for the </w:t>
      </w:r>
      <w:r w:rsidRPr="00B86BE6">
        <w:rPr>
          <w:rFonts w:cs="Arial"/>
        </w:rPr>
        <w:t>content of each vessel</w:t>
      </w:r>
      <w:r w:rsidR="003B2CA0" w:rsidRPr="00B86BE6">
        <w:rPr>
          <w:rFonts w:cs="Arial"/>
        </w:rPr>
        <w:t>.”</w:t>
      </w:r>
      <w:r w:rsidR="003B2CA0" w:rsidRPr="00B86BE6">
        <w:rPr>
          <w:rStyle w:val="EndnoteReference"/>
          <w:rFonts w:cs="Arial"/>
        </w:rPr>
        <w:endnoteReference w:id="85"/>
      </w:r>
      <w:r w:rsidR="00636497" w:rsidRPr="00B86BE6">
        <w:rPr>
          <w:rFonts w:cs="Arial"/>
        </w:rPr>
        <w:t xml:space="preserve"> Further down </w:t>
      </w:r>
      <w:r w:rsidR="00020B2E" w:rsidRPr="00B86BE6">
        <w:rPr>
          <w:rFonts w:cs="Arial"/>
        </w:rPr>
        <w:t xml:space="preserve">the showcase </w:t>
      </w:r>
      <w:r w:rsidR="00636497" w:rsidRPr="00B86BE6">
        <w:rPr>
          <w:rFonts w:cs="Arial"/>
        </w:rPr>
        <w:t xml:space="preserve">are </w:t>
      </w:r>
      <w:r w:rsidRPr="00B86BE6">
        <w:rPr>
          <w:rFonts w:cs="Arial"/>
        </w:rPr>
        <w:t>a</w:t>
      </w:r>
      <w:r w:rsidR="00E74BF4" w:rsidRPr="00B86BE6">
        <w:rPr>
          <w:rFonts w:cs="Arial"/>
        </w:rPr>
        <w:t xml:space="preserve"> late 19th</w:t>
      </w:r>
      <w:r w:rsidRPr="00B86BE6">
        <w:rPr>
          <w:rFonts w:cs="Arial"/>
        </w:rPr>
        <w:t xml:space="preserve"> </w:t>
      </w:r>
      <w:r w:rsidR="004F27E9" w:rsidRPr="00B86BE6">
        <w:rPr>
          <w:rFonts w:cs="Arial"/>
        </w:rPr>
        <w:t>c</w:t>
      </w:r>
      <w:r w:rsidR="00E74BF4" w:rsidRPr="00B86BE6">
        <w:rPr>
          <w:rFonts w:cs="Arial"/>
        </w:rPr>
        <w:t xml:space="preserve">entury </w:t>
      </w:r>
      <w:r w:rsidR="004F27E9" w:rsidRPr="00B86BE6">
        <w:rPr>
          <w:rFonts w:cs="Arial"/>
        </w:rPr>
        <w:t>kachina d</w:t>
      </w:r>
      <w:r w:rsidRPr="00B86BE6">
        <w:rPr>
          <w:rFonts w:cs="Arial"/>
        </w:rPr>
        <w:t xml:space="preserve">oll made by </w:t>
      </w:r>
      <w:r w:rsidR="004F27E9" w:rsidRPr="00B86BE6">
        <w:rPr>
          <w:rFonts w:cs="Arial"/>
        </w:rPr>
        <w:t xml:space="preserve">a </w:t>
      </w:r>
      <w:r w:rsidRPr="00B86BE6">
        <w:rPr>
          <w:rFonts w:cs="Arial"/>
        </w:rPr>
        <w:t>Zuni Pueblo</w:t>
      </w:r>
      <w:r w:rsidR="004F27E9" w:rsidRPr="00B86BE6">
        <w:rPr>
          <w:rFonts w:cs="Arial"/>
        </w:rPr>
        <w:t xml:space="preserve"> artisan</w:t>
      </w:r>
      <w:r w:rsidRPr="00B86BE6">
        <w:rPr>
          <w:rFonts w:cs="Arial"/>
        </w:rPr>
        <w:t>, an early 19</w:t>
      </w:r>
      <w:r w:rsidRPr="00B86BE6">
        <w:rPr>
          <w:rFonts w:cs="Arial"/>
          <w:vertAlign w:val="superscript"/>
        </w:rPr>
        <w:t>th</w:t>
      </w:r>
      <w:r w:rsidR="004F27E9" w:rsidRPr="00B86BE6">
        <w:rPr>
          <w:rFonts w:cs="Arial"/>
        </w:rPr>
        <w:t xml:space="preserve"> c</w:t>
      </w:r>
      <w:r w:rsidRPr="00B86BE6">
        <w:rPr>
          <w:rFonts w:cs="Arial"/>
        </w:rPr>
        <w:t xml:space="preserve">entury shirt </w:t>
      </w:r>
      <w:r w:rsidR="008E488A" w:rsidRPr="00B86BE6">
        <w:rPr>
          <w:rFonts w:cs="Arial"/>
        </w:rPr>
        <w:t>crafted</w:t>
      </w:r>
      <w:r w:rsidRPr="00B86BE6">
        <w:rPr>
          <w:rFonts w:cs="Arial"/>
        </w:rPr>
        <w:t xml:space="preserve"> by </w:t>
      </w:r>
      <w:r w:rsidR="004F27E9" w:rsidRPr="00B86BE6">
        <w:rPr>
          <w:rFonts w:cs="Arial"/>
        </w:rPr>
        <w:t>a</w:t>
      </w:r>
      <w:r w:rsidRPr="00B86BE6">
        <w:rPr>
          <w:rFonts w:cs="Arial"/>
        </w:rPr>
        <w:t xml:space="preserve"> Sioux</w:t>
      </w:r>
      <w:r w:rsidR="004F27E9" w:rsidRPr="00B86BE6">
        <w:rPr>
          <w:rFonts w:cs="Arial"/>
        </w:rPr>
        <w:t xml:space="preserve"> </w:t>
      </w:r>
      <w:r w:rsidR="008E488A" w:rsidRPr="00B86BE6">
        <w:rPr>
          <w:rFonts w:cs="Arial"/>
        </w:rPr>
        <w:t>needle</w:t>
      </w:r>
      <w:r w:rsidRPr="00B86BE6">
        <w:rPr>
          <w:rFonts w:cs="Arial"/>
        </w:rPr>
        <w:t xml:space="preserve">, </w:t>
      </w:r>
      <w:r w:rsidR="004F27E9" w:rsidRPr="00B86BE6">
        <w:rPr>
          <w:rFonts w:cs="Arial"/>
        </w:rPr>
        <w:t xml:space="preserve">and a pipe bowl from </w:t>
      </w:r>
      <w:r w:rsidRPr="00B86BE6">
        <w:rPr>
          <w:rFonts w:cs="Arial"/>
        </w:rPr>
        <w:t>the early 20</w:t>
      </w:r>
      <w:r w:rsidRPr="00B86BE6">
        <w:rPr>
          <w:rFonts w:cs="Arial"/>
          <w:vertAlign w:val="superscript"/>
        </w:rPr>
        <w:t>th</w:t>
      </w:r>
      <w:r w:rsidRPr="00B86BE6">
        <w:rPr>
          <w:rFonts w:cs="Arial"/>
        </w:rPr>
        <w:t xml:space="preserve"> century</w:t>
      </w:r>
      <w:r w:rsidR="004F27E9" w:rsidRPr="00B86BE6">
        <w:rPr>
          <w:rFonts w:cs="Arial"/>
        </w:rPr>
        <w:t xml:space="preserve"> Plains</w:t>
      </w:r>
      <w:r w:rsidRPr="00B86BE6">
        <w:rPr>
          <w:rFonts w:cs="Arial"/>
          <w:color w:val="262626"/>
        </w:rPr>
        <w:t xml:space="preserve">. </w:t>
      </w:r>
    </w:p>
    <w:p w:rsidR="00C83C68" w:rsidRPr="00B86BE6" w:rsidRDefault="0009629F" w:rsidP="008B3E64">
      <w:pPr>
        <w:widowControl w:val="0"/>
        <w:autoSpaceDE w:val="0"/>
        <w:autoSpaceDN w:val="0"/>
        <w:adjustRightInd w:val="0"/>
        <w:spacing w:after="320"/>
        <w:ind w:firstLine="720"/>
        <w:rPr>
          <w:rFonts w:cs="Georgia"/>
        </w:rPr>
      </w:pPr>
      <w:r w:rsidRPr="00B86BE6">
        <w:rPr>
          <w:rFonts w:eastAsiaTheme="minorEastAsia" w:cs="Arial"/>
        </w:rPr>
        <w:t xml:space="preserve">A final, new acquisition speaks to Brooklyn’s </w:t>
      </w:r>
      <w:r w:rsidR="00C83C68" w:rsidRPr="00B86BE6">
        <w:rPr>
          <w:rFonts w:eastAsiaTheme="minorEastAsia" w:cs="Arial"/>
        </w:rPr>
        <w:t xml:space="preserve">current </w:t>
      </w:r>
      <w:r w:rsidR="00020B2E" w:rsidRPr="00B86BE6">
        <w:rPr>
          <w:rFonts w:eastAsiaTheme="minorEastAsia" w:cs="Arial"/>
        </w:rPr>
        <w:t>collecting priorities</w:t>
      </w:r>
      <w:r w:rsidRPr="00B86BE6">
        <w:rPr>
          <w:rFonts w:eastAsiaTheme="minorEastAsia" w:cs="Arial"/>
        </w:rPr>
        <w:t>.  Richard Aste, the Curator of European Art, recently purchase</w:t>
      </w:r>
      <w:r w:rsidR="004F27E9" w:rsidRPr="00B86BE6">
        <w:rPr>
          <w:rFonts w:eastAsiaTheme="minorEastAsia" w:cs="Arial"/>
        </w:rPr>
        <w:t>d</w:t>
      </w:r>
      <w:r w:rsidRPr="00B86BE6">
        <w:rPr>
          <w:rFonts w:eastAsiaTheme="minorEastAsia" w:cs="Arial"/>
        </w:rPr>
        <w:t xml:space="preserve"> Agostino Brunias’ “Free Women of Color with their Children and Servants in a Landscape</w:t>
      </w:r>
      <w:r w:rsidR="003B2CA0" w:rsidRPr="00B86BE6">
        <w:rPr>
          <w:rFonts w:eastAsiaTheme="minorEastAsia" w:cs="Arial"/>
        </w:rPr>
        <w:t>.</w:t>
      </w:r>
      <w:r w:rsidRPr="00B86BE6">
        <w:rPr>
          <w:rFonts w:eastAsiaTheme="minorEastAsia" w:cs="Arial"/>
        </w:rPr>
        <w:t>”</w:t>
      </w:r>
      <w:r w:rsidR="003B2CA0" w:rsidRPr="00B86BE6">
        <w:rPr>
          <w:rFonts w:eastAsiaTheme="minorEastAsia" w:cs="Arial"/>
        </w:rPr>
        <w:t xml:space="preserve"> </w:t>
      </w:r>
      <w:r w:rsidR="00E74BF4" w:rsidRPr="00B86BE6">
        <w:rPr>
          <w:rFonts w:eastAsiaTheme="minorEastAsia" w:cs="Arial"/>
        </w:rPr>
        <w:t xml:space="preserve">Just as the Dutch sent Albert Eckhout to Brazil, </w:t>
      </w:r>
      <w:r w:rsidRPr="00B86BE6">
        <w:rPr>
          <w:rFonts w:eastAsiaTheme="minorEastAsia" w:cs="Arial"/>
        </w:rPr>
        <w:t xml:space="preserve">the British government sent </w:t>
      </w:r>
      <w:r w:rsidR="003B2CA0" w:rsidRPr="00B86BE6">
        <w:rPr>
          <w:rFonts w:eastAsiaTheme="minorEastAsia" w:cs="Arial"/>
        </w:rPr>
        <w:t xml:space="preserve">the Italian painter </w:t>
      </w:r>
      <w:r w:rsidRPr="00B86BE6">
        <w:rPr>
          <w:rFonts w:eastAsiaTheme="minorEastAsia" w:cs="Arial"/>
        </w:rPr>
        <w:t>Brunias to the West Indies</w:t>
      </w:r>
      <w:r w:rsidR="00E74BF4" w:rsidRPr="00B86BE6">
        <w:rPr>
          <w:rFonts w:eastAsiaTheme="minorEastAsia" w:cs="Arial"/>
        </w:rPr>
        <w:t xml:space="preserve"> around 1764, </w:t>
      </w:r>
      <w:r w:rsidRPr="00B86BE6">
        <w:rPr>
          <w:rFonts w:eastAsiaTheme="minorEastAsia" w:cs="Arial"/>
        </w:rPr>
        <w:t xml:space="preserve">to document one of its newest colonies, Dominica.  The painting shows two </w:t>
      </w:r>
      <w:r w:rsidRPr="00B86BE6">
        <w:rPr>
          <w:rFonts w:cs="Georgia"/>
        </w:rPr>
        <w:t xml:space="preserve">elegantly dressed mulatto </w:t>
      </w:r>
      <w:r w:rsidR="008B3E64" w:rsidRPr="00B86BE6">
        <w:rPr>
          <w:rFonts w:cs="Georgia"/>
        </w:rPr>
        <w:t>sisters</w:t>
      </w:r>
      <w:r w:rsidR="009A3365" w:rsidRPr="00B86BE6">
        <w:rPr>
          <w:rFonts w:cs="Georgia"/>
        </w:rPr>
        <w:t>, members of the islands elite,</w:t>
      </w:r>
      <w:r w:rsidR="00DD5BAF" w:rsidRPr="00B86BE6">
        <w:rPr>
          <w:rFonts w:cs="Georgia"/>
        </w:rPr>
        <w:t xml:space="preserve"> </w:t>
      </w:r>
      <w:r w:rsidRPr="00B86BE6">
        <w:rPr>
          <w:rFonts w:cs="Georgia"/>
        </w:rPr>
        <w:t xml:space="preserve">out </w:t>
      </w:r>
      <w:r w:rsidR="00DD5BAF" w:rsidRPr="00B86BE6">
        <w:rPr>
          <w:rFonts w:cs="Georgia"/>
        </w:rPr>
        <w:t xml:space="preserve">strolling </w:t>
      </w:r>
      <w:r w:rsidRPr="00B86BE6">
        <w:rPr>
          <w:rFonts w:cs="Georgia"/>
        </w:rPr>
        <w:t xml:space="preserve">with their </w:t>
      </w:r>
      <w:r w:rsidR="00DD5BAF" w:rsidRPr="00B86BE6">
        <w:rPr>
          <w:rFonts w:cs="Georgia"/>
        </w:rPr>
        <w:t xml:space="preserve">aging </w:t>
      </w:r>
      <w:r w:rsidRPr="00B86BE6">
        <w:rPr>
          <w:rFonts w:cs="Georgia"/>
        </w:rPr>
        <w:t>mother</w:t>
      </w:r>
      <w:r w:rsidR="009A3365" w:rsidRPr="00B86BE6">
        <w:rPr>
          <w:rFonts w:cs="Georgia"/>
        </w:rPr>
        <w:t xml:space="preserve">, </w:t>
      </w:r>
      <w:r w:rsidR="00DD5BAF" w:rsidRPr="00B86BE6">
        <w:rPr>
          <w:rFonts w:cs="Georgia"/>
        </w:rPr>
        <w:t>two</w:t>
      </w:r>
      <w:r w:rsidR="009A3365" w:rsidRPr="00B86BE6">
        <w:rPr>
          <w:rFonts w:cs="Georgia"/>
        </w:rPr>
        <w:t xml:space="preserve"> small children, and three dainty lapdogs. Accompanying the well-appointed family are </w:t>
      </w:r>
      <w:r w:rsidR="00DD5BAF" w:rsidRPr="00B86BE6">
        <w:rPr>
          <w:rFonts w:cs="Georgia"/>
        </w:rPr>
        <w:t xml:space="preserve">no fewer than eight </w:t>
      </w:r>
      <w:r w:rsidRPr="00B86BE6">
        <w:rPr>
          <w:rFonts w:cs="Georgia"/>
        </w:rPr>
        <w:t>African servants</w:t>
      </w:r>
      <w:r w:rsidR="00DD5BAF" w:rsidRPr="00B86BE6">
        <w:rPr>
          <w:rFonts w:cs="Georgia"/>
        </w:rPr>
        <w:t xml:space="preserve">, children and mature men and women alike. </w:t>
      </w:r>
      <w:r w:rsidRPr="00B86BE6">
        <w:rPr>
          <w:rFonts w:cs="Georgia"/>
        </w:rPr>
        <w:t xml:space="preserve">“We have a large West Indian community,” said Mr. Aste. </w:t>
      </w:r>
      <w:r w:rsidR="00BA10E5" w:rsidRPr="00B86BE6">
        <w:rPr>
          <w:rFonts w:cs="Georgia"/>
        </w:rPr>
        <w:t xml:space="preserve">“When I first saw the painting </w:t>
      </w:r>
      <w:r w:rsidRPr="00B86BE6">
        <w:rPr>
          <w:rFonts w:cs="Georgia"/>
        </w:rPr>
        <w:t>it, it just screamed Brooklyn. We were looking for something from the 18th century, and we didn’t have anything like this.”</w:t>
      </w:r>
      <w:r w:rsidR="00BA10E5" w:rsidRPr="00B86BE6">
        <w:rPr>
          <w:rStyle w:val="EndnoteReference"/>
          <w:rFonts w:cs="Georgia"/>
        </w:rPr>
        <w:endnoteReference w:id="86"/>
      </w:r>
      <w:r w:rsidR="00BA10E5" w:rsidRPr="00B86BE6">
        <w:rPr>
          <w:rFonts w:cs="Georgia"/>
        </w:rPr>
        <w:t xml:space="preserve"> Another selling point was that the </w:t>
      </w:r>
      <w:r w:rsidR="00C83C68" w:rsidRPr="00B86BE6">
        <w:rPr>
          <w:rFonts w:cs="Georgia"/>
        </w:rPr>
        <w:t xml:space="preserve">painting </w:t>
      </w:r>
      <w:r w:rsidRPr="00B86BE6">
        <w:rPr>
          <w:rFonts w:cs="Georgia"/>
        </w:rPr>
        <w:t xml:space="preserve">speaks to so </w:t>
      </w:r>
      <w:r w:rsidR="00BA10E5" w:rsidRPr="00B86BE6">
        <w:rPr>
          <w:rFonts w:cs="Georgia"/>
        </w:rPr>
        <w:t xml:space="preserve">many </w:t>
      </w:r>
      <w:r w:rsidRPr="00B86BE6">
        <w:rPr>
          <w:rFonts w:cs="Georgia"/>
        </w:rPr>
        <w:t>collecting area</w:t>
      </w:r>
      <w:r w:rsidR="00C83C68" w:rsidRPr="00B86BE6">
        <w:rPr>
          <w:rFonts w:cs="Georgia"/>
        </w:rPr>
        <w:t>s</w:t>
      </w:r>
      <w:r w:rsidRPr="00B86BE6">
        <w:rPr>
          <w:rFonts w:cs="Georgia"/>
        </w:rPr>
        <w:t>—not just European but the Ameri</w:t>
      </w:r>
      <w:r w:rsidR="008E488A" w:rsidRPr="00B86BE6">
        <w:rPr>
          <w:rFonts w:cs="Georgia"/>
        </w:rPr>
        <w:t xml:space="preserve">can and African galleries. And </w:t>
      </w:r>
      <w:r w:rsidRPr="00B86BE6">
        <w:rPr>
          <w:rFonts w:cs="Georgia"/>
        </w:rPr>
        <w:t xml:space="preserve">what </w:t>
      </w:r>
      <w:r w:rsidR="00BA10E5" w:rsidRPr="00B86BE6">
        <w:rPr>
          <w:rFonts w:cs="Georgia"/>
        </w:rPr>
        <w:t xml:space="preserve">probably </w:t>
      </w:r>
      <w:r w:rsidRPr="00B86BE6">
        <w:rPr>
          <w:rFonts w:cs="Georgia"/>
        </w:rPr>
        <w:t xml:space="preserve">appealed to Mr. </w:t>
      </w:r>
      <w:r w:rsidR="008E488A" w:rsidRPr="00B86BE6">
        <w:rPr>
          <w:rFonts w:cs="Georgia"/>
        </w:rPr>
        <w:t>Lehman</w:t>
      </w:r>
      <w:r w:rsidRPr="00B86BE6">
        <w:rPr>
          <w:rFonts w:cs="Georgia"/>
        </w:rPr>
        <w:t xml:space="preserve"> is the possibility that some grandmother from Dominica would brin</w:t>
      </w:r>
      <w:r w:rsidR="00A7657E" w:rsidRPr="00B86BE6">
        <w:rPr>
          <w:rFonts w:cs="Georgia"/>
        </w:rPr>
        <w:t xml:space="preserve">g her granddaughter to see the </w:t>
      </w:r>
      <w:r w:rsidRPr="00B86BE6">
        <w:rPr>
          <w:rFonts w:cs="Georgia"/>
        </w:rPr>
        <w:t>painting</w:t>
      </w:r>
      <w:r w:rsidR="00A7657E" w:rsidRPr="00B86BE6">
        <w:rPr>
          <w:rFonts w:cs="Georgia"/>
        </w:rPr>
        <w:t>,</w:t>
      </w:r>
      <w:r w:rsidR="00676304" w:rsidRPr="00B86BE6">
        <w:rPr>
          <w:rFonts w:cs="Georgia"/>
        </w:rPr>
        <w:t xml:space="preserve"> just like </w:t>
      </w:r>
      <w:r w:rsidR="00E74BF4" w:rsidRPr="00B86BE6">
        <w:rPr>
          <w:rFonts w:cs="Georgia"/>
        </w:rPr>
        <w:t>the g</w:t>
      </w:r>
      <w:r w:rsidR="00676304" w:rsidRPr="00B86BE6">
        <w:rPr>
          <w:rFonts w:cs="Georgia"/>
        </w:rPr>
        <w:t>randmother in Baltimore</w:t>
      </w:r>
      <w:r w:rsidR="00A7657E" w:rsidRPr="00B86BE6">
        <w:rPr>
          <w:rFonts w:cs="Georgia"/>
        </w:rPr>
        <w:t xml:space="preserve">. </w:t>
      </w:r>
      <w:r w:rsidR="00BA10E5" w:rsidRPr="00B86BE6">
        <w:rPr>
          <w:rFonts w:cs="Georgia"/>
        </w:rPr>
        <w:t xml:space="preserve"> </w:t>
      </w:r>
    </w:p>
    <w:p w:rsidR="0009629F" w:rsidRPr="00B86BE6" w:rsidRDefault="0009629F" w:rsidP="00C83C68">
      <w:pPr>
        <w:widowControl w:val="0"/>
        <w:autoSpaceDE w:val="0"/>
        <w:autoSpaceDN w:val="0"/>
        <w:adjustRightInd w:val="0"/>
        <w:spacing w:after="320"/>
        <w:ind w:firstLine="720"/>
        <w:rPr>
          <w:rFonts w:cs="Georgia"/>
        </w:rPr>
      </w:pPr>
      <w:r w:rsidRPr="00B86BE6">
        <w:rPr>
          <w:rFonts w:cs="Georgia"/>
        </w:rPr>
        <w:t xml:space="preserve">“The </w:t>
      </w:r>
      <w:r w:rsidR="00C83C68" w:rsidRPr="00B86BE6">
        <w:rPr>
          <w:rFonts w:cs="Georgia"/>
        </w:rPr>
        <w:t xml:space="preserve">American </w:t>
      </w:r>
      <w:r w:rsidRPr="00B86BE6">
        <w:rPr>
          <w:rFonts w:cs="Georgia"/>
        </w:rPr>
        <w:t xml:space="preserve">gallery,” says Joan Cummins, </w:t>
      </w:r>
      <w:r w:rsidR="00A7657E" w:rsidRPr="00B86BE6">
        <w:rPr>
          <w:rFonts w:cs="Georgia"/>
        </w:rPr>
        <w:t xml:space="preserve">the Lisa and Bernard Selz Curator of Asian Art, </w:t>
      </w:r>
      <w:r w:rsidRPr="00B86BE6">
        <w:rPr>
          <w:rFonts w:cs="Georgia"/>
        </w:rPr>
        <w:t>“</w:t>
      </w:r>
      <w:r w:rsidRPr="00B86BE6">
        <w:t>positions our country in a global perspective.”</w:t>
      </w:r>
      <w:r w:rsidR="00C83C68" w:rsidRPr="00B86BE6">
        <w:t xml:space="preserve"> And when it first reopened, many people strongly disapproved.  </w:t>
      </w:r>
      <w:r w:rsidR="00AA30AF" w:rsidRPr="00B86BE6">
        <w:t>A</w:t>
      </w:r>
      <w:r w:rsidRPr="00B86BE6">
        <w:t>rt critics, cura</w:t>
      </w:r>
      <w:r w:rsidR="00A7657E" w:rsidRPr="00B86BE6">
        <w:t xml:space="preserve">tors, and academics accused </w:t>
      </w:r>
      <w:r w:rsidR="00C83C68" w:rsidRPr="00B86BE6">
        <w:t>Museum staff</w:t>
      </w:r>
      <w:r w:rsidRPr="00B86BE6">
        <w:t xml:space="preserve"> of “over-programming”</w:t>
      </w:r>
      <w:r w:rsidR="00AA30AF" w:rsidRPr="00B86BE6">
        <w:t xml:space="preserve"> visitors</w:t>
      </w:r>
      <w:r w:rsidRPr="00B86BE6">
        <w:t xml:space="preserve"> by including such explicit narratives. The “inelegant” installations</w:t>
      </w:r>
      <w:r w:rsidR="00C83C68" w:rsidRPr="00B86BE6">
        <w:t>, with their bright blue and green walls,</w:t>
      </w:r>
      <w:r w:rsidR="00A7657E" w:rsidRPr="00B86BE6">
        <w:t xml:space="preserve"> offended them</w:t>
      </w:r>
      <w:r w:rsidRPr="00B86BE6">
        <w:t>.  But</w:t>
      </w:r>
      <w:r w:rsidR="00A7657E" w:rsidRPr="00B86BE6">
        <w:t xml:space="preserve"> most of all, Mr. Lehman recalled, colleagues complained the Museum was shaking up </w:t>
      </w:r>
      <w:r w:rsidRPr="00B86BE6">
        <w:t>categories. “They wanted to know what we were doing this for? Why are you breaking established norms? Why show Native American with Dutch influences? Why bring Spanish American into the America</w:t>
      </w:r>
      <w:r w:rsidR="00C83C68" w:rsidRPr="00B86BE6">
        <w:t xml:space="preserve">n galleries? Why are you making </w:t>
      </w:r>
      <w:r w:rsidRPr="00B86BE6">
        <w:t>trouble?</w:t>
      </w:r>
      <w:r w:rsidR="00AA30AF" w:rsidRPr="00B86BE6">
        <w:t>”</w:t>
      </w:r>
      <w:r w:rsidR="00C83C68" w:rsidRPr="00B86BE6">
        <w:t xml:space="preserve"> </w:t>
      </w:r>
    </w:p>
    <w:p w:rsidR="0009629F" w:rsidRPr="00B86BE6" w:rsidRDefault="0009629F" w:rsidP="0009629F">
      <w:r w:rsidRPr="00B86BE6">
        <w:tab/>
      </w:r>
      <w:r w:rsidR="00C83C68" w:rsidRPr="00B86BE6">
        <w:t xml:space="preserve">But to </w:t>
      </w:r>
      <w:r w:rsidR="00BA10E5" w:rsidRPr="00B86BE6">
        <w:t xml:space="preserve">serve the neighborhood and bring </w:t>
      </w:r>
      <w:r w:rsidRPr="00B86BE6">
        <w:t>in y</w:t>
      </w:r>
      <w:r w:rsidR="00BA10E5" w:rsidRPr="00B86BE6">
        <w:t xml:space="preserve">ounger and first </w:t>
      </w:r>
      <w:r w:rsidR="00E74BF4" w:rsidRPr="00B86BE6">
        <w:t xml:space="preserve">time visitors, that was exactly </w:t>
      </w:r>
      <w:r w:rsidR="00676304" w:rsidRPr="00B86BE6">
        <w:t xml:space="preserve">what </w:t>
      </w:r>
      <w:r w:rsidR="00A05913" w:rsidRPr="00B86BE6">
        <w:t xml:space="preserve">curators felt they needed to do. </w:t>
      </w:r>
      <w:r w:rsidR="00C83C68" w:rsidRPr="00B86BE6">
        <w:t xml:space="preserve">The public loved it. </w:t>
      </w:r>
      <w:r w:rsidRPr="00B86BE6">
        <w:t>In fact, over the next</w:t>
      </w:r>
      <w:r w:rsidR="00C83C68" w:rsidRPr="00B86BE6">
        <w:t xml:space="preserve"> decade</w:t>
      </w:r>
      <w:r w:rsidRPr="00B86BE6">
        <w:t>, the entire collection will be reinstalled</w:t>
      </w:r>
      <w:r w:rsidR="00C83C68" w:rsidRPr="00B86BE6">
        <w:t xml:space="preserve"> along similar lines</w:t>
      </w:r>
      <w:r w:rsidRPr="00B86BE6">
        <w:t>. “Our idea,” said Mr. Lehman, “is to look at all our collecting areas from a truly 21</w:t>
      </w:r>
      <w:r w:rsidRPr="00B86BE6">
        <w:rPr>
          <w:vertAlign w:val="superscript"/>
        </w:rPr>
        <w:t>st</w:t>
      </w:r>
      <w:r w:rsidRPr="00B86BE6">
        <w:t xml:space="preserve"> century point of view, bringing to bear the knowledge we now have which is vastly different than the knowledge we had 100 years ago when most museums were established. Most of the methodologies, the hierarchies, the paradigms of presentation we still use were put in place about 75 years ago and have pr</w:t>
      </w:r>
      <w:r w:rsidR="00C83C68" w:rsidRPr="00B86BE6">
        <w:t>etty much not changed since</w:t>
      </w:r>
      <w:r w:rsidRPr="00B86BE6">
        <w:t xml:space="preserve">.”  </w:t>
      </w:r>
    </w:p>
    <w:p w:rsidR="0009629F" w:rsidRPr="00B86BE6" w:rsidRDefault="0009629F" w:rsidP="0009629F"/>
    <w:p w:rsidR="0009629F" w:rsidRPr="00B86BE6" w:rsidRDefault="0009629F" w:rsidP="0009629F">
      <w:r w:rsidRPr="00B86BE6">
        <w:tab/>
        <w:t>Part of this work has already beg</w:t>
      </w:r>
      <w:r w:rsidR="00C71DC6" w:rsidRPr="00B86BE6">
        <w:t xml:space="preserve">un.  A new installation called </w:t>
      </w:r>
      <w:r w:rsidRPr="00B86BE6">
        <w:rPr>
          <w:i/>
        </w:rPr>
        <w:t>Connecting</w:t>
      </w:r>
      <w:r w:rsidR="00C71DC6" w:rsidRPr="00B86BE6">
        <w:rPr>
          <w:i/>
        </w:rPr>
        <w:t xml:space="preserve"> Cultures: A World in Brooklyn</w:t>
      </w:r>
      <w:r w:rsidRPr="00B86BE6">
        <w:rPr>
          <w:i/>
        </w:rPr>
        <w:t xml:space="preserve"> </w:t>
      </w:r>
      <w:r w:rsidR="00C83C68" w:rsidRPr="00B86BE6">
        <w:t>opened in the Great Hall in April</w:t>
      </w:r>
      <w:r w:rsidR="00BA10E5" w:rsidRPr="00B86BE6">
        <w:t xml:space="preserve"> 2012</w:t>
      </w:r>
      <w:r w:rsidR="00C83C68" w:rsidRPr="00B86BE6">
        <w:t xml:space="preserve">.  It is designed as an </w:t>
      </w:r>
      <w:r w:rsidRPr="00B86BE6">
        <w:t>introduction to the Museum—a sort of meditation on how the Museum collected</w:t>
      </w:r>
      <w:r w:rsidR="00C83C68" w:rsidRPr="00B86BE6">
        <w:t>, interpreted, and group</w:t>
      </w:r>
      <w:r w:rsidR="00BA10E5" w:rsidRPr="00B86BE6">
        <w:t>ed</w:t>
      </w:r>
      <w:r w:rsidR="00C83C68" w:rsidRPr="00B86BE6">
        <w:t xml:space="preserve"> </w:t>
      </w:r>
      <w:r w:rsidRPr="00B86BE6">
        <w:t xml:space="preserve">objects as well as a </w:t>
      </w:r>
      <w:r w:rsidR="00C83C68" w:rsidRPr="00B86BE6">
        <w:t xml:space="preserve">general </w:t>
      </w:r>
      <w:r w:rsidRPr="00B86BE6">
        <w:t>roadmap</w:t>
      </w:r>
      <w:r w:rsidR="00A7657E" w:rsidRPr="00B86BE6">
        <w:t xml:space="preserve"> to its exhibits</w:t>
      </w:r>
      <w:r w:rsidRPr="00B86BE6">
        <w:t xml:space="preserve">. </w:t>
      </w:r>
      <w:r w:rsidR="00C83C68" w:rsidRPr="00B86BE6">
        <w:t xml:space="preserve">In some ways, it is </w:t>
      </w:r>
      <w:r w:rsidRPr="00B86BE6">
        <w:t xml:space="preserve">Brooklyn’s </w:t>
      </w:r>
      <w:r w:rsidR="00C83C68" w:rsidRPr="00B86BE6">
        <w:t xml:space="preserve">response to the </w:t>
      </w:r>
      <w:r w:rsidR="00E74BF4" w:rsidRPr="00B86BE6">
        <w:t xml:space="preserve">same </w:t>
      </w:r>
      <w:r w:rsidR="00C83C68" w:rsidRPr="00B86BE6">
        <w:t xml:space="preserve">questions posed in the </w:t>
      </w:r>
      <w:r w:rsidRPr="00B86BE6">
        <w:t>MFA</w:t>
      </w:r>
      <w:r w:rsidR="00C83C68" w:rsidRPr="00B86BE6">
        <w:t xml:space="preserve">’s </w:t>
      </w:r>
      <w:r w:rsidRPr="00B86BE6">
        <w:t>“Behi</w:t>
      </w:r>
      <w:r w:rsidR="003020E1" w:rsidRPr="00B86BE6">
        <w:t>nd the Scenes” g</w:t>
      </w:r>
      <w:r w:rsidRPr="00B86BE6">
        <w:t xml:space="preserve">alleries. </w:t>
      </w:r>
    </w:p>
    <w:p w:rsidR="0009629F" w:rsidRPr="00B86BE6" w:rsidRDefault="0009629F" w:rsidP="0009629F"/>
    <w:p w:rsidR="0009629F" w:rsidRPr="00B86BE6" w:rsidRDefault="0009629F" w:rsidP="0009629F">
      <w:pPr>
        <w:ind w:firstLine="720"/>
      </w:pPr>
      <w:r w:rsidRPr="00B86BE6">
        <w:t>According to Kevin Stayton</w:t>
      </w:r>
      <w:r w:rsidR="003020E1" w:rsidRPr="00B86BE6">
        <w:t>,</w:t>
      </w:r>
      <w:r w:rsidRPr="00B86BE6">
        <w:t xml:space="preserve"> who spoke </w:t>
      </w:r>
      <w:r w:rsidR="00020B2E" w:rsidRPr="00B86BE6">
        <w:t xml:space="preserve">during the </w:t>
      </w:r>
      <w:r w:rsidRPr="00B86BE6">
        <w:t>planning stages, “The new introductory gallery will combine things from all of the Museum</w:t>
      </w:r>
      <w:r w:rsidR="00E74BF4" w:rsidRPr="00B86BE6">
        <w:t>’</w:t>
      </w:r>
      <w:r w:rsidRPr="00B86BE6">
        <w:t xml:space="preserve">s collections.  By framing things that way, we want to </w:t>
      </w:r>
      <w:r w:rsidR="00C83C68" w:rsidRPr="00B86BE6">
        <w:t xml:space="preserve">encourage </w:t>
      </w:r>
      <w:r w:rsidRPr="00B86BE6">
        <w:t xml:space="preserve">people </w:t>
      </w:r>
      <w:r w:rsidR="00C83C68" w:rsidRPr="00B86BE6">
        <w:t xml:space="preserve">to </w:t>
      </w:r>
      <w:r w:rsidRPr="00B86BE6">
        <w:t>go beyond their borders, whether it be the borders of their own interests or the borders of the</w:t>
      </w:r>
      <w:r w:rsidR="00E74BF4" w:rsidRPr="00B86BE6">
        <w:t xml:space="preserve">ir national identity.” This is </w:t>
      </w:r>
      <w:r w:rsidRPr="00B86BE6">
        <w:t xml:space="preserve">part </w:t>
      </w:r>
      <w:r w:rsidR="003020E1" w:rsidRPr="00B86BE6">
        <w:t>of the Museum’s effort</w:t>
      </w:r>
      <w:r w:rsidR="00BA10E5" w:rsidRPr="00B86BE6">
        <w:t xml:space="preserve"> to be more welcoming</w:t>
      </w:r>
      <w:r w:rsidRPr="00B86BE6">
        <w:t>.  “We want to introduce people right away to a range of collections that</w:t>
      </w:r>
      <w:r w:rsidR="00C83C68" w:rsidRPr="00B86BE6">
        <w:t xml:space="preserve"> they might not understand are </w:t>
      </w:r>
      <w:r w:rsidRPr="00B86BE6">
        <w:t xml:space="preserve">here if they just walked into the first floor.  We will frame it in a way </w:t>
      </w:r>
      <w:r w:rsidR="00A7657E" w:rsidRPr="00B86BE6">
        <w:t>that explains that our primary modus o</w:t>
      </w:r>
      <w:r w:rsidRPr="00B86BE6">
        <w:t>perandi is showing the connections between cultures.</w:t>
      </w:r>
      <w:r w:rsidR="00E74BF4" w:rsidRPr="00B86BE6">
        <w:t>”</w:t>
      </w:r>
      <w:r w:rsidRPr="00B86BE6">
        <w:t xml:space="preserve"> </w:t>
      </w:r>
    </w:p>
    <w:p w:rsidR="0009629F" w:rsidRPr="00B86BE6" w:rsidRDefault="0009629F" w:rsidP="0009629F"/>
    <w:p w:rsidR="00803C91" w:rsidRPr="00B86BE6" w:rsidRDefault="0009629F" w:rsidP="0009629F">
      <w:pPr>
        <w:rPr>
          <w:rFonts w:eastAsiaTheme="minorEastAsia" w:cs="Verdana"/>
        </w:rPr>
      </w:pPr>
      <w:r w:rsidRPr="00B86BE6">
        <w:tab/>
        <w:t>This time, at least one c</w:t>
      </w:r>
      <w:r w:rsidR="00020B2E" w:rsidRPr="00B86BE6">
        <w:t>ritic was more than satisfied</w:t>
      </w:r>
      <w:r w:rsidRPr="00B86BE6">
        <w:t xml:space="preserve">.  Remembering the </w:t>
      </w:r>
      <w:r w:rsidR="00C83C68" w:rsidRPr="00B86BE6">
        <w:t xml:space="preserve">many </w:t>
      </w:r>
      <w:r w:rsidRPr="00B86BE6">
        <w:t>Saturdays he spent wandering around the galleries of Boston’s MFA</w:t>
      </w:r>
      <w:r w:rsidR="00C83C68" w:rsidRPr="00B86BE6">
        <w:t xml:space="preserve"> as a young man, </w:t>
      </w:r>
      <w:r w:rsidRPr="00B86BE6">
        <w:rPr>
          <w:i/>
        </w:rPr>
        <w:t>New York Times</w:t>
      </w:r>
      <w:r w:rsidRPr="00B86BE6">
        <w:t xml:space="preserve"> critic Holland Cotter wrote that the Brooklyn Museum now offers visitors an immersion experience of their own. </w:t>
      </w:r>
      <w:r w:rsidR="003020E1" w:rsidRPr="00B86BE6">
        <w:t>According to Cotter, t</w:t>
      </w:r>
      <w:r w:rsidRPr="00B86BE6">
        <w:t xml:space="preserve">he eclectic and first-rate 300 or so objects on </w:t>
      </w:r>
      <w:r w:rsidR="003020E1" w:rsidRPr="00B86BE6">
        <w:t>display</w:t>
      </w:r>
      <w:r w:rsidR="00A7657E" w:rsidRPr="00B86BE6">
        <w:t xml:space="preserve"> </w:t>
      </w:r>
      <w:r w:rsidRPr="00B86BE6">
        <w:rPr>
          <w:rFonts w:eastAsiaTheme="minorEastAsia" w:cs="Verdana"/>
        </w:rPr>
        <w:t xml:space="preserve">purposely shake up </w:t>
      </w:r>
      <w:r w:rsidR="00803C91" w:rsidRPr="00B86BE6">
        <w:rPr>
          <w:rFonts w:eastAsiaTheme="minorEastAsia" w:cs="Verdana"/>
        </w:rPr>
        <w:t>visitors’</w:t>
      </w:r>
      <w:r w:rsidRPr="00B86BE6">
        <w:rPr>
          <w:rFonts w:eastAsiaTheme="minorEastAsia" w:cs="Verdana"/>
        </w:rPr>
        <w:t xml:space="preserve"> e</w:t>
      </w:r>
      <w:r w:rsidR="00803C91" w:rsidRPr="00B86BE6">
        <w:rPr>
          <w:rFonts w:eastAsiaTheme="minorEastAsia" w:cs="Verdana"/>
        </w:rPr>
        <w:t>xpectations of “one-culture-per-</w:t>
      </w:r>
      <w:r w:rsidRPr="00B86BE6">
        <w:rPr>
          <w:rFonts w:eastAsiaTheme="minorEastAsia" w:cs="Verdana"/>
        </w:rPr>
        <w:t>gallery” and “get you shopping, with your magpie eye sha</w:t>
      </w:r>
      <w:r w:rsidR="00BA10E5" w:rsidRPr="00B86BE6">
        <w:rPr>
          <w:rFonts w:eastAsiaTheme="minorEastAsia" w:cs="Verdana"/>
        </w:rPr>
        <w:t>rpened for odd and tasty things.</w:t>
      </w:r>
      <w:r w:rsidRPr="00B86BE6">
        <w:rPr>
          <w:rFonts w:eastAsiaTheme="minorEastAsia" w:cs="Verdana"/>
        </w:rPr>
        <w:t xml:space="preserve">” He </w:t>
      </w:r>
      <w:r w:rsidR="00803C91" w:rsidRPr="00B86BE6">
        <w:rPr>
          <w:rFonts w:eastAsiaTheme="minorEastAsia" w:cs="Verdana"/>
        </w:rPr>
        <w:t xml:space="preserve">sees </w:t>
      </w:r>
      <w:r w:rsidR="00803C91" w:rsidRPr="00B86BE6">
        <w:rPr>
          <w:rFonts w:eastAsiaTheme="minorEastAsia" w:cs="Verdana"/>
          <w:i/>
        </w:rPr>
        <w:t>Connecting Cultures</w:t>
      </w:r>
      <w:r w:rsidR="00C83C68" w:rsidRPr="00B86BE6">
        <w:rPr>
          <w:rFonts w:eastAsiaTheme="minorEastAsia" w:cs="Verdana"/>
        </w:rPr>
        <w:t xml:space="preserve"> </w:t>
      </w:r>
      <w:r w:rsidRPr="00B86BE6">
        <w:rPr>
          <w:rFonts w:eastAsiaTheme="minorEastAsia" w:cs="Verdana"/>
        </w:rPr>
        <w:t xml:space="preserve">as encouraging viewers to “play with art, with meanings and values and cultural interconnections, which also means to play with the museum itself, to move its contents around mentally, to make friends where you ordinarily wouldn't think to find them: to be at home in a </w:t>
      </w:r>
      <w:r w:rsidR="00BA10E5" w:rsidRPr="00B86BE6">
        <w:rPr>
          <w:rFonts w:eastAsiaTheme="minorEastAsia" w:cs="Verdana"/>
        </w:rPr>
        <w:t>large world.”</w:t>
      </w:r>
      <w:r w:rsidR="00BA10E5" w:rsidRPr="00B86BE6">
        <w:rPr>
          <w:rStyle w:val="EndnoteReference"/>
          <w:rFonts w:eastAsiaTheme="minorEastAsia" w:cs="Verdana"/>
        </w:rPr>
        <w:endnoteReference w:id="87"/>
      </w:r>
      <w:r w:rsidR="00BA10E5" w:rsidRPr="00B86BE6">
        <w:rPr>
          <w:rFonts w:eastAsiaTheme="minorEastAsia" w:cs="Verdana"/>
        </w:rPr>
        <w:t xml:space="preserve"> </w:t>
      </w:r>
      <w:r w:rsidRPr="00B86BE6">
        <w:rPr>
          <w:rFonts w:eastAsiaTheme="minorEastAsia" w:cs="Verdana"/>
        </w:rPr>
        <w:t xml:space="preserve">Score one for </w:t>
      </w:r>
      <w:r w:rsidR="00A05913" w:rsidRPr="00B86BE6">
        <w:rPr>
          <w:rFonts w:eastAsiaTheme="minorEastAsia" w:cs="Verdana"/>
        </w:rPr>
        <w:t xml:space="preserve">cosmopolitan </w:t>
      </w:r>
      <w:r w:rsidR="00803C91" w:rsidRPr="00B86BE6">
        <w:rPr>
          <w:rFonts w:eastAsiaTheme="minorEastAsia" w:cs="Verdana"/>
        </w:rPr>
        <w:t>competencies.</w:t>
      </w:r>
    </w:p>
    <w:p w:rsidR="0009629F" w:rsidRPr="00B86BE6" w:rsidRDefault="0009629F" w:rsidP="0009629F"/>
    <w:p w:rsidR="0009629F" w:rsidRPr="00B86BE6" w:rsidRDefault="00CC4B00" w:rsidP="00CC0F2C">
      <w:pPr>
        <w:ind w:firstLine="720"/>
      </w:pPr>
      <w:r w:rsidRPr="00B86BE6">
        <w:t xml:space="preserve">But is </w:t>
      </w:r>
      <w:r w:rsidR="00A7657E" w:rsidRPr="00B86BE6">
        <w:t xml:space="preserve">the museum creating global citizens </w:t>
      </w:r>
      <w:r w:rsidR="0009629F" w:rsidRPr="00B86BE6">
        <w:t xml:space="preserve">or </w:t>
      </w:r>
      <w:r w:rsidR="00A7657E" w:rsidRPr="00B86BE6">
        <w:t xml:space="preserve">just showcasing the country’s </w:t>
      </w:r>
      <w:r w:rsidR="0009629F" w:rsidRPr="00B86BE6">
        <w:t xml:space="preserve">internal diversity? How do those </w:t>
      </w:r>
      <w:r w:rsidR="00A7657E" w:rsidRPr="00B86BE6">
        <w:t>things coincide? Right now, said</w:t>
      </w:r>
      <w:r w:rsidR="0009629F" w:rsidRPr="00B86BE6">
        <w:t xml:space="preserve"> Mr. Lehman, “the</w:t>
      </w:r>
      <w:r w:rsidR="00EF34F2" w:rsidRPr="00B86BE6">
        <w:t>y</w:t>
      </w:r>
      <w:r w:rsidR="0009629F" w:rsidRPr="00B86BE6">
        <w:t xml:space="preserve"> exist in parallel</w:t>
      </w:r>
      <w:r w:rsidR="00CC0F2C" w:rsidRPr="00B86BE6">
        <w:t>,</w:t>
      </w:r>
      <w:r w:rsidR="0009629F" w:rsidRPr="00B86BE6">
        <w:t xml:space="preserve"> but when you are really successful</w:t>
      </w:r>
      <w:r w:rsidR="00CC0F2C" w:rsidRPr="00B86BE6">
        <w:t>,</w:t>
      </w:r>
      <w:r w:rsidR="0009629F" w:rsidRPr="00B86BE6">
        <w:t xml:space="preserve"> they should collide.  We are in the midst </w:t>
      </w:r>
      <w:r w:rsidR="00CC0F2C" w:rsidRPr="00B86BE6">
        <w:t>of a professionally l</w:t>
      </w:r>
      <w:r w:rsidR="0009629F" w:rsidRPr="00B86BE6">
        <w:t>ed rethinking process, a rebranding</w:t>
      </w:r>
      <w:r w:rsidR="00CC0F2C" w:rsidRPr="00B86BE6">
        <w:t>,</w:t>
      </w:r>
      <w:r w:rsidR="0009629F" w:rsidRPr="00B86BE6">
        <w:t xml:space="preserve"> although I hate to call it that.  And one of the things that has evolved after many months of talking is that Brooklyn should be the (or a) place where we can help people through art make sense of the world. That is a big, big goal and it helps to take</w:t>
      </w:r>
      <w:r w:rsidR="00EF34F2" w:rsidRPr="00B86BE6">
        <w:t xml:space="preserve"> on</w:t>
      </w:r>
      <w:r w:rsidR="00CC0F2C" w:rsidRPr="00B86BE6">
        <w:t xml:space="preserve"> these two sometimes parallel [goals]—</w:t>
      </w:r>
      <w:r w:rsidR="0009629F" w:rsidRPr="00B86BE6">
        <w:t>showin</w:t>
      </w:r>
      <w:r w:rsidR="00CC0F2C" w:rsidRPr="00B86BE6">
        <w:t>g diversity and showing global—</w:t>
      </w:r>
      <w:r w:rsidR="0009629F" w:rsidRPr="00B86BE6">
        <w:t>together. Right now, we are creating better New Yorkers, better American</w:t>
      </w:r>
      <w:r w:rsidR="00CC0F2C" w:rsidRPr="00B86BE6">
        <w:t>s, but not yet global citizens.”</w:t>
      </w:r>
    </w:p>
    <w:p w:rsidR="0009629F" w:rsidRPr="00B86BE6" w:rsidRDefault="0009629F" w:rsidP="0009629F">
      <w:pPr>
        <w:ind w:firstLine="720"/>
      </w:pPr>
    </w:p>
    <w:p w:rsidR="0009629F" w:rsidRPr="00B86BE6" w:rsidRDefault="0009629F" w:rsidP="00EF34F2">
      <w:pPr>
        <w:ind w:firstLine="720"/>
      </w:pPr>
      <w:r w:rsidRPr="00B86BE6">
        <w:t>“I</w:t>
      </w:r>
      <w:r w:rsidR="00A7657E" w:rsidRPr="00B86BE6">
        <w:t>t is not a question,” said Kevin Stayton</w:t>
      </w:r>
      <w:r w:rsidRPr="00B86BE6">
        <w:t xml:space="preserve">, “of whether museums are the right place to </w:t>
      </w:r>
      <w:r w:rsidR="00CC0F2C" w:rsidRPr="00B86BE6">
        <w:t>[create citizens]</w:t>
      </w:r>
      <w:r w:rsidRPr="00B86BE6">
        <w:t>. Museums have to do it because we won’t survive for the next 100 years doing what we have always done</w:t>
      </w:r>
      <w:r w:rsidR="00CC0F2C" w:rsidRPr="00B86BE6">
        <w:t>,</w:t>
      </w:r>
      <w:r w:rsidRPr="00B86BE6">
        <w:t xml:space="preserve"> which is collecting things together and sorting them into library-like categories for a handful of scholars to look at. We still have to play that role</w:t>
      </w:r>
      <w:r w:rsidR="00CC0F2C" w:rsidRPr="00B86BE6">
        <w:t>,</w:t>
      </w:r>
      <w:r w:rsidRPr="00B86BE6">
        <w:t xml:space="preserve"> but we also have to present the arts in a way that our mission is possible, to find that connection with art that makes some of us devote our lives to it, the fact that these human expressions are moving, that we want to share that pleasure with people who might otherwise not find it.” </w:t>
      </w:r>
    </w:p>
    <w:p w:rsidR="00C0341D" w:rsidRPr="00B86BE6" w:rsidRDefault="00C0341D" w:rsidP="00C0341D"/>
    <w:p w:rsidR="008E0A80" w:rsidRDefault="008E0A80" w:rsidP="00C0341D">
      <w:pPr>
        <w:rPr>
          <w:b/>
        </w:rPr>
      </w:pPr>
      <w:r>
        <w:rPr>
          <w:b/>
        </w:rPr>
        <w:t>Culturally Specific a</w:t>
      </w:r>
      <w:r w:rsidRPr="008E0A80">
        <w:rPr>
          <w:b/>
        </w:rPr>
        <w:t>nd Community-based Museums</w:t>
      </w:r>
    </w:p>
    <w:p w:rsidR="00676304" w:rsidRPr="00B86BE6" w:rsidRDefault="00676304" w:rsidP="00C0341D">
      <w:pPr>
        <w:rPr>
          <w:b/>
        </w:rPr>
      </w:pPr>
    </w:p>
    <w:p w:rsidR="00C0341D" w:rsidRPr="00B86BE6" w:rsidRDefault="00C0341D" w:rsidP="00C0341D">
      <w:r w:rsidRPr="00B86BE6">
        <w:t xml:space="preserve">The </w:t>
      </w:r>
      <w:r w:rsidR="00A820C1" w:rsidRPr="00B86BE6">
        <w:t>Queens</w:t>
      </w:r>
      <w:r w:rsidRPr="00B86BE6">
        <w:t xml:space="preserve"> Museum, </w:t>
      </w:r>
      <w:r w:rsidR="00A820C1" w:rsidRPr="00B86BE6">
        <w:t xml:space="preserve">located on the edge of </w:t>
      </w:r>
      <w:r w:rsidR="00CC0F2C" w:rsidRPr="00B86BE6">
        <w:t>the 897-</w:t>
      </w:r>
      <w:r w:rsidRPr="00B86BE6">
        <w:t>acre Flushing Meadow</w:t>
      </w:r>
      <w:r w:rsidR="00CC0F2C" w:rsidRPr="00B86BE6">
        <w:t>s-</w:t>
      </w:r>
      <w:r w:rsidR="0075134C" w:rsidRPr="00B86BE6">
        <w:t>Corona</w:t>
      </w:r>
      <w:r w:rsidRPr="00B86BE6">
        <w:t xml:space="preserve"> Park is right in the middle of a major renovation. </w:t>
      </w:r>
      <w:r w:rsidR="00FD2515" w:rsidRPr="00B86BE6">
        <w:t xml:space="preserve">It’s building, first constructed as the </w:t>
      </w:r>
      <w:r w:rsidR="000E0DBF" w:rsidRPr="00B86BE6">
        <w:t xml:space="preserve">New York City </w:t>
      </w:r>
      <w:r w:rsidR="00BF11E0" w:rsidRPr="00B86BE6">
        <w:t xml:space="preserve">Pavilion for </w:t>
      </w:r>
      <w:r w:rsidR="00A820C1" w:rsidRPr="00B86BE6">
        <w:t>the 1939 World’s Fair</w:t>
      </w:r>
      <w:r w:rsidR="00676304" w:rsidRPr="00B86BE6">
        <w:t xml:space="preserve">, which </w:t>
      </w:r>
      <w:r w:rsidR="0006562B" w:rsidRPr="00B86BE6">
        <w:t xml:space="preserve">also </w:t>
      </w:r>
      <w:r w:rsidR="00020B2E" w:rsidRPr="00B86BE6">
        <w:t xml:space="preserve">briefly housed the </w:t>
      </w:r>
      <w:r w:rsidR="000E0DBF" w:rsidRPr="00B86BE6">
        <w:t>United Nations</w:t>
      </w:r>
      <w:r w:rsidR="00BF11E0" w:rsidRPr="00B86BE6">
        <w:t>’</w:t>
      </w:r>
      <w:r w:rsidR="00020B2E" w:rsidRPr="00B86BE6">
        <w:t xml:space="preserve"> between </w:t>
      </w:r>
      <w:r w:rsidR="000E0DBF" w:rsidRPr="00B86BE6">
        <w:t>1946-1950</w:t>
      </w:r>
      <w:r w:rsidR="00A7657E" w:rsidRPr="00B86BE6">
        <w:t xml:space="preserve">, </w:t>
      </w:r>
      <w:r w:rsidR="00FD2515" w:rsidRPr="00B86BE6">
        <w:t>used to have galleries on one side and ice and roller skating rinks on the other.</w:t>
      </w:r>
      <w:r w:rsidR="00020B2E" w:rsidRPr="00B86BE6">
        <w:t xml:space="preserve"> B</w:t>
      </w:r>
      <w:r w:rsidR="00A7657E" w:rsidRPr="00B86BE6">
        <w:t xml:space="preserve">y </w:t>
      </w:r>
      <w:r w:rsidR="000E0DBF" w:rsidRPr="00B86BE6">
        <w:t xml:space="preserve">September 2013, </w:t>
      </w:r>
      <w:r w:rsidR="00BF11E0" w:rsidRPr="00B86BE6">
        <w:t>when the renovated wing is scheduled to open</w:t>
      </w:r>
      <w:r w:rsidR="00A7657E" w:rsidRPr="00B86BE6">
        <w:t xml:space="preserve">, the </w:t>
      </w:r>
      <w:r w:rsidR="00BF11E0" w:rsidRPr="00B86BE6">
        <w:t xml:space="preserve">museum </w:t>
      </w:r>
      <w:r w:rsidR="000E0DBF" w:rsidRPr="00B86BE6">
        <w:t xml:space="preserve">will </w:t>
      </w:r>
      <w:r w:rsidR="00C641DE" w:rsidRPr="00B86BE6">
        <w:t xml:space="preserve">have </w:t>
      </w:r>
      <w:r w:rsidR="000E0DBF" w:rsidRPr="00B86BE6">
        <w:t>doub</w:t>
      </w:r>
      <w:r w:rsidR="00FD2515" w:rsidRPr="00B86BE6">
        <w:t>le</w:t>
      </w:r>
      <w:r w:rsidR="00C641DE" w:rsidRPr="00B86BE6">
        <w:t>d</w:t>
      </w:r>
      <w:r w:rsidR="00FD2515" w:rsidRPr="00B86BE6">
        <w:t xml:space="preserve"> its capacity</w:t>
      </w:r>
      <w:r w:rsidR="00C641DE" w:rsidRPr="00B86BE6">
        <w:t>,</w:t>
      </w:r>
      <w:r w:rsidR="00FD2515" w:rsidRPr="00B86BE6">
        <w:t xml:space="preserve"> </w:t>
      </w:r>
      <w:r w:rsidR="00A7657E" w:rsidRPr="00B86BE6">
        <w:t xml:space="preserve">with new </w:t>
      </w:r>
      <w:r w:rsidR="00FD2515" w:rsidRPr="00B86BE6">
        <w:t>galleries, studios, a</w:t>
      </w:r>
      <w:r w:rsidR="00A7657E" w:rsidRPr="00B86BE6">
        <w:t xml:space="preserve">nd classrooms </w:t>
      </w:r>
      <w:r w:rsidR="00676304" w:rsidRPr="00B86BE6">
        <w:t xml:space="preserve">in its former ice </w:t>
      </w:r>
      <w:r w:rsidR="00FD2515" w:rsidRPr="00B86BE6">
        <w:t xml:space="preserve">palace. </w:t>
      </w:r>
    </w:p>
    <w:p w:rsidR="00C0341D" w:rsidRPr="00B86BE6" w:rsidRDefault="00C0341D" w:rsidP="00C0341D"/>
    <w:p w:rsidR="00C0341D" w:rsidRPr="00B86BE6" w:rsidRDefault="00676304" w:rsidP="00C0341D">
      <w:r w:rsidRPr="00B86BE6">
        <w:tab/>
        <w:t xml:space="preserve">Staff </w:t>
      </w:r>
      <w:r w:rsidR="00C641DE" w:rsidRPr="00B86BE6">
        <w:t xml:space="preserve">members </w:t>
      </w:r>
      <w:r w:rsidRPr="00B86BE6">
        <w:t xml:space="preserve">want </w:t>
      </w:r>
      <w:r w:rsidR="00C0341D" w:rsidRPr="00B86BE6">
        <w:t xml:space="preserve">the renovated building to make a </w:t>
      </w:r>
      <w:r w:rsidR="00A820C1" w:rsidRPr="00B86BE6">
        <w:t xml:space="preserve">strong statement about the museum’s relationship to its </w:t>
      </w:r>
      <w:r w:rsidR="00C0341D" w:rsidRPr="00B86BE6">
        <w:t>community.  The new bathrooms, they said, will be located right inside th</w:t>
      </w:r>
      <w:r w:rsidR="00A820C1" w:rsidRPr="00B86BE6">
        <w:t xml:space="preserve">e door, before visitors </w:t>
      </w:r>
      <w:r w:rsidR="00FD2515" w:rsidRPr="00B86BE6">
        <w:t xml:space="preserve">have to </w:t>
      </w:r>
      <w:r w:rsidR="00C0341D" w:rsidRPr="00B86BE6">
        <w:t>p</w:t>
      </w:r>
      <w:r w:rsidR="00A7657E" w:rsidRPr="00B86BE6">
        <w:t>ay</w:t>
      </w:r>
      <w:r w:rsidR="00C0341D" w:rsidRPr="00B86BE6">
        <w:t xml:space="preserve">. </w:t>
      </w:r>
      <w:r w:rsidR="00FD2515" w:rsidRPr="00B86BE6">
        <w:t xml:space="preserve">Anyone using the park that, on warm days, is filled </w:t>
      </w:r>
      <w:r w:rsidR="00C0341D" w:rsidRPr="00B86BE6">
        <w:t>with immigrant soc</w:t>
      </w:r>
      <w:r w:rsidR="00A820C1" w:rsidRPr="00B86BE6">
        <w:t>cer, baseball, and cricket players</w:t>
      </w:r>
      <w:r w:rsidR="00C0341D" w:rsidRPr="00B86BE6">
        <w:t xml:space="preserve">, can come in and use the facilities. </w:t>
      </w:r>
      <w:r w:rsidR="00A820C1" w:rsidRPr="00B86BE6">
        <w:t>In Queens,</w:t>
      </w:r>
      <w:r w:rsidR="00C0341D" w:rsidRPr="00B86BE6">
        <w:t xml:space="preserve"> “Everyone welcome here” </w:t>
      </w:r>
      <w:r w:rsidR="000E0DBF" w:rsidRPr="00B86BE6">
        <w:t xml:space="preserve">is signaled </w:t>
      </w:r>
      <w:r w:rsidR="00A820C1" w:rsidRPr="00B86BE6">
        <w:t xml:space="preserve">through the </w:t>
      </w:r>
      <w:r w:rsidR="00BF11E0" w:rsidRPr="00B86BE6">
        <w:t>plumbing.</w:t>
      </w:r>
    </w:p>
    <w:p w:rsidR="00C30FA3" w:rsidRPr="00B86BE6" w:rsidRDefault="00C30FA3" w:rsidP="00C0341D"/>
    <w:p w:rsidR="00C0341D" w:rsidRPr="00B86BE6" w:rsidRDefault="000E0DBF" w:rsidP="00E50990">
      <w:pPr>
        <w:rPr>
          <w:rFonts w:eastAsia="ＭＳ 明朝" w:cs="Verdana"/>
        </w:rPr>
      </w:pPr>
      <w:r w:rsidRPr="00B86BE6">
        <w:tab/>
        <w:t>The Queens Museum of Art firs</w:t>
      </w:r>
      <w:r w:rsidR="00A7657E" w:rsidRPr="00B86BE6">
        <w:t xml:space="preserve">t opened its doors in 1972. In contrast to Brooklyn’s encyclopedic range, its </w:t>
      </w:r>
      <w:r w:rsidRPr="00B86BE6">
        <w:t>permanent collection includes about 10,000 items, over 6,000 of which are memorabilia from the 1939 and 1964 World’s Fair</w:t>
      </w:r>
      <w:r w:rsidR="00A7657E" w:rsidRPr="00B86BE6">
        <w:t>s</w:t>
      </w:r>
      <w:r w:rsidRPr="00B86BE6">
        <w:t xml:space="preserve">. Also </w:t>
      </w:r>
      <w:r w:rsidR="00BF11E0" w:rsidRPr="00B86BE6">
        <w:t xml:space="preserve">in its collection </w:t>
      </w:r>
      <w:r w:rsidRPr="00B86BE6">
        <w:t xml:space="preserve">are </w:t>
      </w:r>
      <w:r w:rsidR="00BF11E0" w:rsidRPr="00B86BE6">
        <w:t xml:space="preserve">over 40 years of </w:t>
      </w:r>
      <w:r w:rsidRPr="00B86BE6">
        <w:t>crime scene photographs from</w:t>
      </w:r>
      <w:r w:rsidR="00FD2515" w:rsidRPr="00B86BE6">
        <w:t xml:space="preserve"> </w:t>
      </w:r>
      <w:r w:rsidR="00BF11E0" w:rsidRPr="00B86BE6">
        <w:rPr>
          <w:i/>
        </w:rPr>
        <w:t>T</w:t>
      </w:r>
      <w:r w:rsidR="00FD2515" w:rsidRPr="00B86BE6">
        <w:rPr>
          <w:i/>
        </w:rPr>
        <w:t xml:space="preserve">he </w:t>
      </w:r>
      <w:r w:rsidR="00A7657E" w:rsidRPr="00B86BE6">
        <w:rPr>
          <w:i/>
        </w:rPr>
        <w:t>New York Daily News</w:t>
      </w:r>
      <w:r w:rsidRPr="00B86BE6">
        <w:t>, over 1,000 drawings by court reporter and political cartoonist William Sharp, and since 1995, the Neustadt collection of Tiffany glass, once manufactured just down the street at the Tiffany Studios and Furnaces in Corona</w:t>
      </w:r>
      <w:r w:rsidR="0006562B" w:rsidRPr="00B86BE6">
        <w:t xml:space="preserve">.  The Queens Museum is probably </w:t>
      </w:r>
      <w:r w:rsidRPr="00B86BE6">
        <w:t xml:space="preserve">most </w:t>
      </w:r>
      <w:r w:rsidR="00C30FA3" w:rsidRPr="00B86BE6">
        <w:t>famous</w:t>
      </w:r>
      <w:r w:rsidR="0006562B" w:rsidRPr="00B86BE6">
        <w:t xml:space="preserve"> </w:t>
      </w:r>
      <w:r w:rsidR="00C30FA3" w:rsidRPr="00B86BE6">
        <w:t xml:space="preserve">for its panorama—an enormous model of New York City, </w:t>
      </w:r>
      <w:r w:rsidR="00A820C1" w:rsidRPr="00B86BE6">
        <w:t>commissioned by City Planner Robert Moses for the 1964 World’s Fair—</w:t>
      </w:r>
      <w:r w:rsidR="00E757BD" w:rsidRPr="00B86BE6">
        <w:t xml:space="preserve">a 9,335-square-foot </w:t>
      </w:r>
      <w:r w:rsidR="00A820C1" w:rsidRPr="00B86BE6">
        <w:t xml:space="preserve">replica of 895,000 individual </w:t>
      </w:r>
      <w:r w:rsidR="00E757BD" w:rsidRPr="00B86BE6">
        <w:t>building</w:t>
      </w:r>
      <w:r w:rsidR="00BF11E0" w:rsidRPr="00B86BE6">
        <w:t>s in</w:t>
      </w:r>
      <w:r w:rsidR="00676304" w:rsidRPr="00B86BE6">
        <w:t xml:space="preserve"> the five boroughs up through </w:t>
      </w:r>
      <w:r w:rsidR="00BF11E0" w:rsidRPr="00B86BE6">
        <w:t>1992. Staff see it, said Jason Yoon</w:t>
      </w:r>
      <w:r w:rsidR="00020B2E" w:rsidRPr="00B86BE6">
        <w:t xml:space="preserve">, the </w:t>
      </w:r>
      <w:r w:rsidRPr="00B86BE6">
        <w:t xml:space="preserve">Director of Education, “as a metaphor for where we are and our relationship to the communities around us.” </w:t>
      </w:r>
      <w:r w:rsidR="00A820C1" w:rsidRPr="00B86BE6">
        <w:t xml:space="preserve">It took nearly 100 people </w:t>
      </w:r>
      <w:r w:rsidR="00BF11E0" w:rsidRPr="00B86BE6">
        <w:t xml:space="preserve">working for </w:t>
      </w:r>
      <w:r w:rsidR="00A820C1" w:rsidRPr="00B86BE6">
        <w:t>Raymond Lester Associates, an architectural model mak</w:t>
      </w:r>
      <w:r w:rsidR="00020B2E" w:rsidRPr="00B86BE6">
        <w:t>er, to create the original replica</w:t>
      </w:r>
      <w:r w:rsidR="00A820C1" w:rsidRPr="00B86BE6">
        <w:t xml:space="preserve">. </w:t>
      </w:r>
      <w:r w:rsidR="00E757BD" w:rsidRPr="00B86BE6">
        <w:t>In March 2009, the museum announced</w:t>
      </w:r>
      <w:r w:rsidR="00A820C1" w:rsidRPr="00B86BE6">
        <w:t xml:space="preserve"> </w:t>
      </w:r>
      <w:r w:rsidR="00A7657E" w:rsidRPr="00B86BE6">
        <w:t xml:space="preserve">it would </w:t>
      </w:r>
      <w:r w:rsidR="00A820C1" w:rsidRPr="00B86BE6">
        <w:t xml:space="preserve">allow individuals and developers to </w:t>
      </w:r>
      <w:r w:rsidR="00BF11E0" w:rsidRPr="00B86BE6">
        <w:t xml:space="preserve">refurbish or </w:t>
      </w:r>
      <w:r w:rsidR="00A820C1" w:rsidRPr="00B86BE6">
        <w:t>add new buildings</w:t>
      </w:r>
      <w:r w:rsidR="00A7657E" w:rsidRPr="00B86BE6">
        <w:t xml:space="preserve"> for a small (or not so small) fee</w:t>
      </w:r>
      <w:r w:rsidR="00A820C1" w:rsidRPr="00B86BE6">
        <w:t>.</w:t>
      </w:r>
      <w:r w:rsidRPr="00B86BE6">
        <w:t xml:space="preserve"> It costs </w:t>
      </w:r>
      <w:r w:rsidR="00E50990" w:rsidRPr="00B86BE6">
        <w:rPr>
          <w:rFonts w:eastAsia="ＭＳ 明朝" w:cs="Verdana"/>
        </w:rPr>
        <w:t>$50 to “purchase” an apartment;</w:t>
      </w:r>
      <w:r w:rsidR="00F464FB" w:rsidRPr="00B86BE6">
        <w:rPr>
          <w:rFonts w:eastAsia="ＭＳ 明朝" w:cs="Verdana"/>
        </w:rPr>
        <w:t xml:space="preserve"> $</w:t>
      </w:r>
      <w:r w:rsidR="00E50990" w:rsidRPr="00B86BE6">
        <w:rPr>
          <w:rFonts w:eastAsia="ＭＳ 明朝" w:cs="Verdana"/>
        </w:rPr>
        <w:t>250 to adopt a private home;</w:t>
      </w:r>
      <w:r w:rsidRPr="00B86BE6">
        <w:rPr>
          <w:rFonts w:eastAsia="ＭＳ 明朝" w:cs="Verdana"/>
        </w:rPr>
        <w:t xml:space="preserve"> </w:t>
      </w:r>
      <w:r w:rsidR="0006562B" w:rsidRPr="00B86BE6">
        <w:rPr>
          <w:rFonts w:eastAsia="ＭＳ 明朝" w:cs="Verdana"/>
        </w:rPr>
        <w:t>$500 to purchase</w:t>
      </w:r>
      <w:r w:rsidR="00F464FB" w:rsidRPr="00B86BE6">
        <w:rPr>
          <w:rFonts w:eastAsia="ＭＳ 明朝" w:cs="Verdana"/>
        </w:rPr>
        <w:t xml:space="preserve"> a </w:t>
      </w:r>
      <w:r w:rsidR="00E50990" w:rsidRPr="00B86BE6">
        <w:rPr>
          <w:rFonts w:eastAsia="ＭＳ 明朝" w:cs="Verdana"/>
        </w:rPr>
        <w:t>school, library or firehouse;</w:t>
      </w:r>
      <w:r w:rsidRPr="00B86BE6">
        <w:rPr>
          <w:rFonts w:eastAsia="ＭＳ 明朝" w:cs="Verdana"/>
        </w:rPr>
        <w:t xml:space="preserve"> and </w:t>
      </w:r>
      <w:r w:rsidR="0006562B" w:rsidRPr="00B86BE6">
        <w:rPr>
          <w:rFonts w:eastAsia="ＭＳ 明朝" w:cs="Verdana"/>
        </w:rPr>
        <w:t>$2,500 for neighborhood m</w:t>
      </w:r>
      <w:r w:rsidR="00F464FB" w:rsidRPr="00B86BE6">
        <w:rPr>
          <w:rFonts w:eastAsia="ＭＳ 明朝" w:cs="Verdana"/>
        </w:rPr>
        <w:t>ai</w:t>
      </w:r>
      <w:r w:rsidRPr="00B86BE6">
        <w:rPr>
          <w:rFonts w:eastAsia="ＭＳ 明朝" w:cs="Verdana"/>
        </w:rPr>
        <w:t xml:space="preserve">ntenance. Donors </w:t>
      </w:r>
      <w:r w:rsidR="00E50990" w:rsidRPr="00B86BE6">
        <w:rPr>
          <w:rFonts w:eastAsia="ＭＳ 明朝" w:cs="Verdana"/>
        </w:rPr>
        <w:t xml:space="preserve">even receive a title deed.  </w:t>
      </w:r>
    </w:p>
    <w:p w:rsidR="00E50990" w:rsidRPr="00B86BE6" w:rsidRDefault="00E50990" w:rsidP="00E50990"/>
    <w:p w:rsidR="00A74C18" w:rsidRPr="00B86BE6" w:rsidRDefault="00C0341D" w:rsidP="00A74C18">
      <w:r w:rsidRPr="00B86BE6">
        <w:tab/>
      </w:r>
      <w:r w:rsidR="00643D6C" w:rsidRPr="00B86BE6">
        <w:t xml:space="preserve">Director </w:t>
      </w:r>
      <w:r w:rsidR="009851B4" w:rsidRPr="00B86BE6">
        <w:t xml:space="preserve">Tom Finkelpearl, </w:t>
      </w:r>
      <w:r w:rsidR="00643D6C" w:rsidRPr="00B86BE6">
        <w:t xml:space="preserve">staff say, takes context </w:t>
      </w:r>
      <w:r w:rsidR="009851B4" w:rsidRPr="00B86BE6">
        <w:t xml:space="preserve">seriously. </w:t>
      </w:r>
      <w:r w:rsidR="000E0DBF" w:rsidRPr="00B86BE6">
        <w:t xml:space="preserve">Queens </w:t>
      </w:r>
      <w:r w:rsidR="00643D6C" w:rsidRPr="00B86BE6">
        <w:t xml:space="preserve">is the most diverse </w:t>
      </w:r>
      <w:r w:rsidR="000E0DBF" w:rsidRPr="00B86BE6">
        <w:t xml:space="preserve">borough in New York City. It </w:t>
      </w:r>
      <w:r w:rsidR="00BF11E0" w:rsidRPr="00B86BE6">
        <w:t>also has many middle-</w:t>
      </w:r>
      <w:r w:rsidR="00643D6C" w:rsidRPr="00B86BE6">
        <w:t xml:space="preserve">class residents.  The </w:t>
      </w:r>
      <w:r w:rsidR="00C23CC4" w:rsidRPr="00B86BE6">
        <w:t xml:space="preserve">Museum’s </w:t>
      </w:r>
      <w:r w:rsidR="00643D6C" w:rsidRPr="00B86BE6">
        <w:t>surrounding neighborhood,</w:t>
      </w:r>
      <w:r w:rsidR="00BF11E0" w:rsidRPr="00B86BE6">
        <w:t xml:space="preserve"> Corona, teems with new and not so </w:t>
      </w:r>
      <w:r w:rsidR="00643D6C" w:rsidRPr="00B86BE6">
        <w:t>new</w:t>
      </w:r>
      <w:r w:rsidR="00676304" w:rsidRPr="00B86BE6">
        <w:t xml:space="preserve"> migrants </w:t>
      </w:r>
      <w:r w:rsidR="00643D6C" w:rsidRPr="00B86BE6">
        <w:t xml:space="preserve">from </w:t>
      </w:r>
      <w:r w:rsidR="009851B4" w:rsidRPr="00B86BE6">
        <w:t xml:space="preserve">Latin America and Asia. </w:t>
      </w:r>
      <w:r w:rsidR="00BF11E0" w:rsidRPr="00B86BE6">
        <w:t xml:space="preserve">As </w:t>
      </w:r>
      <w:r w:rsidR="00E50990" w:rsidRPr="00B86BE6">
        <w:t>in Broo</w:t>
      </w:r>
      <w:r w:rsidR="00BF11E0" w:rsidRPr="00B86BE6">
        <w:t xml:space="preserve">klyn, staff </w:t>
      </w:r>
      <w:r w:rsidR="00C23CC4" w:rsidRPr="00B86BE6">
        <w:t xml:space="preserve">members </w:t>
      </w:r>
      <w:r w:rsidR="00BF11E0" w:rsidRPr="00B86BE6">
        <w:t>firmly believe</w:t>
      </w:r>
      <w:r w:rsidR="00C23CC4" w:rsidRPr="00B86BE6">
        <w:t xml:space="preserve"> that</w:t>
      </w:r>
      <w:r w:rsidR="00BF11E0" w:rsidRPr="00B86BE6">
        <w:t xml:space="preserve"> </w:t>
      </w:r>
      <w:r w:rsidR="00E50990" w:rsidRPr="00B86BE6">
        <w:t xml:space="preserve">the </w:t>
      </w:r>
      <w:r w:rsidR="00643D6C" w:rsidRPr="00B86BE6">
        <w:t>relationship between museums and comm</w:t>
      </w:r>
      <w:r w:rsidR="00EA458F" w:rsidRPr="00B86BE6">
        <w:t xml:space="preserve">unities needs </w:t>
      </w:r>
      <w:r w:rsidR="00E50990" w:rsidRPr="00B86BE6">
        <w:t xml:space="preserve">a major overhaul </w:t>
      </w:r>
      <w:r w:rsidR="00FD2515" w:rsidRPr="00B86BE6">
        <w:t>and the</w:t>
      </w:r>
      <w:r w:rsidR="00676304" w:rsidRPr="00B86BE6">
        <w:t xml:space="preserve">y want </w:t>
      </w:r>
      <w:r w:rsidR="00BF11E0" w:rsidRPr="00B86BE6">
        <w:t xml:space="preserve">Queens to lead the </w:t>
      </w:r>
      <w:r w:rsidR="00EA458F" w:rsidRPr="00B86BE6">
        <w:t xml:space="preserve">way.  </w:t>
      </w:r>
      <w:r w:rsidR="000E0DBF" w:rsidRPr="00B86BE6">
        <w:t xml:space="preserve">“We have done way more for immigrants than any other museum in America,” </w:t>
      </w:r>
      <w:r w:rsidR="00E50990" w:rsidRPr="00B86BE6">
        <w:t>Finkelpearl claimed</w:t>
      </w:r>
      <w:r w:rsidR="00FD2515" w:rsidRPr="00B86BE6">
        <w:t>. M</w:t>
      </w:r>
      <w:r w:rsidR="000E0DBF" w:rsidRPr="00B86BE6">
        <w:t xml:space="preserve">useums should be catalysts for </w:t>
      </w:r>
      <w:r w:rsidR="00A74C18" w:rsidRPr="00B86BE6">
        <w:t>soci</w:t>
      </w:r>
      <w:r w:rsidR="00EA458F" w:rsidRPr="00B86BE6">
        <w:t>al and</w:t>
      </w:r>
      <w:r w:rsidR="000E0DBF" w:rsidRPr="00B86BE6">
        <w:t xml:space="preserve"> political engagement</w:t>
      </w:r>
      <w:r w:rsidR="00BF11E0" w:rsidRPr="00B86BE6">
        <w:t xml:space="preserve">, which </w:t>
      </w:r>
      <w:r w:rsidR="00FD2515" w:rsidRPr="00B86BE6">
        <w:t xml:space="preserve">eventually also gets people in the door. </w:t>
      </w:r>
      <w:r w:rsidR="000E0DBF" w:rsidRPr="00B86BE6">
        <w:t xml:space="preserve">In other words, after </w:t>
      </w:r>
      <w:r w:rsidR="00291421" w:rsidRPr="00B86BE6">
        <w:t xml:space="preserve">mobilizing the community, </w:t>
      </w:r>
      <w:r w:rsidR="00A74C18" w:rsidRPr="00B86BE6">
        <w:t>“we also let them know</w:t>
      </w:r>
      <w:r w:rsidR="00291421" w:rsidRPr="00B86BE6">
        <w:t xml:space="preserve">,” said Community Organizer Jose Serrano, </w:t>
      </w:r>
      <w:r w:rsidR="00E50990" w:rsidRPr="00B86BE6">
        <w:t>“</w:t>
      </w:r>
      <w:r w:rsidR="00A74C18" w:rsidRPr="00B86BE6">
        <w:t>that there is a lovely free institu</w:t>
      </w:r>
      <w:r w:rsidR="00C30FA3" w:rsidRPr="00B86BE6">
        <w:t>t</w:t>
      </w:r>
      <w:r w:rsidR="00A74C18" w:rsidRPr="00B86BE6">
        <w:t xml:space="preserve">ion </w:t>
      </w:r>
      <w:r w:rsidR="00291421" w:rsidRPr="00B86BE6">
        <w:t xml:space="preserve">with </w:t>
      </w:r>
      <w:r w:rsidR="00A74C18" w:rsidRPr="00B86BE6">
        <w:t xml:space="preserve">open doors and great free art classes and exhibitions </w:t>
      </w:r>
      <w:r w:rsidR="00FD2515" w:rsidRPr="00B86BE6">
        <w:t xml:space="preserve">created </w:t>
      </w:r>
      <w:r w:rsidR="00EA458F" w:rsidRPr="00B86BE6">
        <w:t xml:space="preserve">with them in mind.” </w:t>
      </w:r>
    </w:p>
    <w:p w:rsidR="009851B4" w:rsidRPr="00B86BE6" w:rsidRDefault="009851B4" w:rsidP="00C0341D"/>
    <w:p w:rsidR="00E50990" w:rsidRPr="00B86BE6" w:rsidRDefault="00A47E24" w:rsidP="00676304">
      <w:pPr>
        <w:ind w:firstLine="720"/>
      </w:pPr>
      <w:r w:rsidRPr="00B86BE6">
        <w:t>Yes,</w:t>
      </w:r>
      <w:r w:rsidR="00291421" w:rsidRPr="00B86BE6">
        <w:t xml:space="preserve"> Community Organizer.  This new model </w:t>
      </w:r>
      <w:r w:rsidRPr="00B86BE6">
        <w:t xml:space="preserve">of museum work </w:t>
      </w:r>
      <w:r w:rsidR="00291421" w:rsidRPr="00B86BE6">
        <w:t xml:space="preserve">includes two </w:t>
      </w:r>
      <w:r w:rsidR="00EA458F" w:rsidRPr="00B86BE6">
        <w:t xml:space="preserve">community organizers on staff </w:t>
      </w:r>
      <w:r w:rsidR="00291421" w:rsidRPr="00B86BE6">
        <w:t xml:space="preserve">who work closely with </w:t>
      </w:r>
      <w:r w:rsidR="00EA458F" w:rsidRPr="00B86BE6">
        <w:t xml:space="preserve">local </w:t>
      </w:r>
      <w:r w:rsidR="00A74C18" w:rsidRPr="00B86BE6">
        <w:t xml:space="preserve">immigrant artists, event </w:t>
      </w:r>
      <w:r w:rsidR="00EA458F" w:rsidRPr="00B86BE6">
        <w:t>producers, and communit</w:t>
      </w:r>
      <w:r w:rsidR="00BF11E0" w:rsidRPr="00B86BE6">
        <w:t>y groups.  In fact, Serrano said</w:t>
      </w:r>
      <w:r w:rsidR="00F331C1" w:rsidRPr="00B86BE6">
        <w:t xml:space="preserve">, he </w:t>
      </w:r>
      <w:r w:rsidR="00EA458F" w:rsidRPr="00B86BE6">
        <w:t xml:space="preserve">calls himself a “cultural organizer who uses </w:t>
      </w:r>
      <w:r w:rsidR="00291421" w:rsidRPr="00B86BE6">
        <w:t xml:space="preserve">art strategies in </w:t>
      </w:r>
      <w:r w:rsidR="009851B4" w:rsidRPr="00B86BE6">
        <w:t>service</w:t>
      </w:r>
      <w:r w:rsidR="00676304" w:rsidRPr="00B86BE6">
        <w:t xml:space="preserve"> of community organizing efforts</w:t>
      </w:r>
      <w:r w:rsidR="009851B4" w:rsidRPr="00B86BE6">
        <w:t xml:space="preserve"> that are already in the community</w:t>
      </w:r>
      <w:r w:rsidR="00EA458F" w:rsidRPr="00B86BE6">
        <w:t xml:space="preserve">… We lend our creative services </w:t>
      </w:r>
      <w:r w:rsidR="00291421" w:rsidRPr="00B86BE6">
        <w:t xml:space="preserve">to help </w:t>
      </w:r>
      <w:r w:rsidR="00EA458F" w:rsidRPr="00B86BE6">
        <w:t>social campaigns in the community that</w:t>
      </w:r>
      <w:r w:rsidR="00D56FA3" w:rsidRPr="00B86BE6">
        <w:t xml:space="preserve"> we do not lead but participate in</w:t>
      </w:r>
      <w:r w:rsidR="00EA458F" w:rsidRPr="00B86BE6">
        <w:t xml:space="preserve">.” </w:t>
      </w:r>
      <w:r w:rsidR="00D56FA3" w:rsidRPr="00B86BE6">
        <w:t xml:space="preserve"> </w:t>
      </w:r>
      <w:r w:rsidR="00291421" w:rsidRPr="00B86BE6">
        <w:t xml:space="preserve">How exactly?  By </w:t>
      </w:r>
      <w:r w:rsidR="00E50990" w:rsidRPr="00B86BE6">
        <w:t xml:space="preserve">supporting the community’s </w:t>
      </w:r>
      <w:r w:rsidR="00291421" w:rsidRPr="00B86BE6">
        <w:t xml:space="preserve">artists and </w:t>
      </w:r>
      <w:r w:rsidR="00575B70" w:rsidRPr="00B86BE6">
        <w:t>s</w:t>
      </w:r>
      <w:r w:rsidR="00531D64" w:rsidRPr="00B86BE6">
        <w:t xml:space="preserve">ocial and cultural institutions, </w:t>
      </w:r>
      <w:r w:rsidR="00291421" w:rsidRPr="00B86BE6">
        <w:t xml:space="preserve">by creating art </w:t>
      </w:r>
      <w:r w:rsidR="00531D64" w:rsidRPr="00B86BE6">
        <w:t>installations</w:t>
      </w:r>
      <w:r w:rsidR="00FD2515" w:rsidRPr="00B86BE6">
        <w:t xml:space="preserve"> in neighborhood venues</w:t>
      </w:r>
      <w:r w:rsidR="00291421" w:rsidRPr="00B86BE6">
        <w:t xml:space="preserve">, and by </w:t>
      </w:r>
      <w:r w:rsidR="00575B70" w:rsidRPr="00B86BE6">
        <w:t>inviting</w:t>
      </w:r>
      <w:r w:rsidR="00E50990" w:rsidRPr="00B86BE6">
        <w:t xml:space="preserve"> community members </w:t>
      </w:r>
      <w:r w:rsidR="00095087" w:rsidRPr="00B86BE6">
        <w:t xml:space="preserve">to use the museum as a place to hold their </w:t>
      </w:r>
      <w:r w:rsidR="00FD2515" w:rsidRPr="00B86BE6">
        <w:t xml:space="preserve">own </w:t>
      </w:r>
      <w:r w:rsidR="00531D64" w:rsidRPr="00B86BE6">
        <w:t xml:space="preserve">events, celebrations, and political meetings. </w:t>
      </w:r>
      <w:r w:rsidR="00095087" w:rsidRPr="00B86BE6">
        <w:t>The New New Yorkers P</w:t>
      </w:r>
      <w:r w:rsidR="00575B70" w:rsidRPr="00B86BE6">
        <w:t xml:space="preserve">rogram, </w:t>
      </w:r>
      <w:r w:rsidR="00095087" w:rsidRPr="00B86BE6">
        <w:t xml:space="preserve">for example, </w:t>
      </w:r>
      <w:r w:rsidR="00F331C1" w:rsidRPr="00B86BE6">
        <w:t xml:space="preserve">a </w:t>
      </w:r>
      <w:r w:rsidR="00575B70" w:rsidRPr="00B86BE6">
        <w:t xml:space="preserve">partnership with the Queens Public Library, </w:t>
      </w:r>
      <w:r w:rsidR="00FD2515" w:rsidRPr="00B86BE6">
        <w:t xml:space="preserve">offers language and skill-based </w:t>
      </w:r>
      <w:r w:rsidR="00291421" w:rsidRPr="00B86BE6">
        <w:t xml:space="preserve">classes. The introductory levels are </w:t>
      </w:r>
      <w:r w:rsidR="00FD2515" w:rsidRPr="00B86BE6">
        <w:t xml:space="preserve">conducted in </w:t>
      </w:r>
      <w:r w:rsidR="00575B70" w:rsidRPr="00B86BE6">
        <w:t>Korean, Spanish or Taiwanese</w:t>
      </w:r>
      <w:r w:rsidR="00B33CDB" w:rsidRPr="00B86BE6">
        <w:t>,</w:t>
      </w:r>
      <w:r w:rsidR="00575B70" w:rsidRPr="00B86BE6">
        <w:t xml:space="preserve"> </w:t>
      </w:r>
      <w:r w:rsidR="00291421" w:rsidRPr="00B86BE6">
        <w:t>but t</w:t>
      </w:r>
      <w:r w:rsidR="00E50990" w:rsidRPr="00B86BE6">
        <w:t xml:space="preserve">he more advanced classes are in </w:t>
      </w:r>
      <w:r w:rsidR="00291421" w:rsidRPr="00B86BE6">
        <w:t>Eng</w:t>
      </w:r>
      <w:r w:rsidR="00095087" w:rsidRPr="00B86BE6">
        <w:t xml:space="preserve">lish </w:t>
      </w:r>
      <w:r w:rsidR="00F331C1" w:rsidRPr="00B86BE6">
        <w:t xml:space="preserve">so that students from </w:t>
      </w:r>
      <w:r w:rsidR="00095087" w:rsidRPr="00B86BE6">
        <w:t xml:space="preserve">diverse backgrounds </w:t>
      </w:r>
      <w:r w:rsidR="00676304" w:rsidRPr="00B86BE6">
        <w:t xml:space="preserve">have to </w:t>
      </w:r>
      <w:r w:rsidR="00F331C1" w:rsidRPr="00B86BE6">
        <w:t xml:space="preserve">study </w:t>
      </w:r>
      <w:r w:rsidR="00095087" w:rsidRPr="00B86BE6">
        <w:t xml:space="preserve">together. </w:t>
      </w:r>
      <w:r w:rsidR="00B33CDB" w:rsidRPr="00B86BE6">
        <w:t>The Museum Explorer</w:t>
      </w:r>
      <w:r w:rsidR="00575B70" w:rsidRPr="00B86BE6">
        <w:t>s</w:t>
      </w:r>
      <w:r w:rsidR="00B33CDB" w:rsidRPr="00B86BE6">
        <w:t>’</w:t>
      </w:r>
      <w:r w:rsidR="00575B70" w:rsidRPr="00B86BE6">
        <w:t xml:space="preserve"> Club</w:t>
      </w:r>
      <w:r w:rsidR="00020B2E" w:rsidRPr="00B86BE6">
        <w:t>,</w:t>
      </w:r>
      <w:r w:rsidR="00575B70" w:rsidRPr="00B86BE6">
        <w:t xml:space="preserve"> for families affected by autism</w:t>
      </w:r>
      <w:r w:rsidR="00020B2E" w:rsidRPr="00B86BE6">
        <w:t>,</w:t>
      </w:r>
      <w:r w:rsidR="00575B70" w:rsidRPr="00B86BE6">
        <w:t xml:space="preserve"> is part art class </w:t>
      </w:r>
      <w:r w:rsidR="00676304" w:rsidRPr="00B86BE6">
        <w:t xml:space="preserve">and part </w:t>
      </w:r>
      <w:r w:rsidR="00F331C1" w:rsidRPr="00B86BE6">
        <w:t xml:space="preserve">class in </w:t>
      </w:r>
      <w:r w:rsidR="00676304" w:rsidRPr="00B86BE6">
        <w:t xml:space="preserve">the social skills needed to </w:t>
      </w:r>
      <w:r w:rsidR="00B33CDB" w:rsidRPr="00B86BE6">
        <w:t>complete</w:t>
      </w:r>
      <w:r w:rsidR="00676304" w:rsidRPr="00B86BE6">
        <w:t xml:space="preserve"> a </w:t>
      </w:r>
      <w:r w:rsidR="00F331C1" w:rsidRPr="00B86BE6">
        <w:t xml:space="preserve">successful museum visit. </w:t>
      </w:r>
      <w:r w:rsidR="00581B48" w:rsidRPr="00B86BE6">
        <w:rPr>
          <w:i/>
        </w:rPr>
        <w:t>Cinem</w:t>
      </w:r>
      <w:r w:rsidR="00575B70" w:rsidRPr="00B86BE6">
        <w:rPr>
          <w:i/>
        </w:rPr>
        <w:t>arosa</w:t>
      </w:r>
      <w:r w:rsidR="00575B70" w:rsidRPr="00B86BE6">
        <w:t xml:space="preserve"> is the</w:t>
      </w:r>
      <w:r w:rsidR="00FD2515" w:rsidRPr="00B86BE6">
        <w:t xml:space="preserve"> borough’s</w:t>
      </w:r>
      <w:r w:rsidR="00575B70" w:rsidRPr="00B86BE6">
        <w:t xml:space="preserve"> first and only independe</w:t>
      </w:r>
      <w:r w:rsidR="00342F4E" w:rsidRPr="00B86BE6">
        <w:t>nt LBGTQ</w:t>
      </w:r>
      <w:r w:rsidR="00FD2515" w:rsidRPr="00B86BE6">
        <w:t xml:space="preserve"> video and film series. </w:t>
      </w:r>
    </w:p>
    <w:p w:rsidR="00E50990" w:rsidRPr="00B86BE6" w:rsidRDefault="00E50990" w:rsidP="00291421"/>
    <w:p w:rsidR="00065C16" w:rsidRPr="00B86BE6" w:rsidRDefault="00095087" w:rsidP="00E50990">
      <w:pPr>
        <w:ind w:firstLine="720"/>
      </w:pPr>
      <w:r w:rsidRPr="00B86BE6">
        <w:rPr>
          <w:rFonts w:eastAsia="ＭＳ 明朝" w:cs="Verdana"/>
        </w:rPr>
        <w:t xml:space="preserve">What unites all these </w:t>
      </w:r>
      <w:r w:rsidR="00C2380C" w:rsidRPr="00B86BE6">
        <w:rPr>
          <w:rFonts w:eastAsia="ＭＳ 明朝" w:cs="Verdana"/>
        </w:rPr>
        <w:t xml:space="preserve">activities is </w:t>
      </w:r>
      <w:r w:rsidR="00FD2515" w:rsidRPr="00B86BE6">
        <w:rPr>
          <w:rFonts w:eastAsia="ＭＳ 明朝" w:cs="Verdana"/>
        </w:rPr>
        <w:t xml:space="preserve">the </w:t>
      </w:r>
      <w:r w:rsidR="00C2380C" w:rsidRPr="00B86BE6">
        <w:rPr>
          <w:rFonts w:eastAsia="ＭＳ 明朝" w:cs="Verdana"/>
        </w:rPr>
        <w:t xml:space="preserve">belief in the transformative power of art and in </w:t>
      </w:r>
      <w:r w:rsidR="00FD2515" w:rsidRPr="00B86BE6">
        <w:rPr>
          <w:rFonts w:eastAsia="ＭＳ 明朝" w:cs="Verdana"/>
        </w:rPr>
        <w:t xml:space="preserve">the artist’s role as </w:t>
      </w:r>
      <w:r w:rsidR="00291421" w:rsidRPr="00B86BE6">
        <w:rPr>
          <w:rFonts w:eastAsia="ＭＳ 明朝" w:cs="Verdana"/>
        </w:rPr>
        <w:t xml:space="preserve">translator and </w:t>
      </w:r>
      <w:r w:rsidR="00575B70" w:rsidRPr="00B86BE6">
        <w:rPr>
          <w:rFonts w:eastAsia="ＭＳ 明朝" w:cs="Verdana"/>
        </w:rPr>
        <w:t>bridge</w:t>
      </w:r>
      <w:r w:rsidR="005F7A95" w:rsidRPr="00B86BE6">
        <w:rPr>
          <w:rFonts w:eastAsia="ＭＳ 明朝" w:cs="Verdana"/>
        </w:rPr>
        <w:t>-</w:t>
      </w:r>
      <w:r w:rsidR="00291421" w:rsidRPr="00B86BE6">
        <w:rPr>
          <w:rFonts w:eastAsia="ＭＳ 明朝" w:cs="Verdana"/>
        </w:rPr>
        <w:t xml:space="preserve">builder between immigrants and the broader community. </w:t>
      </w:r>
      <w:r w:rsidR="00575B70" w:rsidRPr="00B86BE6">
        <w:rPr>
          <w:rFonts w:eastAsia="ＭＳ 明朝" w:cs="Verdana"/>
        </w:rPr>
        <w:t xml:space="preserve"> </w:t>
      </w:r>
      <w:r w:rsidR="00C2380C" w:rsidRPr="00B86BE6">
        <w:rPr>
          <w:rFonts w:eastAsia="ＭＳ 明朝" w:cs="Verdana"/>
        </w:rPr>
        <w:t xml:space="preserve">When an art historian teaches English-as-a-Second Language classes by </w:t>
      </w:r>
      <w:r w:rsidRPr="00B86BE6">
        <w:rPr>
          <w:rFonts w:eastAsia="ＭＳ 明朝" w:cs="Verdana"/>
        </w:rPr>
        <w:t xml:space="preserve">having her students </w:t>
      </w:r>
      <w:r w:rsidR="005F7A95" w:rsidRPr="00B86BE6">
        <w:rPr>
          <w:rFonts w:eastAsia="ＭＳ 明朝" w:cs="Verdana"/>
        </w:rPr>
        <w:t>discuss</w:t>
      </w:r>
      <w:r w:rsidR="00C2380C" w:rsidRPr="00B86BE6">
        <w:rPr>
          <w:rFonts w:eastAsia="ＭＳ 明朝" w:cs="Verdana"/>
        </w:rPr>
        <w:t xml:space="preserve"> </w:t>
      </w:r>
      <w:r w:rsidRPr="00B86BE6">
        <w:t xml:space="preserve">female portraiture, she </w:t>
      </w:r>
      <w:r w:rsidR="00676304" w:rsidRPr="00B86BE6">
        <w:t xml:space="preserve">also teaches </w:t>
      </w:r>
      <w:r w:rsidRPr="00B86BE6">
        <w:t xml:space="preserve">them </w:t>
      </w:r>
      <w:r w:rsidR="00C2380C" w:rsidRPr="00B86BE6">
        <w:t xml:space="preserve">about the creative spirit. “I think the programming we do,” said </w:t>
      </w:r>
      <w:r w:rsidR="00C2380C" w:rsidRPr="00B86BE6">
        <w:rPr>
          <w:rFonts w:eastAsia="ＭＳ 明朝" w:cs="Verdana"/>
        </w:rPr>
        <w:t>Nung-Hsin Hu, Associate Coordinator of the New New</w:t>
      </w:r>
      <w:r w:rsidR="005F7A95" w:rsidRPr="00B86BE6">
        <w:rPr>
          <w:rFonts w:eastAsia="ＭＳ 明朝" w:cs="Verdana"/>
        </w:rPr>
        <w:t xml:space="preserve"> </w:t>
      </w:r>
      <w:r w:rsidR="00C2380C" w:rsidRPr="00B86BE6">
        <w:rPr>
          <w:rFonts w:eastAsia="ＭＳ 明朝" w:cs="Verdana"/>
        </w:rPr>
        <w:t xml:space="preserve">Yorkers program, </w:t>
      </w:r>
      <w:r w:rsidRPr="00B86BE6">
        <w:rPr>
          <w:rFonts w:eastAsia="ＭＳ 明朝" w:cs="Verdana"/>
        </w:rPr>
        <w:t>“</w:t>
      </w:r>
      <w:r w:rsidR="00C2380C" w:rsidRPr="00B86BE6">
        <w:t xml:space="preserve">is serving to create </w:t>
      </w:r>
      <w:r w:rsidR="00291421" w:rsidRPr="00B86BE6">
        <w:t xml:space="preserve">the </w:t>
      </w:r>
      <w:r w:rsidR="00C2380C" w:rsidRPr="00B86BE6">
        <w:t xml:space="preserve">community and its capacity to create.” </w:t>
      </w:r>
      <w:r w:rsidR="00E50990" w:rsidRPr="00B86BE6">
        <w:t xml:space="preserve">To consistently capture new audiences in the “new Queens,” outreach takes </w:t>
      </w:r>
      <w:r w:rsidR="00C2380C" w:rsidRPr="00B86BE6">
        <w:t>a back seat to partnership</w:t>
      </w:r>
      <w:r w:rsidR="0056037C" w:rsidRPr="00B86BE6">
        <w:t xml:space="preserve"> and collaboratio</w:t>
      </w:r>
      <w:r w:rsidRPr="00B86BE6">
        <w:t>n. “Reciprocity,” said Jason Yoon</w:t>
      </w:r>
      <w:r w:rsidR="0056037C" w:rsidRPr="00B86BE6">
        <w:t>, “is the key paradigm shift.</w:t>
      </w:r>
      <w:r w:rsidR="00C2380C" w:rsidRPr="00B86BE6">
        <w:t xml:space="preserve">” </w:t>
      </w:r>
    </w:p>
    <w:p w:rsidR="00A72EF2" w:rsidRPr="00B86BE6" w:rsidRDefault="00A72EF2" w:rsidP="00065C16"/>
    <w:p w:rsidR="00E50990" w:rsidRPr="00B86BE6" w:rsidRDefault="00531D64" w:rsidP="0075134C">
      <w:pPr>
        <w:widowControl w:val="0"/>
        <w:autoSpaceDE w:val="0"/>
        <w:autoSpaceDN w:val="0"/>
        <w:adjustRightInd w:val="0"/>
        <w:spacing w:after="200"/>
        <w:ind w:right="100" w:firstLine="720"/>
      </w:pPr>
      <w:r w:rsidRPr="00B86BE6">
        <w:t xml:space="preserve">Using art and culture to engage the community is a natural outgrowth of the museum’s curatorial priorities. According to Director of Exhibitions, </w:t>
      </w:r>
      <w:r w:rsidRPr="00B86BE6">
        <w:rPr>
          <w:rFonts w:eastAsia="ＭＳ 明朝" w:cs="Verdana"/>
        </w:rPr>
        <w:t xml:space="preserve">Hitomi Iwasaki, the Queens Museum </w:t>
      </w:r>
      <w:r w:rsidRPr="00B86BE6">
        <w:t xml:space="preserve">was one of the first in New York to give </w:t>
      </w:r>
      <w:r w:rsidR="00A72EF2" w:rsidRPr="00B86BE6">
        <w:t xml:space="preserve">space to </w:t>
      </w:r>
      <w:r w:rsidRPr="00B86BE6">
        <w:t xml:space="preserve">non-American, non-white artists.  </w:t>
      </w:r>
      <w:r w:rsidR="00E50990" w:rsidRPr="00B86BE6">
        <w:t xml:space="preserve">They did this not by visiting </w:t>
      </w:r>
      <w:r w:rsidR="0056037C" w:rsidRPr="00B86BE6">
        <w:t xml:space="preserve">artists’ studios and selecting the work they liked </w:t>
      </w:r>
      <w:r w:rsidR="00020B2E" w:rsidRPr="00B86BE6">
        <w:t xml:space="preserve">best </w:t>
      </w:r>
      <w:r w:rsidRPr="00B86BE6">
        <w:t xml:space="preserve">but by </w:t>
      </w:r>
      <w:r w:rsidR="00E50990" w:rsidRPr="00B86BE6">
        <w:t xml:space="preserve">welcoming </w:t>
      </w:r>
      <w:r w:rsidRPr="00B86BE6">
        <w:t xml:space="preserve">artists </w:t>
      </w:r>
      <w:r w:rsidR="00E50990" w:rsidRPr="00B86BE6">
        <w:t>in</w:t>
      </w:r>
      <w:r w:rsidRPr="00B86BE6">
        <w:t xml:space="preserve">to the museum, talking to them about its history and </w:t>
      </w:r>
      <w:r w:rsidR="0056037C" w:rsidRPr="00B86BE6">
        <w:t>community</w:t>
      </w:r>
      <w:r w:rsidR="00E50990" w:rsidRPr="00B86BE6">
        <w:t>,</w:t>
      </w:r>
      <w:r w:rsidR="0056037C" w:rsidRPr="00B86BE6">
        <w:t xml:space="preserve"> </w:t>
      </w:r>
      <w:r w:rsidRPr="00B86BE6">
        <w:t xml:space="preserve">and inviting them to “suck in and digest all of that and see what came out in response.” </w:t>
      </w:r>
    </w:p>
    <w:p w:rsidR="00BB1549" w:rsidRPr="00B86BE6" w:rsidRDefault="00E50990" w:rsidP="0075134C">
      <w:pPr>
        <w:widowControl w:val="0"/>
        <w:autoSpaceDE w:val="0"/>
        <w:autoSpaceDN w:val="0"/>
        <w:adjustRightInd w:val="0"/>
        <w:spacing w:after="200"/>
        <w:ind w:right="100" w:firstLine="720"/>
        <w:rPr>
          <w:rFonts w:eastAsia="ＭＳ 明朝" w:cs="Verdana"/>
        </w:rPr>
      </w:pPr>
      <w:r w:rsidRPr="00B86BE6">
        <w:t>The idea, said Ms.</w:t>
      </w:r>
      <w:r w:rsidR="00531D64" w:rsidRPr="00B86BE6">
        <w:t xml:space="preserve"> Iwasaki, was not to </w:t>
      </w:r>
      <w:r w:rsidR="00BB1549" w:rsidRPr="00B86BE6">
        <w:t xml:space="preserve">try to </w:t>
      </w:r>
      <w:r w:rsidR="00531D64" w:rsidRPr="00B86BE6">
        <w:t xml:space="preserve">compete with the Guggenheim or the Whitney but </w:t>
      </w:r>
      <w:r w:rsidR="00020B2E" w:rsidRPr="00B86BE6">
        <w:t xml:space="preserve">for Queens </w:t>
      </w:r>
      <w:r w:rsidR="00531D64" w:rsidRPr="00B86BE6">
        <w:t xml:space="preserve">to </w:t>
      </w:r>
      <w:r w:rsidR="004D2F18" w:rsidRPr="00B86BE6">
        <w:t>be a cutting edge contemporary ar</w:t>
      </w:r>
      <w:r w:rsidR="005732C0" w:rsidRPr="00B86BE6">
        <w:t>t museum</w:t>
      </w:r>
      <w:r w:rsidR="00095087" w:rsidRPr="00B86BE6">
        <w:t xml:space="preserve"> in its </w:t>
      </w:r>
      <w:r w:rsidRPr="00B86BE6">
        <w:t>own right</w:t>
      </w:r>
      <w:r w:rsidR="005732C0" w:rsidRPr="00B86BE6">
        <w:t xml:space="preserve">. It was also to broaden </w:t>
      </w:r>
      <w:r w:rsidR="0056037C" w:rsidRPr="00B86BE6">
        <w:t xml:space="preserve">the definition of American art by doing </w:t>
      </w:r>
      <w:r w:rsidRPr="00B86BE6">
        <w:t>“</w:t>
      </w:r>
      <w:r w:rsidR="0056037C" w:rsidRPr="00B86BE6">
        <w:t>cultural shows</w:t>
      </w:r>
      <w:r w:rsidRPr="00B86BE6">
        <w:t>”</w:t>
      </w:r>
      <w:r w:rsidR="0056037C" w:rsidRPr="00B86BE6">
        <w:t xml:space="preserve"> </w:t>
      </w:r>
      <w:r w:rsidRPr="00B86BE6">
        <w:t xml:space="preserve">that paired </w:t>
      </w:r>
      <w:r w:rsidR="0056037C" w:rsidRPr="00B86BE6">
        <w:t>work by Korean</w:t>
      </w:r>
      <w:r w:rsidR="00CB7B50" w:rsidRPr="00B86BE6">
        <w:t>-</w:t>
      </w:r>
      <w:r w:rsidR="0056037C" w:rsidRPr="00B86BE6">
        <w:t>, India</w:t>
      </w:r>
      <w:r w:rsidR="00CB7B50" w:rsidRPr="00B86BE6">
        <w:t>n-</w:t>
      </w:r>
      <w:r w:rsidR="0056037C" w:rsidRPr="00B86BE6">
        <w:t xml:space="preserve">, or Columbian-American artists </w:t>
      </w:r>
      <w:r w:rsidR="00BB1549" w:rsidRPr="00B86BE6">
        <w:t xml:space="preserve">with </w:t>
      </w:r>
      <w:r w:rsidR="0056037C" w:rsidRPr="00B86BE6">
        <w:t>work by artists from their</w:t>
      </w:r>
      <w:r w:rsidR="00CB7B50" w:rsidRPr="00B86BE6">
        <w:t xml:space="preserve"> ancestral</w:t>
      </w:r>
      <w:r w:rsidR="0056037C" w:rsidRPr="00B86BE6">
        <w:t xml:space="preserve"> homelands. In 2002, the Museum mounted its first </w:t>
      </w:r>
      <w:r w:rsidR="0056037C" w:rsidRPr="00B86BE6">
        <w:rPr>
          <w:rFonts w:eastAsia="ＭＳ 明朝" w:cs="Verdana"/>
          <w:i/>
          <w:iCs/>
        </w:rPr>
        <w:t>Queens International,</w:t>
      </w:r>
      <w:r w:rsidR="0056037C" w:rsidRPr="00B86BE6">
        <w:rPr>
          <w:rFonts w:eastAsia="ＭＳ 明朝" w:cs="Verdana"/>
        </w:rPr>
        <w:t xml:space="preserve"> a biennial exhibition of artists from around the world who live and/or work in Queens</w:t>
      </w:r>
      <w:r w:rsidR="00BB1549" w:rsidRPr="00B86BE6">
        <w:rPr>
          <w:rFonts w:eastAsia="ＭＳ 明朝" w:cs="Verdana"/>
        </w:rPr>
        <w:t>.  The show, now in its sixth iteration,</w:t>
      </w:r>
      <w:r w:rsidR="0056037C" w:rsidRPr="00B86BE6">
        <w:rPr>
          <w:rFonts w:eastAsia="ＭＳ 明朝" w:cs="Verdana"/>
        </w:rPr>
        <w:t xml:space="preserve"> “examines the boundaries of culture, tradition, heritage and nationality</w:t>
      </w:r>
      <w:r w:rsidR="00132E21" w:rsidRPr="00B86BE6">
        <w:rPr>
          <w:rFonts w:eastAsia="ＭＳ 明朝" w:cs="Verdana"/>
        </w:rPr>
        <w:t>”</w:t>
      </w:r>
      <w:r w:rsidR="0056037C" w:rsidRPr="00B86BE6">
        <w:rPr>
          <w:rFonts w:eastAsia="ＭＳ 明朝" w:cs="Verdana"/>
        </w:rPr>
        <w:t xml:space="preserve"> and “addr</w:t>
      </w:r>
      <w:r w:rsidR="00132E21" w:rsidRPr="00B86BE6">
        <w:rPr>
          <w:rFonts w:eastAsia="ＭＳ 明朝" w:cs="Verdana"/>
        </w:rPr>
        <w:t>esses the relationship between ‘internationalism’ and ‘multiculturalism’</w:t>
      </w:r>
      <w:r w:rsidR="0056037C" w:rsidRPr="00B86BE6">
        <w:rPr>
          <w:rFonts w:eastAsia="ＭＳ 明朝" w:cs="Verdana"/>
        </w:rPr>
        <w:t xml:space="preserve"> from a local standpoint</w:t>
      </w:r>
      <w:r w:rsidR="00BB1549" w:rsidRPr="00B86BE6">
        <w:rPr>
          <w:rFonts w:eastAsia="ＭＳ 明朝" w:cs="Verdana"/>
        </w:rPr>
        <w:t>…</w:t>
      </w:r>
      <w:r w:rsidR="0056037C" w:rsidRPr="00B86BE6">
        <w:rPr>
          <w:rFonts w:eastAsia="ＭＳ 明朝" w:cs="Verdana"/>
        </w:rPr>
        <w:t>Culture is the logic by which we give order to the world. No one stands outside of it. In Queens, one comes to recognize that nations are not walled fortresses but rather permeable containers for the fluid shifts of culture. Here, multiculturalism does not imply a static representation of international identities but rather an ever-changing shift amongst multiple cultures that blurs ethnic, racial, gendered and ideological boundaries.</w:t>
      </w:r>
      <w:r w:rsidRPr="00B86BE6">
        <w:rPr>
          <w:rFonts w:eastAsia="ＭＳ 明朝" w:cs="Verdana"/>
        </w:rPr>
        <w:t>”</w:t>
      </w:r>
      <w:r w:rsidR="00BB1549" w:rsidRPr="00B86BE6">
        <w:rPr>
          <w:rStyle w:val="EndnoteReference"/>
          <w:rFonts w:eastAsia="ＭＳ 明朝" w:cs="Verdana"/>
        </w:rPr>
        <w:endnoteReference w:id="88"/>
      </w:r>
      <w:r w:rsidR="00095087" w:rsidRPr="00B86BE6">
        <w:rPr>
          <w:rFonts w:eastAsia="ＭＳ 明朝" w:cs="Verdana"/>
        </w:rPr>
        <w:t xml:space="preserve"> </w:t>
      </w:r>
      <w:r w:rsidR="00676304" w:rsidRPr="00B86BE6">
        <w:rPr>
          <w:rFonts w:eastAsia="ＭＳ 明朝" w:cs="Verdana"/>
        </w:rPr>
        <w:t>Again, cosmopolitanism</w:t>
      </w:r>
      <w:r w:rsidR="00020B2E" w:rsidRPr="00B86BE6">
        <w:rPr>
          <w:rFonts w:eastAsia="ＭＳ 明朝" w:cs="Verdana"/>
        </w:rPr>
        <w:t xml:space="preserve"> from a Queens vantage point. </w:t>
      </w:r>
    </w:p>
    <w:p w:rsidR="00676304" w:rsidRPr="00B86BE6" w:rsidRDefault="005732C0" w:rsidP="00834965">
      <w:pPr>
        <w:widowControl w:val="0"/>
        <w:autoSpaceDE w:val="0"/>
        <w:autoSpaceDN w:val="0"/>
        <w:adjustRightInd w:val="0"/>
        <w:spacing w:after="200"/>
        <w:ind w:right="100" w:firstLine="720"/>
      </w:pPr>
      <w:r w:rsidRPr="00B86BE6">
        <w:t xml:space="preserve">Helping people feel committed and comfortable enough to be socially engaged with their community and beyond is the </w:t>
      </w:r>
      <w:r w:rsidR="00522E1E" w:rsidRPr="00B86BE6">
        <w:t>overarching goal</w:t>
      </w:r>
      <w:r w:rsidR="00E50990" w:rsidRPr="00B86BE6">
        <w:t xml:space="preserve">, whether the activities </w:t>
      </w:r>
      <w:r w:rsidR="007C42F6" w:rsidRPr="00B86BE6">
        <w:t>take place</w:t>
      </w:r>
      <w:r w:rsidR="00E373E6" w:rsidRPr="00B86BE6">
        <w:t xml:space="preserve"> </w:t>
      </w:r>
      <w:r w:rsidRPr="00B86BE6">
        <w:t xml:space="preserve">inside the museum or out. </w:t>
      </w:r>
      <w:r w:rsidR="0075134C" w:rsidRPr="00B86BE6">
        <w:t>Participating in cultural practices makes people feel more creative, a great</w:t>
      </w:r>
      <w:r w:rsidR="00451D4B" w:rsidRPr="00B86BE6">
        <w:t>er sense of leadership and self-</w:t>
      </w:r>
      <w:r w:rsidR="0075134C" w:rsidRPr="00B86BE6">
        <w:t xml:space="preserve">confidence, and a lot more connected to life in New York and the world. </w:t>
      </w:r>
      <w:r w:rsidR="00095087" w:rsidRPr="00B86BE6">
        <w:rPr>
          <w:rFonts w:eastAsia="ＭＳ 明朝" w:cs="Verdana"/>
        </w:rPr>
        <w:t xml:space="preserve">We try to </w:t>
      </w:r>
      <w:r w:rsidR="00095087" w:rsidRPr="00B86BE6">
        <w:t xml:space="preserve">ease people’s access to “weird things,” said Organizer Serrano, </w:t>
      </w:r>
      <w:r w:rsidR="00834965" w:rsidRPr="00B86BE6">
        <w:t>“</w:t>
      </w:r>
      <w:r w:rsidR="00095087" w:rsidRPr="00B86BE6">
        <w:t>so if there is an out-there dance performance, it is paired with music that reminds people of home right away.  At a festival,</w:t>
      </w:r>
      <w:r w:rsidR="00834965" w:rsidRPr="00B86BE6">
        <w:t xml:space="preserve"> there is a tent where artists </w:t>
      </w:r>
      <w:r w:rsidR="00095087" w:rsidRPr="00B86BE6">
        <w:t>are doing something cool</w:t>
      </w:r>
      <w:r w:rsidR="00A40BB9" w:rsidRPr="00B86BE6">
        <w:t>,</w:t>
      </w:r>
      <w:r w:rsidR="00095087" w:rsidRPr="00B86BE6">
        <w:t xml:space="preserve"> but you also recognize where you are. We use familiarity as a bridge to get people in and then expose them to artwork too.” </w:t>
      </w:r>
    </w:p>
    <w:p w:rsidR="009851B4" w:rsidRPr="00B86BE6" w:rsidRDefault="00676304" w:rsidP="00834965">
      <w:pPr>
        <w:widowControl w:val="0"/>
        <w:autoSpaceDE w:val="0"/>
        <w:autoSpaceDN w:val="0"/>
        <w:adjustRightInd w:val="0"/>
        <w:spacing w:after="200"/>
        <w:ind w:right="100" w:firstLine="720"/>
      </w:pPr>
      <w:r w:rsidRPr="00B86BE6">
        <w:t>B</w:t>
      </w:r>
      <w:r w:rsidR="00E50990" w:rsidRPr="00B86BE6">
        <w:t>ecause the museum</w:t>
      </w:r>
      <w:r w:rsidRPr="00B86BE6">
        <w:t xml:space="preserve">’s policy is to open </w:t>
      </w:r>
      <w:r w:rsidR="00E50990" w:rsidRPr="00B86BE6">
        <w:t>its doors to any group that asks, different</w:t>
      </w:r>
      <w:r w:rsidR="00834965" w:rsidRPr="00B86BE6">
        <w:t xml:space="preserve"> kinds of</w:t>
      </w:r>
      <w:r w:rsidR="005634DB" w:rsidRPr="00B86BE6">
        <w:t xml:space="preserve"> </w:t>
      </w:r>
      <w:r w:rsidR="0003512F" w:rsidRPr="00B86BE6">
        <w:t>people run into each other</w:t>
      </w:r>
      <w:r w:rsidR="00E50990" w:rsidRPr="00B86BE6">
        <w:t xml:space="preserve">. </w:t>
      </w:r>
      <w:r w:rsidR="007C42F6" w:rsidRPr="00B86BE6">
        <w:t xml:space="preserve">When people attending </w:t>
      </w:r>
      <w:r w:rsidR="0075134C" w:rsidRPr="00B86BE6">
        <w:t>the monthly</w:t>
      </w:r>
      <w:r w:rsidR="007C42F6" w:rsidRPr="00B86BE6">
        <w:t xml:space="preserve"> LGBT</w:t>
      </w:r>
      <w:r w:rsidR="0006562B" w:rsidRPr="00B86BE6">
        <w:t>Q</w:t>
      </w:r>
      <w:r w:rsidR="0075134C" w:rsidRPr="00B86BE6">
        <w:t xml:space="preserve"> film series </w:t>
      </w:r>
      <w:r w:rsidR="00020B2E" w:rsidRPr="00B86BE6">
        <w:t>and the proud Taiwanese parent</w:t>
      </w:r>
      <w:r w:rsidR="00522E1E" w:rsidRPr="00B86BE6">
        <w:t xml:space="preserve"> attending </w:t>
      </w:r>
      <w:r w:rsidR="00020B2E" w:rsidRPr="00B86BE6">
        <w:t xml:space="preserve">her child’s </w:t>
      </w:r>
      <w:r w:rsidR="0075134C" w:rsidRPr="00B86BE6">
        <w:t>dance recital</w:t>
      </w:r>
      <w:r w:rsidR="00020B2E" w:rsidRPr="00B86BE6">
        <w:t xml:space="preserve"> bump into each other</w:t>
      </w:r>
      <w:r w:rsidR="007C42F6" w:rsidRPr="00B86BE6">
        <w:t xml:space="preserve"> in the bathroom, </w:t>
      </w:r>
      <w:r w:rsidR="00522E1E" w:rsidRPr="00B86BE6">
        <w:t xml:space="preserve">“it is </w:t>
      </w:r>
      <w:r w:rsidR="0075134C" w:rsidRPr="00B86BE6">
        <w:t xml:space="preserve">like a little kiss,” said Iwasaki.  The </w:t>
      </w:r>
      <w:r w:rsidR="00522E1E" w:rsidRPr="00B86BE6">
        <w:t>encounter plants the seeds of tr</w:t>
      </w:r>
      <w:r w:rsidR="00451D4B" w:rsidRPr="00B86BE6">
        <w:t xml:space="preserve">ansformation.  </w:t>
      </w:r>
      <w:r w:rsidR="0075134C" w:rsidRPr="00B86BE6">
        <w:t>“</w:t>
      </w:r>
      <w:r w:rsidR="00A72EF2" w:rsidRPr="00B86BE6">
        <w:t>We</w:t>
      </w:r>
      <w:r w:rsidR="0075134C" w:rsidRPr="00B86BE6">
        <w:t xml:space="preserve"> have a Tower o</w:t>
      </w:r>
      <w:r w:rsidR="0006562B" w:rsidRPr="00B86BE6">
        <w:t xml:space="preserve">f Babel problem,” said Tom </w:t>
      </w:r>
      <w:r w:rsidR="0075134C" w:rsidRPr="00B86BE6">
        <w:t xml:space="preserve">Finkelpearl. “When people from different groups are in the same audience, it doesn’t mean they </w:t>
      </w:r>
      <w:r w:rsidR="007C42F6" w:rsidRPr="00B86BE6">
        <w:t xml:space="preserve">can speak to each other. We have to </w:t>
      </w:r>
      <w:r w:rsidR="0075134C" w:rsidRPr="00B86BE6">
        <w:t>proactively facilitate the translation</w:t>
      </w:r>
      <w:r w:rsidR="00E50990" w:rsidRPr="00B86BE6">
        <w:t xml:space="preserve">.” </w:t>
      </w:r>
      <w:r w:rsidR="00834965" w:rsidRPr="00B86BE6">
        <w:t>J</w:t>
      </w:r>
      <w:r w:rsidR="007C42F6" w:rsidRPr="00B86BE6">
        <w:t>ust as libraries have users who</w:t>
      </w:r>
      <w:r w:rsidR="00E50990" w:rsidRPr="00B86BE6">
        <w:t xml:space="preserve"> come into</w:t>
      </w:r>
      <w:r w:rsidR="007C42F6" w:rsidRPr="00B86BE6">
        <w:t xml:space="preserve"> find resources and make connections,</w:t>
      </w:r>
      <w:r w:rsidR="0075134C" w:rsidRPr="00B86BE6">
        <w:t xml:space="preserve"> museums should too</w:t>
      </w:r>
      <w:r w:rsidR="007C42F6" w:rsidRPr="00B86BE6">
        <w:t xml:space="preserve">. In fact, the renovated </w:t>
      </w:r>
      <w:r w:rsidR="00FC37B0" w:rsidRPr="00B86BE6">
        <w:t xml:space="preserve">building will house a branch of the Queens Public Library. </w:t>
      </w:r>
    </w:p>
    <w:p w:rsidR="00E26BF9" w:rsidRPr="00B86BE6" w:rsidRDefault="00834965" w:rsidP="003C3706">
      <w:pPr>
        <w:ind w:firstLine="720"/>
      </w:pPr>
      <w:r w:rsidRPr="00B86BE6">
        <w:t xml:space="preserve">Staff </w:t>
      </w:r>
      <w:r w:rsidR="00A40BB9" w:rsidRPr="00B86BE6">
        <w:t xml:space="preserve">members </w:t>
      </w:r>
      <w:r w:rsidRPr="00B86BE6">
        <w:t xml:space="preserve">see themselves as </w:t>
      </w:r>
      <w:r w:rsidR="007C42F6" w:rsidRPr="00B86BE6">
        <w:t xml:space="preserve">creating citizens who are active in </w:t>
      </w:r>
      <w:r w:rsidRPr="00B86BE6">
        <w:t xml:space="preserve">their </w:t>
      </w:r>
      <w:r w:rsidR="00FC37B0" w:rsidRPr="00B86BE6">
        <w:t xml:space="preserve">local neighborhoods </w:t>
      </w:r>
      <w:r w:rsidR="00FC37B0" w:rsidRPr="00B86BE6">
        <w:rPr>
          <w:b/>
        </w:rPr>
        <w:t xml:space="preserve">and </w:t>
      </w:r>
      <w:r w:rsidR="007C42F6" w:rsidRPr="00B86BE6">
        <w:t xml:space="preserve">their </w:t>
      </w:r>
      <w:r w:rsidR="00FC37B0" w:rsidRPr="00B86BE6">
        <w:t xml:space="preserve">communities back home. </w:t>
      </w:r>
      <w:r w:rsidR="00020B2E" w:rsidRPr="00B86BE6">
        <w:t xml:space="preserve">Just as the sea was part of the every </w:t>
      </w:r>
      <w:r w:rsidR="009346B7" w:rsidRPr="00B86BE6">
        <w:t>day lives of Salem’s residents, they recognize that traveling back and forth is secon</w:t>
      </w:r>
      <w:r w:rsidR="005634DB" w:rsidRPr="00B86BE6">
        <w:t>d</w:t>
      </w:r>
      <w:r w:rsidR="009346B7" w:rsidRPr="00B86BE6">
        <w:t xml:space="preserve"> nature to many immigrants. </w:t>
      </w:r>
      <w:r w:rsidR="007C42F6" w:rsidRPr="00B86BE6">
        <w:t xml:space="preserve">Just take the case of Ecuador. </w:t>
      </w:r>
      <w:r w:rsidR="00FC37B0" w:rsidRPr="00B86BE6">
        <w:t>In 2009, the</w:t>
      </w:r>
      <w:r w:rsidR="007C42F6" w:rsidRPr="00B86BE6">
        <w:t xml:space="preserve"> Ecuadoran Ministry of Culture</w:t>
      </w:r>
      <w:r w:rsidR="00E50990" w:rsidRPr="00B86BE6">
        <w:t xml:space="preserve"> hired someone</w:t>
      </w:r>
      <w:r w:rsidR="00D00972" w:rsidRPr="00B86BE6">
        <w:t xml:space="preserve"> to map its e</w:t>
      </w:r>
      <w:r w:rsidR="007C42F6" w:rsidRPr="00B86BE6">
        <w:t>migrant community</w:t>
      </w:r>
      <w:r w:rsidR="0006562B" w:rsidRPr="00B86BE6">
        <w:t xml:space="preserve"> in New York who approached staff for help, </w:t>
      </w:r>
      <w:r w:rsidR="00D00972" w:rsidRPr="00B86BE6">
        <w:t>k</w:t>
      </w:r>
      <w:r w:rsidR="0003512F" w:rsidRPr="00B86BE6">
        <w:t>nowing of th</w:t>
      </w:r>
      <w:r w:rsidR="0006562B" w:rsidRPr="00B86BE6">
        <w:t>e Museum’s strong community connections</w:t>
      </w:r>
      <w:r w:rsidR="0003512F" w:rsidRPr="00B86BE6">
        <w:t xml:space="preserve">. </w:t>
      </w:r>
      <w:r w:rsidR="00BD7155" w:rsidRPr="00B86BE6">
        <w:t xml:space="preserve">Thus began a series of artistic and curatorial exchanges between </w:t>
      </w:r>
      <w:r w:rsidR="00E50990" w:rsidRPr="00B86BE6">
        <w:t xml:space="preserve">Queens and </w:t>
      </w:r>
      <w:r w:rsidR="009346B7" w:rsidRPr="00B86BE6">
        <w:t xml:space="preserve">Ecuador.  To serve more diverse audiences you need </w:t>
      </w:r>
      <w:r w:rsidR="00E50990" w:rsidRPr="00B86BE6">
        <w:t xml:space="preserve">more diverse curators, </w:t>
      </w:r>
      <w:r w:rsidR="00D00972" w:rsidRPr="00B86BE6">
        <w:t>so two curatorial fellows co</w:t>
      </w:r>
      <w:r w:rsidR="00BD7155" w:rsidRPr="00B86BE6">
        <w:t>me</w:t>
      </w:r>
      <w:r w:rsidR="003C3706" w:rsidRPr="00B86BE6">
        <w:t xml:space="preserve"> from Ecuador</w:t>
      </w:r>
      <w:r w:rsidR="0003512F" w:rsidRPr="00B86BE6">
        <w:t xml:space="preserve"> each year</w:t>
      </w:r>
      <w:r w:rsidR="00BD7155" w:rsidRPr="00B86BE6">
        <w:t xml:space="preserve"> to wor</w:t>
      </w:r>
      <w:r w:rsidR="003C3706" w:rsidRPr="00B86BE6">
        <w:t xml:space="preserve">k at the museum.  Even </w:t>
      </w:r>
      <w:r w:rsidR="007C42F6" w:rsidRPr="00B86BE6">
        <w:t xml:space="preserve">artwork </w:t>
      </w:r>
      <w:r w:rsidR="009C58F0" w:rsidRPr="00B86BE6">
        <w:t>crosse</w:t>
      </w:r>
      <w:r w:rsidR="007C42F6" w:rsidRPr="00B86BE6">
        <w:t xml:space="preserve">s borders. One of the first </w:t>
      </w:r>
      <w:r w:rsidR="009C58F0" w:rsidRPr="00B86BE6">
        <w:t xml:space="preserve">instillations the Museum </w:t>
      </w:r>
      <w:r w:rsidR="007C42F6" w:rsidRPr="00B86BE6">
        <w:t>supported was</w:t>
      </w:r>
      <w:r w:rsidR="003C3706" w:rsidRPr="00B86BE6">
        <w:t xml:space="preserve"> </w:t>
      </w:r>
      <w:r w:rsidRPr="00B86BE6">
        <w:t xml:space="preserve">by an </w:t>
      </w:r>
      <w:r w:rsidR="003C3706" w:rsidRPr="00B86BE6">
        <w:t xml:space="preserve">Ecuadoran artist living in New York </w:t>
      </w:r>
      <w:r w:rsidR="0003512F" w:rsidRPr="00B86BE6">
        <w:t xml:space="preserve">who created a piece </w:t>
      </w:r>
      <w:r w:rsidR="00D00972" w:rsidRPr="00B86BE6">
        <w:t xml:space="preserve">with the truck </w:t>
      </w:r>
      <w:r w:rsidR="009C58F0" w:rsidRPr="00B86BE6">
        <w:t>drivers who park</w:t>
      </w:r>
      <w:r w:rsidRPr="00B86BE6">
        <w:t xml:space="preserve"> </w:t>
      </w:r>
      <w:r w:rsidR="00D00972" w:rsidRPr="00B86BE6">
        <w:t xml:space="preserve">their moving vans </w:t>
      </w:r>
      <w:r w:rsidRPr="00B86BE6">
        <w:t>nearby</w:t>
      </w:r>
      <w:r w:rsidR="003C3706" w:rsidRPr="00B86BE6">
        <w:t xml:space="preserve">. </w:t>
      </w:r>
      <w:r w:rsidR="009C58F0" w:rsidRPr="00B86BE6">
        <w:t>Since many are undocumented and cannot visit their families, she</w:t>
      </w:r>
      <w:r w:rsidR="007C42F6" w:rsidRPr="00B86BE6">
        <w:t xml:space="preserve"> </w:t>
      </w:r>
      <w:r w:rsidR="003C3706" w:rsidRPr="00B86BE6">
        <w:t xml:space="preserve">helped </w:t>
      </w:r>
      <w:r w:rsidR="009346B7" w:rsidRPr="00B86BE6">
        <w:t xml:space="preserve">them </w:t>
      </w:r>
      <w:r w:rsidR="00D00972" w:rsidRPr="00B86BE6">
        <w:t>write “</w:t>
      </w:r>
      <w:r w:rsidR="007C42F6" w:rsidRPr="00B86BE6">
        <w:t>video letters</w:t>
      </w:r>
      <w:r w:rsidR="00D00972" w:rsidRPr="00B86BE6">
        <w:t>”</w:t>
      </w:r>
      <w:r w:rsidR="007C42F6" w:rsidRPr="00B86BE6">
        <w:t xml:space="preserve"> to</w:t>
      </w:r>
      <w:r w:rsidR="009346B7" w:rsidRPr="00B86BE6">
        <w:t xml:space="preserve"> send back home</w:t>
      </w:r>
      <w:r w:rsidR="009C58F0" w:rsidRPr="00B86BE6">
        <w:t>,</w:t>
      </w:r>
      <w:r w:rsidRPr="00B86BE6">
        <w:t xml:space="preserve"> which the Museum then showed</w:t>
      </w:r>
      <w:r w:rsidR="009C58F0" w:rsidRPr="00B86BE6">
        <w:t xml:space="preserve"> in public screenings. </w:t>
      </w:r>
      <w:r w:rsidR="0002272A" w:rsidRPr="00B86BE6">
        <w:t xml:space="preserve">“I always joke,” said Prerana Reddy, Director of Public Programs, </w:t>
      </w:r>
      <w:r w:rsidR="00EA3255" w:rsidRPr="00B86BE6">
        <w:t>“</w:t>
      </w:r>
      <w:r w:rsidR="0002272A" w:rsidRPr="00B86BE6">
        <w:t xml:space="preserve">that there might be more people in Ecuador who know about this museum than there are in Brooklyn.” </w:t>
      </w:r>
    </w:p>
    <w:p w:rsidR="0002272A" w:rsidRPr="00B86BE6" w:rsidRDefault="0002272A" w:rsidP="0002272A"/>
    <w:p w:rsidR="009851B4" w:rsidRPr="00B86BE6" w:rsidRDefault="002F5BDA" w:rsidP="0002272A">
      <w:pPr>
        <w:ind w:firstLine="720"/>
      </w:pPr>
      <w:r w:rsidRPr="00B86BE6">
        <w:t>People’s</w:t>
      </w:r>
      <w:r w:rsidR="0002272A" w:rsidRPr="00B86BE6">
        <w:t xml:space="preserve"> </w:t>
      </w:r>
      <w:r w:rsidRPr="00B86BE6">
        <w:t>involvement</w:t>
      </w:r>
      <w:r w:rsidR="0002272A" w:rsidRPr="00B86BE6">
        <w:t xml:space="preserve"> in the places where they live and </w:t>
      </w:r>
      <w:r w:rsidRPr="00B86BE6">
        <w:t>in those from where they come</w:t>
      </w:r>
      <w:r w:rsidR="0002272A" w:rsidRPr="00B86BE6">
        <w:t xml:space="preserve"> is definitely not a zero sum game. “</w:t>
      </w:r>
      <w:r w:rsidR="00E26BF9" w:rsidRPr="00B86BE6">
        <w:t xml:space="preserve">We can’t just wait for cultural change to happen,” said Reddy.  </w:t>
      </w:r>
      <w:r w:rsidRPr="00B86BE6">
        <w:t>“</w:t>
      </w:r>
      <w:r w:rsidR="00E26BF9" w:rsidRPr="00B86BE6">
        <w:t>We have to actively combat the idea of assimilation or that the only way is either/or, or</w:t>
      </w:r>
      <w:r w:rsidRPr="00B86BE6">
        <w:t xml:space="preserve"> that</w:t>
      </w:r>
      <w:r w:rsidR="00E26BF9" w:rsidRPr="00B86BE6">
        <w:t xml:space="preserve"> if you don’t speak English, you are not a loyal American…</w:t>
      </w:r>
      <w:r w:rsidR="009C58F0" w:rsidRPr="00B86BE6">
        <w:t xml:space="preserve">The world is </w:t>
      </w:r>
      <w:r w:rsidR="00E26BF9" w:rsidRPr="00B86BE6">
        <w:t xml:space="preserve">a </w:t>
      </w:r>
      <w:r w:rsidR="009C58F0" w:rsidRPr="00B86BE6">
        <w:t>much more complicated place</w:t>
      </w:r>
      <w:r w:rsidR="00E26BF9" w:rsidRPr="00B86BE6">
        <w:t xml:space="preserve">. We are at the limits of what a </w:t>
      </w:r>
      <w:r w:rsidR="009C58F0" w:rsidRPr="00B86BE6">
        <w:t xml:space="preserve">250 year old idea of liberal democracy </w:t>
      </w:r>
      <w:r w:rsidR="00E26BF9" w:rsidRPr="00B86BE6">
        <w:t>looks like</w:t>
      </w:r>
      <w:r w:rsidRPr="00B86BE6">
        <w:t>,</w:t>
      </w:r>
      <w:r w:rsidR="00E26BF9" w:rsidRPr="00B86BE6">
        <w:t xml:space="preserve"> and</w:t>
      </w:r>
      <w:r w:rsidR="009C58F0" w:rsidRPr="00B86BE6">
        <w:t xml:space="preserve"> I don’t know what is </w:t>
      </w:r>
      <w:r w:rsidR="00E26BF9" w:rsidRPr="00B86BE6">
        <w:t xml:space="preserve">coming in the future. </w:t>
      </w:r>
      <w:r w:rsidR="009C58F0" w:rsidRPr="00B86BE6">
        <w:t>Ba</w:t>
      </w:r>
      <w:r w:rsidR="00E26BF9" w:rsidRPr="00B86BE6">
        <w:t>sically globalization means that money and companies can move freely</w:t>
      </w:r>
      <w:r w:rsidRPr="00B86BE6">
        <w:t>,</w:t>
      </w:r>
      <w:r w:rsidR="00E26BF9" w:rsidRPr="00B86BE6">
        <w:t xml:space="preserve"> but we have not accepted that people can too.” Queens, said Serrano, </w:t>
      </w:r>
      <w:r w:rsidR="009851B4" w:rsidRPr="00B86BE6">
        <w:t>represents the whole world we live</w:t>
      </w:r>
      <w:r w:rsidR="00E26BF9" w:rsidRPr="00B86BE6">
        <w:t xml:space="preserve"> in.  </w:t>
      </w:r>
      <w:r w:rsidR="003C3706" w:rsidRPr="00B86BE6">
        <w:t>“</w:t>
      </w:r>
      <w:r w:rsidR="00E26BF9" w:rsidRPr="00B86BE6">
        <w:t xml:space="preserve">There is a constant dialogue between here and home. We do not have an agenda for </w:t>
      </w:r>
      <w:r w:rsidR="006D4135" w:rsidRPr="00B86BE6">
        <w:t>political engagement in a strict, narrow sense</w:t>
      </w:r>
      <w:r w:rsidR="005461C6" w:rsidRPr="00B86BE6">
        <w:t>,</w:t>
      </w:r>
      <w:r w:rsidR="006D4135" w:rsidRPr="00B86BE6">
        <w:t xml:space="preserve"> but more generally</w:t>
      </w:r>
      <w:r w:rsidR="00E26BF9" w:rsidRPr="00B86BE6">
        <w:t xml:space="preserve">, we are about helping people </w:t>
      </w:r>
      <w:r w:rsidR="006D4135" w:rsidRPr="00B86BE6">
        <w:t xml:space="preserve">find their voice in a civil and </w:t>
      </w:r>
      <w:r w:rsidR="00E26BF9" w:rsidRPr="00B86BE6">
        <w:t>international dialogue.  We want to c</w:t>
      </w:r>
      <w:r w:rsidR="009851B4" w:rsidRPr="00B86BE6">
        <w:t xml:space="preserve">reate a more creative and capable user of this </w:t>
      </w:r>
      <w:r w:rsidR="00834965" w:rsidRPr="00B86BE6">
        <w:t>institution and the world.</w:t>
      </w:r>
      <w:r w:rsidR="00E26BF9" w:rsidRPr="00B86BE6">
        <w:t xml:space="preserve">” </w:t>
      </w:r>
    </w:p>
    <w:p w:rsidR="009851B4" w:rsidRPr="00B86BE6" w:rsidRDefault="009851B4" w:rsidP="009851B4"/>
    <w:p w:rsidR="00C859E3" w:rsidRPr="00B86BE6" w:rsidRDefault="006D4135" w:rsidP="0016140F">
      <w:r w:rsidRPr="00B86BE6">
        <w:tab/>
      </w:r>
      <w:r w:rsidR="0002272A" w:rsidRPr="00B86BE6">
        <w:t>The exhibit on display</w:t>
      </w:r>
      <w:r w:rsidR="00F40C05" w:rsidRPr="00B86BE6">
        <w:t xml:space="preserve"> for much of 2012, </w:t>
      </w:r>
      <w:r w:rsidR="0002272A" w:rsidRPr="00B86BE6">
        <w:rPr>
          <w:i/>
        </w:rPr>
        <w:t>Car</w:t>
      </w:r>
      <w:r w:rsidR="007168BD" w:rsidRPr="00B86BE6">
        <w:rPr>
          <w:i/>
        </w:rPr>
        <w:t>ibbean: Crossroads of the World</w:t>
      </w:r>
      <w:r w:rsidR="007168BD" w:rsidRPr="00B86BE6">
        <w:t xml:space="preserve">, grew out of </w:t>
      </w:r>
      <w:r w:rsidR="00886678" w:rsidRPr="00B86BE6">
        <w:t>collaboration</w:t>
      </w:r>
      <w:r w:rsidR="007168BD" w:rsidRPr="00B86BE6">
        <w:t xml:space="preserve"> between the </w:t>
      </w:r>
      <w:r w:rsidR="005461C6" w:rsidRPr="00B86BE6">
        <w:t>Queens Museum, t</w:t>
      </w:r>
      <w:r w:rsidR="0002272A" w:rsidRPr="00B86BE6">
        <w:t>he Studio Museum in Harle</w:t>
      </w:r>
      <w:r w:rsidR="00C859E3" w:rsidRPr="00B86BE6">
        <w:t xml:space="preserve">m, and </w:t>
      </w:r>
      <w:r w:rsidR="00242CC5" w:rsidRPr="00B86BE6">
        <w:t>E</w:t>
      </w:r>
      <w:r w:rsidR="00C859E3" w:rsidRPr="00B86BE6">
        <w:t>l Museo del Barrio, which was the lead institution</w:t>
      </w:r>
      <w:r w:rsidR="0002272A" w:rsidRPr="00B86BE6">
        <w:t xml:space="preserve">. </w:t>
      </w:r>
      <w:r w:rsidR="00BD65BC" w:rsidRPr="00B86BE6">
        <w:t>In esse</w:t>
      </w:r>
      <w:r w:rsidR="003C3706" w:rsidRPr="00B86BE6">
        <w:t>nce, writes Elvis Fuentes, the C</w:t>
      </w:r>
      <w:r w:rsidR="00BD65BC" w:rsidRPr="00B86BE6">
        <w:t>urator, the Caribbean has always been a crossroads. “The sense of trans</w:t>
      </w:r>
      <w:r w:rsidR="00886678" w:rsidRPr="00B86BE6">
        <w:t>-</w:t>
      </w:r>
      <w:r w:rsidR="00BD65BC" w:rsidRPr="00B86BE6">
        <w:t>territoriality, the crossing of roads and boundaries, and the constant movements of people and traditions have led to a blending of beliefs, realities, and aspects that typify many Caribbean aspects.”</w:t>
      </w:r>
      <w:r w:rsidR="00BD65BC" w:rsidRPr="00B86BE6">
        <w:rPr>
          <w:rStyle w:val="EndnoteReference"/>
        </w:rPr>
        <w:endnoteReference w:id="89"/>
      </w:r>
      <w:r w:rsidR="0002272A" w:rsidRPr="00B86BE6">
        <w:t xml:space="preserve"> </w:t>
      </w:r>
      <w:r w:rsidR="00653049" w:rsidRPr="00B86BE6">
        <w:t xml:space="preserve">New York City, </w:t>
      </w:r>
      <w:r w:rsidR="00F40C05" w:rsidRPr="00B86BE6">
        <w:t>staff repeatedly informed me</w:t>
      </w:r>
      <w:r w:rsidR="00653049" w:rsidRPr="00B86BE6">
        <w:t xml:space="preserve">, is the largest Caribbean city in the world. </w:t>
      </w:r>
      <w:r w:rsidR="0016140F" w:rsidRPr="00B86BE6">
        <w:t xml:space="preserve"> Staff </w:t>
      </w:r>
      <w:r w:rsidR="005461C6" w:rsidRPr="00B86BE6">
        <w:t xml:space="preserve">members </w:t>
      </w:r>
      <w:r w:rsidR="0016140F" w:rsidRPr="00B86BE6">
        <w:t xml:space="preserve">see </w:t>
      </w:r>
      <w:r w:rsidR="00F40C05" w:rsidRPr="00B86BE6">
        <w:t xml:space="preserve">the confluence and mixing of cultures that is the </w:t>
      </w:r>
      <w:r w:rsidR="007168BD" w:rsidRPr="00B86BE6">
        <w:t xml:space="preserve">Caribbean as the </w:t>
      </w:r>
      <w:r w:rsidR="00C859E3" w:rsidRPr="00B86BE6">
        <w:t xml:space="preserve">historical double of Queens, and </w:t>
      </w:r>
      <w:r w:rsidR="007168BD" w:rsidRPr="00B86BE6">
        <w:t xml:space="preserve">what the </w:t>
      </w:r>
      <w:r w:rsidR="00C859E3" w:rsidRPr="00B86BE6">
        <w:t xml:space="preserve">rest of the </w:t>
      </w:r>
      <w:r w:rsidR="007168BD" w:rsidRPr="00B86BE6">
        <w:t>world</w:t>
      </w:r>
      <w:r w:rsidR="009346B7" w:rsidRPr="00B86BE6">
        <w:t xml:space="preserve"> is fast becoming</w:t>
      </w:r>
      <w:r w:rsidR="00C859E3" w:rsidRPr="00B86BE6">
        <w:t>.</w:t>
      </w:r>
      <w:r w:rsidR="005634DB" w:rsidRPr="00B86BE6">
        <w:rPr>
          <w:rStyle w:val="EndnoteReference"/>
        </w:rPr>
        <w:t xml:space="preserve"> </w:t>
      </w:r>
      <w:r w:rsidR="005634DB" w:rsidRPr="00B86BE6">
        <w:rPr>
          <w:rStyle w:val="EndnoteReference"/>
        </w:rPr>
        <w:endnoteReference w:id="90"/>
      </w:r>
      <w:r w:rsidR="005634DB" w:rsidRPr="00B86BE6">
        <w:t xml:space="preserve"> </w:t>
      </w:r>
    </w:p>
    <w:p w:rsidR="00C859E3" w:rsidRPr="00B86BE6" w:rsidRDefault="00C859E3" w:rsidP="0016140F"/>
    <w:p w:rsidR="00FA3AC3" w:rsidRPr="00B86BE6" w:rsidRDefault="003C3706" w:rsidP="00C859E3">
      <w:pPr>
        <w:ind w:firstLine="720"/>
      </w:pPr>
      <w:r w:rsidRPr="00B86BE6">
        <w:t>For El Museo del Barrio, the</w:t>
      </w:r>
      <w:r w:rsidR="0016140F" w:rsidRPr="00B86BE6">
        <w:t xml:space="preserve"> </w:t>
      </w:r>
      <w:r w:rsidR="00F40C05" w:rsidRPr="00B86BE6">
        <w:t>cultural convergence</w:t>
      </w:r>
      <w:r w:rsidR="0016140F" w:rsidRPr="00B86BE6">
        <w:t xml:space="preserve"> exemplified by the region is a</w:t>
      </w:r>
      <w:r w:rsidR="00C859E3" w:rsidRPr="00B86BE6">
        <w:t>lso a</w:t>
      </w:r>
      <w:r w:rsidR="0016140F" w:rsidRPr="00B86BE6">
        <w:t xml:space="preserve"> metaphor for </w:t>
      </w:r>
      <w:r w:rsidR="009346B7" w:rsidRPr="00B86BE6">
        <w:t xml:space="preserve">its </w:t>
      </w:r>
      <w:r w:rsidR="0016140F" w:rsidRPr="00B86BE6">
        <w:t xml:space="preserve">institutional journey. </w:t>
      </w:r>
      <w:r w:rsidR="007168BD" w:rsidRPr="00B86BE6">
        <w:rPr>
          <w:lang w:val="es-ES"/>
        </w:rPr>
        <w:t>Raphael Montañez Ortiz created El Museo in 1969 to celeb</w:t>
      </w:r>
      <w:r w:rsidR="00752A1D" w:rsidRPr="00B86BE6">
        <w:rPr>
          <w:lang w:val="es-ES"/>
        </w:rPr>
        <w:t>rate the Puer</w:t>
      </w:r>
      <w:r w:rsidR="00F40C05" w:rsidRPr="00B86BE6">
        <w:rPr>
          <w:lang w:val="es-ES"/>
        </w:rPr>
        <w:t xml:space="preserve">to Rican diáspora and to fill what he saw as a </w:t>
      </w:r>
      <w:r w:rsidR="00752A1D" w:rsidRPr="00B86BE6">
        <w:rPr>
          <w:lang w:val="es-ES"/>
        </w:rPr>
        <w:t xml:space="preserve">gaping cultural hole. </w:t>
      </w:r>
      <w:r w:rsidR="007168BD" w:rsidRPr="00B86BE6">
        <w:t>“The cultural disenfranchisement I experience as a Puerto Rican,” he wrote</w:t>
      </w:r>
      <w:r w:rsidR="00752A1D" w:rsidRPr="00B86BE6">
        <w:t>,</w:t>
      </w:r>
      <w:r w:rsidR="007168BD" w:rsidRPr="00B86BE6">
        <w:t xml:space="preserve"> </w:t>
      </w:r>
      <w:r w:rsidR="00752A1D" w:rsidRPr="00B86BE6">
        <w:t>“</w:t>
      </w:r>
      <w:r w:rsidR="007168BD" w:rsidRPr="00B86BE6">
        <w:t>has prompted me to seek a practical alternative to the orthodox museum, which fails to meet my needs for</w:t>
      </w:r>
      <w:r w:rsidR="00746D84" w:rsidRPr="00B86BE6">
        <w:t xml:space="preserve"> an authentic ethnic experience</w:t>
      </w:r>
      <w:r w:rsidR="0016140F" w:rsidRPr="00B86BE6">
        <w:t>.</w:t>
      </w:r>
      <w:r w:rsidR="007168BD" w:rsidRPr="00B86BE6">
        <w:t>”</w:t>
      </w:r>
      <w:r w:rsidR="0016140F" w:rsidRPr="00B86BE6">
        <w:rPr>
          <w:rStyle w:val="EndnoteReference"/>
        </w:rPr>
        <w:endnoteReference w:id="91"/>
      </w:r>
      <w:r w:rsidR="007168BD" w:rsidRPr="00B86BE6">
        <w:t xml:space="preserve"> </w:t>
      </w:r>
      <w:r w:rsidR="00FA3AC3" w:rsidRPr="00B86BE6">
        <w:t>The</w:t>
      </w:r>
      <w:r w:rsidR="0016140F" w:rsidRPr="00B86BE6">
        <w:t xml:space="preserve"> Studio Museum</w:t>
      </w:r>
      <w:r w:rsidR="0006562B" w:rsidRPr="00B86BE6">
        <w:t xml:space="preserve"> of Harlem</w:t>
      </w:r>
      <w:r w:rsidR="0016140F" w:rsidRPr="00B86BE6">
        <w:t xml:space="preserve"> had just </w:t>
      </w:r>
      <w:r w:rsidR="00D00972" w:rsidRPr="00B86BE6">
        <w:t xml:space="preserve">created </w:t>
      </w:r>
      <w:r w:rsidR="0016140F" w:rsidRPr="00B86BE6">
        <w:t xml:space="preserve">educational materials for African American students </w:t>
      </w:r>
      <w:r w:rsidR="009346B7" w:rsidRPr="00B86BE6">
        <w:t xml:space="preserve">for the </w:t>
      </w:r>
      <w:r w:rsidR="00746D84" w:rsidRPr="00B86BE6">
        <w:t xml:space="preserve">New </w:t>
      </w:r>
      <w:r w:rsidR="00827022" w:rsidRPr="00B86BE6">
        <w:t>York City Board of Education</w:t>
      </w:r>
      <w:r w:rsidR="00746D84" w:rsidRPr="00B86BE6">
        <w:t xml:space="preserve">. When the Board asked </w:t>
      </w:r>
      <w:r w:rsidR="0016140F" w:rsidRPr="00B86BE6">
        <w:t xml:space="preserve">artist and teacher Ortiz </w:t>
      </w:r>
      <w:r w:rsidR="00746D84" w:rsidRPr="00B86BE6">
        <w:t xml:space="preserve">to </w:t>
      </w:r>
      <w:r w:rsidR="00C859E3" w:rsidRPr="00B86BE6">
        <w:t xml:space="preserve">do the same for </w:t>
      </w:r>
      <w:r w:rsidR="0006562B" w:rsidRPr="00B86BE6">
        <w:t xml:space="preserve">the </w:t>
      </w:r>
      <w:r w:rsidR="00746D84" w:rsidRPr="00B86BE6">
        <w:t>Puerto Rican</w:t>
      </w:r>
      <w:r w:rsidR="0006562B" w:rsidRPr="00B86BE6">
        <w:t xml:space="preserve"> community</w:t>
      </w:r>
      <w:r w:rsidR="00746D84" w:rsidRPr="00B86BE6">
        <w:t xml:space="preserve">, he proposed </w:t>
      </w:r>
      <w:r w:rsidR="00D00972" w:rsidRPr="00B86BE6">
        <w:t xml:space="preserve">creating </w:t>
      </w:r>
      <w:r w:rsidR="00C859E3" w:rsidRPr="00B86BE6">
        <w:t xml:space="preserve">a </w:t>
      </w:r>
      <w:r w:rsidR="00746D84" w:rsidRPr="00B86BE6">
        <w:t xml:space="preserve">museum instead. According to </w:t>
      </w:r>
      <w:r w:rsidR="005F6017" w:rsidRPr="00B86BE6">
        <w:t>Deborah Cullen, former Chief Curator, “</w:t>
      </w:r>
      <w:r w:rsidR="00746D84" w:rsidRPr="00B86BE6">
        <w:t xml:space="preserve">It </w:t>
      </w:r>
      <w:r w:rsidR="00FA3AC3" w:rsidRPr="00B86BE6">
        <w:t>started in a classroom</w:t>
      </w:r>
      <w:r w:rsidR="00242CC5" w:rsidRPr="00B86BE6">
        <w:t>,</w:t>
      </w:r>
      <w:r w:rsidR="00FA3AC3" w:rsidRPr="00B86BE6">
        <w:t xml:space="preserve"> actually</w:t>
      </w:r>
      <w:r w:rsidR="00746D84" w:rsidRPr="00B86BE6">
        <w:t xml:space="preserve">. He </w:t>
      </w:r>
      <w:r w:rsidR="00FA3AC3" w:rsidRPr="00B86BE6">
        <w:t>collected a box of materials on a trip to Puerto Rico and sort of dragged it around.</w:t>
      </w:r>
      <w:r w:rsidR="00827022" w:rsidRPr="00B86BE6">
        <w:t>”</w:t>
      </w:r>
      <w:r w:rsidR="00746D84" w:rsidRPr="00B86BE6">
        <w:t xml:space="preserve"> </w:t>
      </w:r>
    </w:p>
    <w:p w:rsidR="005F6017" w:rsidRPr="00B86BE6" w:rsidRDefault="005F6017" w:rsidP="007168BD">
      <w:pPr>
        <w:ind w:firstLine="720"/>
      </w:pPr>
    </w:p>
    <w:p w:rsidR="003C3706" w:rsidRPr="00B86BE6" w:rsidRDefault="003C3706" w:rsidP="00A8011B">
      <w:pPr>
        <w:widowControl w:val="0"/>
        <w:autoSpaceDE w:val="0"/>
        <w:autoSpaceDN w:val="0"/>
        <w:adjustRightInd w:val="0"/>
        <w:ind w:firstLine="720"/>
      </w:pPr>
      <w:r w:rsidRPr="00B86BE6">
        <w:t xml:space="preserve">The Queens Museum and </w:t>
      </w:r>
      <w:r w:rsidR="00752A1D" w:rsidRPr="00B86BE6">
        <w:t xml:space="preserve">El Museo, in fact, have a lot in common. </w:t>
      </w:r>
      <w:r w:rsidRPr="00B86BE6">
        <w:t xml:space="preserve">They </w:t>
      </w:r>
      <w:r w:rsidR="009346B7" w:rsidRPr="00B86BE6">
        <w:t xml:space="preserve">both </w:t>
      </w:r>
      <w:r w:rsidRPr="00B86BE6">
        <w:t>grew o</w:t>
      </w:r>
      <w:r w:rsidR="005A3F2F" w:rsidRPr="00B86BE6">
        <w:t>ut of civil rights struggles of</w:t>
      </w:r>
      <w:r w:rsidR="0016140F" w:rsidRPr="00B86BE6">
        <w:t xml:space="preserve"> </w:t>
      </w:r>
      <w:r w:rsidRPr="00B86BE6">
        <w:t xml:space="preserve">the 1960s and 1970s to </w:t>
      </w:r>
      <w:r w:rsidR="00242CC5" w:rsidRPr="00B86BE6">
        <w:t xml:space="preserve">win </w:t>
      </w:r>
      <w:r w:rsidR="00746D84" w:rsidRPr="00B86BE6">
        <w:t xml:space="preserve">equal access </w:t>
      </w:r>
      <w:r w:rsidR="0006562B" w:rsidRPr="00B86BE6">
        <w:t xml:space="preserve">for people of color to all kinds </w:t>
      </w:r>
      <w:r w:rsidR="00752A1D" w:rsidRPr="00B86BE6">
        <w:t>of institutions</w:t>
      </w:r>
      <w:r w:rsidR="00242CC5" w:rsidRPr="00B86BE6">
        <w:t>,</w:t>
      </w:r>
      <w:r w:rsidRPr="00B86BE6">
        <w:t xml:space="preserve"> including cultural ones.  Their founders </w:t>
      </w:r>
      <w:r w:rsidR="00752A1D" w:rsidRPr="00B86BE6">
        <w:t>felt underrepresented in tradi</w:t>
      </w:r>
      <w:r w:rsidR="00746D84" w:rsidRPr="00B86BE6">
        <w:t xml:space="preserve">tional museums and convinced by </w:t>
      </w:r>
      <w:r w:rsidR="00752A1D" w:rsidRPr="00B86BE6">
        <w:t>art’s tran</w:t>
      </w:r>
      <w:r w:rsidR="00827022" w:rsidRPr="00B86BE6">
        <w:t>sformative power</w:t>
      </w:r>
      <w:r w:rsidR="00653049" w:rsidRPr="00B86BE6">
        <w:t xml:space="preserve">.  </w:t>
      </w:r>
      <w:r w:rsidR="00746D84" w:rsidRPr="00B86BE6">
        <w:t>As the communities they serve</w:t>
      </w:r>
      <w:r w:rsidR="009346B7" w:rsidRPr="00B86BE6">
        <w:t xml:space="preserve"> have grown more diverse, </w:t>
      </w:r>
      <w:r w:rsidR="00653049" w:rsidRPr="00B86BE6">
        <w:t xml:space="preserve">socioeconomically </w:t>
      </w:r>
      <w:r w:rsidR="00827022" w:rsidRPr="00B86BE6">
        <w:t xml:space="preserve">and ethnically, </w:t>
      </w:r>
      <w:r w:rsidR="00746D84" w:rsidRPr="00B86BE6">
        <w:t xml:space="preserve">they </w:t>
      </w:r>
      <w:r w:rsidR="009346B7" w:rsidRPr="00B86BE6">
        <w:t xml:space="preserve">have </w:t>
      </w:r>
      <w:r w:rsidR="00827022" w:rsidRPr="00B86BE6">
        <w:t xml:space="preserve">had to </w:t>
      </w:r>
      <w:r w:rsidR="00746D84" w:rsidRPr="00B86BE6">
        <w:t>reinvent themselves and their relationship to the</w:t>
      </w:r>
      <w:r w:rsidR="00827022" w:rsidRPr="00B86BE6">
        <w:t xml:space="preserve">ir neighbors. </w:t>
      </w:r>
    </w:p>
    <w:p w:rsidR="003C3706" w:rsidRPr="00B86BE6" w:rsidRDefault="003C3706" w:rsidP="00A8011B">
      <w:pPr>
        <w:widowControl w:val="0"/>
        <w:autoSpaceDE w:val="0"/>
        <w:autoSpaceDN w:val="0"/>
        <w:adjustRightInd w:val="0"/>
        <w:ind w:firstLine="720"/>
      </w:pPr>
    </w:p>
    <w:p w:rsidR="0089786E" w:rsidRPr="00B86BE6" w:rsidRDefault="00D00972" w:rsidP="00A8011B">
      <w:pPr>
        <w:widowControl w:val="0"/>
        <w:autoSpaceDE w:val="0"/>
        <w:autoSpaceDN w:val="0"/>
        <w:adjustRightInd w:val="0"/>
        <w:ind w:firstLine="720"/>
      </w:pPr>
      <w:r w:rsidRPr="00B86BE6">
        <w:t>I</w:t>
      </w:r>
      <w:r w:rsidR="002251F5" w:rsidRPr="00B86BE6">
        <w:t>nstitutions</w:t>
      </w:r>
      <w:r w:rsidRPr="00B86BE6">
        <w:t xml:space="preserve"> like </w:t>
      </w:r>
      <w:r w:rsidR="009346B7" w:rsidRPr="00B86BE6">
        <w:t xml:space="preserve">these are </w:t>
      </w:r>
      <w:r w:rsidRPr="00B86BE6">
        <w:t xml:space="preserve">part and parcel of the U.S. diversity </w:t>
      </w:r>
      <w:r w:rsidR="002251F5" w:rsidRPr="00B86BE6">
        <w:t>management</w:t>
      </w:r>
      <w:r w:rsidRPr="00B86BE6">
        <w:t xml:space="preserve"> regime</w:t>
      </w:r>
      <w:r w:rsidR="002251F5" w:rsidRPr="00B86BE6">
        <w:t xml:space="preserve">. </w:t>
      </w:r>
      <w:r w:rsidRPr="00B86BE6">
        <w:t xml:space="preserve">One </w:t>
      </w:r>
      <w:r w:rsidR="0089786E" w:rsidRPr="00B86BE6">
        <w:t xml:space="preserve">way </w:t>
      </w:r>
      <w:r w:rsidR="002251F5" w:rsidRPr="00B86BE6">
        <w:t xml:space="preserve">that </w:t>
      </w:r>
      <w:r w:rsidR="0089786E" w:rsidRPr="00B86BE6">
        <w:t xml:space="preserve">groups take their </w:t>
      </w:r>
      <w:r w:rsidR="002251F5" w:rsidRPr="00B86BE6">
        <w:t>place at th</w:t>
      </w:r>
      <w:r w:rsidR="000F358D" w:rsidRPr="00B86BE6">
        <w:t xml:space="preserve">e multicultural table, and </w:t>
      </w:r>
      <w:r w:rsidRPr="00B86BE6">
        <w:t xml:space="preserve">the broader community is told </w:t>
      </w:r>
      <w:r w:rsidR="000F358D" w:rsidRPr="00B86BE6">
        <w:t xml:space="preserve">they belong </w:t>
      </w:r>
      <w:r w:rsidR="009346B7" w:rsidRPr="00B86BE6">
        <w:t xml:space="preserve">there, is to </w:t>
      </w:r>
      <w:r w:rsidR="000F358D" w:rsidRPr="00B86BE6">
        <w:t xml:space="preserve">set up a culturally </w:t>
      </w:r>
      <w:r w:rsidR="0089786E" w:rsidRPr="00B86BE6">
        <w:t>specific</w:t>
      </w:r>
      <w:r w:rsidR="002251F5" w:rsidRPr="00B86BE6">
        <w:t xml:space="preserve"> institution. These als</w:t>
      </w:r>
      <w:r w:rsidR="0089786E" w:rsidRPr="00B86BE6">
        <w:t xml:space="preserve">o function to right past wrongs, publically acknowledging the discrimination and marginalization </w:t>
      </w:r>
      <w:r w:rsidRPr="00B86BE6">
        <w:t xml:space="preserve">groups have </w:t>
      </w:r>
      <w:r w:rsidR="0089786E" w:rsidRPr="00B86BE6">
        <w:t xml:space="preserve">suffered. </w:t>
      </w:r>
      <w:r w:rsidR="000F358D" w:rsidRPr="00B86BE6">
        <w:t xml:space="preserve"> On the Washington Mall alone, the </w:t>
      </w:r>
      <w:r w:rsidR="0089786E" w:rsidRPr="00B86BE6">
        <w:t xml:space="preserve">National Museum of the American Indian, </w:t>
      </w:r>
      <w:r w:rsidR="000F358D" w:rsidRPr="00B86BE6">
        <w:t xml:space="preserve">The United States Holocaust Memorial Museum, </w:t>
      </w:r>
      <w:r w:rsidR="0089786E" w:rsidRPr="00B86BE6">
        <w:t>the National Museum of Women in the Arts, and the proposed National Museum of African American History and Cul</w:t>
      </w:r>
      <w:r w:rsidRPr="00B86BE6">
        <w:t xml:space="preserve">ture, </w:t>
      </w:r>
      <w:r w:rsidR="009346B7" w:rsidRPr="00B86BE6">
        <w:t xml:space="preserve">scheduled to open in 2015, </w:t>
      </w:r>
      <w:r w:rsidRPr="00B86BE6">
        <w:t xml:space="preserve">reflect this approach. </w:t>
      </w:r>
      <w:r w:rsidR="00C859E3" w:rsidRPr="00B86BE6">
        <w:t>While</w:t>
      </w:r>
      <w:r w:rsidRPr="00B86BE6">
        <w:t xml:space="preserve"> man</w:t>
      </w:r>
      <w:r w:rsidR="000F358D" w:rsidRPr="00B86BE6">
        <w:t xml:space="preserve">y greet these developments as </w:t>
      </w:r>
      <w:r w:rsidRPr="00B86BE6">
        <w:t>major step</w:t>
      </w:r>
      <w:r w:rsidR="000F358D" w:rsidRPr="00B86BE6">
        <w:t>s</w:t>
      </w:r>
      <w:r w:rsidR="009346B7" w:rsidRPr="00B86BE6">
        <w:t xml:space="preserve"> forward </w:t>
      </w:r>
      <w:r w:rsidR="00C859E3" w:rsidRPr="00B86BE6">
        <w:t>others</w:t>
      </w:r>
      <w:r w:rsidR="009346B7" w:rsidRPr="00B86BE6">
        <w:t>,</w:t>
      </w:r>
      <w:r w:rsidR="005221DC" w:rsidRPr="00B86BE6">
        <w:t xml:space="preserve"> much</w:t>
      </w:r>
      <w:r w:rsidR="009346B7" w:rsidRPr="00B86BE6">
        <w:t xml:space="preserve"> like the Swedes and Danes,</w:t>
      </w:r>
      <w:r w:rsidR="00C859E3" w:rsidRPr="00B86BE6">
        <w:t xml:space="preserve"> fear </w:t>
      </w:r>
      <w:r w:rsidR="009346B7" w:rsidRPr="00B86BE6">
        <w:t xml:space="preserve">they </w:t>
      </w:r>
      <w:r w:rsidR="00C859E3" w:rsidRPr="00B86BE6">
        <w:t>force individuals into essent</w:t>
      </w:r>
      <w:r w:rsidR="00316F02" w:rsidRPr="00B86BE6">
        <w:t>ialized racial or ethnic boxes.</w:t>
      </w:r>
      <w:r w:rsidR="00316F02" w:rsidRPr="00B86BE6">
        <w:rPr>
          <w:rStyle w:val="EndnoteReference"/>
        </w:rPr>
        <w:endnoteReference w:id="92"/>
      </w:r>
      <w:r w:rsidR="00C81653" w:rsidRPr="00B86BE6">
        <w:t xml:space="preserve"> </w:t>
      </w:r>
      <w:r w:rsidRPr="00B86BE6">
        <w:t>They worry that instituti</w:t>
      </w:r>
      <w:r w:rsidR="009674CA" w:rsidRPr="00B86BE6">
        <w:t xml:space="preserve">ons </w:t>
      </w:r>
      <w:r w:rsidR="000F358D" w:rsidRPr="00B86BE6">
        <w:t xml:space="preserve">will </w:t>
      </w:r>
      <w:r w:rsidR="009346B7" w:rsidRPr="00B86BE6">
        <w:t xml:space="preserve">not be able to keep pace </w:t>
      </w:r>
      <w:r w:rsidR="009674CA" w:rsidRPr="00B86BE6">
        <w:t>with the inevitable changes taking place in</w:t>
      </w:r>
      <w:r w:rsidR="009346B7" w:rsidRPr="00B86BE6">
        <w:t xml:space="preserve"> communities that were never </w:t>
      </w:r>
      <w:r w:rsidR="009674CA" w:rsidRPr="00B86BE6">
        <w:t xml:space="preserve">so monolithic or unified to begin with. </w:t>
      </w:r>
    </w:p>
    <w:p w:rsidR="009674CA" w:rsidRPr="00B86BE6" w:rsidRDefault="009674CA" w:rsidP="00A8011B">
      <w:pPr>
        <w:widowControl w:val="0"/>
        <w:autoSpaceDE w:val="0"/>
        <w:autoSpaceDN w:val="0"/>
        <w:adjustRightInd w:val="0"/>
        <w:ind w:firstLine="720"/>
      </w:pPr>
    </w:p>
    <w:p w:rsidR="007168BD" w:rsidRPr="00B86BE6" w:rsidRDefault="009674CA" w:rsidP="00A8011B">
      <w:pPr>
        <w:widowControl w:val="0"/>
        <w:autoSpaceDE w:val="0"/>
        <w:autoSpaceDN w:val="0"/>
        <w:adjustRightInd w:val="0"/>
        <w:ind w:firstLine="720"/>
        <w:rPr>
          <w:rFonts w:eastAsia="ＭＳ 明朝" w:cs="Verdana"/>
          <w:color w:val="241218"/>
          <w:sz w:val="28"/>
          <w:szCs w:val="28"/>
        </w:rPr>
      </w:pPr>
      <w:r w:rsidRPr="00B86BE6">
        <w:t xml:space="preserve">El Museo’s history exemplifies these tensions. </w:t>
      </w:r>
      <w:r w:rsidR="009346B7" w:rsidRPr="00B86BE6">
        <w:t>El Museo began it</w:t>
      </w:r>
      <w:r w:rsidR="000E2792" w:rsidRPr="00B86BE6">
        <w:t xml:space="preserve">s life as a culturally specific, or constituency, </w:t>
      </w:r>
      <w:r w:rsidR="009346B7" w:rsidRPr="00B86BE6">
        <w:t>museum, located in what was an overwhelmingly P</w:t>
      </w:r>
      <w:r w:rsidR="000E2792" w:rsidRPr="00B86BE6">
        <w:t>uerto Rican neighborhood but</w:t>
      </w:r>
      <w:r w:rsidR="009346B7" w:rsidRPr="00B86BE6">
        <w:t xml:space="preserve"> is now home to people from all over North and South America</w:t>
      </w:r>
      <w:r w:rsidR="000E2792" w:rsidRPr="00B86BE6">
        <w:t>, as well as</w:t>
      </w:r>
      <w:r w:rsidR="009346B7" w:rsidRPr="00B86BE6">
        <w:t xml:space="preserve"> increasing numbers of </w:t>
      </w:r>
      <w:r w:rsidR="000E2792" w:rsidRPr="00B86BE6">
        <w:t>U.S.</w:t>
      </w:r>
      <w:r w:rsidR="009346B7" w:rsidRPr="00B86BE6">
        <w:t xml:space="preserve">-born Whites. </w:t>
      </w:r>
      <w:r w:rsidR="00653049" w:rsidRPr="00B86BE6">
        <w:t xml:space="preserve">As early as 1978, Director </w:t>
      </w:r>
      <w:r w:rsidR="007168BD" w:rsidRPr="00B86BE6">
        <w:t xml:space="preserve">Jack </w:t>
      </w:r>
      <w:r w:rsidR="00653049" w:rsidRPr="00B86BE6">
        <w:t>Agüeros</w:t>
      </w:r>
      <w:r w:rsidR="00827022" w:rsidRPr="00B86BE6">
        <w:t xml:space="preserve"> </w:t>
      </w:r>
      <w:r w:rsidR="003C3706" w:rsidRPr="00B86BE6">
        <w:t xml:space="preserve">stated that the </w:t>
      </w:r>
      <w:r w:rsidRPr="00B86BE6">
        <w:t xml:space="preserve">museum was not just about </w:t>
      </w:r>
      <w:r w:rsidR="003C3706" w:rsidRPr="00B86BE6">
        <w:t>Puerto Ricans. “</w:t>
      </w:r>
      <w:r w:rsidR="007168BD" w:rsidRPr="00B86BE6">
        <w:t>We are too culturally rich to force ourselves into ghettoes of narrow nationalism. El Museo now wants to embody the culture of all of Latin Americ</w:t>
      </w:r>
      <w:r w:rsidR="00827022" w:rsidRPr="00B86BE6">
        <w:t>a</w:t>
      </w:r>
      <w:r w:rsidR="00DA61B5" w:rsidRPr="00B86BE6">
        <w:t>.</w:t>
      </w:r>
      <w:r w:rsidR="00827022" w:rsidRPr="00B86BE6">
        <w:t>”</w:t>
      </w:r>
      <w:r w:rsidR="004912DA" w:rsidRPr="00B86BE6">
        <w:rPr>
          <w:rStyle w:val="EndnoteReference"/>
        </w:rPr>
        <w:endnoteReference w:id="93"/>
      </w:r>
      <w:r w:rsidR="00DA61B5" w:rsidRPr="00B86BE6">
        <w:t xml:space="preserve"> By 1994, the Museum’s </w:t>
      </w:r>
      <w:r w:rsidR="008F40D2" w:rsidRPr="00B86BE6">
        <w:t>mission statement</w:t>
      </w:r>
      <w:r w:rsidR="003C3706" w:rsidRPr="00B86BE6">
        <w:t xml:space="preserve"> read</w:t>
      </w:r>
      <w:r w:rsidR="008F40D2" w:rsidRPr="00B86BE6">
        <w:t>,</w:t>
      </w:r>
      <w:r w:rsidR="007168BD" w:rsidRPr="00B86BE6">
        <w:t xml:space="preserve"> “El Museo del Barrio’s mission is to establish a forum that will preserve and project the dynamic cultural heritage of Puerto Ricans and all Latin Americans in the United States.” </w:t>
      </w:r>
      <w:r w:rsidR="00DA61B5" w:rsidRPr="00B86BE6">
        <w:t xml:space="preserve">Including </w:t>
      </w:r>
      <w:r w:rsidR="008F40D2" w:rsidRPr="00B86BE6">
        <w:t xml:space="preserve">“all Latin Americans” </w:t>
      </w:r>
      <w:r w:rsidR="00DA61B5" w:rsidRPr="00B86BE6">
        <w:t xml:space="preserve">reflected a </w:t>
      </w:r>
      <w:r w:rsidR="007168BD" w:rsidRPr="00B86BE6">
        <w:t>tr</w:t>
      </w:r>
      <w:r w:rsidR="00DA61B5" w:rsidRPr="00B86BE6">
        <w:t>emendous and controv</w:t>
      </w:r>
      <w:r w:rsidR="003C3706" w:rsidRPr="00B86BE6">
        <w:t>ersial shift. Critic</w:t>
      </w:r>
      <w:r w:rsidR="004912DA" w:rsidRPr="00B86BE6">
        <w:t xml:space="preserve">s argued that </w:t>
      </w:r>
      <w:r w:rsidRPr="00B86BE6">
        <w:t xml:space="preserve">the Puerto Rican community, and the community at large, still needed an </w:t>
      </w:r>
      <w:r w:rsidR="007168BD" w:rsidRPr="00B86BE6">
        <w:t xml:space="preserve">institution </w:t>
      </w:r>
      <w:r w:rsidR="009346B7" w:rsidRPr="00B86BE6">
        <w:t xml:space="preserve">devoted solely </w:t>
      </w:r>
      <w:r w:rsidR="007168BD" w:rsidRPr="00B86BE6">
        <w:t>to the cultural a</w:t>
      </w:r>
      <w:r w:rsidR="003C3706" w:rsidRPr="00B86BE6">
        <w:t>ccomplishments of Puerto Ricans</w:t>
      </w:r>
      <w:r w:rsidR="000E2792" w:rsidRPr="00B86BE6">
        <w:t xml:space="preserve">, </w:t>
      </w:r>
      <w:r w:rsidR="003C3706" w:rsidRPr="00B86BE6">
        <w:t>while s</w:t>
      </w:r>
      <w:r w:rsidR="004912DA" w:rsidRPr="00B86BE6">
        <w:t>upporters believed that adopting a more pan-Latino stance wo</w:t>
      </w:r>
      <w:r w:rsidR="009346B7" w:rsidRPr="00B86BE6">
        <w:t xml:space="preserve">uld fill an important cultural </w:t>
      </w:r>
      <w:r w:rsidR="004912DA" w:rsidRPr="00B86BE6">
        <w:t>hole and was a necessary step for</w:t>
      </w:r>
      <w:r w:rsidRPr="00B86BE6">
        <w:t>ward for</w:t>
      </w:r>
      <w:r w:rsidR="004912DA" w:rsidRPr="00B86BE6">
        <w:t xml:space="preserve"> the institution’s survival.</w:t>
      </w:r>
      <w:r w:rsidR="00827022" w:rsidRPr="00B86BE6">
        <w:t xml:space="preserve"> Today, reads the website, “</w:t>
      </w:r>
      <w:r w:rsidR="00827022" w:rsidRPr="00B86BE6">
        <w:rPr>
          <w:rFonts w:eastAsia="ＭＳ 明朝" w:cs="Verdana"/>
          <w:color w:val="262626"/>
        </w:rPr>
        <w:t>The mission of El Museo del Barrio is to present and preserve the art and culture of Puerto Ricans and all Latin Americans in the United States.”</w:t>
      </w:r>
      <w:r w:rsidR="00A8011B" w:rsidRPr="00B86BE6">
        <w:rPr>
          <w:rStyle w:val="EndnoteReference"/>
          <w:rFonts w:eastAsia="ＭＳ 明朝" w:cs="Verdana"/>
          <w:color w:val="262626"/>
        </w:rPr>
        <w:endnoteReference w:id="94"/>
      </w:r>
    </w:p>
    <w:p w:rsidR="007168BD" w:rsidRPr="00B86BE6" w:rsidRDefault="007168BD" w:rsidP="007168BD">
      <w:pPr>
        <w:ind w:left="720" w:right="720"/>
      </w:pPr>
    </w:p>
    <w:p w:rsidR="00BF047F" w:rsidRPr="00B86BE6" w:rsidRDefault="007168BD" w:rsidP="00BF047F">
      <w:r w:rsidRPr="00B86BE6">
        <w:tab/>
      </w:r>
      <w:r w:rsidR="004912DA" w:rsidRPr="00B86BE6">
        <w:rPr>
          <w:i/>
        </w:rPr>
        <w:t>Caribbean</w:t>
      </w:r>
      <w:r w:rsidR="000E2792" w:rsidRPr="00B86BE6">
        <w:rPr>
          <w:i/>
        </w:rPr>
        <w:t>:</w:t>
      </w:r>
      <w:r w:rsidR="004912DA" w:rsidRPr="00B86BE6">
        <w:rPr>
          <w:i/>
        </w:rPr>
        <w:t xml:space="preserve"> Crossroads</w:t>
      </w:r>
      <w:r w:rsidR="000E2792" w:rsidRPr="00B86BE6">
        <w:rPr>
          <w:i/>
        </w:rPr>
        <w:t xml:space="preserve"> of the Worlds</w:t>
      </w:r>
      <w:r w:rsidR="00FA3AC3" w:rsidRPr="00B86BE6">
        <w:t xml:space="preserve"> </w:t>
      </w:r>
      <w:r w:rsidR="000F358D" w:rsidRPr="00B86BE6">
        <w:t>broadened</w:t>
      </w:r>
      <w:r w:rsidR="003C3706" w:rsidRPr="00B86BE6">
        <w:t xml:space="preserve"> </w:t>
      </w:r>
      <w:r w:rsidR="00D20297" w:rsidRPr="00B86BE6">
        <w:t>the museum’s frame</w:t>
      </w:r>
      <w:r w:rsidR="009674CA" w:rsidRPr="00B86BE6">
        <w:t xml:space="preserve"> even wider, not j</w:t>
      </w:r>
      <w:r w:rsidR="00A8011B" w:rsidRPr="00B86BE6">
        <w:t xml:space="preserve">ust </w:t>
      </w:r>
      <w:r w:rsidR="009674CA" w:rsidRPr="00B86BE6">
        <w:t xml:space="preserve">from </w:t>
      </w:r>
      <w:r w:rsidR="00D20297" w:rsidRPr="00B86BE6">
        <w:t xml:space="preserve">Puerto Ricans to </w:t>
      </w:r>
      <w:r w:rsidR="004912DA" w:rsidRPr="00B86BE6">
        <w:t xml:space="preserve">Latinos and </w:t>
      </w:r>
      <w:r w:rsidR="009674CA" w:rsidRPr="00B86BE6">
        <w:t>Latin Americans but to the</w:t>
      </w:r>
      <w:r w:rsidR="009346B7" w:rsidRPr="00B86BE6">
        <w:t>ir</w:t>
      </w:r>
      <w:r w:rsidR="009674CA" w:rsidRPr="00B86BE6">
        <w:t xml:space="preserve"> </w:t>
      </w:r>
      <w:r w:rsidR="00D20297" w:rsidRPr="00B86BE6">
        <w:t>Dutch, French, and English-speaking</w:t>
      </w:r>
      <w:r w:rsidR="00A8011B" w:rsidRPr="00B86BE6">
        <w:t xml:space="preserve"> neighbors</w:t>
      </w:r>
      <w:r w:rsidR="009674CA" w:rsidRPr="00B86BE6">
        <w:t>.</w:t>
      </w:r>
      <w:r w:rsidR="00D20297" w:rsidRPr="00B86BE6">
        <w:t xml:space="preserve">  Just as the </w:t>
      </w:r>
      <w:r w:rsidR="009674CA" w:rsidRPr="00B86BE6">
        <w:t xml:space="preserve">Catholic Church created </w:t>
      </w:r>
      <w:r w:rsidR="009346B7" w:rsidRPr="00B86BE6">
        <w:t xml:space="preserve">native language </w:t>
      </w:r>
      <w:r w:rsidR="00D20297" w:rsidRPr="00B86BE6">
        <w:t>parishes</w:t>
      </w:r>
      <w:r w:rsidR="003C3706" w:rsidRPr="00B86BE6">
        <w:t xml:space="preserve"> </w:t>
      </w:r>
      <w:r w:rsidR="004912DA" w:rsidRPr="00B86BE6">
        <w:t xml:space="preserve">to </w:t>
      </w:r>
      <w:r w:rsidR="0081500F" w:rsidRPr="00B86BE6">
        <w:t xml:space="preserve">help first generation immigrants </w:t>
      </w:r>
      <w:r w:rsidR="009346B7" w:rsidRPr="00B86BE6">
        <w:t>adjust to the United States</w:t>
      </w:r>
      <w:r w:rsidR="009674CA" w:rsidRPr="00B86BE6">
        <w:t xml:space="preserve"> but </w:t>
      </w:r>
      <w:r w:rsidR="0081500F" w:rsidRPr="00B86BE6">
        <w:t xml:space="preserve">eventually </w:t>
      </w:r>
      <w:r w:rsidR="009674CA" w:rsidRPr="00B86BE6">
        <w:t>expected them to pray</w:t>
      </w:r>
      <w:r w:rsidR="004E52FD" w:rsidRPr="00B86BE6">
        <w:t>er</w:t>
      </w:r>
      <w:r w:rsidR="009674CA" w:rsidRPr="00B86BE6">
        <w:t xml:space="preserve"> in English, </w:t>
      </w:r>
      <w:r w:rsidR="004912DA" w:rsidRPr="00B86BE6">
        <w:t xml:space="preserve">so </w:t>
      </w:r>
      <w:r w:rsidR="0081500F" w:rsidRPr="00B86BE6">
        <w:t>El Museo</w:t>
      </w:r>
      <w:r w:rsidR="008154E5" w:rsidRPr="00B86BE6">
        <w:t xml:space="preserve"> needs to honor its roots</w:t>
      </w:r>
      <w:r w:rsidR="009346B7" w:rsidRPr="00B86BE6">
        <w:t xml:space="preserve"> while responding to its changing neighborhood</w:t>
      </w:r>
      <w:r w:rsidR="009674CA" w:rsidRPr="00B86BE6">
        <w:t>, which now include</w:t>
      </w:r>
      <w:r w:rsidR="009346B7" w:rsidRPr="00B86BE6">
        <w:t>s</w:t>
      </w:r>
      <w:r w:rsidR="000F358D" w:rsidRPr="00B86BE6">
        <w:t xml:space="preserve"> people from all over the continent</w:t>
      </w:r>
      <w:r w:rsidR="003C3706" w:rsidRPr="00B86BE6">
        <w:t xml:space="preserve">. </w:t>
      </w:r>
    </w:p>
    <w:p w:rsidR="001F58B6" w:rsidRPr="00B86BE6" w:rsidRDefault="001F58B6" w:rsidP="00BF047F"/>
    <w:p w:rsidR="00971077" w:rsidRPr="00B86BE6" w:rsidRDefault="009346B7" w:rsidP="001F58B6">
      <w:r w:rsidRPr="00B86BE6">
        <w:tab/>
        <w:t>To do that, the Museum</w:t>
      </w:r>
      <w:r w:rsidR="00A8011B" w:rsidRPr="00B86BE6">
        <w:t xml:space="preserve"> must tell an </w:t>
      </w:r>
      <w:r w:rsidR="001F58B6" w:rsidRPr="00B86BE6">
        <w:t xml:space="preserve">ethnic story </w:t>
      </w:r>
      <w:r w:rsidR="000F358D" w:rsidRPr="00B86BE6">
        <w:t xml:space="preserve">that it links clearly </w:t>
      </w:r>
      <w:r w:rsidR="00A8011B" w:rsidRPr="00B86BE6">
        <w:t>to larger experiences, said C</w:t>
      </w:r>
      <w:r w:rsidR="001F58B6" w:rsidRPr="00B86BE6">
        <w:t xml:space="preserve">urator Rocio </w:t>
      </w:r>
      <w:r w:rsidR="00A8011B" w:rsidRPr="00B86BE6">
        <w:t>Aranda-Alvarado</w:t>
      </w:r>
      <w:r w:rsidR="001F58B6" w:rsidRPr="00B86BE6">
        <w:t>, a</w:t>
      </w:r>
      <w:r w:rsidR="004E52FD" w:rsidRPr="00B86BE6">
        <w:t xml:space="preserve"> narrative that is</w:t>
      </w:r>
      <w:r w:rsidR="001F58B6" w:rsidRPr="00B86BE6">
        <w:t xml:space="preserve"> culturally specific and global at the same time. </w:t>
      </w:r>
      <w:r w:rsidR="00A8011B" w:rsidRPr="00B86BE6">
        <w:t xml:space="preserve">The objects themselves do that </w:t>
      </w:r>
      <w:r w:rsidR="001F58B6" w:rsidRPr="00B86BE6">
        <w:t xml:space="preserve">work. </w:t>
      </w:r>
      <w:r w:rsidR="00A8011B" w:rsidRPr="00B86BE6">
        <w:t xml:space="preserve">You might </w:t>
      </w:r>
      <w:r w:rsidR="001F58B6" w:rsidRPr="00B86BE6">
        <w:t>have a photograph of a beautiful idyllic beach</w:t>
      </w:r>
      <w:r w:rsidR="00A8011B" w:rsidRPr="00B86BE6">
        <w:t xml:space="preserve"> with garbage in t</w:t>
      </w:r>
      <w:r w:rsidR="00690774" w:rsidRPr="00B86BE6">
        <w:t>he foreground, she said</w:t>
      </w:r>
      <w:r w:rsidR="00A8011B" w:rsidRPr="00B86BE6">
        <w:t>.</w:t>
      </w:r>
      <w:r w:rsidR="001F58B6" w:rsidRPr="00B86BE6">
        <w:t xml:space="preserve"> The photo might </w:t>
      </w:r>
      <w:r w:rsidR="00A8011B" w:rsidRPr="00B86BE6">
        <w:t xml:space="preserve">be from </w:t>
      </w:r>
      <w:r w:rsidR="001F58B6" w:rsidRPr="00B86BE6">
        <w:t xml:space="preserve">Puerto Rico </w:t>
      </w:r>
      <w:r w:rsidR="009674CA" w:rsidRPr="00B86BE6">
        <w:t xml:space="preserve">or from </w:t>
      </w:r>
      <w:r w:rsidR="001F58B6" w:rsidRPr="00B86BE6">
        <w:t xml:space="preserve">Thailand.  </w:t>
      </w:r>
      <w:r w:rsidR="00B14E81" w:rsidRPr="00B86BE6">
        <w:t>Modern and post-modern paintings by Latino or Latin American artists are part of larger art</w:t>
      </w:r>
      <w:r w:rsidR="009674CA" w:rsidRPr="00B86BE6">
        <w:t>istic</w:t>
      </w:r>
      <w:r w:rsidR="00B14E81" w:rsidRPr="00B86BE6">
        <w:t xml:space="preserve"> movements. </w:t>
      </w:r>
    </w:p>
    <w:p w:rsidR="00732E3E" w:rsidRPr="00B86BE6" w:rsidRDefault="00732E3E" w:rsidP="001F58B6"/>
    <w:p w:rsidR="00732E3E" w:rsidRPr="00B86BE6" w:rsidRDefault="00A8011B" w:rsidP="00732E3E">
      <w:r w:rsidRPr="00B86BE6">
        <w:tab/>
      </w:r>
      <w:r w:rsidR="008154E5" w:rsidRPr="00B86BE6">
        <w:t xml:space="preserve">Former Director </w:t>
      </w:r>
      <w:r w:rsidRPr="00B86BE6">
        <w:t>Margarita Aguilar</w:t>
      </w:r>
      <w:r w:rsidR="008154E5" w:rsidRPr="00B86BE6">
        <w:t xml:space="preserve"> took </w:t>
      </w:r>
      <w:r w:rsidR="00690774" w:rsidRPr="00B86BE6">
        <w:t xml:space="preserve">this even </w:t>
      </w:r>
      <w:r w:rsidR="00732E3E" w:rsidRPr="00B86BE6">
        <w:t>further.  For her, the messag</w:t>
      </w:r>
      <w:r w:rsidR="000F358D" w:rsidRPr="00B86BE6">
        <w:t>e was</w:t>
      </w:r>
      <w:r w:rsidR="00732E3E" w:rsidRPr="00B86BE6">
        <w:t>, “Be engaged with us.  This is ab</w:t>
      </w:r>
      <w:r w:rsidR="00690774" w:rsidRPr="00B86BE6">
        <w:t>out New York. This is a Latino s</w:t>
      </w:r>
      <w:r w:rsidR="00732E3E" w:rsidRPr="00B86BE6">
        <w:t>tory. This is an American story. I want people to be memb</w:t>
      </w:r>
      <w:r w:rsidR="001B1C36" w:rsidRPr="00B86BE6">
        <w:t xml:space="preserve">ers, </w:t>
      </w:r>
      <w:r w:rsidRPr="00B86BE6">
        <w:t>whether their name is Paul S</w:t>
      </w:r>
      <w:r w:rsidR="00732E3E" w:rsidRPr="00B86BE6">
        <w:t xml:space="preserve">mith or Paul Schmidt or Pablo Lopez.” </w:t>
      </w:r>
      <w:r w:rsidRPr="00B86BE6">
        <w:t xml:space="preserve">If she had the budget, the </w:t>
      </w:r>
      <w:r w:rsidR="00732E3E" w:rsidRPr="00B86BE6">
        <w:t>tag line</w:t>
      </w:r>
      <w:r w:rsidRPr="00B86BE6">
        <w:t xml:space="preserve"> for the ad campaign she would plaster on the city’s bus stops would read, </w:t>
      </w:r>
      <w:r w:rsidR="00732E3E" w:rsidRPr="00B86BE6">
        <w:t>“El Museo es Tu Museo.” Think of the German immigrants in a city like Mi</w:t>
      </w:r>
      <w:r w:rsidR="008154E5" w:rsidRPr="00B86BE6">
        <w:t>lwaukee, she said</w:t>
      </w:r>
      <w:r w:rsidR="00732E3E" w:rsidRPr="00B86BE6">
        <w:t>.  They are</w:t>
      </w:r>
      <w:r w:rsidR="005634DB" w:rsidRPr="00B86BE6">
        <w:t xml:space="preserve"> not Germans anymore.  In one hundred </w:t>
      </w:r>
      <w:r w:rsidR="00732E3E" w:rsidRPr="00B86BE6">
        <w:t xml:space="preserve">years, given the changing demographics of this country, we will all be American.  </w:t>
      </w:r>
      <w:r w:rsidR="00690774" w:rsidRPr="00B86BE6">
        <w:t>“</w:t>
      </w:r>
      <w:r w:rsidR="00732E3E" w:rsidRPr="00B86BE6">
        <w:t>There is a history that needs to be told</w:t>
      </w:r>
      <w:r w:rsidR="000C4116" w:rsidRPr="00B86BE6">
        <w:t>,</w:t>
      </w:r>
      <w:r w:rsidR="00732E3E" w:rsidRPr="00B86BE6">
        <w:t xml:space="preserve"> but don’t call yourself Pue</w:t>
      </w:r>
      <w:r w:rsidR="00690774" w:rsidRPr="00B86BE6">
        <w:t xml:space="preserve">rto Rican or Caribbean because </w:t>
      </w:r>
      <w:r w:rsidR="00732E3E" w:rsidRPr="00B86BE6">
        <w:t>people don’t</w:t>
      </w:r>
      <w:r w:rsidR="00B14E81" w:rsidRPr="00B86BE6">
        <w:t xml:space="preserve"> know what to expect and they wo</w:t>
      </w:r>
      <w:r w:rsidR="00732E3E" w:rsidRPr="00B86BE6">
        <w:t>n</w:t>
      </w:r>
      <w:r w:rsidR="00B14E81" w:rsidRPr="00B86BE6">
        <w:t>’</w:t>
      </w:r>
      <w:r w:rsidR="00732E3E" w:rsidRPr="00B86BE6">
        <w:t>t go near you.</w:t>
      </w:r>
      <w:r w:rsidR="009346B7" w:rsidRPr="00B86BE6">
        <w:t xml:space="preserve"> </w:t>
      </w:r>
      <w:r w:rsidR="00732E3E" w:rsidRPr="00B86BE6">
        <w:t>You are a</w:t>
      </w:r>
      <w:r w:rsidR="00B14E81" w:rsidRPr="00B86BE6">
        <w:t>n artist who happe</w:t>
      </w:r>
      <w:r w:rsidR="009674CA" w:rsidRPr="00B86BE6">
        <w:t>ns to be from the Caribbean</w:t>
      </w:r>
      <w:r w:rsidR="00B14E81" w:rsidRPr="00B86BE6">
        <w:t xml:space="preserve">.” </w:t>
      </w:r>
      <w:r w:rsidR="00164C9E" w:rsidRPr="00B86BE6">
        <w:t xml:space="preserve"> El Museo has</w:t>
      </w:r>
      <w:r w:rsidR="00690774" w:rsidRPr="00B86BE6">
        <w:t xml:space="preserve"> to have </w:t>
      </w:r>
      <w:r w:rsidR="00164C9E" w:rsidRPr="00B86BE6">
        <w:t>the confidence to</w:t>
      </w:r>
      <w:r w:rsidR="00690774" w:rsidRPr="00B86BE6">
        <w:t xml:space="preserve"> open up </w:t>
      </w:r>
      <w:r w:rsidR="00164C9E" w:rsidRPr="00B86BE6">
        <w:t>its borders and it has to do so in order to survive.</w:t>
      </w:r>
      <w:r w:rsidR="00937595" w:rsidRPr="00B86BE6">
        <w:rPr>
          <w:rStyle w:val="EndnoteReference"/>
        </w:rPr>
        <w:t xml:space="preserve"> </w:t>
      </w:r>
      <w:r w:rsidR="00937595" w:rsidRPr="00B86BE6">
        <w:rPr>
          <w:rStyle w:val="EndnoteReference"/>
        </w:rPr>
        <w:endnoteReference w:id="95"/>
      </w:r>
      <w:r w:rsidR="00937595" w:rsidRPr="00B86BE6">
        <w:t xml:space="preserve"> </w:t>
      </w:r>
      <w:r w:rsidR="00164C9E" w:rsidRPr="00B86BE6">
        <w:t xml:space="preserve"> </w:t>
      </w:r>
    </w:p>
    <w:p w:rsidR="000C4116" w:rsidRPr="00B86BE6" w:rsidRDefault="000C4116" w:rsidP="00CA3E99"/>
    <w:p w:rsidR="00BF047F" w:rsidRPr="00B86BE6" w:rsidRDefault="00690774" w:rsidP="000F358D">
      <w:pPr>
        <w:ind w:firstLine="720"/>
      </w:pPr>
      <w:r w:rsidRPr="00B86BE6">
        <w:t xml:space="preserve">El Museo </w:t>
      </w:r>
      <w:r w:rsidR="009346B7" w:rsidRPr="00B86BE6">
        <w:t xml:space="preserve">also sees itself as creating </w:t>
      </w:r>
      <w:r w:rsidR="00164C9E" w:rsidRPr="00B86BE6">
        <w:t>engaged citizens</w:t>
      </w:r>
      <w:r w:rsidR="00294A7B" w:rsidRPr="00B86BE6">
        <w:t xml:space="preserve">, although </w:t>
      </w:r>
      <w:r w:rsidRPr="00B86BE6">
        <w:t xml:space="preserve">it does not particularly matter </w:t>
      </w:r>
      <w:r w:rsidR="00164C9E" w:rsidRPr="00B86BE6">
        <w:t xml:space="preserve">where they claim their rights or </w:t>
      </w:r>
      <w:r w:rsidRPr="00B86BE6">
        <w:t xml:space="preserve">fulfill their </w:t>
      </w:r>
      <w:r w:rsidR="00164C9E" w:rsidRPr="00B86BE6">
        <w:t>responsibilities.</w:t>
      </w:r>
      <w:r w:rsidR="00B14E81" w:rsidRPr="00B86BE6">
        <w:t xml:space="preserve"> “</w:t>
      </w:r>
      <w:r w:rsidR="00BF047F" w:rsidRPr="00B86BE6">
        <w:t>I guess the end goal of our programming</w:t>
      </w:r>
      <w:r w:rsidR="00CA3E99" w:rsidRPr="00B86BE6">
        <w:t>,” said Deborah Cullen, “</w:t>
      </w:r>
      <w:r w:rsidR="00BF047F" w:rsidRPr="00B86BE6">
        <w:t>is to make you a more active and empowered citizen</w:t>
      </w:r>
      <w:r w:rsidR="00CA3E99" w:rsidRPr="00B86BE6">
        <w:t xml:space="preserve">, whatever kind of citizen you want to be.” </w:t>
      </w:r>
      <w:r w:rsidR="00BF047F" w:rsidRPr="00B86BE6">
        <w:t xml:space="preserve"> </w:t>
      </w:r>
    </w:p>
    <w:p w:rsidR="00C7254B" w:rsidRPr="00B86BE6" w:rsidRDefault="00C7254B" w:rsidP="0009629F"/>
    <w:p w:rsidR="008E0A80" w:rsidRDefault="008E0A80" w:rsidP="0009629F">
      <w:pPr>
        <w:rPr>
          <w:b/>
        </w:rPr>
      </w:pPr>
      <w:r>
        <w:rPr>
          <w:b/>
        </w:rPr>
        <w:t>Boston Versus t</w:t>
      </w:r>
      <w:r w:rsidRPr="008E0A80">
        <w:rPr>
          <w:b/>
        </w:rPr>
        <w:t>he Boroughs</w:t>
      </w:r>
    </w:p>
    <w:p w:rsidR="0009629F" w:rsidRPr="00B86BE6" w:rsidRDefault="0009629F" w:rsidP="0009629F">
      <w:pPr>
        <w:rPr>
          <w:b/>
        </w:rPr>
      </w:pPr>
    </w:p>
    <w:p w:rsidR="00783A27" w:rsidRPr="00B86BE6" w:rsidRDefault="00C81CA2" w:rsidP="0009629F">
      <w:r w:rsidRPr="00B86BE6">
        <w:t xml:space="preserve">The museums profiled here provide </w:t>
      </w:r>
      <w:r w:rsidR="00F81CA5" w:rsidRPr="00B86BE6">
        <w:t xml:space="preserve">a </w:t>
      </w:r>
      <w:r w:rsidRPr="00B86BE6">
        <w:t>snapshot of the</w:t>
      </w:r>
      <w:r w:rsidR="00E8510C" w:rsidRPr="00B86BE6">
        <w:t xml:space="preserve"> ideologies,</w:t>
      </w:r>
      <w:r w:rsidRPr="00B86BE6">
        <w:t xml:space="preserve"> </w:t>
      </w:r>
      <w:r w:rsidR="00F275DE" w:rsidRPr="00B86BE6">
        <w:t>resources</w:t>
      </w:r>
      <w:r w:rsidR="00E8510C" w:rsidRPr="00B86BE6">
        <w:t>,</w:t>
      </w:r>
      <w:r w:rsidR="00F275DE" w:rsidRPr="00B86BE6">
        <w:t xml:space="preserve"> and constraints</w:t>
      </w:r>
      <w:r w:rsidR="00EC045D" w:rsidRPr="00B86BE6">
        <w:t xml:space="preserve"> different kinds of institutions bring to bear on</w:t>
      </w:r>
      <w:r w:rsidR="000F358D" w:rsidRPr="00B86BE6">
        <w:t xml:space="preserve"> the task of developing cosmopolitan competencies</w:t>
      </w:r>
      <w:r w:rsidR="00F275DE" w:rsidRPr="00B86BE6">
        <w:t xml:space="preserve">. </w:t>
      </w:r>
      <w:r w:rsidR="00783A27" w:rsidRPr="00B86BE6">
        <w:t xml:space="preserve">Location makes a difference.  Boston’s </w:t>
      </w:r>
      <w:r w:rsidR="00F81CA5" w:rsidRPr="00B86BE6">
        <w:t xml:space="preserve">founding fathers’ </w:t>
      </w:r>
      <w:r w:rsidR="00904C3C" w:rsidRPr="00B86BE6">
        <w:t>belief that they resided</w:t>
      </w:r>
      <w:r w:rsidR="00F81CA5" w:rsidRPr="00B86BE6">
        <w:t xml:space="preserve"> in the center </w:t>
      </w:r>
      <w:r w:rsidR="00B078B5" w:rsidRPr="00B86BE6">
        <w:t xml:space="preserve">of their own moral universe, that they were </w:t>
      </w:r>
      <w:r w:rsidR="00F81CA5" w:rsidRPr="00B86BE6">
        <w:t xml:space="preserve">charting a unique </w:t>
      </w:r>
      <w:r w:rsidR="000E1645" w:rsidRPr="00B86BE6">
        <w:t>intellectual and artistic path different</w:t>
      </w:r>
      <w:r w:rsidR="00B078B5" w:rsidRPr="00B86BE6">
        <w:t xml:space="preserve"> from </w:t>
      </w:r>
      <w:r w:rsidR="00F81CA5" w:rsidRPr="00B86BE6">
        <w:t>Europe</w:t>
      </w:r>
      <w:r w:rsidR="000E1645" w:rsidRPr="00B86BE6">
        <w:t>’s</w:t>
      </w:r>
      <w:r w:rsidR="00F81CA5" w:rsidRPr="00B86BE6">
        <w:t>, and</w:t>
      </w:r>
      <w:r w:rsidR="00B078B5" w:rsidRPr="00B86BE6">
        <w:t xml:space="preserve"> that they needed to </w:t>
      </w:r>
      <w:r w:rsidR="00F81CA5" w:rsidRPr="00B86BE6">
        <w:t>establish clear class and ethnic boundaries</w:t>
      </w:r>
      <w:r w:rsidR="00783A27" w:rsidRPr="00B86BE6">
        <w:t xml:space="preserve">, </w:t>
      </w:r>
      <w:r w:rsidR="00B078B5" w:rsidRPr="00B86BE6">
        <w:t xml:space="preserve">set the stage for some of what the MFA does today. </w:t>
      </w:r>
      <w:r w:rsidR="00783A27" w:rsidRPr="00B86BE6">
        <w:t>In cont</w:t>
      </w:r>
      <w:r w:rsidR="00F70124" w:rsidRPr="00B86BE6">
        <w:t xml:space="preserve">rast, Salem’s historical role as a center of international trade, </w:t>
      </w:r>
      <w:r w:rsidR="00294A7B" w:rsidRPr="00B86BE6">
        <w:t xml:space="preserve">and its </w:t>
      </w:r>
      <w:r w:rsidR="00783A27" w:rsidRPr="00B86BE6">
        <w:t>founder’</w:t>
      </w:r>
      <w:r w:rsidR="00F81CA5" w:rsidRPr="00B86BE6">
        <w:t>s cosmopolitan outlook,</w:t>
      </w:r>
      <w:r w:rsidR="00783A27" w:rsidRPr="00B86BE6">
        <w:t xml:space="preserve"> </w:t>
      </w:r>
      <w:r w:rsidR="00D238C4" w:rsidRPr="00B86BE6">
        <w:t xml:space="preserve">is part of what drives </w:t>
      </w:r>
      <w:r w:rsidR="00294A7B" w:rsidRPr="00B86BE6">
        <w:t xml:space="preserve">the PEM’s </w:t>
      </w:r>
      <w:r w:rsidR="00D238C4" w:rsidRPr="00B86BE6">
        <w:t xml:space="preserve">commitment to use art to make people feel </w:t>
      </w:r>
      <w:r w:rsidR="00294A7B" w:rsidRPr="00B86BE6">
        <w:t xml:space="preserve">at home in the </w:t>
      </w:r>
      <w:r w:rsidR="00D238C4" w:rsidRPr="00B86BE6">
        <w:t>world</w:t>
      </w:r>
      <w:r w:rsidR="00B078B5" w:rsidRPr="00B86BE6">
        <w:t xml:space="preserve">. </w:t>
      </w:r>
      <w:r w:rsidR="00783A27" w:rsidRPr="00B86BE6">
        <w:t>All of the museums in New York</w:t>
      </w:r>
      <w:r w:rsidR="00F70124" w:rsidRPr="00B86BE6">
        <w:t>, though in different ways,</w:t>
      </w:r>
      <w:r w:rsidR="00783A27" w:rsidRPr="00B86BE6">
        <w:t xml:space="preserve"> </w:t>
      </w:r>
      <w:r w:rsidR="00294A7B" w:rsidRPr="00B86BE6">
        <w:t xml:space="preserve">promote this kind of </w:t>
      </w:r>
      <w:r w:rsidR="00B078B5" w:rsidRPr="00B86BE6">
        <w:t>openness and curiosity</w:t>
      </w:r>
      <w:r w:rsidR="000E1645" w:rsidRPr="00B86BE6">
        <w:t>, in part</w:t>
      </w:r>
      <w:r w:rsidR="00F70124" w:rsidRPr="00B86BE6">
        <w:t xml:space="preserve"> because</w:t>
      </w:r>
      <w:r w:rsidR="00D238C4" w:rsidRPr="00B86BE6">
        <w:t xml:space="preserve"> they</w:t>
      </w:r>
      <w:r w:rsidR="00294A7B" w:rsidRPr="00B86BE6">
        <w:t xml:space="preserve"> live next door to so many people who come from its distant shores. </w:t>
      </w:r>
    </w:p>
    <w:p w:rsidR="00D238C4" w:rsidRPr="00B86BE6" w:rsidRDefault="00D238C4" w:rsidP="0009629F"/>
    <w:p w:rsidR="002D7B68" w:rsidRPr="00B86BE6" w:rsidRDefault="00783A27" w:rsidP="0009629F">
      <w:r w:rsidRPr="00B86BE6">
        <w:t xml:space="preserve"> </w:t>
      </w:r>
      <w:r w:rsidR="00F70124" w:rsidRPr="00B86BE6">
        <w:tab/>
      </w:r>
      <w:r w:rsidR="00F275DE" w:rsidRPr="00B86BE6">
        <w:t>Unlike muse</w:t>
      </w:r>
      <w:r w:rsidR="00D238C4" w:rsidRPr="00B86BE6">
        <w:t xml:space="preserve">ums in Sweden and Denmark, the majority of </w:t>
      </w:r>
      <w:r w:rsidR="00F275DE" w:rsidRPr="00B86BE6">
        <w:t>museums in the Uni</w:t>
      </w:r>
      <w:r w:rsidR="00EC045D" w:rsidRPr="00B86BE6">
        <w:t xml:space="preserve">ted States are privately funded. </w:t>
      </w:r>
      <w:r w:rsidR="00701274" w:rsidRPr="00B86BE6">
        <w:t>Although the government giv</w:t>
      </w:r>
      <w:r w:rsidR="00EC045D" w:rsidRPr="00B86BE6">
        <w:t xml:space="preserve">es grants to support certain </w:t>
      </w:r>
      <w:r w:rsidR="00701274" w:rsidRPr="00B86BE6">
        <w:t xml:space="preserve">kinds of activities or </w:t>
      </w:r>
      <w:r w:rsidR="00E8510C" w:rsidRPr="00B86BE6">
        <w:t xml:space="preserve">create </w:t>
      </w:r>
      <w:r w:rsidR="00D238C4" w:rsidRPr="00B86BE6">
        <w:t>exhibits about particular topics</w:t>
      </w:r>
      <w:r w:rsidR="00701274" w:rsidRPr="00B86BE6">
        <w:t xml:space="preserve">, it </w:t>
      </w:r>
      <w:r w:rsidR="00EC045D" w:rsidRPr="00B86BE6">
        <w:t xml:space="preserve">does not, as in Sweden, </w:t>
      </w:r>
      <w:r w:rsidR="00F70124" w:rsidRPr="00B86BE6">
        <w:t xml:space="preserve">explicitly </w:t>
      </w:r>
      <w:r w:rsidR="00EC045D" w:rsidRPr="00B86BE6">
        <w:t xml:space="preserve">use cultural institutions </w:t>
      </w:r>
      <w:r w:rsidR="00F70124" w:rsidRPr="00B86BE6">
        <w:t xml:space="preserve">as social engineering </w:t>
      </w:r>
      <w:r w:rsidR="00EC045D" w:rsidRPr="00B86BE6">
        <w:t xml:space="preserve">tools. </w:t>
      </w:r>
      <w:r w:rsidR="002D7B68" w:rsidRPr="00B86BE6">
        <w:t>The MFA</w:t>
      </w:r>
      <w:r w:rsidR="00E8510C" w:rsidRPr="00B86BE6">
        <w:t xml:space="preserve">, the Brooklyn Museum and the PEM, in </w:t>
      </w:r>
      <w:r w:rsidR="00D238C4" w:rsidRPr="00B86BE6">
        <w:t xml:space="preserve">that it </w:t>
      </w:r>
      <w:r w:rsidR="00294A7B" w:rsidRPr="00B86BE6">
        <w:t xml:space="preserve">grows out of a </w:t>
      </w:r>
      <w:r w:rsidR="00E8510C" w:rsidRPr="00B86BE6">
        <w:t xml:space="preserve">marriage between two long-standing institutions, </w:t>
      </w:r>
      <w:r w:rsidR="00294A7B" w:rsidRPr="00B86BE6">
        <w:t xml:space="preserve">have </w:t>
      </w:r>
      <w:r w:rsidR="00701274" w:rsidRPr="00B86BE6">
        <w:t xml:space="preserve">clear </w:t>
      </w:r>
      <w:r w:rsidR="002D7B68" w:rsidRPr="00B86BE6">
        <w:t>historic role</w:t>
      </w:r>
      <w:r w:rsidR="00701274" w:rsidRPr="00B86BE6">
        <w:t>s</w:t>
      </w:r>
      <w:r w:rsidR="002D7B68" w:rsidRPr="00B86BE6">
        <w:t xml:space="preserve"> in the inst</w:t>
      </w:r>
      <w:r w:rsidR="00701274" w:rsidRPr="00B86BE6">
        <w:t xml:space="preserve">itutional distribution of labor that their visitors </w:t>
      </w:r>
      <w:r w:rsidR="000F358D" w:rsidRPr="00B86BE6">
        <w:t xml:space="preserve">expect them to </w:t>
      </w:r>
      <w:r w:rsidR="00294A7B" w:rsidRPr="00B86BE6">
        <w:t>continue to fulfill</w:t>
      </w:r>
      <w:r w:rsidR="00EC045D" w:rsidRPr="00B86BE6">
        <w:t xml:space="preserve">. </w:t>
      </w:r>
      <w:r w:rsidR="00E8510C" w:rsidRPr="00B86BE6">
        <w:t xml:space="preserve">The Queens Museum and El Museo are community based museums, emerging from the civil rights struggles of the 1960s, and intended to bring art to previously underserved, underrepresented communities.  </w:t>
      </w:r>
      <w:r w:rsidR="002D7B68" w:rsidRPr="00B86BE6">
        <w:t xml:space="preserve">Art </w:t>
      </w:r>
      <w:r w:rsidR="00701274" w:rsidRPr="00B86BE6">
        <w:t xml:space="preserve">and encyclopedic </w:t>
      </w:r>
      <w:r w:rsidR="002D7B68" w:rsidRPr="00B86BE6">
        <w:t>museums</w:t>
      </w:r>
      <w:r w:rsidR="00701274" w:rsidRPr="00B86BE6">
        <w:t>, with deep collections and pockets</w:t>
      </w:r>
      <w:r w:rsidR="00294A7B" w:rsidRPr="00B86BE6">
        <w:t>,</w:t>
      </w:r>
      <w:r w:rsidR="002D7B68" w:rsidRPr="00B86BE6">
        <w:t xml:space="preserve"> </w:t>
      </w:r>
      <w:r w:rsidR="00E8510C" w:rsidRPr="00B86BE6">
        <w:t xml:space="preserve">clearly have more tools at their disposal than </w:t>
      </w:r>
      <w:r w:rsidR="00701274" w:rsidRPr="00B86BE6">
        <w:t xml:space="preserve">newer museums </w:t>
      </w:r>
      <w:r w:rsidR="00EC045D" w:rsidRPr="00B86BE6">
        <w:t>with slimmer wallets and less in the</w:t>
      </w:r>
      <w:r w:rsidR="00294A7B" w:rsidRPr="00B86BE6">
        <w:t>ir</w:t>
      </w:r>
      <w:r w:rsidR="00EC045D" w:rsidRPr="00B86BE6">
        <w:t xml:space="preserve"> storerooms. </w:t>
      </w:r>
      <w:r w:rsidR="00E8510C" w:rsidRPr="00B86BE6">
        <w:t xml:space="preserve"> But they also face greater constraints.  </w:t>
      </w:r>
      <w:r w:rsidR="002D7B68" w:rsidRPr="00B86BE6">
        <w:t>Museums at the cultural per</w:t>
      </w:r>
      <w:r w:rsidR="00EC045D" w:rsidRPr="00B86BE6">
        <w:t>iphery</w:t>
      </w:r>
      <w:r w:rsidR="00F70124" w:rsidRPr="00B86BE6">
        <w:t>, like El Museo or the Queens Museum</w:t>
      </w:r>
      <w:r w:rsidR="000E1645" w:rsidRPr="00B86BE6">
        <w:t>, have</w:t>
      </w:r>
      <w:r w:rsidR="00E8510C" w:rsidRPr="00B86BE6">
        <w:t xml:space="preserve"> </w:t>
      </w:r>
      <w:r w:rsidR="000F358D" w:rsidRPr="00B86BE6">
        <w:t>more flexibility</w:t>
      </w:r>
      <w:r w:rsidR="00E8510C" w:rsidRPr="00B86BE6">
        <w:t xml:space="preserve"> and can </w:t>
      </w:r>
      <w:r w:rsidR="00F70124" w:rsidRPr="00B86BE6">
        <w:t>take more risks. E</w:t>
      </w:r>
      <w:r w:rsidR="00E8510C" w:rsidRPr="00B86BE6">
        <w:t>ven the PEM when Monroe</w:t>
      </w:r>
      <w:r w:rsidR="00F70124" w:rsidRPr="00B86BE6">
        <w:t xml:space="preserve"> first took over or the Brooklyn </w:t>
      </w:r>
      <w:r w:rsidR="00E8510C" w:rsidRPr="00B86BE6">
        <w:t>Mu</w:t>
      </w:r>
      <w:r w:rsidR="000E1645" w:rsidRPr="00B86BE6">
        <w:t>seum before “Brooklyn came back</w:t>
      </w:r>
      <w:r w:rsidR="00E8510C" w:rsidRPr="00B86BE6">
        <w:t xml:space="preserve">” </w:t>
      </w:r>
      <w:r w:rsidR="00F70124" w:rsidRPr="00B86BE6">
        <w:t xml:space="preserve">enjoyed more degrees of freedom than the MFA </w:t>
      </w:r>
      <w:r w:rsidR="00EC045D" w:rsidRPr="00B86BE6">
        <w:t>because</w:t>
      </w:r>
      <w:r w:rsidR="00D238C4" w:rsidRPr="00B86BE6">
        <w:t xml:space="preserve"> they were</w:t>
      </w:r>
      <w:r w:rsidR="000F358D" w:rsidRPr="00B86BE6">
        <w:t xml:space="preserve"> somewhat</w:t>
      </w:r>
      <w:r w:rsidR="00D238C4" w:rsidRPr="00B86BE6">
        <w:t xml:space="preserve"> out of the lime</w:t>
      </w:r>
      <w:r w:rsidR="00294A7B" w:rsidRPr="00B86BE6">
        <w:t>light.</w:t>
      </w:r>
    </w:p>
    <w:p w:rsidR="00294A7B" w:rsidRPr="00B86BE6" w:rsidRDefault="00294A7B" w:rsidP="0009629F"/>
    <w:p w:rsidR="00044515" w:rsidRPr="00B86BE6" w:rsidRDefault="00294A7B" w:rsidP="002D7B68">
      <w:pPr>
        <w:ind w:firstLine="720"/>
      </w:pPr>
      <w:r w:rsidRPr="00B86BE6">
        <w:t xml:space="preserve">All of these museums operate against the </w:t>
      </w:r>
      <w:r w:rsidR="002D7B68" w:rsidRPr="00B86BE6">
        <w:t>backdrop of</w:t>
      </w:r>
      <w:r w:rsidR="00044515" w:rsidRPr="00B86BE6">
        <w:t xml:space="preserve"> a particular understanding o</w:t>
      </w:r>
      <w:r w:rsidRPr="00B86BE6">
        <w:t xml:space="preserve">f the nation and its role in the world.  They do not </w:t>
      </w:r>
      <w:r w:rsidR="00044515" w:rsidRPr="00B86BE6">
        <w:t xml:space="preserve">mount exhibits about universal challenges like climate change or human trafficking, </w:t>
      </w:r>
      <w:r w:rsidR="00F73AE9" w:rsidRPr="00B86BE6">
        <w:t xml:space="preserve">which develop </w:t>
      </w:r>
      <w:r w:rsidR="00044515" w:rsidRPr="00B86BE6">
        <w:t xml:space="preserve">cosmopolitan competencies by stressing the problems we all share.  </w:t>
      </w:r>
      <w:r w:rsidRPr="00B86BE6">
        <w:t xml:space="preserve">That Sweden created global citizens by addressing their rights and responsibilities directly comes as no surprise.  It flows logically from the histories and collections of its cultural institutions but also from </w:t>
      </w:r>
      <w:r w:rsidR="00A47791" w:rsidRPr="00B86BE6">
        <w:t xml:space="preserve">Sweden’s </w:t>
      </w:r>
      <w:r w:rsidR="00044515" w:rsidRPr="00B86BE6">
        <w:t xml:space="preserve">desire to </w:t>
      </w:r>
      <w:r w:rsidR="00A47791" w:rsidRPr="00B86BE6">
        <w:t xml:space="preserve">be a moral leader in the world. </w:t>
      </w:r>
    </w:p>
    <w:p w:rsidR="00044515" w:rsidRPr="00B86BE6" w:rsidRDefault="00044515" w:rsidP="002D7B68">
      <w:pPr>
        <w:ind w:firstLine="720"/>
      </w:pPr>
    </w:p>
    <w:p w:rsidR="00F275DE" w:rsidRPr="00B86BE6" w:rsidRDefault="00044515" w:rsidP="003B20EB">
      <w:pPr>
        <w:ind w:firstLine="720"/>
      </w:pPr>
      <w:r w:rsidRPr="00B86BE6">
        <w:t>In New York and Boston,</w:t>
      </w:r>
      <w:r w:rsidR="00A567A1" w:rsidRPr="00B86BE6">
        <w:t xml:space="preserve"> if and when museums saw </w:t>
      </w:r>
      <w:r w:rsidR="00A47791" w:rsidRPr="00B86BE6">
        <w:t xml:space="preserve">themselves as </w:t>
      </w:r>
      <w:r w:rsidR="00294A7B" w:rsidRPr="00B86BE6">
        <w:t xml:space="preserve">creating </w:t>
      </w:r>
      <w:r w:rsidR="00F73AE9" w:rsidRPr="00B86BE6">
        <w:t>cosmop</w:t>
      </w:r>
      <w:r w:rsidR="00A567A1" w:rsidRPr="00B86BE6">
        <w:t>olitan competencies, they</w:t>
      </w:r>
      <w:r w:rsidR="00294A7B" w:rsidRPr="00B86BE6">
        <w:t xml:space="preserve"> began from a different starting point. Sometimes, they showcased </w:t>
      </w:r>
      <w:r w:rsidR="00F73AE9" w:rsidRPr="00B86BE6">
        <w:t>internal diversity</w:t>
      </w:r>
      <w:r w:rsidR="00F70124" w:rsidRPr="00B86BE6">
        <w:t xml:space="preserve">, something they are </w:t>
      </w:r>
      <w:r w:rsidR="00F73AE9" w:rsidRPr="00B86BE6">
        <w:t xml:space="preserve">more committed to and </w:t>
      </w:r>
      <w:r w:rsidR="00A567A1" w:rsidRPr="00B86BE6">
        <w:t xml:space="preserve">convinced of </w:t>
      </w:r>
      <w:r w:rsidR="00F73AE9" w:rsidRPr="00B86BE6">
        <w:t>than</w:t>
      </w:r>
      <w:r w:rsidR="00294A7B" w:rsidRPr="00B86BE6">
        <w:t xml:space="preserve"> the Swedes or the Danes</w:t>
      </w:r>
      <w:r w:rsidR="00F70124" w:rsidRPr="00B86BE6">
        <w:t xml:space="preserve">. Or they </w:t>
      </w:r>
      <w:r w:rsidR="00294A7B" w:rsidRPr="00B86BE6">
        <w:t xml:space="preserve">showcased </w:t>
      </w:r>
      <w:r w:rsidR="002D7B68" w:rsidRPr="00B86BE6">
        <w:t>common human experience</w:t>
      </w:r>
      <w:r w:rsidR="003B20EB" w:rsidRPr="00B86BE6">
        <w:t>s—</w:t>
      </w:r>
      <w:r w:rsidR="00A47791" w:rsidRPr="00B86BE6">
        <w:t xml:space="preserve">by exploring </w:t>
      </w:r>
      <w:r w:rsidR="002D7B68" w:rsidRPr="00B86BE6">
        <w:t>the themes</w:t>
      </w:r>
      <w:r w:rsidR="00FB6C02" w:rsidRPr="00B86BE6">
        <w:t xml:space="preserve">, objects, emotions </w:t>
      </w:r>
      <w:r w:rsidR="00A47791" w:rsidRPr="00B86BE6">
        <w:t xml:space="preserve">we </w:t>
      </w:r>
      <w:r w:rsidR="00F70124" w:rsidRPr="00B86BE6">
        <w:t>a</w:t>
      </w:r>
      <w:r w:rsidR="00A567A1" w:rsidRPr="00B86BE6">
        <w:t xml:space="preserve">ll share or by showing how much </w:t>
      </w:r>
      <w:r w:rsidR="003B20EB" w:rsidRPr="00B86BE6">
        <w:t>artistic and decorative objects or artistic movements</w:t>
      </w:r>
      <w:r w:rsidR="00F70124" w:rsidRPr="00B86BE6">
        <w:t xml:space="preserve"> </w:t>
      </w:r>
      <w:r w:rsidR="00A567A1" w:rsidRPr="00B86BE6">
        <w:t>that took shape</w:t>
      </w:r>
      <w:r w:rsidR="00294A7B" w:rsidRPr="00B86BE6">
        <w:t xml:space="preserve"> on opposite sides of the world </w:t>
      </w:r>
      <w:r w:rsidR="00A567A1" w:rsidRPr="00B86BE6">
        <w:t>have in common</w:t>
      </w:r>
      <w:r w:rsidR="003B20EB" w:rsidRPr="00B86BE6">
        <w:t xml:space="preserve">. </w:t>
      </w:r>
      <w:r w:rsidR="00A567A1" w:rsidRPr="00B86BE6">
        <w:t xml:space="preserve">Here, </w:t>
      </w:r>
      <w:r w:rsidR="00F70124" w:rsidRPr="00B86BE6">
        <w:t>a</w:t>
      </w:r>
      <w:r w:rsidR="00A47791" w:rsidRPr="00B86BE6">
        <w:t>rt and culture facilitate an encounter with difference, an</w:t>
      </w:r>
      <w:r w:rsidR="003B20EB" w:rsidRPr="00B86BE6">
        <w:t xml:space="preserve">d help </w:t>
      </w:r>
      <w:r w:rsidR="00FB6C02" w:rsidRPr="00B86BE6">
        <w:t>visitors become more comfortable and curious about it</w:t>
      </w:r>
      <w:r w:rsidR="00A47791" w:rsidRPr="00B86BE6">
        <w:t>, but</w:t>
      </w:r>
      <w:r w:rsidR="00FB6C02" w:rsidRPr="00B86BE6">
        <w:t xml:space="preserve"> there is no action plan or agenda. </w:t>
      </w:r>
      <w:r w:rsidR="000F5651" w:rsidRPr="00B86BE6">
        <w:t xml:space="preserve"> What you do about how “the other” differs from you socioeconomically is not part of the package. </w:t>
      </w:r>
      <w:r w:rsidR="00FA7765" w:rsidRPr="00B86BE6">
        <w:t>This is in part</w:t>
      </w:r>
      <w:r w:rsidR="00FB6C02" w:rsidRPr="00B86BE6">
        <w:t xml:space="preserve"> because</w:t>
      </w:r>
      <w:r w:rsidR="00294A7B" w:rsidRPr="00B86BE6">
        <w:t xml:space="preserve"> museums in the U.S. are </w:t>
      </w:r>
      <w:r w:rsidR="003B20EB" w:rsidRPr="00B86BE6">
        <w:t>private institutions, not responsible for achieving state goals. It is because</w:t>
      </w:r>
      <w:r w:rsidR="00294A7B" w:rsidRPr="00B86BE6">
        <w:t xml:space="preserve"> the institutions </w:t>
      </w:r>
      <w:r w:rsidR="00FA7765" w:rsidRPr="00B86BE6">
        <w:t xml:space="preserve">discussed here are </w:t>
      </w:r>
      <w:r w:rsidR="003B20EB" w:rsidRPr="00B86BE6">
        <w:t>primarily</w:t>
      </w:r>
      <w:r w:rsidR="000F5651" w:rsidRPr="00B86BE6">
        <w:t xml:space="preserve"> art or encyclopedic museums</w:t>
      </w:r>
      <w:r w:rsidR="00294A7B" w:rsidRPr="00B86BE6">
        <w:t xml:space="preserve">, not museums of history or material culture. </w:t>
      </w:r>
      <w:r w:rsidR="000F5651" w:rsidRPr="00B86BE6">
        <w:t xml:space="preserve">But it also reflects the United States’ </w:t>
      </w:r>
      <w:r w:rsidR="00FB6C02" w:rsidRPr="00B86BE6">
        <w:t>desire to lead, witho</w:t>
      </w:r>
      <w:r w:rsidR="003B20EB" w:rsidRPr="00B86BE6">
        <w:t xml:space="preserve">ut a particularly </w:t>
      </w:r>
      <w:r w:rsidR="00294A7B" w:rsidRPr="00B86BE6">
        <w:t xml:space="preserve">consistent or strong </w:t>
      </w:r>
      <w:r w:rsidR="003B20EB" w:rsidRPr="00B86BE6">
        <w:t xml:space="preserve">commitment to </w:t>
      </w:r>
      <w:r w:rsidR="00FB6C02" w:rsidRPr="00B86BE6">
        <w:t>moral leadership</w:t>
      </w:r>
      <w:r w:rsidR="003B20EB" w:rsidRPr="00B86BE6">
        <w:t xml:space="preserve">. It reflects a tendency to lead without engaging, a sense that </w:t>
      </w:r>
      <w:r w:rsidR="00A567A1" w:rsidRPr="00B86BE6">
        <w:t>when you are wealthy and powerful</w:t>
      </w:r>
      <w:r w:rsidR="00FA7765" w:rsidRPr="00B86BE6">
        <w:t xml:space="preserve"> enough</w:t>
      </w:r>
      <w:r w:rsidR="003B20EB" w:rsidRPr="00B86BE6">
        <w:t xml:space="preserve">, </w:t>
      </w:r>
      <w:r w:rsidR="004A5095" w:rsidRPr="00B86BE6">
        <w:t>you</w:t>
      </w:r>
      <w:r w:rsidR="00294A7B" w:rsidRPr="00B86BE6">
        <w:t xml:space="preserve"> can</w:t>
      </w:r>
      <w:r w:rsidR="004A5095" w:rsidRPr="00B86BE6">
        <w:t xml:space="preserve"> </w:t>
      </w:r>
      <w:r w:rsidR="000F5651" w:rsidRPr="00B86BE6">
        <w:t>just lead and</w:t>
      </w:r>
      <w:r w:rsidR="00294A7B" w:rsidRPr="00B86BE6">
        <w:t xml:space="preserve"> others will follow</w:t>
      </w:r>
      <w:r w:rsidR="003B20EB" w:rsidRPr="00B86BE6">
        <w:t xml:space="preserve">. </w:t>
      </w:r>
    </w:p>
    <w:p w:rsidR="001228C7" w:rsidRPr="00B86BE6" w:rsidRDefault="001228C7" w:rsidP="0009629F"/>
    <w:p w:rsidR="0009629F" w:rsidRPr="00B86BE6" w:rsidRDefault="00CC3137" w:rsidP="00E60362">
      <w:pPr>
        <w:ind w:firstLine="720"/>
      </w:pPr>
      <w:r w:rsidRPr="00B86BE6">
        <w:t xml:space="preserve">Both the MFA and the </w:t>
      </w:r>
      <w:r w:rsidR="00667436" w:rsidRPr="00B86BE6">
        <w:t xml:space="preserve">Brooklyn </w:t>
      </w:r>
      <w:r w:rsidR="00294A7B" w:rsidRPr="00B86BE6">
        <w:t xml:space="preserve">Museum </w:t>
      </w:r>
      <w:r w:rsidR="00667436" w:rsidRPr="00B86BE6">
        <w:t>rewrote the American art story</w:t>
      </w:r>
      <w:r w:rsidR="00FA7765" w:rsidRPr="00B86BE6">
        <w:t>,</w:t>
      </w:r>
      <w:r w:rsidRPr="00B86BE6">
        <w:t xml:space="preserve"> but they did it using </w:t>
      </w:r>
      <w:r w:rsidR="00FA7765" w:rsidRPr="00B86BE6">
        <w:t>different syntaxes</w:t>
      </w:r>
      <w:r w:rsidR="00586610" w:rsidRPr="00B86BE6">
        <w:t xml:space="preserve"> and </w:t>
      </w:r>
      <w:r w:rsidR="00FA7765" w:rsidRPr="00B86BE6">
        <w:t xml:space="preserve">with different </w:t>
      </w:r>
      <w:r w:rsidR="00586610" w:rsidRPr="00B86BE6">
        <w:t>goals in mind.</w:t>
      </w:r>
      <w:r w:rsidR="004A5095" w:rsidRPr="00B86BE6">
        <w:rPr>
          <w:rStyle w:val="EndnoteReference"/>
        </w:rPr>
        <w:endnoteReference w:id="96"/>
      </w:r>
      <w:r w:rsidR="00E60362" w:rsidRPr="00B86BE6">
        <w:t xml:space="preserve"> </w:t>
      </w:r>
      <w:r w:rsidR="00C752C7" w:rsidRPr="00B86BE6">
        <w:t>The Brookl</w:t>
      </w:r>
      <w:r w:rsidR="00667436" w:rsidRPr="00B86BE6">
        <w:t xml:space="preserve">yn narrative, told with comfortable chairs, </w:t>
      </w:r>
      <w:r w:rsidR="009D5483" w:rsidRPr="00B86BE6">
        <w:t>bright blue and green walls</w:t>
      </w:r>
      <w:r w:rsidR="00667436" w:rsidRPr="00B86BE6">
        <w:t>,</w:t>
      </w:r>
      <w:r w:rsidR="00C752C7" w:rsidRPr="00B86BE6">
        <w:t xml:space="preserve"> and 80 word text</w:t>
      </w:r>
      <w:r w:rsidR="00667436" w:rsidRPr="00B86BE6">
        <w:t xml:space="preserve"> limits, is </w:t>
      </w:r>
      <w:r w:rsidR="009D5483" w:rsidRPr="00B86BE6">
        <w:t xml:space="preserve">directed toward </w:t>
      </w:r>
      <w:r w:rsidR="00667436" w:rsidRPr="00B86BE6">
        <w:t>new or inexperienced museum goers who need a special welcome to come in. “Stunning” takes a back seat to “accessible.” That’s not to say tha</w:t>
      </w:r>
      <w:r w:rsidRPr="00B86BE6">
        <w:t xml:space="preserve">t the objects on display are not </w:t>
      </w:r>
      <w:r w:rsidR="00667436" w:rsidRPr="00B86BE6">
        <w:t xml:space="preserve">beautiful. It is to say that they are </w:t>
      </w:r>
      <w:r w:rsidR="009D5483" w:rsidRPr="00B86BE6">
        <w:t xml:space="preserve">chosen, grouped, and exhibited </w:t>
      </w:r>
      <w:r w:rsidR="00667436" w:rsidRPr="00B86BE6">
        <w:t xml:space="preserve">with the neighborhood in mind. </w:t>
      </w:r>
      <w:r w:rsidR="00586610" w:rsidRPr="00B86BE6">
        <w:t xml:space="preserve">There is a strong purposeful </w:t>
      </w:r>
      <w:r w:rsidR="009D5483" w:rsidRPr="00B86BE6">
        <w:t>message about America’s internal diversity and about ho</w:t>
      </w:r>
      <w:r w:rsidR="00294A7B" w:rsidRPr="00B86BE6">
        <w:t>w that connects us to the world</w:t>
      </w:r>
      <w:r w:rsidR="00667436" w:rsidRPr="00B86BE6">
        <w:t xml:space="preserve">. </w:t>
      </w:r>
      <w:r w:rsidR="009D5483" w:rsidRPr="00B86BE6">
        <w:t>Deborah Hall</w:t>
      </w:r>
      <w:r w:rsidR="002201CF" w:rsidRPr="00B86BE6">
        <w:t xml:space="preserve"> and </w:t>
      </w:r>
      <w:r w:rsidR="009D5483" w:rsidRPr="00B86BE6">
        <w:t xml:space="preserve">Doña Mariana Belsunse y Salasar hang next to one another, while </w:t>
      </w:r>
      <w:r w:rsidRPr="00B86BE6">
        <w:rPr>
          <w:rFonts w:eastAsia="MS Mincho"/>
        </w:rPr>
        <w:t xml:space="preserve">Timothy Matlack, the </w:t>
      </w:r>
      <w:r w:rsidR="009D5483" w:rsidRPr="00B86BE6">
        <w:rPr>
          <w:rFonts w:eastAsia="MS Mincho"/>
        </w:rPr>
        <w:t>lawyer</w:t>
      </w:r>
      <w:r w:rsidRPr="00B86BE6">
        <w:rPr>
          <w:rFonts w:eastAsia="MS Mincho"/>
        </w:rPr>
        <w:t xml:space="preserve"> in this chapter’s title</w:t>
      </w:r>
      <w:r w:rsidR="009D5483" w:rsidRPr="00B86BE6">
        <w:rPr>
          <w:rFonts w:eastAsia="MS Mincho"/>
        </w:rPr>
        <w:t xml:space="preserve">, and Don </w:t>
      </w:r>
      <w:r w:rsidRPr="00B86BE6">
        <w:rPr>
          <w:rFonts w:eastAsia="MS Mincho"/>
        </w:rPr>
        <w:t xml:space="preserve">Manuel José Rubio y Salinas, the </w:t>
      </w:r>
      <w:r w:rsidR="009D5483" w:rsidRPr="00B86BE6">
        <w:rPr>
          <w:rFonts w:eastAsia="MS Mincho"/>
        </w:rPr>
        <w:t>priest</w:t>
      </w:r>
      <w:r w:rsidRPr="00B86BE6">
        <w:rPr>
          <w:rFonts w:eastAsia="MS Mincho"/>
        </w:rPr>
        <w:t>,</w:t>
      </w:r>
      <w:r w:rsidR="009D5483" w:rsidRPr="00B86BE6">
        <w:rPr>
          <w:rFonts w:eastAsia="MS Mincho"/>
        </w:rPr>
        <w:t xml:space="preserve"> are in neighboring rooms. </w:t>
      </w:r>
      <w:r w:rsidR="002201CF" w:rsidRPr="00B86BE6">
        <w:rPr>
          <w:rFonts w:eastAsia="MS Mincho"/>
        </w:rPr>
        <w:t xml:space="preserve">And </w:t>
      </w:r>
      <w:r w:rsidRPr="00B86BE6">
        <w:rPr>
          <w:rFonts w:eastAsia="MS Mincho"/>
        </w:rPr>
        <w:t xml:space="preserve">all this from an </w:t>
      </w:r>
      <w:r w:rsidR="002201CF" w:rsidRPr="00B86BE6">
        <w:rPr>
          <w:rFonts w:eastAsia="MS Mincho"/>
        </w:rPr>
        <w:t>institution that hosts the extremely popular Target First Saturdays program</w:t>
      </w:r>
      <w:r w:rsidR="00FA7765" w:rsidRPr="00B86BE6">
        <w:rPr>
          <w:rFonts w:eastAsia="MS Mincho"/>
        </w:rPr>
        <w:t>,</w:t>
      </w:r>
      <w:r w:rsidR="002201CF" w:rsidRPr="00B86BE6">
        <w:rPr>
          <w:rFonts w:eastAsia="MS Mincho"/>
        </w:rPr>
        <w:t xml:space="preserve"> when the museum </w:t>
      </w:r>
      <w:r w:rsidRPr="00B86BE6">
        <w:rPr>
          <w:rFonts w:eastAsia="MS Mincho"/>
        </w:rPr>
        <w:t xml:space="preserve">remains open for free on the first </w:t>
      </w:r>
      <w:r w:rsidR="00586610" w:rsidRPr="00B86BE6">
        <w:rPr>
          <w:rFonts w:eastAsia="MS Mincho"/>
        </w:rPr>
        <w:t>Saturday night of the month</w:t>
      </w:r>
      <w:r w:rsidRPr="00B86BE6">
        <w:rPr>
          <w:rFonts w:eastAsia="MS Mincho"/>
        </w:rPr>
        <w:t xml:space="preserve"> until 11 pm</w:t>
      </w:r>
      <w:r w:rsidR="002201CF" w:rsidRPr="00B86BE6">
        <w:rPr>
          <w:rFonts w:eastAsia="MS Mincho"/>
        </w:rPr>
        <w:t xml:space="preserve">, sometimes attracting over </w:t>
      </w:r>
      <w:r w:rsidR="002201CF" w:rsidRPr="00B86BE6">
        <w:rPr>
          <w:rFonts w:eastAsia="ＭＳ 明朝" w:cs="Helvetica"/>
          <w:color w:val="141414"/>
        </w:rPr>
        <w:t xml:space="preserve">20,000 people to its dance parties, lectures, and musical performances. </w:t>
      </w:r>
    </w:p>
    <w:p w:rsidR="0009629F" w:rsidRPr="00B86BE6" w:rsidRDefault="0009629F" w:rsidP="0009629F">
      <w:pPr>
        <w:ind w:firstLine="720"/>
      </w:pPr>
    </w:p>
    <w:p w:rsidR="003B7F5B" w:rsidRPr="00B86BE6" w:rsidRDefault="0009629F" w:rsidP="0009629F">
      <w:pPr>
        <w:ind w:firstLine="720"/>
        <w:rPr>
          <w:rFonts w:eastAsia="ＭＳ 明朝" w:cs="Arial"/>
        </w:rPr>
      </w:pPr>
      <w:r w:rsidRPr="00B86BE6">
        <w:t>The MFA</w:t>
      </w:r>
      <w:r w:rsidR="002201CF" w:rsidRPr="00B86BE6">
        <w:t xml:space="preserve"> also tells a </w:t>
      </w:r>
      <w:r w:rsidR="00586610" w:rsidRPr="00B86BE6">
        <w:t xml:space="preserve">subtler </w:t>
      </w:r>
      <w:r w:rsidR="002201CF" w:rsidRPr="00B86BE6">
        <w:t xml:space="preserve">story of connection but with longer texts and </w:t>
      </w:r>
      <w:r w:rsidR="00CC3137" w:rsidRPr="00B86BE6">
        <w:t xml:space="preserve">more subdued </w:t>
      </w:r>
      <w:r w:rsidR="002201CF" w:rsidRPr="00B86BE6">
        <w:t>walls.</w:t>
      </w:r>
      <w:r w:rsidR="00AE7A9B" w:rsidRPr="00B86BE6">
        <w:t xml:space="preserve"> It is a story about how the nation changed as a result </w:t>
      </w:r>
      <w:r w:rsidR="00CC3137" w:rsidRPr="00B86BE6">
        <w:t>of these ties</w:t>
      </w:r>
      <w:r w:rsidR="00FA7765" w:rsidRPr="00B86BE6">
        <w:t>,</w:t>
      </w:r>
      <w:r w:rsidR="00CC3137" w:rsidRPr="00B86BE6">
        <w:t xml:space="preserve"> </w:t>
      </w:r>
      <w:r w:rsidR="00AE7A9B" w:rsidRPr="00B86BE6">
        <w:t>not about what Americans need to do in response.</w:t>
      </w:r>
      <w:r w:rsidR="002201CF" w:rsidRPr="00B86BE6">
        <w:t xml:space="preserve"> </w:t>
      </w:r>
      <w:r w:rsidR="005B2999" w:rsidRPr="00B86BE6">
        <w:t>It is pitched higher and more elegantly; one has to look and listen har</w:t>
      </w:r>
      <w:r w:rsidR="004A5095" w:rsidRPr="00B86BE6">
        <w:t>der to hear the stories of minorities</w:t>
      </w:r>
      <w:r w:rsidR="003B7F5B" w:rsidRPr="00B86BE6">
        <w:t xml:space="preserve">, which are fewer and farther between and, </w:t>
      </w:r>
      <w:r w:rsidR="005B2999" w:rsidRPr="00B86BE6">
        <w:t>in the case of Native Americans</w:t>
      </w:r>
      <w:r w:rsidR="003B7F5B" w:rsidRPr="00B86BE6">
        <w:t xml:space="preserve">, stand alone in a separate, </w:t>
      </w:r>
      <w:r w:rsidR="00CC3137" w:rsidRPr="00B86BE6">
        <w:t xml:space="preserve">basement </w:t>
      </w:r>
      <w:r w:rsidR="003B7F5B" w:rsidRPr="00B86BE6">
        <w:t xml:space="preserve">gallery. </w:t>
      </w:r>
      <w:r w:rsidR="005B2999" w:rsidRPr="00B86BE6">
        <w:t xml:space="preserve">The MFA also opens its doors </w:t>
      </w:r>
      <w:r w:rsidR="005B2999" w:rsidRPr="00B86BE6">
        <w:rPr>
          <w:rFonts w:eastAsia="ＭＳ 明朝" w:cs="Arial"/>
        </w:rPr>
        <w:t>on the first Friday of each month</w:t>
      </w:r>
      <w:r w:rsidR="003B7F5B" w:rsidRPr="00B86BE6">
        <w:rPr>
          <w:rFonts w:eastAsia="ＭＳ 明朝" w:cs="Arial"/>
        </w:rPr>
        <w:t>, inviting visitors to come “</w:t>
      </w:r>
      <w:r w:rsidR="005B2999" w:rsidRPr="00B86BE6">
        <w:rPr>
          <w:rFonts w:eastAsia="ＭＳ 明朝" w:cs="Arial"/>
        </w:rPr>
        <w:t>for fine art, music, cash bars featuring signature cocktails, and delicio</w:t>
      </w:r>
      <w:r w:rsidR="003B7F5B" w:rsidRPr="00B86BE6">
        <w:rPr>
          <w:rFonts w:eastAsia="ＭＳ 明朝" w:cs="Arial"/>
        </w:rPr>
        <w:t>us tapas available for purchase</w:t>
      </w:r>
      <w:r w:rsidR="005B2999" w:rsidRPr="00B86BE6">
        <w:rPr>
          <w:rFonts w:eastAsia="ＭＳ 明朝" w:cs="Arial"/>
        </w:rPr>
        <w:t>”</w:t>
      </w:r>
      <w:r w:rsidR="003B7F5B" w:rsidRPr="00B86BE6">
        <w:rPr>
          <w:rFonts w:eastAsia="ＭＳ 明朝" w:cs="Arial"/>
        </w:rPr>
        <w:t>—in essence a mixer for cultured twenty and thirty-somethings, not a multicultural community celebration.</w:t>
      </w:r>
      <w:r w:rsidR="005B2999" w:rsidRPr="00B86BE6">
        <w:rPr>
          <w:rStyle w:val="EndnoteReference"/>
          <w:rFonts w:eastAsia="ＭＳ 明朝" w:cs="Arial"/>
        </w:rPr>
        <w:endnoteReference w:id="97"/>
      </w:r>
      <w:r w:rsidR="005B2999" w:rsidRPr="00B86BE6">
        <w:rPr>
          <w:rFonts w:eastAsia="ＭＳ 明朝" w:cs="Arial"/>
        </w:rPr>
        <w:t> </w:t>
      </w:r>
    </w:p>
    <w:p w:rsidR="003B7F5B" w:rsidRPr="00B86BE6" w:rsidRDefault="003B7F5B" w:rsidP="0009629F">
      <w:pPr>
        <w:ind w:firstLine="720"/>
        <w:rPr>
          <w:rFonts w:eastAsia="ＭＳ 明朝" w:cs="Arial"/>
        </w:rPr>
      </w:pPr>
    </w:p>
    <w:p w:rsidR="00AE7A9B" w:rsidRPr="00B86BE6" w:rsidRDefault="00AA6C55" w:rsidP="0009629F">
      <w:pPr>
        <w:ind w:firstLine="720"/>
        <w:rPr>
          <w:rFonts w:eastAsia="ＭＳ 明朝" w:cs="Arial"/>
        </w:rPr>
      </w:pPr>
      <w:r w:rsidRPr="00B86BE6">
        <w:rPr>
          <w:rFonts w:eastAsia="ＭＳ 明朝" w:cs="Arial"/>
        </w:rPr>
        <w:t>Many</w:t>
      </w:r>
      <w:r w:rsidR="00AE7A9B" w:rsidRPr="00B86BE6">
        <w:rPr>
          <w:rFonts w:eastAsia="ＭＳ 明朝" w:cs="Arial"/>
        </w:rPr>
        <w:t>, although certainly not al</w:t>
      </w:r>
      <w:r w:rsidR="00CC3137" w:rsidRPr="00B86BE6">
        <w:rPr>
          <w:rFonts w:eastAsia="ＭＳ 明朝" w:cs="Arial"/>
        </w:rPr>
        <w:t xml:space="preserve">l, </w:t>
      </w:r>
      <w:r w:rsidRPr="00B86BE6">
        <w:rPr>
          <w:rFonts w:eastAsia="ＭＳ 明朝" w:cs="Arial"/>
        </w:rPr>
        <w:t xml:space="preserve">the curators </w:t>
      </w:r>
      <w:r w:rsidR="00AE7A9B" w:rsidRPr="00B86BE6">
        <w:rPr>
          <w:rFonts w:eastAsia="ＭＳ 明朝" w:cs="Arial"/>
        </w:rPr>
        <w:t xml:space="preserve">I spoke to </w:t>
      </w:r>
      <w:r w:rsidRPr="00B86BE6">
        <w:rPr>
          <w:rFonts w:eastAsia="ＭＳ 明朝" w:cs="Arial"/>
        </w:rPr>
        <w:t xml:space="preserve">at </w:t>
      </w:r>
      <w:r w:rsidR="003B7F5B" w:rsidRPr="00B86BE6">
        <w:rPr>
          <w:rFonts w:eastAsia="ＭＳ 明朝" w:cs="Arial"/>
        </w:rPr>
        <w:t xml:space="preserve">both institutions want to tell a more global story. They strongly believe museums </w:t>
      </w:r>
      <w:r w:rsidRPr="00B86BE6">
        <w:rPr>
          <w:rFonts w:eastAsia="ＭＳ 明朝" w:cs="Arial"/>
        </w:rPr>
        <w:t xml:space="preserve">need to do </w:t>
      </w:r>
      <w:r w:rsidR="003B7F5B" w:rsidRPr="00B86BE6">
        <w:rPr>
          <w:rFonts w:eastAsia="ＭＳ 明朝" w:cs="Arial"/>
        </w:rPr>
        <w:t>something different. So, it</w:t>
      </w:r>
      <w:r w:rsidRPr="00B86BE6">
        <w:rPr>
          <w:rFonts w:eastAsia="ＭＳ 明朝" w:cs="Arial"/>
        </w:rPr>
        <w:t>’</w:t>
      </w:r>
      <w:r w:rsidR="003B7F5B" w:rsidRPr="00B86BE6">
        <w:rPr>
          <w:rFonts w:eastAsia="ＭＳ 明朝" w:cs="Arial"/>
        </w:rPr>
        <w:t xml:space="preserve">s not </w:t>
      </w:r>
      <w:r w:rsidR="00AE7A9B" w:rsidRPr="00B86BE6">
        <w:rPr>
          <w:rFonts w:eastAsia="ＭＳ 明朝" w:cs="Arial"/>
        </w:rPr>
        <w:t>for lack of trying or good will on their part.</w:t>
      </w:r>
      <w:r w:rsidR="003B7F5B" w:rsidRPr="00B86BE6">
        <w:rPr>
          <w:rFonts w:eastAsia="ＭＳ 明朝" w:cs="Arial"/>
        </w:rPr>
        <w:t xml:space="preserve"> </w:t>
      </w:r>
      <w:r w:rsidR="000F5651" w:rsidRPr="00B86BE6">
        <w:rPr>
          <w:rFonts w:eastAsia="ＭＳ 明朝" w:cs="Arial"/>
        </w:rPr>
        <w:t xml:space="preserve">But each </w:t>
      </w:r>
      <w:r w:rsidR="003B7F5B" w:rsidRPr="00B86BE6">
        <w:rPr>
          <w:rFonts w:eastAsia="ＭＳ 明朝" w:cs="Arial"/>
        </w:rPr>
        <w:t xml:space="preserve">institution </w:t>
      </w:r>
      <w:r w:rsidR="00AE7A9B" w:rsidRPr="00B86BE6">
        <w:rPr>
          <w:rFonts w:eastAsia="ＭＳ 明朝" w:cs="Arial"/>
        </w:rPr>
        <w:t xml:space="preserve">is </w:t>
      </w:r>
      <w:r w:rsidR="003B7F5B" w:rsidRPr="00B86BE6">
        <w:rPr>
          <w:rFonts w:eastAsia="ＭＳ 明朝" w:cs="Arial"/>
        </w:rPr>
        <w:t xml:space="preserve">constrained by its </w:t>
      </w:r>
      <w:r w:rsidR="00AE7A9B" w:rsidRPr="00B86BE6">
        <w:rPr>
          <w:rFonts w:eastAsia="ＭＳ 明朝" w:cs="Arial"/>
        </w:rPr>
        <w:t xml:space="preserve">history and holdings </w:t>
      </w:r>
      <w:r w:rsidR="001867AC" w:rsidRPr="00B86BE6">
        <w:rPr>
          <w:rFonts w:eastAsia="ＭＳ 明朝" w:cs="Arial"/>
        </w:rPr>
        <w:t xml:space="preserve">and </w:t>
      </w:r>
      <w:r w:rsidR="00430E7C" w:rsidRPr="00B86BE6">
        <w:rPr>
          <w:rFonts w:eastAsia="ＭＳ 明朝" w:cs="Arial"/>
        </w:rPr>
        <w:t xml:space="preserve">the </w:t>
      </w:r>
      <w:r w:rsidR="00AE7A9B" w:rsidRPr="00B86BE6">
        <w:rPr>
          <w:rFonts w:eastAsia="ＭＳ 明朝" w:cs="Arial"/>
        </w:rPr>
        <w:t>urban cultural armature. The Cabots and Saltonstalls created a different kind of cit</w:t>
      </w:r>
      <w:r w:rsidR="001867AC" w:rsidRPr="00B86BE6">
        <w:rPr>
          <w:rFonts w:eastAsia="ＭＳ 明朝" w:cs="Arial"/>
        </w:rPr>
        <w:t>y than the Grahams and Voorhees</w:t>
      </w:r>
      <w:r w:rsidR="00FA7765" w:rsidRPr="00B86BE6">
        <w:rPr>
          <w:rFonts w:eastAsia="ＭＳ 明朝" w:cs="Arial"/>
        </w:rPr>
        <w:t>es</w:t>
      </w:r>
      <w:r w:rsidR="00AE7A9B" w:rsidRPr="00B86BE6">
        <w:rPr>
          <w:rFonts w:eastAsia="ＭＳ 明朝" w:cs="Arial"/>
        </w:rPr>
        <w:t xml:space="preserve"> </w:t>
      </w:r>
      <w:r w:rsidR="001867AC" w:rsidRPr="00B86BE6">
        <w:rPr>
          <w:rFonts w:eastAsia="ＭＳ 明朝" w:cs="Arial"/>
        </w:rPr>
        <w:t xml:space="preserve">and a different demographic mix came to </w:t>
      </w:r>
      <w:r w:rsidR="00AE7A9B" w:rsidRPr="00B86BE6">
        <w:rPr>
          <w:rFonts w:eastAsia="ＭＳ 明朝" w:cs="Arial"/>
        </w:rPr>
        <w:t xml:space="preserve">live </w:t>
      </w:r>
      <w:r w:rsidR="00FA7765" w:rsidRPr="00B86BE6">
        <w:rPr>
          <w:rFonts w:eastAsia="ＭＳ 明朝" w:cs="Arial"/>
        </w:rPr>
        <w:t>in each city.</w:t>
      </w:r>
      <w:r w:rsidR="00AE7A9B" w:rsidRPr="00B86BE6">
        <w:rPr>
          <w:rFonts w:eastAsia="ＭＳ 明朝" w:cs="Arial"/>
        </w:rPr>
        <w:t xml:space="preserve"> </w:t>
      </w:r>
    </w:p>
    <w:p w:rsidR="001867AC" w:rsidRPr="00B86BE6" w:rsidRDefault="001867AC" w:rsidP="0009629F">
      <w:pPr>
        <w:ind w:firstLine="720"/>
        <w:rPr>
          <w:rFonts w:eastAsia="ＭＳ 明朝" w:cs="Arial"/>
        </w:rPr>
      </w:pPr>
    </w:p>
    <w:p w:rsidR="00AA6C55" w:rsidRPr="00B86BE6" w:rsidRDefault="00CF2EE3" w:rsidP="0009629F">
      <w:pPr>
        <w:ind w:firstLine="720"/>
      </w:pPr>
      <w:r w:rsidRPr="00B86BE6">
        <w:rPr>
          <w:rFonts w:eastAsia="ＭＳ 明朝" w:cs="Arial"/>
        </w:rPr>
        <w:t>L</w:t>
      </w:r>
      <w:r w:rsidR="00AA6C55" w:rsidRPr="00B86BE6">
        <w:rPr>
          <w:rFonts w:eastAsia="ＭＳ 明朝" w:cs="Arial"/>
        </w:rPr>
        <w:t xml:space="preserve">et’s talk about institutional differences before moving on to the city and beyond. </w:t>
      </w:r>
    </w:p>
    <w:p w:rsidR="0009629F" w:rsidRPr="00B86BE6" w:rsidRDefault="0009629F" w:rsidP="004A5095"/>
    <w:p w:rsidR="007740AD" w:rsidRPr="00B86BE6" w:rsidRDefault="000B231B" w:rsidP="0009629F">
      <w:pPr>
        <w:widowControl w:val="0"/>
        <w:autoSpaceDE w:val="0"/>
        <w:autoSpaceDN w:val="0"/>
        <w:adjustRightInd w:val="0"/>
        <w:spacing w:after="320"/>
        <w:ind w:firstLine="720"/>
      </w:pPr>
      <w:r w:rsidRPr="00B86BE6">
        <w:t>The mission statements of each insti</w:t>
      </w:r>
      <w:r w:rsidR="00C044D6" w:rsidRPr="00B86BE6">
        <w:t xml:space="preserve">tution </w:t>
      </w:r>
      <w:r w:rsidR="00430E7C" w:rsidRPr="00B86BE6">
        <w:t>reflect their</w:t>
      </w:r>
      <w:r w:rsidR="00CF2EE3" w:rsidRPr="00B86BE6">
        <w:t xml:space="preserve"> </w:t>
      </w:r>
      <w:r w:rsidR="00CC3F39" w:rsidRPr="00B86BE6">
        <w:t xml:space="preserve">different sensibilities and </w:t>
      </w:r>
      <w:r w:rsidR="00CF2EE3" w:rsidRPr="00B86BE6">
        <w:t>social commitments.</w:t>
      </w:r>
      <w:r w:rsidR="00CC3F39" w:rsidRPr="00B86BE6">
        <w:t xml:space="preserve"> </w:t>
      </w:r>
      <w:r w:rsidR="00AB6619" w:rsidRPr="00B86BE6">
        <w:t xml:space="preserve">Brooklyn’s current mission </w:t>
      </w:r>
      <w:r w:rsidR="0009629F" w:rsidRPr="00B86BE6">
        <w:t xml:space="preserve">“is to act as a bridge between the rich artistic heritage of world cultures, as embodied in its collections, and the unique experience of each visitor. Dedicated to the primacy of the visitor experience, committed to excellence in every aspect of its collections and programs, and drawing on both new and traditional tools of communication, interpretation, and presentation, the Museum aims to serve its diverse public as a dynamic, innovative, and welcoming center for learning through the visual arts.” </w:t>
      </w:r>
      <w:r w:rsidR="00CF2EE3" w:rsidRPr="00B86BE6">
        <w:t xml:space="preserve">Art is </w:t>
      </w:r>
      <w:r w:rsidR="001867AC" w:rsidRPr="00B86BE6">
        <w:t xml:space="preserve">clearly </w:t>
      </w:r>
      <w:r w:rsidR="00CF2EE3" w:rsidRPr="00B86BE6">
        <w:t xml:space="preserve">a tool for helping people understand and find their place in the world. </w:t>
      </w:r>
    </w:p>
    <w:p w:rsidR="0009629F" w:rsidRPr="00B86BE6" w:rsidRDefault="0009629F" w:rsidP="0009629F">
      <w:pPr>
        <w:widowControl w:val="0"/>
        <w:autoSpaceDE w:val="0"/>
        <w:autoSpaceDN w:val="0"/>
        <w:adjustRightInd w:val="0"/>
        <w:spacing w:after="320"/>
        <w:ind w:firstLine="720"/>
        <w:rPr>
          <w:rFonts w:eastAsiaTheme="minorEastAsia" w:cs="Arial"/>
        </w:rPr>
      </w:pPr>
      <w:r w:rsidRPr="00B86BE6">
        <w:t>In contrast, the MFA’s mission, adopted by its Board of Trustees in 1991, states that the museum “</w:t>
      </w:r>
      <w:r w:rsidRPr="00B86BE6">
        <w:rPr>
          <w:rFonts w:eastAsiaTheme="minorEastAsia" w:cs="Arial"/>
        </w:rPr>
        <w:t xml:space="preserve">houses and preserves preeminent collections and aspires to serve a wide variety of people through direct encounters with works of art...The Museum has obligations to the people of Boston and New England, across the nation and abroad. It celebrates diverse cultures and welcomes new and broader constituencies… The Museum's ultimate aim is to encourage inquiry and to heighten public understanding and appreciation of the visual world.” The visual world—not </w:t>
      </w:r>
      <w:r w:rsidR="00CF2EE3" w:rsidRPr="00B86BE6">
        <w:rPr>
          <w:rFonts w:eastAsiaTheme="minorEastAsia" w:cs="Arial"/>
        </w:rPr>
        <w:t xml:space="preserve">the social or political world. The diversity within, not the world without. </w:t>
      </w:r>
    </w:p>
    <w:p w:rsidR="009A0113" w:rsidRPr="00B86BE6" w:rsidRDefault="009D179F" w:rsidP="0026686E">
      <w:pPr>
        <w:widowControl w:val="0"/>
        <w:autoSpaceDE w:val="0"/>
        <w:autoSpaceDN w:val="0"/>
        <w:adjustRightInd w:val="0"/>
        <w:rPr>
          <w:rFonts w:eastAsia="ＭＳ 明朝"/>
        </w:rPr>
      </w:pPr>
      <w:r w:rsidRPr="00B86BE6">
        <w:rPr>
          <w:rFonts w:eastAsia="ＭＳ 明朝"/>
        </w:rPr>
        <w:tab/>
      </w:r>
      <w:r w:rsidR="000F358D" w:rsidRPr="00B86BE6">
        <w:rPr>
          <w:rFonts w:eastAsia="ＭＳ 明朝"/>
        </w:rPr>
        <w:t>New York City, according to Nancy Foner</w:t>
      </w:r>
      <w:r w:rsidR="00D244D3" w:rsidRPr="00B86BE6">
        <w:rPr>
          <w:rFonts w:eastAsia="ＭＳ 明朝"/>
        </w:rPr>
        <w:t xml:space="preserve">, is </w:t>
      </w:r>
      <w:r w:rsidR="00E2426B" w:rsidRPr="00B86BE6">
        <w:rPr>
          <w:rFonts w:eastAsia="ＭＳ 明朝"/>
        </w:rPr>
        <w:t xml:space="preserve">an exceptional </w:t>
      </w:r>
      <w:r w:rsidR="00D244D3" w:rsidRPr="00B86BE6">
        <w:rPr>
          <w:rFonts w:eastAsia="ＭＳ 明朝"/>
        </w:rPr>
        <w:t>American</w:t>
      </w:r>
      <w:r w:rsidR="00E2426B" w:rsidRPr="00B86BE6">
        <w:rPr>
          <w:rFonts w:eastAsia="ＭＳ 明朝"/>
        </w:rPr>
        <w:t xml:space="preserve"> </w:t>
      </w:r>
      <w:r w:rsidR="00D244D3" w:rsidRPr="00B86BE6">
        <w:rPr>
          <w:rFonts w:eastAsia="ＭＳ 明朝"/>
        </w:rPr>
        <w:t xml:space="preserve">immigrant city. The composition and diversity of </w:t>
      </w:r>
      <w:r w:rsidR="00E2426B" w:rsidRPr="00B86BE6">
        <w:rPr>
          <w:rFonts w:eastAsia="ＭＳ 明朝"/>
        </w:rPr>
        <w:t xml:space="preserve">the immigrant groups who </w:t>
      </w:r>
      <w:r w:rsidR="0026686E" w:rsidRPr="00B86BE6">
        <w:rPr>
          <w:rFonts w:eastAsia="ＭＳ 明朝"/>
        </w:rPr>
        <w:t>live</w:t>
      </w:r>
      <w:r w:rsidR="000F358D" w:rsidRPr="00B86BE6">
        <w:rPr>
          <w:rFonts w:eastAsia="ＭＳ 明朝"/>
        </w:rPr>
        <w:t xml:space="preserve"> there</w:t>
      </w:r>
      <w:r w:rsidR="00E2426B" w:rsidRPr="00B86BE6">
        <w:rPr>
          <w:rFonts w:eastAsia="ＭＳ 明朝"/>
        </w:rPr>
        <w:t xml:space="preserve">, and its unique institutional response, </w:t>
      </w:r>
      <w:r w:rsidR="00D244D3" w:rsidRPr="00B86BE6">
        <w:rPr>
          <w:rFonts w:eastAsia="ＭＳ 明朝"/>
        </w:rPr>
        <w:t xml:space="preserve">created a melting pot </w:t>
      </w:r>
      <w:r w:rsidR="000F358D" w:rsidRPr="00B86BE6">
        <w:rPr>
          <w:rFonts w:eastAsia="ＭＳ 明朝"/>
        </w:rPr>
        <w:t xml:space="preserve">that differs </w:t>
      </w:r>
      <w:r w:rsidR="00430E7C" w:rsidRPr="00B86BE6">
        <w:rPr>
          <w:rFonts w:eastAsia="ＭＳ 明朝"/>
        </w:rPr>
        <w:t xml:space="preserve">from the </w:t>
      </w:r>
      <w:r w:rsidR="00D244D3" w:rsidRPr="00B86BE6">
        <w:rPr>
          <w:rFonts w:eastAsia="ＭＳ 明朝"/>
        </w:rPr>
        <w:t xml:space="preserve">Latinization of other immigrant gateways like Los Angeles, Miami, and Houston.  </w:t>
      </w:r>
      <w:r w:rsidRPr="00B86BE6">
        <w:rPr>
          <w:rFonts w:eastAsia="ＭＳ 明朝"/>
        </w:rPr>
        <w:t xml:space="preserve">What makes </w:t>
      </w:r>
      <w:r w:rsidR="0026686E" w:rsidRPr="00B86BE6">
        <w:rPr>
          <w:rFonts w:eastAsia="ＭＳ 明朝"/>
        </w:rPr>
        <w:t>NY so special</w:t>
      </w:r>
      <w:r w:rsidRPr="00B86BE6">
        <w:rPr>
          <w:rFonts w:eastAsia="ＭＳ 明朝"/>
        </w:rPr>
        <w:t xml:space="preserve">? </w:t>
      </w:r>
      <w:r w:rsidR="0026686E" w:rsidRPr="00B86BE6">
        <w:rPr>
          <w:rFonts w:eastAsia="ＭＳ 明朝"/>
        </w:rPr>
        <w:t xml:space="preserve">Throughout most of </w:t>
      </w:r>
      <w:r w:rsidR="00D244D3" w:rsidRPr="00B86BE6">
        <w:rPr>
          <w:rFonts w:eastAsia="ＭＳ 明朝"/>
        </w:rPr>
        <w:t>the twentieth century, the foreign-born made up at least one fif</w:t>
      </w:r>
      <w:r w:rsidR="0026686E" w:rsidRPr="00B86BE6">
        <w:rPr>
          <w:rFonts w:eastAsia="ＭＳ 明朝"/>
        </w:rPr>
        <w:t>th of New York City’s residents, reaching as high as 41 percent in 1910 and 36 percent in 2000.</w:t>
      </w:r>
      <w:r w:rsidR="00D244D3" w:rsidRPr="00B86BE6">
        <w:rPr>
          <w:rFonts w:eastAsia="ＭＳ 明朝"/>
        </w:rPr>
        <w:t xml:space="preserve"> Large numbers of African Americans also came to live there between World War I and the 1960s</w:t>
      </w:r>
      <w:r w:rsidR="00430E7C" w:rsidRPr="00B86BE6">
        <w:rPr>
          <w:rFonts w:eastAsia="ＭＳ 明朝"/>
        </w:rPr>
        <w:t xml:space="preserve">, followed by large numbers of Puerto Ricans after </w:t>
      </w:r>
      <w:r w:rsidR="00D244D3" w:rsidRPr="00B86BE6">
        <w:rPr>
          <w:rFonts w:eastAsia="ＭＳ 明朝"/>
        </w:rPr>
        <w:t>World War II. The result is that</w:t>
      </w:r>
      <w:r w:rsidR="0026686E" w:rsidRPr="00B86BE6">
        <w:rPr>
          <w:rFonts w:eastAsia="ＭＳ 明朝"/>
        </w:rPr>
        <w:t xml:space="preserve"> the vast majority of residents </w:t>
      </w:r>
      <w:r w:rsidR="00430E7C" w:rsidRPr="00B86BE6">
        <w:rPr>
          <w:rFonts w:eastAsia="ＭＳ 明朝"/>
        </w:rPr>
        <w:t>have immigrant roots</w:t>
      </w:r>
      <w:r w:rsidR="004A5095" w:rsidRPr="00B86BE6">
        <w:rPr>
          <w:rFonts w:eastAsia="ＭＳ 明朝"/>
        </w:rPr>
        <w:t xml:space="preserve"> </w:t>
      </w:r>
      <w:r w:rsidR="00430E7C" w:rsidRPr="00B86BE6">
        <w:rPr>
          <w:rFonts w:eastAsia="ＭＳ 明朝"/>
        </w:rPr>
        <w:t xml:space="preserve">and </w:t>
      </w:r>
      <w:r w:rsidR="00D244D3" w:rsidRPr="00B86BE6">
        <w:rPr>
          <w:rFonts w:eastAsia="ＭＳ 明朝"/>
        </w:rPr>
        <w:t>that no one group dominates</w:t>
      </w:r>
      <w:r w:rsidR="00E2426B" w:rsidRPr="00B86BE6">
        <w:rPr>
          <w:rFonts w:eastAsia="ＭＳ 明朝"/>
        </w:rPr>
        <w:t xml:space="preserve">. </w:t>
      </w:r>
      <w:r w:rsidR="009A0113" w:rsidRPr="00B86BE6">
        <w:rPr>
          <w:rFonts w:eastAsia="ＭＳ 明朝"/>
        </w:rPr>
        <w:t>Between 1990 and 1996</w:t>
      </w:r>
      <w:r w:rsidR="00E2426B" w:rsidRPr="00B86BE6">
        <w:rPr>
          <w:rFonts w:eastAsia="ＭＳ 明朝"/>
        </w:rPr>
        <w:t xml:space="preserve"> </w:t>
      </w:r>
      <w:r w:rsidR="009A0113" w:rsidRPr="00B86BE6">
        <w:rPr>
          <w:rFonts w:eastAsia="ＭＳ 明朝"/>
        </w:rPr>
        <w:t>alone, as many as twenty countries sent more than 5,000 immigrants to</w:t>
      </w:r>
      <w:r w:rsidR="00E2426B" w:rsidRPr="00B86BE6">
        <w:rPr>
          <w:rFonts w:eastAsia="ＭＳ 明朝"/>
        </w:rPr>
        <w:t xml:space="preserve"> </w:t>
      </w:r>
      <w:r w:rsidR="0026686E" w:rsidRPr="00B86BE6">
        <w:rPr>
          <w:rFonts w:eastAsia="ＭＳ 明朝"/>
        </w:rPr>
        <w:t>the city.</w:t>
      </w:r>
      <w:r w:rsidR="0026686E" w:rsidRPr="00B86BE6">
        <w:rPr>
          <w:rStyle w:val="EndnoteReference"/>
          <w:rFonts w:eastAsia="ＭＳ 明朝"/>
        </w:rPr>
        <w:endnoteReference w:id="98"/>
      </w:r>
      <w:r w:rsidR="004A5095" w:rsidRPr="00B86BE6">
        <w:rPr>
          <w:rFonts w:eastAsia="ＭＳ 明朝"/>
        </w:rPr>
        <w:t>In 2000, the top three groups—</w:t>
      </w:r>
      <w:r w:rsidR="009A0113" w:rsidRPr="00B86BE6">
        <w:rPr>
          <w:rFonts w:eastAsia="ＭＳ 明朝"/>
        </w:rPr>
        <w:t>Dom</w:t>
      </w:r>
      <w:r w:rsidR="004A5095" w:rsidRPr="00B86BE6">
        <w:rPr>
          <w:rFonts w:eastAsia="ＭＳ 明朝"/>
        </w:rPr>
        <w:t>inicans, Chinese, and Jamaicans—</w:t>
      </w:r>
      <w:r w:rsidR="0026686E" w:rsidRPr="00B86BE6">
        <w:rPr>
          <w:rFonts w:eastAsia="ＭＳ 明朝"/>
        </w:rPr>
        <w:t xml:space="preserve">made up just shy of </w:t>
      </w:r>
      <w:r w:rsidR="009A0113" w:rsidRPr="00B86BE6">
        <w:rPr>
          <w:rFonts w:eastAsia="ＭＳ 明朝"/>
        </w:rPr>
        <w:t>30 per cent of</w:t>
      </w:r>
      <w:r w:rsidR="00E2426B" w:rsidRPr="00B86BE6">
        <w:rPr>
          <w:rFonts w:eastAsia="ＭＳ 明朝"/>
        </w:rPr>
        <w:t xml:space="preserve"> </w:t>
      </w:r>
      <w:r w:rsidR="009A0113" w:rsidRPr="00B86BE6">
        <w:rPr>
          <w:rFonts w:eastAsia="ＭＳ 明朝"/>
        </w:rPr>
        <w:t>all the foreign-born</w:t>
      </w:r>
      <w:r w:rsidR="00430E7C" w:rsidRPr="00B86BE6">
        <w:rPr>
          <w:rFonts w:eastAsia="ＭＳ 明朝"/>
        </w:rPr>
        <w:t xml:space="preserve"> population</w:t>
      </w:r>
      <w:r w:rsidR="009A0113" w:rsidRPr="00B86BE6">
        <w:rPr>
          <w:rFonts w:eastAsia="ＭＳ 明朝"/>
        </w:rPr>
        <w:t xml:space="preserve">. </w:t>
      </w:r>
      <w:r w:rsidR="00E2426B" w:rsidRPr="00B86BE6">
        <w:rPr>
          <w:rFonts w:eastAsia="ＭＳ 明朝"/>
        </w:rPr>
        <w:t xml:space="preserve">These individuals </w:t>
      </w:r>
      <w:r w:rsidR="0026686E" w:rsidRPr="00B86BE6">
        <w:rPr>
          <w:rFonts w:eastAsia="ＭＳ 明朝"/>
        </w:rPr>
        <w:t xml:space="preserve">also varied by class and occupation, </w:t>
      </w:r>
      <w:r w:rsidR="00430E7C" w:rsidRPr="00B86BE6">
        <w:rPr>
          <w:rFonts w:eastAsia="ＭＳ 明朝"/>
        </w:rPr>
        <w:t>nearly equally divided between high and low-skilled workers</w:t>
      </w:r>
      <w:r w:rsidR="0026686E" w:rsidRPr="00B86BE6">
        <w:rPr>
          <w:rFonts w:eastAsia="ＭＳ 明朝"/>
        </w:rPr>
        <w:t>.</w:t>
      </w:r>
      <w:r w:rsidR="0026686E" w:rsidRPr="00B86BE6">
        <w:rPr>
          <w:rStyle w:val="EndnoteReference"/>
          <w:rFonts w:eastAsia="ＭＳ 明朝"/>
        </w:rPr>
        <w:endnoteReference w:id="99"/>
      </w:r>
      <w:r w:rsidR="009A0113" w:rsidRPr="00B86BE6">
        <w:rPr>
          <w:rFonts w:eastAsia="ＭＳ 明朝"/>
        </w:rPr>
        <w:t xml:space="preserve"> </w:t>
      </w:r>
      <w:r w:rsidR="00E2426B" w:rsidRPr="00B86BE6">
        <w:rPr>
          <w:rFonts w:eastAsia="ＭＳ 明朝"/>
        </w:rPr>
        <w:t>“Multiculturalism,” Foner writes, “and by this I simply mean the coexistence of plural cultures or cultural diversity, has evolved there</w:t>
      </w:r>
      <w:r w:rsidR="0026686E" w:rsidRPr="00B86BE6">
        <w:rPr>
          <w:rFonts w:eastAsia="ＭＳ 明朝"/>
        </w:rPr>
        <w:t xml:space="preserve"> </w:t>
      </w:r>
      <w:r w:rsidR="00E2426B" w:rsidRPr="00B86BE6">
        <w:rPr>
          <w:rFonts w:eastAsia="ＭＳ 明朝"/>
        </w:rPr>
        <w:t>in what one might c</w:t>
      </w:r>
      <w:r w:rsidR="0026686E" w:rsidRPr="00B86BE6">
        <w:rPr>
          <w:rFonts w:eastAsia="ＭＳ 明朝"/>
        </w:rPr>
        <w:t>all a particular New York way….</w:t>
      </w:r>
      <w:r w:rsidR="00E2426B" w:rsidRPr="00B86BE6">
        <w:rPr>
          <w:rFonts w:eastAsia="ＭＳ 明朝"/>
        </w:rPr>
        <w:t>As a major cultural capital of America, what happens in New York has the potential to affect the shape of change elsewhere in the nation</w:t>
      </w:r>
      <w:r w:rsidR="0026686E" w:rsidRPr="00B86BE6">
        <w:rPr>
          <w:rFonts w:eastAsia="ＭＳ 明朝"/>
        </w:rPr>
        <w:t>.”</w:t>
      </w:r>
      <w:r w:rsidR="0026686E" w:rsidRPr="00B86BE6">
        <w:rPr>
          <w:rStyle w:val="EndnoteReference"/>
          <w:rFonts w:eastAsia="ＭＳ 明朝"/>
        </w:rPr>
        <w:endnoteReference w:id="100"/>
      </w:r>
      <w:r w:rsidR="00E2426B" w:rsidRPr="00B86BE6">
        <w:rPr>
          <w:rFonts w:eastAsia="ＭＳ 明朝"/>
        </w:rPr>
        <w:t xml:space="preserve"> </w:t>
      </w:r>
    </w:p>
    <w:p w:rsidR="00E2426B" w:rsidRPr="00B86BE6" w:rsidRDefault="00E2426B" w:rsidP="009A0113">
      <w:pPr>
        <w:widowControl w:val="0"/>
        <w:autoSpaceDE w:val="0"/>
        <w:autoSpaceDN w:val="0"/>
        <w:adjustRightInd w:val="0"/>
        <w:rPr>
          <w:rFonts w:eastAsia="ＭＳ 明朝"/>
        </w:rPr>
      </w:pPr>
    </w:p>
    <w:p w:rsidR="00D244D3" w:rsidRPr="00B86BE6" w:rsidRDefault="00E2426B" w:rsidP="00E2426B">
      <w:pPr>
        <w:widowControl w:val="0"/>
        <w:autoSpaceDE w:val="0"/>
        <w:autoSpaceDN w:val="0"/>
        <w:adjustRightInd w:val="0"/>
        <w:rPr>
          <w:rFonts w:eastAsia="ＭＳ 明朝"/>
        </w:rPr>
      </w:pPr>
      <w:r w:rsidRPr="00B86BE6">
        <w:rPr>
          <w:rFonts w:eastAsia="ＭＳ 明朝"/>
        </w:rPr>
        <w:tab/>
        <w:t xml:space="preserve"> </w:t>
      </w:r>
      <w:r w:rsidR="00B3531C" w:rsidRPr="00B86BE6">
        <w:rPr>
          <w:rFonts w:eastAsia="ＭＳ 明朝"/>
          <w:highlight w:val="yellow"/>
        </w:rPr>
        <w:t xml:space="preserve">KIT PLEASE ADD IN A COUPLE OF PARAGRAPHS ON BOSTON HERE USING DATA THAT HERISSA GENERATED TO SHOW THAT BOSTON HAS BEEN LESS DIVERSE, MORE DOMINATED BY A COUPLE OF GROUPS, ETC.  THE DATA COMPARE BOSTON WITH BROOKLYN (KINGS COUNTY) SO JUST USE THE SUFFOLK COUNTY DATA TO MAKE THIS COUNTERARGUMENT AS BEST YOU CAN.  </w:t>
      </w:r>
      <w:r w:rsidR="00661542" w:rsidRPr="00B86BE6">
        <w:rPr>
          <w:rFonts w:eastAsia="ＭＳ 明朝"/>
          <w:highlight w:val="yellow"/>
        </w:rPr>
        <w:t>LET ME KNOW IF THIS IS NOT CLEAR.  THANKS, PL</w:t>
      </w:r>
    </w:p>
    <w:p w:rsidR="009D179F" w:rsidRPr="00B86BE6" w:rsidRDefault="009D179F" w:rsidP="009D179F">
      <w:pPr>
        <w:widowControl w:val="0"/>
        <w:autoSpaceDE w:val="0"/>
        <w:autoSpaceDN w:val="0"/>
        <w:adjustRightInd w:val="0"/>
        <w:rPr>
          <w:rFonts w:eastAsia="ＭＳ 明朝"/>
        </w:rPr>
      </w:pPr>
    </w:p>
    <w:p w:rsidR="0009629F" w:rsidRPr="00B86BE6" w:rsidRDefault="00CD05E9" w:rsidP="0009629F">
      <w:pPr>
        <w:ind w:firstLine="720"/>
      </w:pPr>
      <w:r w:rsidRPr="00B86BE6">
        <w:t xml:space="preserve">Differences in how culture gets supported also explain </w:t>
      </w:r>
      <w:r w:rsidR="00430E7C" w:rsidRPr="00B86BE6">
        <w:t xml:space="preserve">what happens in Boston and New York. </w:t>
      </w:r>
      <w:r w:rsidR="002A75CC" w:rsidRPr="00B86BE6">
        <w:t>In New York, thirty-</w:t>
      </w:r>
      <w:r w:rsidR="0009629F" w:rsidRPr="00B86BE6">
        <w:t xml:space="preserve">three organizations </w:t>
      </w:r>
      <w:r w:rsidR="00F17FEF" w:rsidRPr="00B86BE6">
        <w:t xml:space="preserve">form the </w:t>
      </w:r>
      <w:r w:rsidR="0009629F" w:rsidRPr="00B86BE6">
        <w:t xml:space="preserve">Cultural Institutions Group, </w:t>
      </w:r>
      <w:r w:rsidR="00F17FEF" w:rsidRPr="00B86BE6">
        <w:t xml:space="preserve">which </w:t>
      </w:r>
      <w:r w:rsidR="00CF2EE3" w:rsidRPr="00B86BE6">
        <w:t xml:space="preserve">is part of </w:t>
      </w:r>
      <w:r w:rsidR="00433D39" w:rsidRPr="00B86BE6">
        <w:t>t</w:t>
      </w:r>
      <w:r w:rsidR="0009629F" w:rsidRPr="00B86BE6">
        <w:t xml:space="preserve">he Department of Cultural Affairs (DCA).  The city owns the land </w:t>
      </w:r>
      <w:r w:rsidR="002A75CC" w:rsidRPr="00B86BE6">
        <w:t>they are built on</w:t>
      </w:r>
      <w:r w:rsidR="00AB6619" w:rsidRPr="00B86BE6">
        <w:t>,</w:t>
      </w:r>
      <w:r w:rsidR="002A75CC" w:rsidRPr="00B86BE6">
        <w:t xml:space="preserve"> </w:t>
      </w:r>
      <w:r w:rsidR="0009629F" w:rsidRPr="00B86BE6">
        <w:t>the buildings</w:t>
      </w:r>
      <w:r w:rsidR="00CF2EE3" w:rsidRPr="00B86BE6">
        <w:t xml:space="preserve"> they are housed in</w:t>
      </w:r>
      <w:r w:rsidR="00AB6619" w:rsidRPr="00B86BE6">
        <w:t>,</w:t>
      </w:r>
      <w:r w:rsidR="00C12FDB" w:rsidRPr="00B86BE6">
        <w:t xml:space="preserve"> and helps members with </w:t>
      </w:r>
      <w:r w:rsidR="0009629F" w:rsidRPr="00B86BE6">
        <w:t xml:space="preserve">basic security, maintenance, administration, and energy costs. In return, </w:t>
      </w:r>
      <w:r w:rsidR="00AB6619" w:rsidRPr="00B86BE6">
        <w:t xml:space="preserve">the institutions </w:t>
      </w:r>
      <w:r w:rsidR="00CF2EE3" w:rsidRPr="00B86BE6">
        <w:t xml:space="preserve">are considered </w:t>
      </w:r>
      <w:r w:rsidR="00900931" w:rsidRPr="00B86BE6">
        <w:t>publicly owned</w:t>
      </w:r>
      <w:r w:rsidR="0009629F" w:rsidRPr="00B86BE6">
        <w:t xml:space="preserve"> facilities </w:t>
      </w:r>
      <w:r w:rsidR="00CF2EE3" w:rsidRPr="00B86BE6">
        <w:t xml:space="preserve">that provide </w:t>
      </w:r>
      <w:r w:rsidR="0009629F" w:rsidRPr="00B86BE6">
        <w:t xml:space="preserve">cultural services </w:t>
      </w:r>
      <w:r w:rsidR="002A75CC" w:rsidRPr="00B86BE6">
        <w:t>to all New Yorkers.</w:t>
      </w:r>
      <w:r w:rsidR="0009629F" w:rsidRPr="00B86BE6">
        <w:t xml:space="preserve">  </w:t>
      </w:r>
      <w:r w:rsidR="0009629F" w:rsidRPr="00B86BE6">
        <w:rPr>
          <w:rFonts w:cs="Verdana"/>
        </w:rPr>
        <w:t xml:space="preserve">Staff from </w:t>
      </w:r>
      <w:r w:rsidR="009D179F" w:rsidRPr="00B86BE6">
        <w:rPr>
          <w:rFonts w:cs="Verdana"/>
        </w:rPr>
        <w:t>DC</w:t>
      </w:r>
      <w:r w:rsidR="00AB6619" w:rsidRPr="00B86BE6">
        <w:rPr>
          <w:rFonts w:cs="Verdana"/>
        </w:rPr>
        <w:t xml:space="preserve">A </w:t>
      </w:r>
      <w:r w:rsidR="00CC3F39" w:rsidRPr="00B86BE6">
        <w:rPr>
          <w:rFonts w:cs="Verdana"/>
        </w:rPr>
        <w:t xml:space="preserve">periodically </w:t>
      </w:r>
      <w:r w:rsidR="0009629F" w:rsidRPr="00B86BE6">
        <w:rPr>
          <w:rFonts w:cs="Verdana"/>
        </w:rPr>
        <w:t xml:space="preserve">attend their board meetings, monitor </w:t>
      </w:r>
      <w:r w:rsidR="002A75CC" w:rsidRPr="00B86BE6">
        <w:rPr>
          <w:rFonts w:cs="Verdana"/>
        </w:rPr>
        <w:t xml:space="preserve">their operations, </w:t>
      </w:r>
      <w:r w:rsidR="0009629F" w:rsidRPr="00B86BE6">
        <w:rPr>
          <w:rFonts w:cs="Verdana"/>
        </w:rPr>
        <w:t>provide technical assistance, and</w:t>
      </w:r>
      <w:r w:rsidR="00AB6619" w:rsidRPr="00B86BE6">
        <w:rPr>
          <w:rFonts w:cs="Verdana"/>
        </w:rPr>
        <w:t xml:space="preserve"> connect CIG members to other city agencies</w:t>
      </w:r>
      <w:r w:rsidR="00880345" w:rsidRPr="00B86BE6">
        <w:rPr>
          <w:rFonts w:cs="Verdana"/>
        </w:rPr>
        <w:t>.</w:t>
      </w:r>
      <w:r w:rsidR="00F17FEF" w:rsidRPr="00B86BE6">
        <w:rPr>
          <w:rStyle w:val="EndnoteReference"/>
          <w:rFonts w:cs="Verdana"/>
        </w:rPr>
        <w:endnoteReference w:id="101"/>
      </w:r>
      <w:r w:rsidR="00CC3F39" w:rsidRPr="00B86BE6">
        <w:rPr>
          <w:rFonts w:cs="Verdana"/>
        </w:rPr>
        <w:t xml:space="preserve"> </w:t>
      </w:r>
    </w:p>
    <w:p w:rsidR="0009629F" w:rsidRPr="00B86BE6" w:rsidRDefault="0009629F" w:rsidP="0009629F">
      <w:pPr>
        <w:ind w:firstLine="720"/>
        <w:rPr>
          <w:rFonts w:cs="Verdana"/>
        </w:rPr>
      </w:pPr>
    </w:p>
    <w:p w:rsidR="00A22724" w:rsidRPr="00B86BE6" w:rsidRDefault="0009629F" w:rsidP="0007598F">
      <w:pPr>
        <w:ind w:firstLine="720"/>
      </w:pPr>
      <w:r w:rsidRPr="00B86BE6">
        <w:rPr>
          <w:rFonts w:cs="Verdana"/>
        </w:rPr>
        <w:t xml:space="preserve">For the Brooklyn Museum, </w:t>
      </w:r>
      <w:r w:rsidR="00880345" w:rsidRPr="00B86BE6">
        <w:rPr>
          <w:rFonts w:cs="Verdana"/>
        </w:rPr>
        <w:t xml:space="preserve">CIG membership means that the rent and electric bills are paid. </w:t>
      </w:r>
      <w:r w:rsidR="00C12FDB" w:rsidRPr="00B86BE6">
        <w:rPr>
          <w:rFonts w:cs="Verdana"/>
        </w:rPr>
        <w:t xml:space="preserve">It also means that the institution </w:t>
      </w:r>
      <w:r w:rsidR="00A22724" w:rsidRPr="00B86BE6">
        <w:rPr>
          <w:rFonts w:cs="Verdana"/>
        </w:rPr>
        <w:t xml:space="preserve">is </w:t>
      </w:r>
      <w:r w:rsidR="00880345" w:rsidRPr="00B86BE6">
        <w:rPr>
          <w:rFonts w:cs="Verdana"/>
        </w:rPr>
        <w:t>accountable to the city and to taxpa</w:t>
      </w:r>
      <w:r w:rsidR="00AB6619" w:rsidRPr="00B86BE6">
        <w:rPr>
          <w:rFonts w:cs="Verdana"/>
        </w:rPr>
        <w:t xml:space="preserve">yers in a way that the MFA is </w:t>
      </w:r>
      <w:r w:rsidR="00880345" w:rsidRPr="00B86BE6">
        <w:rPr>
          <w:rFonts w:cs="Verdana"/>
        </w:rPr>
        <w:t>not.</w:t>
      </w:r>
      <w:r w:rsidR="00CD05E9" w:rsidRPr="00B86BE6">
        <w:rPr>
          <w:rFonts w:cs="Verdana"/>
        </w:rPr>
        <w:t xml:space="preserve"> </w:t>
      </w:r>
      <w:r w:rsidR="00430E7C" w:rsidRPr="00B86BE6">
        <w:rPr>
          <w:rFonts w:cs="Verdana"/>
        </w:rPr>
        <w:t xml:space="preserve">While the City cannot tell the Museum what to do, it can weigh in when it doesn’t like what it is doing. </w:t>
      </w:r>
      <w:r w:rsidR="008173CB" w:rsidRPr="00B86BE6">
        <w:rPr>
          <w:rFonts w:cs="Verdana"/>
        </w:rPr>
        <w:t xml:space="preserve">The Museum </w:t>
      </w:r>
      <w:r w:rsidR="00CD05E9" w:rsidRPr="00B86BE6">
        <w:rPr>
          <w:rFonts w:cs="Verdana"/>
        </w:rPr>
        <w:t xml:space="preserve">is less dependent on </w:t>
      </w:r>
      <w:r w:rsidRPr="00B86BE6">
        <w:rPr>
          <w:rFonts w:cs="Verdana"/>
        </w:rPr>
        <w:t xml:space="preserve">outside funds but </w:t>
      </w:r>
      <w:r w:rsidR="00CD05E9" w:rsidRPr="00B86BE6">
        <w:rPr>
          <w:rFonts w:cs="Verdana"/>
        </w:rPr>
        <w:t xml:space="preserve">more vulnerable </w:t>
      </w:r>
      <w:r w:rsidRPr="00B86BE6">
        <w:rPr>
          <w:rFonts w:cs="Verdana"/>
        </w:rPr>
        <w:t xml:space="preserve">to fluctuations in the city budget and </w:t>
      </w:r>
      <w:r w:rsidR="00CD05E9" w:rsidRPr="00B86BE6">
        <w:rPr>
          <w:rFonts w:cs="Verdana"/>
        </w:rPr>
        <w:t xml:space="preserve">to the whims of </w:t>
      </w:r>
      <w:r w:rsidR="008173CB" w:rsidRPr="00B86BE6">
        <w:rPr>
          <w:rFonts w:cs="Verdana"/>
        </w:rPr>
        <w:t xml:space="preserve">mayoral </w:t>
      </w:r>
      <w:r w:rsidRPr="00B86BE6">
        <w:rPr>
          <w:rFonts w:cs="Verdana"/>
        </w:rPr>
        <w:t xml:space="preserve">support.  “It matters </w:t>
      </w:r>
      <w:r w:rsidRPr="00B86BE6">
        <w:t xml:space="preserve">very much to us whether the city supports what we are doing. Even though the amount of money has declined over the years, it is still the tipping point in our budget,” said Kevin Stayton. </w:t>
      </w:r>
      <w:r w:rsidR="00AB6619" w:rsidRPr="00B86BE6">
        <w:t>“</w:t>
      </w:r>
      <w:r w:rsidRPr="00B86BE6">
        <w:t>We are so close to the bone.”</w:t>
      </w:r>
      <w:r w:rsidR="00CD05E9" w:rsidRPr="00B86BE6">
        <w:rPr>
          <w:rStyle w:val="EndnoteReference"/>
        </w:rPr>
        <w:endnoteReference w:id="102"/>
      </w:r>
      <w:r w:rsidRPr="00B86BE6">
        <w:t xml:space="preserve"> </w:t>
      </w:r>
      <w:r w:rsidR="008173CB" w:rsidRPr="00B86BE6">
        <w:t xml:space="preserve"> </w:t>
      </w:r>
    </w:p>
    <w:p w:rsidR="00A22724" w:rsidRPr="00B86BE6" w:rsidRDefault="00A22724" w:rsidP="0007598F">
      <w:pPr>
        <w:ind w:firstLine="720"/>
      </w:pPr>
    </w:p>
    <w:p w:rsidR="0009629F" w:rsidRPr="00B86BE6" w:rsidRDefault="00CF2EE3" w:rsidP="00CF2EE3">
      <w:pPr>
        <w:ind w:firstLine="720"/>
      </w:pPr>
      <w:r w:rsidRPr="00B86BE6">
        <w:t xml:space="preserve">What’s more, New York City </w:t>
      </w:r>
      <w:r w:rsidR="0009629F" w:rsidRPr="00B86BE6">
        <w:t>support</w:t>
      </w:r>
      <w:r w:rsidR="008173CB" w:rsidRPr="00B86BE6">
        <w:t>s the ar</w:t>
      </w:r>
      <w:r w:rsidR="00430E7C" w:rsidRPr="00B86BE6">
        <w:t>ts and artists more than Boston.</w:t>
      </w:r>
      <w:r w:rsidR="008173CB" w:rsidRPr="00B86BE6">
        <w:t xml:space="preserve"> </w:t>
      </w:r>
      <w:r w:rsidR="0009629F" w:rsidRPr="00B86BE6">
        <w:t xml:space="preserve">In 1982, </w:t>
      </w:r>
      <w:r w:rsidR="009F5FA4" w:rsidRPr="00B86BE6">
        <w:t>Mayor Ed Koch signed a “</w:t>
      </w:r>
      <w:r w:rsidR="0009629F" w:rsidRPr="00B86BE6">
        <w:t>Percent for Art</w:t>
      </w:r>
      <w:r w:rsidR="009F5FA4" w:rsidRPr="00B86BE6">
        <w:t>”</w:t>
      </w:r>
      <w:r w:rsidR="0009629F" w:rsidRPr="00B86BE6">
        <w:t xml:space="preserve"> law </w:t>
      </w:r>
      <w:r w:rsidR="00D10024" w:rsidRPr="00B86BE6">
        <w:t xml:space="preserve">mandating that </w:t>
      </w:r>
      <w:r w:rsidR="0009629F" w:rsidRPr="00B86BE6">
        <w:rPr>
          <w:rFonts w:cs="Verdana"/>
        </w:rPr>
        <w:t xml:space="preserve">one percent of the budget for </w:t>
      </w:r>
      <w:r w:rsidR="00D10024" w:rsidRPr="00B86BE6">
        <w:rPr>
          <w:rFonts w:cs="Verdana"/>
        </w:rPr>
        <w:t>all c</w:t>
      </w:r>
      <w:r w:rsidR="0009629F" w:rsidRPr="00B86BE6">
        <w:rPr>
          <w:rFonts w:cs="Verdana"/>
        </w:rPr>
        <w:t>ity-funded construction pr</w:t>
      </w:r>
      <w:r w:rsidR="00D10024" w:rsidRPr="00B86BE6">
        <w:rPr>
          <w:rFonts w:cs="Verdana"/>
        </w:rPr>
        <w:t xml:space="preserve">ojects support art in city </w:t>
      </w:r>
      <w:r w:rsidR="0009629F" w:rsidRPr="00B86BE6">
        <w:rPr>
          <w:rFonts w:cs="Verdana"/>
        </w:rPr>
        <w:t xml:space="preserve">facilities. Since it began, more than 228 projects have been completed. </w:t>
      </w:r>
      <w:r w:rsidR="00CD05E9" w:rsidRPr="00B86BE6">
        <w:t xml:space="preserve">The DCA gives out grants to non-profit arts groups to support programs and projects, sometimes funding as many as </w:t>
      </w:r>
      <w:r w:rsidR="0009629F" w:rsidRPr="00B86BE6">
        <w:t>900 organizations per year</w:t>
      </w:r>
      <w:r w:rsidR="00CD05E9" w:rsidRPr="00B86BE6">
        <w:t>,</w:t>
      </w:r>
      <w:r w:rsidR="0009629F" w:rsidRPr="00B86BE6">
        <w:t xml:space="preserve"> with a budget </w:t>
      </w:r>
      <w:r w:rsidR="00CD05E9" w:rsidRPr="00B86BE6">
        <w:t>of nearly $140 million.</w:t>
      </w:r>
      <w:r w:rsidR="00CD05E9" w:rsidRPr="00B86BE6">
        <w:rPr>
          <w:rStyle w:val="EndnoteReference"/>
        </w:rPr>
        <w:endnoteReference w:id="103"/>
      </w:r>
      <w:r w:rsidR="0009629F" w:rsidRPr="00B86BE6">
        <w:t xml:space="preserve">  </w:t>
      </w:r>
    </w:p>
    <w:p w:rsidR="0009629F" w:rsidRPr="00B86BE6" w:rsidRDefault="0009629F" w:rsidP="0009629F">
      <w:pPr>
        <w:ind w:firstLine="720"/>
      </w:pPr>
    </w:p>
    <w:p w:rsidR="00885B37" w:rsidRPr="00B86BE6" w:rsidRDefault="0009629F" w:rsidP="00824967">
      <w:pPr>
        <w:widowControl w:val="0"/>
        <w:autoSpaceDE w:val="0"/>
        <w:autoSpaceDN w:val="0"/>
        <w:adjustRightInd w:val="0"/>
        <w:spacing w:after="240"/>
        <w:ind w:firstLine="720"/>
      </w:pPr>
      <w:r w:rsidRPr="00B86BE6">
        <w:rPr>
          <w:rFonts w:cs="Verdana"/>
        </w:rPr>
        <w:t>One-percent funds</w:t>
      </w:r>
      <w:r w:rsidR="00885B37" w:rsidRPr="00B86BE6">
        <w:rPr>
          <w:rFonts w:cs="Verdana"/>
        </w:rPr>
        <w:t>,</w:t>
      </w:r>
      <w:r w:rsidRPr="00B86BE6">
        <w:rPr>
          <w:rFonts w:cs="Verdana"/>
        </w:rPr>
        <w:t xml:space="preserve"> </w:t>
      </w:r>
      <w:r w:rsidR="00885B37" w:rsidRPr="00B86BE6">
        <w:rPr>
          <w:rFonts w:cs="Verdana"/>
        </w:rPr>
        <w:t xml:space="preserve">to which developers </w:t>
      </w:r>
      <w:r w:rsidR="00EB6F8E" w:rsidRPr="00B86BE6">
        <w:rPr>
          <w:rFonts w:cs="Verdana"/>
        </w:rPr>
        <w:t xml:space="preserve">must </w:t>
      </w:r>
      <w:r w:rsidR="00C201FC" w:rsidRPr="00B86BE6">
        <w:rPr>
          <w:rFonts w:cs="Verdana"/>
        </w:rPr>
        <w:t xml:space="preserve">contribute, are </w:t>
      </w:r>
      <w:r w:rsidR="00885B37" w:rsidRPr="00B86BE6">
        <w:rPr>
          <w:rFonts w:cs="Verdana"/>
        </w:rPr>
        <w:t>how many cities</w:t>
      </w:r>
      <w:r w:rsidR="00CD05E9" w:rsidRPr="00B86BE6">
        <w:rPr>
          <w:rFonts w:cs="Verdana"/>
        </w:rPr>
        <w:t xml:space="preserve"> in the U.S.</w:t>
      </w:r>
      <w:r w:rsidR="00885B37" w:rsidRPr="00B86BE6">
        <w:rPr>
          <w:rFonts w:cs="Verdana"/>
        </w:rPr>
        <w:t xml:space="preserve"> support public art</w:t>
      </w:r>
      <w:r w:rsidR="00433D39" w:rsidRPr="00B86BE6">
        <w:rPr>
          <w:rFonts w:cs="Verdana"/>
        </w:rPr>
        <w:t>,</w:t>
      </w:r>
      <w:r w:rsidR="00885B37" w:rsidRPr="00B86BE6">
        <w:rPr>
          <w:rFonts w:cs="Verdana"/>
        </w:rPr>
        <w:t xml:space="preserve"> but Boston is not </w:t>
      </w:r>
      <w:r w:rsidR="00D10024" w:rsidRPr="00B86BE6">
        <w:rPr>
          <w:rFonts w:cs="Verdana"/>
        </w:rPr>
        <w:t>among them</w:t>
      </w:r>
      <w:r w:rsidRPr="00B86BE6">
        <w:rPr>
          <w:rFonts w:cs="Verdana"/>
        </w:rPr>
        <w:t xml:space="preserve">. In fact, </w:t>
      </w:r>
      <w:r w:rsidR="00D1254D" w:rsidRPr="00B86BE6">
        <w:rPr>
          <w:rFonts w:cs="Verdana"/>
        </w:rPr>
        <w:t xml:space="preserve">many people characterize Boston as having no </w:t>
      </w:r>
      <w:r w:rsidR="00D10024" w:rsidRPr="00B86BE6">
        <w:rPr>
          <w:rFonts w:cs="Verdana"/>
        </w:rPr>
        <w:t>cultural policy</w:t>
      </w:r>
      <w:r w:rsidRPr="00B86BE6">
        <w:rPr>
          <w:rFonts w:cs="Verdana"/>
        </w:rPr>
        <w:t xml:space="preserve">. </w:t>
      </w:r>
      <w:r w:rsidR="00900931" w:rsidRPr="00B86BE6">
        <w:rPr>
          <w:rFonts w:cs="Verdana"/>
        </w:rPr>
        <w:t>Mayor Thomas Menino,</w:t>
      </w:r>
      <w:r w:rsidR="00D1254D" w:rsidRPr="00B86BE6">
        <w:rPr>
          <w:rFonts w:cs="Verdana"/>
        </w:rPr>
        <w:t xml:space="preserve"> </w:t>
      </w:r>
      <w:r w:rsidR="00CD05E9" w:rsidRPr="00B86BE6">
        <w:rPr>
          <w:rFonts w:cs="Verdana"/>
        </w:rPr>
        <w:t xml:space="preserve">in office for over 20 years, </w:t>
      </w:r>
      <w:r w:rsidR="00824967" w:rsidRPr="00B86BE6">
        <w:rPr>
          <w:rFonts w:cs="Verdana"/>
        </w:rPr>
        <w:t xml:space="preserve">is said to be uncomfortable with the </w:t>
      </w:r>
      <w:r w:rsidR="00C201FC" w:rsidRPr="00B86BE6">
        <w:rPr>
          <w:rFonts w:cs="Verdana"/>
        </w:rPr>
        <w:t>arts</w:t>
      </w:r>
      <w:r w:rsidR="00430E7C" w:rsidRPr="00B86BE6">
        <w:rPr>
          <w:rFonts w:cs="Verdana"/>
        </w:rPr>
        <w:t xml:space="preserve">, so he </w:t>
      </w:r>
      <w:r w:rsidR="000F358D" w:rsidRPr="00B86BE6">
        <w:rPr>
          <w:rFonts w:cs="Verdana"/>
        </w:rPr>
        <w:t xml:space="preserve">has not made them </w:t>
      </w:r>
      <w:r w:rsidR="00824967" w:rsidRPr="00B86BE6">
        <w:rPr>
          <w:rFonts w:cs="Verdana"/>
        </w:rPr>
        <w:t xml:space="preserve">a </w:t>
      </w:r>
      <w:r w:rsidR="00D1254D" w:rsidRPr="00B86BE6">
        <w:rPr>
          <w:rFonts w:cs="Verdana"/>
        </w:rPr>
        <w:t xml:space="preserve">high priority. </w:t>
      </w:r>
      <w:r w:rsidR="00EB6F8E" w:rsidRPr="00B86BE6">
        <w:rPr>
          <w:rFonts w:cs="Verdana"/>
        </w:rPr>
        <w:t xml:space="preserve">While </w:t>
      </w:r>
      <w:r w:rsidR="00824967" w:rsidRPr="00B86BE6">
        <w:rPr>
          <w:rFonts w:cs="Verdana"/>
        </w:rPr>
        <w:t xml:space="preserve">he </w:t>
      </w:r>
      <w:r w:rsidR="00EB6F8E" w:rsidRPr="00B86BE6">
        <w:rPr>
          <w:rFonts w:cs="Verdana"/>
        </w:rPr>
        <w:t xml:space="preserve">supported </w:t>
      </w:r>
      <w:r w:rsidRPr="00B86BE6">
        <w:rPr>
          <w:rFonts w:cs="Verdana"/>
        </w:rPr>
        <w:t>affordable housing for artists, promote</w:t>
      </w:r>
      <w:r w:rsidR="00EB6F8E" w:rsidRPr="00B86BE6">
        <w:rPr>
          <w:rFonts w:cs="Verdana"/>
        </w:rPr>
        <w:t>d</w:t>
      </w:r>
      <w:r w:rsidRPr="00B86BE6">
        <w:rPr>
          <w:rFonts w:cs="Verdana"/>
        </w:rPr>
        <w:t xml:space="preserve"> open s</w:t>
      </w:r>
      <w:r w:rsidR="00824967" w:rsidRPr="00B86BE6">
        <w:rPr>
          <w:rFonts w:cs="Verdana"/>
        </w:rPr>
        <w:t>tudios, and organized art fairs in the early 1980s</w:t>
      </w:r>
      <w:r w:rsidR="00EB6F8E" w:rsidRPr="00B86BE6">
        <w:rPr>
          <w:rFonts w:cs="Verdana"/>
        </w:rPr>
        <w:t>, the fiscal crisis late</w:t>
      </w:r>
      <w:r w:rsidR="00824967" w:rsidRPr="00B86BE6">
        <w:rPr>
          <w:rFonts w:cs="Verdana"/>
        </w:rPr>
        <w:t xml:space="preserve">r that decade, and </w:t>
      </w:r>
      <w:r w:rsidR="000F358D" w:rsidRPr="00B86BE6">
        <w:rPr>
          <w:rFonts w:cs="Verdana"/>
        </w:rPr>
        <w:t xml:space="preserve">the current </w:t>
      </w:r>
      <w:r w:rsidR="00433D39" w:rsidRPr="00B86BE6">
        <w:rPr>
          <w:rFonts w:cs="Verdana"/>
        </w:rPr>
        <w:t>recession</w:t>
      </w:r>
      <w:r w:rsidR="00D10024" w:rsidRPr="00B86BE6">
        <w:rPr>
          <w:rFonts w:cs="Verdana"/>
        </w:rPr>
        <w:t xml:space="preserve">, </w:t>
      </w:r>
      <w:r w:rsidRPr="00B86BE6">
        <w:rPr>
          <w:rFonts w:cs="Verdana"/>
        </w:rPr>
        <w:t>decimated what litt</w:t>
      </w:r>
      <w:r w:rsidR="00D10024" w:rsidRPr="00B86BE6">
        <w:rPr>
          <w:rFonts w:cs="Verdana"/>
        </w:rPr>
        <w:t>le support</w:t>
      </w:r>
      <w:r w:rsidR="00824967" w:rsidRPr="00B86BE6">
        <w:rPr>
          <w:rFonts w:cs="Verdana"/>
        </w:rPr>
        <w:t xml:space="preserve"> </w:t>
      </w:r>
      <w:r w:rsidR="00D10024" w:rsidRPr="00B86BE6">
        <w:rPr>
          <w:rFonts w:cs="Verdana"/>
        </w:rPr>
        <w:t>there was</w:t>
      </w:r>
      <w:r w:rsidR="00694B6C" w:rsidRPr="00B86BE6">
        <w:rPr>
          <w:rFonts w:cs="Verdana"/>
        </w:rPr>
        <w:t xml:space="preserve">.  A </w:t>
      </w:r>
      <w:r w:rsidRPr="00B86BE6">
        <w:rPr>
          <w:rFonts w:cs="Verdana"/>
        </w:rPr>
        <w:t>small public trust, the Edward Ingersoll Brown Fund</w:t>
      </w:r>
      <w:r w:rsidR="00C201FC" w:rsidRPr="00B86BE6">
        <w:rPr>
          <w:rFonts w:cs="Verdana"/>
        </w:rPr>
        <w:t>,</w:t>
      </w:r>
      <w:r w:rsidRPr="00B86BE6">
        <w:rPr>
          <w:rFonts w:cs="Verdana"/>
        </w:rPr>
        <w:t xml:space="preserve"> </w:t>
      </w:r>
      <w:r w:rsidR="00824967" w:rsidRPr="00B86BE6">
        <w:rPr>
          <w:rFonts w:cs="Verdana"/>
        </w:rPr>
        <w:t xml:space="preserve">is the only consistent funding stream. </w:t>
      </w:r>
      <w:r w:rsidRPr="00B86BE6">
        <w:rPr>
          <w:rFonts w:cs="Verdana"/>
        </w:rPr>
        <w:t xml:space="preserve">The Boston Cultural Council (BCC) </w:t>
      </w:r>
      <w:r w:rsidRPr="00B86BE6">
        <w:rPr>
          <w:rFonts w:cs="Georgia"/>
          <w:bCs/>
        </w:rPr>
        <w:t>gives out grants of up to $5,000 for cultural programming and</w:t>
      </w:r>
      <w:r w:rsidR="00885B37" w:rsidRPr="00B86BE6">
        <w:rPr>
          <w:rFonts w:cs="Georgia"/>
          <w:bCs/>
        </w:rPr>
        <w:t xml:space="preserve"> subsidizes tickets </w:t>
      </w:r>
      <w:r w:rsidR="00430E7C" w:rsidRPr="00B86BE6">
        <w:rPr>
          <w:rFonts w:cs="Georgia"/>
          <w:bCs/>
        </w:rPr>
        <w:t>to cultural events for students;</w:t>
      </w:r>
      <w:r w:rsidR="00885B37" w:rsidRPr="00B86BE6">
        <w:rPr>
          <w:rFonts w:cs="Georgia"/>
          <w:bCs/>
        </w:rPr>
        <w:t xml:space="preserve"> </w:t>
      </w:r>
      <w:r w:rsidR="00430E7C" w:rsidRPr="00B86BE6">
        <w:rPr>
          <w:rFonts w:cs="Georgia"/>
          <w:bCs/>
        </w:rPr>
        <w:t>i</w:t>
      </w:r>
      <w:r w:rsidRPr="00B86BE6">
        <w:rPr>
          <w:rFonts w:cs="Georgia"/>
          <w:bCs/>
        </w:rPr>
        <w:t xml:space="preserve">n 2010, </w:t>
      </w:r>
      <w:r w:rsidR="00C201FC" w:rsidRPr="00B86BE6">
        <w:t xml:space="preserve">the BCC distributed $133,320, which pales </w:t>
      </w:r>
      <w:r w:rsidR="00430E7C" w:rsidRPr="00B86BE6">
        <w:t xml:space="preserve">in comparison to </w:t>
      </w:r>
      <w:r w:rsidR="00C201FC" w:rsidRPr="00B86BE6">
        <w:t>New York’s numbers.</w:t>
      </w:r>
      <w:r w:rsidR="00824967" w:rsidRPr="00B86BE6">
        <w:rPr>
          <w:rStyle w:val="EndnoteReference"/>
        </w:rPr>
        <w:endnoteReference w:id="104"/>
      </w:r>
      <w:r w:rsidR="00824967" w:rsidRPr="00B86BE6">
        <w:t xml:space="preserve"> </w:t>
      </w:r>
      <w:r w:rsidR="004649B2" w:rsidRPr="00B86BE6">
        <w:rPr>
          <w:rFonts w:cs="Verdana"/>
        </w:rPr>
        <w:t xml:space="preserve">A 2010 </w:t>
      </w:r>
      <w:r w:rsidRPr="00B86BE6">
        <w:rPr>
          <w:rFonts w:cs="Verdana"/>
        </w:rPr>
        <w:t>Citizen’s Commi</w:t>
      </w:r>
      <w:r w:rsidR="00433D39" w:rsidRPr="00B86BE6">
        <w:rPr>
          <w:rFonts w:cs="Verdana"/>
        </w:rPr>
        <w:t>ttee report</w:t>
      </w:r>
      <w:r w:rsidR="004649B2" w:rsidRPr="00B86BE6">
        <w:rPr>
          <w:rFonts w:cs="Verdana"/>
        </w:rPr>
        <w:t xml:space="preserve"> </w:t>
      </w:r>
      <w:r w:rsidR="00430E7C" w:rsidRPr="00B86BE6">
        <w:rPr>
          <w:rFonts w:cs="Verdana"/>
        </w:rPr>
        <w:t xml:space="preserve">warned that the city’s support for the </w:t>
      </w:r>
      <w:r w:rsidR="00694B6C" w:rsidRPr="00B86BE6">
        <w:rPr>
          <w:rFonts w:cs="Verdana"/>
        </w:rPr>
        <w:t xml:space="preserve">arts comes up short.  It stressed the need </w:t>
      </w:r>
      <w:r w:rsidR="00430E7C" w:rsidRPr="00B86BE6">
        <w:rPr>
          <w:rFonts w:cs="Verdana"/>
        </w:rPr>
        <w:t xml:space="preserve">for Boston’s </w:t>
      </w:r>
      <w:r w:rsidRPr="00B86BE6">
        <w:t xml:space="preserve">cultural institutions </w:t>
      </w:r>
      <w:r w:rsidR="00A22724" w:rsidRPr="00B86BE6">
        <w:t xml:space="preserve">to </w:t>
      </w:r>
      <w:r w:rsidR="00A63248" w:rsidRPr="00B86BE6">
        <w:t xml:space="preserve">offer more innovative </w:t>
      </w:r>
      <w:r w:rsidRPr="00B86BE6">
        <w:t>pro</w:t>
      </w:r>
      <w:r w:rsidR="00433D39" w:rsidRPr="00B86BE6">
        <w:t>grams, initiatives and services, concluding,</w:t>
      </w:r>
      <w:r w:rsidRPr="00B86BE6">
        <w:t xml:space="preserve"> “For Boston to become a </w:t>
      </w:r>
      <w:r w:rsidR="00433D39" w:rsidRPr="00B86BE6">
        <w:t xml:space="preserve">world-class transformative city, </w:t>
      </w:r>
      <w:r w:rsidRPr="00B86BE6">
        <w:t>its public spaces, venues, restaurants, and other important places must be welcoming to an increasingly diverse populace and workforce.”</w:t>
      </w:r>
      <w:r w:rsidR="00A22724" w:rsidRPr="00B86BE6">
        <w:rPr>
          <w:rStyle w:val="EndnoteReference"/>
        </w:rPr>
        <w:endnoteReference w:id="105"/>
      </w:r>
    </w:p>
    <w:p w:rsidR="0009629F" w:rsidRPr="00B86BE6" w:rsidRDefault="00430E7C" w:rsidP="00E3793D">
      <w:pPr>
        <w:ind w:firstLine="720"/>
      </w:pPr>
      <w:r w:rsidRPr="00B86BE6">
        <w:rPr>
          <w:rFonts w:cs="Verdana"/>
        </w:rPr>
        <w:t xml:space="preserve">While the MFA is not accountable to the Mayor’s office, it is to its donors, </w:t>
      </w:r>
      <w:r w:rsidR="00885B37" w:rsidRPr="00B86BE6">
        <w:rPr>
          <w:rFonts w:cs="Verdana"/>
        </w:rPr>
        <w:t>which strongly influences</w:t>
      </w:r>
      <w:r w:rsidR="00694B6C" w:rsidRPr="00B86BE6">
        <w:rPr>
          <w:rFonts w:cs="Verdana"/>
        </w:rPr>
        <w:t xml:space="preserve"> what it can and cannot do. </w:t>
      </w:r>
      <w:r w:rsidR="004649B2" w:rsidRPr="00B86BE6">
        <w:rPr>
          <w:rFonts w:cs="Verdana"/>
        </w:rPr>
        <w:t xml:space="preserve">According to Brooklyn’s Terry Carbone, the American story gets told differently in Boston and New York because </w:t>
      </w:r>
      <w:r w:rsidR="00E3793D" w:rsidRPr="00B86BE6">
        <w:t>“you have different masters. You have different funders.  The people who funded Boston’s galleries funded</w:t>
      </w:r>
      <w:r w:rsidR="00885B37" w:rsidRPr="00B86BE6">
        <w:t xml:space="preserve"> something very important. T</w:t>
      </w:r>
      <w:r w:rsidR="00E3793D" w:rsidRPr="00B86BE6">
        <w:t>here is a level of tradition embedded in those galleries that was important to those funders</w:t>
      </w:r>
      <w:r w:rsidR="00433D39" w:rsidRPr="00B86BE6">
        <w:t>,</w:t>
      </w:r>
      <w:r w:rsidR="00E3793D" w:rsidRPr="00B86BE6">
        <w:t xml:space="preserve"> and to the Director</w:t>
      </w:r>
      <w:r w:rsidR="00433D39" w:rsidRPr="00B86BE6">
        <w:t>,</w:t>
      </w:r>
      <w:r w:rsidR="00E3793D" w:rsidRPr="00B86BE6">
        <w:t xml:space="preserve"> I’m sure.  I think because we weren’t doing something so grand and public, we had a little more flexibility.  I think there are a lot of funders that wouldn’t be interested in underwriting what we did. Most funders of American art are very conservative. Yes, Brooklyn’s role in the division of labor in telling the American story is different.  We are expected to tell a story that is more indicative of the community in which we reside. We have embraced our situation and our location and we are responsive to our audience in the way we frame our collection. This is not the chronological history of great White men.”</w:t>
      </w:r>
    </w:p>
    <w:p w:rsidR="00E3793D" w:rsidRPr="00B86BE6" w:rsidRDefault="00E3793D" w:rsidP="0009629F"/>
    <w:p w:rsidR="00DC59EA" w:rsidRPr="00B86BE6" w:rsidRDefault="00EB6F8E" w:rsidP="0065413A">
      <w:pPr>
        <w:ind w:firstLine="720"/>
      </w:pPr>
      <w:r w:rsidRPr="00B86BE6">
        <w:t>Differences in museum practice also reflect how each city has</w:t>
      </w:r>
      <w:r w:rsidR="00824967" w:rsidRPr="00B86BE6">
        <w:t xml:space="preserve"> traditionally</w:t>
      </w:r>
      <w:r w:rsidRPr="00B86BE6">
        <w:t xml:space="preserve"> seen itself in relation to the rest of the world.</w:t>
      </w:r>
      <w:r w:rsidR="00DC59EA" w:rsidRPr="00B86BE6">
        <w:t xml:space="preserve"> </w:t>
      </w:r>
      <w:r w:rsidR="0065413A" w:rsidRPr="00B86BE6">
        <w:t xml:space="preserve">Some </w:t>
      </w:r>
      <w:r w:rsidR="00D646A2" w:rsidRPr="00B86BE6">
        <w:t xml:space="preserve">things come into focus from the banks of the Hudson that are not always clear from the banks of the Charles. </w:t>
      </w:r>
      <w:r w:rsidR="00DC59EA" w:rsidRPr="00B86BE6">
        <w:t xml:space="preserve">Even in the 1600s, </w:t>
      </w:r>
      <w:r w:rsidR="000F358D" w:rsidRPr="00B86BE6">
        <w:t>wro</w:t>
      </w:r>
      <w:r w:rsidR="00824967" w:rsidRPr="00B86BE6">
        <w:t xml:space="preserve">te </w:t>
      </w:r>
      <w:r w:rsidRPr="00B86BE6">
        <w:t>Louise Mirrer and David Halle</w:t>
      </w:r>
      <w:r w:rsidR="00DC59EA" w:rsidRPr="00B86BE6">
        <w:t xml:space="preserve">, </w:t>
      </w:r>
      <w:r w:rsidR="0009629F" w:rsidRPr="00B86BE6">
        <w:t>when Dutch settlers established the trading post that would become New York City, residents saw themselves as part of a cultural “mixing bowl,” attracting people and goods from across the globe.</w:t>
      </w:r>
      <w:r w:rsidRPr="00B86BE6">
        <w:rPr>
          <w:rStyle w:val="EndnoteReference"/>
        </w:rPr>
        <w:t xml:space="preserve"> </w:t>
      </w:r>
      <w:r w:rsidRPr="00B86BE6">
        <w:rPr>
          <w:rStyle w:val="EndnoteReference"/>
        </w:rPr>
        <w:endnoteReference w:id="106"/>
      </w:r>
      <w:r w:rsidRPr="00B86BE6">
        <w:t xml:space="preserve"> </w:t>
      </w:r>
      <w:r w:rsidR="00DC59EA" w:rsidRPr="00B86BE6">
        <w:t>Contrast this to</w:t>
      </w:r>
      <w:r w:rsidR="00824967" w:rsidRPr="00B86BE6">
        <w:t xml:space="preserve"> how Boston’s Protestant leadership welcomed the city’s first great wave of Irish immigrants. </w:t>
      </w:r>
      <w:r w:rsidR="0095562E" w:rsidRPr="00B86BE6">
        <w:t>When the Catholic community</w:t>
      </w:r>
      <w:r w:rsidR="00F36615" w:rsidRPr="00B86BE6">
        <w:t xml:space="preserve"> </w:t>
      </w:r>
      <w:r w:rsidR="0095562E" w:rsidRPr="00B86BE6">
        <w:t xml:space="preserve">grew </w:t>
      </w:r>
      <w:r w:rsidR="00824967" w:rsidRPr="00B86BE6">
        <w:t xml:space="preserve">rich and powerful </w:t>
      </w:r>
      <w:r w:rsidR="00337B25" w:rsidRPr="00B86BE6">
        <w:t xml:space="preserve">enough to build its own </w:t>
      </w:r>
      <w:r w:rsidR="0065413A" w:rsidRPr="00B86BE6">
        <w:t xml:space="preserve">cathedral in the </w:t>
      </w:r>
      <w:r w:rsidR="00C36887" w:rsidRPr="00B86BE6">
        <w:t xml:space="preserve">South End, the Protestant </w:t>
      </w:r>
      <w:r w:rsidR="00F36615" w:rsidRPr="00B86BE6">
        <w:t>powers-that-w</w:t>
      </w:r>
      <w:r w:rsidR="00337B25" w:rsidRPr="00B86BE6">
        <w:t xml:space="preserve">ere </w:t>
      </w:r>
      <w:r w:rsidR="00C36887" w:rsidRPr="00B86BE6">
        <w:t xml:space="preserve">routed the new </w:t>
      </w:r>
      <w:r w:rsidR="00F36615" w:rsidRPr="00B86BE6">
        <w:t xml:space="preserve">elevated </w:t>
      </w:r>
      <w:r w:rsidR="00E3793D" w:rsidRPr="00B86BE6">
        <w:t>subway line right past it</w:t>
      </w:r>
      <w:r w:rsidR="00824967" w:rsidRPr="00B86BE6">
        <w:t>s door.</w:t>
      </w:r>
      <w:r w:rsidR="00DF531E" w:rsidRPr="00B86BE6">
        <w:t xml:space="preserve"> </w:t>
      </w:r>
      <w:r w:rsidR="00F36615" w:rsidRPr="00B86BE6">
        <w:t xml:space="preserve">New York, and Brooklyn in particular, could not help but be a city of </w:t>
      </w:r>
      <w:r w:rsidR="00E3793D" w:rsidRPr="00B86BE6">
        <w:t xml:space="preserve">immigrants.  Boston, despite its founder’s origins, </w:t>
      </w:r>
      <w:r w:rsidR="00DF531E" w:rsidRPr="00B86BE6">
        <w:t xml:space="preserve">wanted to be a city of </w:t>
      </w:r>
      <w:r w:rsidR="00F36615" w:rsidRPr="00B86BE6">
        <w:t xml:space="preserve">a certain kind of immigrant. </w:t>
      </w:r>
    </w:p>
    <w:p w:rsidR="00DC59EA" w:rsidRPr="00B86BE6" w:rsidRDefault="00DC59EA" w:rsidP="0009629F">
      <w:pPr>
        <w:ind w:firstLine="720"/>
      </w:pPr>
    </w:p>
    <w:p w:rsidR="0009629F" w:rsidRPr="00B86BE6" w:rsidRDefault="00DC59EA" w:rsidP="0095562E">
      <w:pPr>
        <w:ind w:firstLine="720"/>
      </w:pPr>
      <w:r w:rsidRPr="00B86BE6">
        <w:t>According to Mirrer and Halle, t</w:t>
      </w:r>
      <w:r w:rsidR="0009629F" w:rsidRPr="00B86BE6">
        <w:t xml:space="preserve">hese early beginnings set </w:t>
      </w:r>
      <w:r w:rsidR="00E3793D" w:rsidRPr="00B86BE6">
        <w:t xml:space="preserve">a precedent for a particularly </w:t>
      </w:r>
      <w:r w:rsidR="0009629F" w:rsidRPr="00B86BE6">
        <w:t xml:space="preserve">New York </w:t>
      </w:r>
      <w:r w:rsidR="00F36615" w:rsidRPr="00B86BE6">
        <w:t xml:space="preserve">definition </w:t>
      </w:r>
      <w:r w:rsidR="00AD6E2A" w:rsidRPr="00B86BE6">
        <w:t xml:space="preserve">of </w:t>
      </w:r>
      <w:r w:rsidR="00C36887" w:rsidRPr="00B86BE6">
        <w:t>culture, which to this day</w:t>
      </w:r>
      <w:r w:rsidR="0009629F" w:rsidRPr="00B86BE6">
        <w:t xml:space="preserve"> often mea</w:t>
      </w:r>
      <w:r w:rsidR="0065413A" w:rsidRPr="00B86BE6">
        <w:t xml:space="preserve">ns the public expression and </w:t>
      </w:r>
      <w:r w:rsidR="0009629F" w:rsidRPr="00B86BE6">
        <w:t xml:space="preserve">display of the customs and artifacts of others.  It also </w:t>
      </w:r>
      <w:r w:rsidR="00F36615" w:rsidRPr="00B86BE6">
        <w:t>meant</w:t>
      </w:r>
      <w:r w:rsidR="0009629F" w:rsidRPr="00B86BE6">
        <w:t xml:space="preserve"> that from the outset, culture </w:t>
      </w:r>
      <w:r w:rsidR="00F36615" w:rsidRPr="00B86BE6">
        <w:t xml:space="preserve">has been </w:t>
      </w:r>
      <w:r w:rsidR="0009629F" w:rsidRPr="00B86BE6">
        <w:t xml:space="preserve">regulated, constrained, and promoted through official policies.  </w:t>
      </w:r>
      <w:r w:rsidR="0009629F" w:rsidRPr="00B86BE6">
        <w:rPr>
          <w:rFonts w:cs="Tms Rmn"/>
          <w:color w:val="000000"/>
        </w:rPr>
        <w:t xml:space="preserve">In the nineteenth century, </w:t>
      </w:r>
      <w:r w:rsidR="0095562E" w:rsidRPr="00B86BE6">
        <w:rPr>
          <w:rFonts w:cs="Tms Rmn"/>
          <w:color w:val="000000"/>
        </w:rPr>
        <w:t>they write</w:t>
      </w:r>
      <w:r w:rsidR="00F36615" w:rsidRPr="00B86BE6">
        <w:rPr>
          <w:rFonts w:cs="Tms Rmn"/>
          <w:color w:val="000000"/>
        </w:rPr>
        <w:t xml:space="preserve">, New York’s leaders believed that </w:t>
      </w:r>
      <w:r w:rsidR="00E3793D" w:rsidRPr="00B86BE6">
        <w:rPr>
          <w:rFonts w:cs="Tms Rmn"/>
          <w:color w:val="000000"/>
        </w:rPr>
        <w:t xml:space="preserve">transforming their city </w:t>
      </w:r>
      <w:r w:rsidR="0009629F" w:rsidRPr="00B86BE6">
        <w:rPr>
          <w:rFonts w:cs="Tms Rmn"/>
          <w:color w:val="000000"/>
        </w:rPr>
        <w:t xml:space="preserve">into the world’s cultural center </w:t>
      </w:r>
      <w:r w:rsidR="00F36615" w:rsidRPr="00B86BE6">
        <w:rPr>
          <w:rFonts w:cs="Tms Rmn"/>
          <w:color w:val="000000"/>
        </w:rPr>
        <w:t xml:space="preserve">was as much </w:t>
      </w:r>
      <w:r w:rsidR="0009629F" w:rsidRPr="00B86BE6">
        <w:rPr>
          <w:rFonts w:cs="Tms Rmn"/>
          <w:color w:val="000000"/>
        </w:rPr>
        <w:t>a part of its manifest destiny as westward expansion was for the nation</w:t>
      </w:r>
      <w:r w:rsidR="00F36615" w:rsidRPr="00B86BE6">
        <w:rPr>
          <w:rFonts w:cs="Tms Rmn"/>
          <w:color w:val="000000"/>
        </w:rPr>
        <w:t xml:space="preserve">. The city would </w:t>
      </w:r>
      <w:r w:rsidR="0009629F" w:rsidRPr="00B86BE6">
        <w:rPr>
          <w:rFonts w:cs="Tms Rmn"/>
          <w:color w:val="000000"/>
        </w:rPr>
        <w:t>equal, if not surpass, the cultural centers of Europe</w:t>
      </w:r>
      <w:r w:rsidR="00C36887" w:rsidRPr="00B86BE6">
        <w:rPr>
          <w:rFonts w:cs="Tms Rmn"/>
          <w:color w:val="000000"/>
        </w:rPr>
        <w:t>.</w:t>
      </w:r>
      <w:r w:rsidR="0095562E" w:rsidRPr="00B86BE6">
        <w:rPr>
          <w:rStyle w:val="EndnoteReference"/>
          <w:rFonts w:cs="Tms Rmn"/>
          <w:color w:val="000000"/>
        </w:rPr>
        <w:endnoteReference w:id="107"/>
      </w:r>
      <w:r w:rsidR="0095562E" w:rsidRPr="00B86BE6">
        <w:rPr>
          <w:rFonts w:cs="Tms Rmn"/>
          <w:color w:val="000000"/>
        </w:rPr>
        <w:t xml:space="preserve"> </w:t>
      </w:r>
      <w:r w:rsidR="00DF531E" w:rsidRPr="00B86BE6">
        <w:t>T</w:t>
      </w:r>
      <w:r w:rsidR="000F0A53" w:rsidRPr="00B86BE6">
        <w:t>he unique public-private partnersh</w:t>
      </w:r>
      <w:r w:rsidR="00C36887" w:rsidRPr="00B86BE6">
        <w:t>ip exemplified by the CIG model</w:t>
      </w:r>
      <w:r w:rsidR="000F0A53" w:rsidRPr="00B86BE6">
        <w:t xml:space="preserve"> “was driven by the desire to promote institutions displaying prized artifacts from selected foreign cultures. In so doing, it combined American values of independence and enterprise with European traditions of public support for the arts.”</w:t>
      </w:r>
      <w:r w:rsidR="000F0A53" w:rsidRPr="00B86BE6">
        <w:rPr>
          <w:rStyle w:val="EndnoteReference"/>
          <w:rFonts w:eastAsia="Calibri"/>
        </w:rPr>
        <w:endnoteReference w:id="108"/>
      </w:r>
    </w:p>
    <w:p w:rsidR="00183827" w:rsidRPr="00B86BE6" w:rsidRDefault="00183827" w:rsidP="0095562E">
      <w:pPr>
        <w:ind w:firstLine="720"/>
      </w:pPr>
    </w:p>
    <w:p w:rsidR="00AE1444" w:rsidRPr="00B86BE6" w:rsidRDefault="00F36615" w:rsidP="00183827">
      <w:pPr>
        <w:ind w:firstLine="720"/>
      </w:pPr>
      <w:r w:rsidRPr="00B86BE6">
        <w:t xml:space="preserve">By the </w:t>
      </w:r>
      <w:r w:rsidR="0009629F" w:rsidRPr="00B86BE6">
        <w:t>1960s,</w:t>
      </w:r>
      <w:r w:rsidR="002D2D4A" w:rsidRPr="00B86BE6">
        <w:t xml:space="preserve"> a new kind of diversity influenced</w:t>
      </w:r>
      <w:r w:rsidR="0009629F" w:rsidRPr="00B86BE6">
        <w:t xml:space="preserve"> the city’s cultural institutions: </w:t>
      </w:r>
      <w:r w:rsidRPr="00B86BE6">
        <w:t>the foreign-born</w:t>
      </w:r>
      <w:r w:rsidR="002D2D4A" w:rsidRPr="00B86BE6">
        <w:t xml:space="preserve"> origins of New York’s </w:t>
      </w:r>
      <w:r w:rsidR="00804C35" w:rsidRPr="00B86BE6">
        <w:t xml:space="preserve">newest </w:t>
      </w:r>
      <w:r w:rsidR="00DF531E" w:rsidRPr="00B86BE6">
        <w:t xml:space="preserve">residents. </w:t>
      </w:r>
      <w:r w:rsidR="0009304B" w:rsidRPr="00B86BE6">
        <w:t>As more and more people from Latin America and Asia</w:t>
      </w:r>
      <w:r w:rsidR="002D2D4A" w:rsidRPr="00B86BE6">
        <w:t xml:space="preserve"> arrived</w:t>
      </w:r>
      <w:r w:rsidR="0009304B" w:rsidRPr="00B86BE6">
        <w:t xml:space="preserve">, the cultural institutional panorama </w:t>
      </w:r>
      <w:r w:rsidR="002D2D4A" w:rsidRPr="00B86BE6">
        <w:t xml:space="preserve">looked more and more </w:t>
      </w:r>
      <w:r w:rsidR="0009629F" w:rsidRPr="00B86BE6">
        <w:t>one-sided</w:t>
      </w:r>
      <w:r w:rsidR="00183827" w:rsidRPr="00B86BE6">
        <w:t xml:space="preserve">, representing the cultures of the </w:t>
      </w:r>
      <w:r w:rsidR="0009304B" w:rsidRPr="00B86BE6">
        <w:t xml:space="preserve">privileged few. </w:t>
      </w:r>
      <w:r w:rsidR="00E3793D" w:rsidRPr="00B86BE6">
        <w:t>One result</w:t>
      </w:r>
      <w:r w:rsidR="00AE1444" w:rsidRPr="00B86BE6">
        <w:t xml:space="preserve">, as we have seen, was </w:t>
      </w:r>
      <w:r w:rsidR="002D2D4A" w:rsidRPr="00B86BE6">
        <w:t xml:space="preserve">the emergence </w:t>
      </w:r>
      <w:r w:rsidR="0065413A" w:rsidRPr="00B86BE6">
        <w:t xml:space="preserve">of culturally-specific </w:t>
      </w:r>
      <w:r w:rsidR="00804C35" w:rsidRPr="00B86BE6">
        <w:t>museums</w:t>
      </w:r>
      <w:r w:rsidR="002D2D4A" w:rsidRPr="00B86BE6">
        <w:t>,</w:t>
      </w:r>
      <w:r w:rsidR="00AE1444" w:rsidRPr="00B86BE6">
        <w:t xml:space="preserve"> like El Muse</w:t>
      </w:r>
      <w:r w:rsidR="00C36887" w:rsidRPr="00B86BE6">
        <w:t>o or t</w:t>
      </w:r>
      <w:r w:rsidR="002D2D4A" w:rsidRPr="00B86BE6">
        <w:t xml:space="preserve">he Studio Museum in Harlem, which were no longer seen as </w:t>
      </w:r>
      <w:r w:rsidR="0009629F" w:rsidRPr="00B86BE6">
        <w:t>‘s</w:t>
      </w:r>
      <w:r w:rsidR="0095562E" w:rsidRPr="00B86BE6">
        <w:t xml:space="preserve">elfish’ or </w:t>
      </w:r>
      <w:r w:rsidR="00824967" w:rsidRPr="00B86BE6">
        <w:t xml:space="preserve">as having </w:t>
      </w:r>
      <w:r w:rsidR="0095562E" w:rsidRPr="00B86BE6">
        <w:t>‘interested’ motives</w:t>
      </w:r>
      <w:r w:rsidR="002D2D4A" w:rsidRPr="00B86BE6">
        <w:t xml:space="preserve"> but as reflecting </w:t>
      </w:r>
      <w:r w:rsidR="0065413A" w:rsidRPr="00B86BE6">
        <w:t xml:space="preserve">the increasing </w:t>
      </w:r>
      <w:r w:rsidR="00E3793D" w:rsidRPr="00B86BE6">
        <w:t xml:space="preserve">power and visibility of </w:t>
      </w:r>
      <w:r w:rsidR="0065413A" w:rsidRPr="00B86BE6">
        <w:t xml:space="preserve">the city’s </w:t>
      </w:r>
      <w:r w:rsidR="00AE1444" w:rsidRPr="00B86BE6">
        <w:t>newest residents</w:t>
      </w:r>
      <w:r w:rsidR="002D2D4A" w:rsidRPr="00B86BE6">
        <w:t>.</w:t>
      </w:r>
      <w:r w:rsidR="002D2D4A" w:rsidRPr="00B86BE6">
        <w:rPr>
          <w:rStyle w:val="EndnoteReference"/>
        </w:rPr>
        <w:endnoteReference w:id="109"/>
      </w:r>
      <w:r w:rsidR="002D2D4A" w:rsidRPr="00B86BE6">
        <w:t xml:space="preserve"> Politicians jockeyed to </w:t>
      </w:r>
      <w:r w:rsidR="00824967" w:rsidRPr="00B86BE6">
        <w:t>get credit for establishing these new institutions</w:t>
      </w:r>
      <w:r w:rsidR="00804C35" w:rsidRPr="00B86BE6">
        <w:t>,</w:t>
      </w:r>
      <w:r w:rsidR="00AE1444" w:rsidRPr="00B86BE6">
        <w:t xml:space="preserve"> hoping to be rewarded at </w:t>
      </w:r>
      <w:r w:rsidR="002D2D4A" w:rsidRPr="00B86BE6">
        <w:t>election time</w:t>
      </w:r>
      <w:r w:rsidR="00183827" w:rsidRPr="00B86BE6">
        <w:t xml:space="preserve">. They also made it possible to </w:t>
      </w:r>
      <w:r w:rsidR="0009629F" w:rsidRPr="00B86BE6">
        <w:t>see the worl</w:t>
      </w:r>
      <w:r w:rsidR="002D2D4A" w:rsidRPr="00B86BE6">
        <w:t>d without ever leaving the city</w:t>
      </w:r>
      <w:r w:rsidR="0095562E" w:rsidRPr="00B86BE6">
        <w:t>.</w:t>
      </w:r>
      <w:r w:rsidR="0095562E" w:rsidRPr="00B86BE6">
        <w:rPr>
          <w:rStyle w:val="EndnoteReference"/>
        </w:rPr>
        <w:endnoteReference w:id="110"/>
      </w:r>
      <w:r w:rsidR="0009629F" w:rsidRPr="00B86BE6">
        <w:t xml:space="preserve"> </w:t>
      </w:r>
    </w:p>
    <w:p w:rsidR="0009629F" w:rsidRPr="00B86BE6" w:rsidRDefault="00AE1444" w:rsidP="00183827">
      <w:pPr>
        <w:shd w:val="clear" w:color="auto" w:fill="FFFFFF"/>
        <w:spacing w:before="360" w:after="360"/>
        <w:ind w:firstLine="720"/>
      </w:pPr>
      <w:r w:rsidRPr="00B86BE6">
        <w:t>B</w:t>
      </w:r>
      <w:r w:rsidR="006D517F" w:rsidRPr="00B86BE6">
        <w:t>oston too has its own found</w:t>
      </w:r>
      <w:r w:rsidR="00183827" w:rsidRPr="00B86BE6">
        <w:t>ational</w:t>
      </w:r>
      <w:r w:rsidR="006D517F" w:rsidRPr="00B86BE6">
        <w:t xml:space="preserve"> myths</w:t>
      </w:r>
      <w:r w:rsidRPr="00B86BE6">
        <w:t xml:space="preserve">, reflecting deep </w:t>
      </w:r>
      <w:r w:rsidR="00183827" w:rsidRPr="00B86BE6">
        <w:t xml:space="preserve">cultural roots </w:t>
      </w:r>
      <w:r w:rsidR="00102FCC" w:rsidRPr="00B86BE6">
        <w:t xml:space="preserve">that </w:t>
      </w:r>
      <w:r w:rsidR="00824967" w:rsidRPr="00B86BE6">
        <w:t xml:space="preserve">continue to bear fruit </w:t>
      </w:r>
      <w:r w:rsidR="00183827" w:rsidRPr="00B86BE6">
        <w:t xml:space="preserve">at the MFA. </w:t>
      </w:r>
      <w:r w:rsidR="006D517F" w:rsidRPr="00B86BE6">
        <w:t xml:space="preserve"> </w:t>
      </w:r>
      <w:r w:rsidR="008B6730" w:rsidRPr="00B86BE6">
        <w:t xml:space="preserve">As </w:t>
      </w:r>
      <w:r w:rsidR="00183827" w:rsidRPr="00B86BE6">
        <w:t xml:space="preserve">Curator of Education </w:t>
      </w:r>
      <w:r w:rsidR="008B6730" w:rsidRPr="00B86BE6">
        <w:t>Barbara Martin</w:t>
      </w:r>
      <w:r w:rsidR="00183827" w:rsidRPr="00B86BE6">
        <w:t xml:space="preserve"> </w:t>
      </w:r>
      <w:r w:rsidR="008B6730" w:rsidRPr="00B86BE6">
        <w:t>so eloquently put it, from early on, the city saw its</w:t>
      </w:r>
      <w:r w:rsidR="00F50442" w:rsidRPr="00B86BE6">
        <w:t>elf as an intellectual city led by</w:t>
      </w:r>
      <w:r w:rsidR="008B6730" w:rsidRPr="00B86BE6">
        <w:t xml:space="preserve"> universities, thinkers</w:t>
      </w:r>
      <w:r w:rsidR="00F50442" w:rsidRPr="00B86BE6">
        <w:t>,</w:t>
      </w:r>
      <w:r w:rsidR="008B6730" w:rsidRPr="00B86BE6">
        <w:t xml:space="preserve"> and writers who were thoughtful and discrim</w:t>
      </w:r>
      <w:r w:rsidR="006D517F" w:rsidRPr="00B86BE6">
        <w:t>inating. She remembers, she said</w:t>
      </w:r>
      <w:r w:rsidR="008B6730" w:rsidRPr="00B86BE6">
        <w:t xml:space="preserve">, a story </w:t>
      </w:r>
      <w:r w:rsidR="002D2D4A" w:rsidRPr="00B86BE6">
        <w:t xml:space="preserve">in </w:t>
      </w:r>
      <w:r w:rsidR="00D75AFE" w:rsidRPr="00B86BE6">
        <w:t xml:space="preserve">a 1980s membership brochure from </w:t>
      </w:r>
      <w:r w:rsidR="002D2D4A" w:rsidRPr="00B86BE6">
        <w:t xml:space="preserve">the </w:t>
      </w:r>
      <w:r w:rsidR="008B6730" w:rsidRPr="00B86BE6">
        <w:t>Art Institute of Chicago</w:t>
      </w:r>
      <w:r w:rsidR="00E3793D" w:rsidRPr="00B86BE6">
        <w:t xml:space="preserve">.  Chicagoans, </w:t>
      </w:r>
      <w:r w:rsidR="002D2D4A" w:rsidRPr="00B86BE6">
        <w:t>the brochure read</w:t>
      </w:r>
      <w:r w:rsidR="00183827" w:rsidRPr="00B86BE6">
        <w:t xml:space="preserve">, decided theirs would be the </w:t>
      </w:r>
      <w:r w:rsidR="008B6730" w:rsidRPr="00B86BE6">
        <w:t>biggest, richest new city</w:t>
      </w:r>
      <w:r w:rsidR="00F50442" w:rsidRPr="00B86BE6">
        <w:t>,</w:t>
      </w:r>
      <w:r w:rsidR="008B6730" w:rsidRPr="00B86BE6">
        <w:t xml:space="preserve"> and they went to Europe and brought back the best art.  “That is Chicago’s myth.</w:t>
      </w:r>
      <w:r w:rsidR="007F5177" w:rsidRPr="00B86BE6">
        <w:t xml:space="preserve"> We </w:t>
      </w:r>
      <w:r w:rsidR="008B6730" w:rsidRPr="00B86BE6">
        <w:t xml:space="preserve">bellied up </w:t>
      </w:r>
      <w:r w:rsidR="00183827" w:rsidRPr="00B86BE6">
        <w:t xml:space="preserve">to </w:t>
      </w:r>
      <w:r w:rsidR="008B6730" w:rsidRPr="00B86BE6">
        <w:t xml:space="preserve">the bar, </w:t>
      </w:r>
      <w:r w:rsidR="0009629F" w:rsidRPr="00B86BE6">
        <w:t>we slapped down our money</w:t>
      </w:r>
      <w:r w:rsidR="007F5177" w:rsidRPr="00B86BE6">
        <w:t xml:space="preserve">, and we brought back our </w:t>
      </w:r>
      <w:r w:rsidR="00102FCC" w:rsidRPr="00B86BE6">
        <w:t>Seu</w:t>
      </w:r>
      <w:r w:rsidR="00900931" w:rsidRPr="00B86BE6">
        <w:t>rats</w:t>
      </w:r>
      <w:r w:rsidR="007F5177" w:rsidRPr="00B86BE6">
        <w:t xml:space="preserve">. That is so not Boston’s </w:t>
      </w:r>
      <w:r w:rsidR="0009629F" w:rsidRPr="00B86BE6">
        <w:t>myth.  Ours is</w:t>
      </w:r>
      <w:r w:rsidR="00F50442" w:rsidRPr="00B86BE6">
        <w:t>,</w:t>
      </w:r>
      <w:r w:rsidR="0009629F" w:rsidRPr="00B86BE6">
        <w:t xml:space="preserve"> we studied at Harvard, we got interested in Eastern Philosophy, we went and lived in Japan for 3 years</w:t>
      </w:r>
      <w:r w:rsidR="00F50442" w:rsidRPr="00B86BE6">
        <w:t>,</w:t>
      </w:r>
      <w:r w:rsidR="0009629F" w:rsidRPr="00B86BE6">
        <w:t xml:space="preserve"> and we brought back huge colle</w:t>
      </w:r>
      <w:r w:rsidR="007F5177" w:rsidRPr="00B86BE6">
        <w:t>c</w:t>
      </w:r>
      <w:r w:rsidR="0009629F" w:rsidRPr="00B86BE6">
        <w:t>tio</w:t>
      </w:r>
      <w:r w:rsidR="007F5177" w:rsidRPr="00B86BE6">
        <w:t>n</w:t>
      </w:r>
      <w:r w:rsidR="0009629F" w:rsidRPr="00B86BE6">
        <w:t xml:space="preserve">s of paintings and prints that </w:t>
      </w:r>
      <w:r w:rsidR="00E3793D" w:rsidRPr="00B86BE6">
        <w:t xml:space="preserve">everyone knows we have even if we </w:t>
      </w:r>
      <w:r w:rsidRPr="00B86BE6">
        <w:t xml:space="preserve">can’t put them on our </w:t>
      </w:r>
      <w:r w:rsidR="007F5177" w:rsidRPr="00B86BE6">
        <w:t xml:space="preserve">walls that often. We don’t just collect objects, we study and think and learn from them…one of our top myths is that Martha Codman, who </w:t>
      </w:r>
      <w:r w:rsidR="0009629F" w:rsidRPr="00B86BE6">
        <w:t>descended from generations of Boston Brahmi</w:t>
      </w:r>
      <w:r w:rsidR="00ED1476" w:rsidRPr="00B86BE6">
        <w:t>ns</w:t>
      </w:r>
      <w:r w:rsidR="00F50442" w:rsidRPr="00B86BE6">
        <w:t>,</w:t>
      </w:r>
      <w:r w:rsidR="00ED1476" w:rsidRPr="00B86BE6">
        <w:t xml:space="preserve"> marries upstart Russian J</w:t>
      </w:r>
      <w:r w:rsidR="007F5177" w:rsidRPr="00B86BE6">
        <w:t xml:space="preserve">ew </w:t>
      </w:r>
      <w:r w:rsidR="00ED1476" w:rsidRPr="00B86BE6">
        <w:t>Karolik</w:t>
      </w:r>
      <w:r w:rsidR="0009629F" w:rsidRPr="00B86BE6">
        <w:t xml:space="preserve"> and together they collect </w:t>
      </w:r>
      <w:r w:rsidR="007F5177" w:rsidRPr="00B86BE6">
        <w:t xml:space="preserve">the </w:t>
      </w:r>
      <w:r w:rsidR="0009629F" w:rsidRPr="00B86BE6">
        <w:t>art of America</w:t>
      </w:r>
      <w:r w:rsidR="007F5177" w:rsidRPr="00B86BE6">
        <w:t>—the founding generation and the immigrant story coming together, the old Boston blood line and the new force. Y</w:t>
      </w:r>
      <w:r w:rsidR="0009629F" w:rsidRPr="00B86BE6">
        <w:t xml:space="preserve">ou could say that informs </w:t>
      </w:r>
      <w:r w:rsidR="007F5177" w:rsidRPr="00B86BE6">
        <w:t xml:space="preserve">the </w:t>
      </w:r>
      <w:r w:rsidR="0009629F" w:rsidRPr="00B86BE6">
        <w:t>Art of the Americas wing at this point in time</w:t>
      </w:r>
      <w:r w:rsidR="007F5177" w:rsidRPr="00B86BE6">
        <w:t xml:space="preserve">, that we feel </w:t>
      </w:r>
      <w:r w:rsidR="0009629F" w:rsidRPr="00B86BE6">
        <w:t>it is absolutely intellectually, morally, and politically</w:t>
      </w:r>
      <w:r w:rsidR="007F5177" w:rsidRPr="00B86BE6">
        <w:t xml:space="preserve"> correct to expand the definition of w</w:t>
      </w:r>
      <w:r w:rsidR="0009629F" w:rsidRPr="00B86BE6">
        <w:t>hat is American</w:t>
      </w:r>
      <w:r w:rsidR="007F5177" w:rsidRPr="00B86BE6">
        <w:t>.</w:t>
      </w:r>
      <w:r w:rsidR="00D75AFE" w:rsidRPr="00B86BE6">
        <w:rPr>
          <w:rStyle w:val="EndnoteReference"/>
        </w:rPr>
        <w:endnoteReference w:id="111"/>
      </w:r>
      <w:r w:rsidR="007F5177" w:rsidRPr="00B86BE6">
        <w:t xml:space="preserve"> That might be part of the Boston character.  But we have also been conservative artistically and that </w:t>
      </w:r>
      <w:r w:rsidR="0009629F" w:rsidRPr="00B86BE6">
        <w:t xml:space="preserve">plays into what we </w:t>
      </w:r>
      <w:r w:rsidR="007F5177" w:rsidRPr="00B86BE6">
        <w:t>c</w:t>
      </w:r>
      <w:r w:rsidR="0009629F" w:rsidRPr="00B86BE6">
        <w:t xml:space="preserve">ollected </w:t>
      </w:r>
      <w:r w:rsidR="007F5177" w:rsidRPr="00B86BE6">
        <w:t xml:space="preserve">in the </w:t>
      </w:r>
      <w:r w:rsidR="0009629F" w:rsidRPr="00B86BE6">
        <w:t>20</w:t>
      </w:r>
      <w:r w:rsidR="0009629F" w:rsidRPr="00B86BE6">
        <w:rPr>
          <w:vertAlign w:val="superscript"/>
        </w:rPr>
        <w:t>th</w:t>
      </w:r>
      <w:r w:rsidR="00E3793D" w:rsidRPr="00B86BE6">
        <w:t xml:space="preserve"> century. We </w:t>
      </w:r>
      <w:r w:rsidR="007F5177" w:rsidRPr="00B86BE6">
        <w:t>were not at the forefront of collecting African art, for example.</w:t>
      </w:r>
      <w:r w:rsidR="00E3793D" w:rsidRPr="00B86BE6">
        <w:t>”</w:t>
      </w:r>
      <w:r w:rsidR="007F5177" w:rsidRPr="00B86BE6">
        <w:t xml:space="preserve"> </w:t>
      </w:r>
    </w:p>
    <w:p w:rsidR="0009629F" w:rsidRPr="00B86BE6" w:rsidRDefault="00492466" w:rsidP="0009629F">
      <w:pPr>
        <w:rPr>
          <w:b/>
        </w:rPr>
      </w:pPr>
      <w:r>
        <w:rPr>
          <w:b/>
        </w:rPr>
        <w:t>America and the World</w:t>
      </w:r>
    </w:p>
    <w:p w:rsidR="0009629F" w:rsidRPr="00B86BE6" w:rsidRDefault="0009629F" w:rsidP="0009629F"/>
    <w:p w:rsidR="0009629F" w:rsidRPr="00B86BE6" w:rsidRDefault="0009629F" w:rsidP="0009629F">
      <w:r w:rsidRPr="00B86BE6">
        <w:tab/>
      </w:r>
      <w:r w:rsidR="00D646A2" w:rsidRPr="00B86BE6">
        <w:t>What museums do i</w:t>
      </w:r>
      <w:r w:rsidR="005C4B7E" w:rsidRPr="00B86BE6">
        <w:t xml:space="preserve">n New York and Boston also says </w:t>
      </w:r>
      <w:r w:rsidR="00D646A2" w:rsidRPr="00B86BE6">
        <w:t xml:space="preserve">something about how the United States sees </w:t>
      </w:r>
      <w:r w:rsidR="005C4B7E" w:rsidRPr="00B86BE6">
        <w:t xml:space="preserve">itself in the </w:t>
      </w:r>
      <w:r w:rsidR="00D646A2" w:rsidRPr="00B86BE6">
        <w:t xml:space="preserve">world. Long ago, </w:t>
      </w:r>
      <w:r w:rsidR="006D517F" w:rsidRPr="00B86BE6">
        <w:t xml:space="preserve">Gunnar Myrdal </w:t>
      </w:r>
      <w:r w:rsidR="005C4B7E" w:rsidRPr="00B86BE6">
        <w:t xml:space="preserve">described Americans as clinging </w:t>
      </w:r>
      <w:r w:rsidR="006D517F" w:rsidRPr="00B86BE6">
        <w:t>tightly</w:t>
      </w:r>
      <w:r w:rsidR="00E90EA5" w:rsidRPr="00B86BE6">
        <w:t xml:space="preserve"> to what they think </w:t>
      </w:r>
      <w:r w:rsidR="006D517F" w:rsidRPr="00B86BE6">
        <w:t xml:space="preserve">of as the </w:t>
      </w:r>
      <w:r w:rsidRPr="00B86BE6">
        <w:t>American c</w:t>
      </w:r>
      <w:r w:rsidR="00337B25" w:rsidRPr="00B86BE6">
        <w:t xml:space="preserve">reed or the American ideal—which </w:t>
      </w:r>
      <w:r w:rsidR="00E90EA5" w:rsidRPr="00B86BE6">
        <w:t xml:space="preserve">he defined </w:t>
      </w:r>
      <w:r w:rsidRPr="00B86BE6">
        <w:t>as “the cement in the structure of this great an</w:t>
      </w:r>
      <w:r w:rsidR="006D517F" w:rsidRPr="00B86BE6">
        <w:t>d disparate nation.”</w:t>
      </w:r>
      <w:r w:rsidR="006D517F" w:rsidRPr="00B86BE6">
        <w:rPr>
          <w:rStyle w:val="EndnoteReference"/>
        </w:rPr>
        <w:endnoteReference w:id="112"/>
      </w:r>
      <w:r w:rsidR="00E90EA5" w:rsidRPr="00B86BE6">
        <w:t xml:space="preserve"> </w:t>
      </w:r>
      <w:r w:rsidRPr="00B86BE6">
        <w:t>Thes</w:t>
      </w:r>
      <w:r w:rsidR="00ED1476" w:rsidRPr="00B86BE6">
        <w:t xml:space="preserve">e deeply </w:t>
      </w:r>
      <w:r w:rsidRPr="00B86BE6">
        <w:t xml:space="preserve">rooted assumptions about the nation </w:t>
      </w:r>
      <w:r w:rsidR="00D646A2" w:rsidRPr="00B86BE6">
        <w:t xml:space="preserve">and its global role </w:t>
      </w:r>
      <w:r w:rsidR="005C4B7E" w:rsidRPr="00B86BE6">
        <w:t xml:space="preserve">are also a piece in </w:t>
      </w:r>
      <w:r w:rsidR="00337B25" w:rsidRPr="00B86BE6">
        <w:t xml:space="preserve">my puzzle. </w:t>
      </w:r>
    </w:p>
    <w:p w:rsidR="0009629F" w:rsidRPr="00B86BE6" w:rsidRDefault="0009629F" w:rsidP="0009629F"/>
    <w:p w:rsidR="005776DE" w:rsidRPr="00B86BE6" w:rsidRDefault="005776DE" w:rsidP="005776DE">
      <w:pPr>
        <w:ind w:firstLine="720"/>
      </w:pPr>
      <w:r w:rsidRPr="00B86BE6">
        <w:t>Michael Ignat</w:t>
      </w:r>
      <w:r w:rsidR="00D75AFE" w:rsidRPr="00B86BE6">
        <w:t xml:space="preserve">ieff wrote that people </w:t>
      </w:r>
      <w:r w:rsidR="00335C43" w:rsidRPr="00B86BE6">
        <w:t>interpret and take responsibility for the</w:t>
      </w:r>
      <w:r w:rsidR="00D75AFE" w:rsidRPr="00B86BE6">
        <w:t xml:space="preserve"> global through the lens of their </w:t>
      </w:r>
      <w:r w:rsidR="00335C43" w:rsidRPr="00B86BE6">
        <w:t>national experiences.</w:t>
      </w:r>
      <w:r w:rsidRPr="00B86BE6">
        <w:t xml:space="preserve"> Would we care about universal human rights, he asks, if they were only expressed as universal</w:t>
      </w:r>
      <w:r w:rsidR="00F50442" w:rsidRPr="00B86BE6">
        <w:t>,</w:t>
      </w:r>
      <w:r w:rsidRPr="00B86BE6">
        <w:t xml:space="preserve"> or do “our attachments to these universals depends critically on our prior attachment to rights that are national, rooted in the traditions of a flag, a constitution, a set of founders, and a set of national narratives, religious and secular, that giv</w:t>
      </w:r>
      <w:r w:rsidR="00335C43" w:rsidRPr="00B86BE6">
        <w:t>e point and meaning to rights?</w:t>
      </w:r>
      <w:r w:rsidRPr="00B86BE6">
        <w:t>”</w:t>
      </w:r>
      <w:r w:rsidR="00D75AFE" w:rsidRPr="00B86BE6">
        <w:rPr>
          <w:rStyle w:val="EndnoteReference"/>
        </w:rPr>
        <w:endnoteReference w:id="113"/>
      </w:r>
      <w:r w:rsidR="00D75AFE" w:rsidRPr="00B86BE6">
        <w:t xml:space="preserve"> So how might a closer look at </w:t>
      </w:r>
      <w:r w:rsidR="00335C43" w:rsidRPr="00B86BE6">
        <w:t xml:space="preserve">Americanness and American values </w:t>
      </w:r>
      <w:r w:rsidR="00D75AFE" w:rsidRPr="00B86BE6">
        <w:t xml:space="preserve">help explain how the nation and its place in the world </w:t>
      </w:r>
      <w:r w:rsidR="00F50442" w:rsidRPr="00B86BE6">
        <w:t>i</w:t>
      </w:r>
      <w:r w:rsidR="00D75AFE" w:rsidRPr="00B86BE6">
        <w:t xml:space="preserve">s </w:t>
      </w:r>
      <w:r w:rsidR="00007B5C" w:rsidRPr="00B86BE6">
        <w:t>r</w:t>
      </w:r>
      <w:r w:rsidR="00F50442" w:rsidRPr="00B86BE6">
        <w:t>epresented by these two cities?</w:t>
      </w:r>
    </w:p>
    <w:p w:rsidR="005776DE" w:rsidRPr="00B86BE6" w:rsidRDefault="005776DE" w:rsidP="005776DE">
      <w:pPr>
        <w:ind w:firstLine="360"/>
      </w:pPr>
    </w:p>
    <w:p w:rsidR="0009629F" w:rsidRPr="00B86BE6" w:rsidRDefault="00335C43" w:rsidP="00B36D2B">
      <w:pPr>
        <w:ind w:firstLine="720"/>
      </w:pPr>
      <w:r w:rsidRPr="00B86BE6">
        <w:t>Exploring the “</w:t>
      </w:r>
      <w:r w:rsidR="0009629F" w:rsidRPr="00B86BE6">
        <w:t>American ideal</w:t>
      </w:r>
      <w:r w:rsidRPr="00B86BE6">
        <w:t>”</w:t>
      </w:r>
      <w:r w:rsidR="0009629F" w:rsidRPr="00B86BE6">
        <w:t xml:space="preserve"> was one of the central goals behind the founding of </w:t>
      </w:r>
      <w:r w:rsidR="0009629F" w:rsidRPr="00B86BE6">
        <w:rPr>
          <w:i/>
        </w:rPr>
        <w:t>The Atlantic Monthly</w:t>
      </w:r>
      <w:r w:rsidR="0009629F" w:rsidRPr="00B86BE6">
        <w:t>, a journal of politics, business, and culture that celebrated its 150</w:t>
      </w:r>
      <w:r w:rsidR="0009629F" w:rsidRPr="00B86BE6">
        <w:rPr>
          <w:vertAlign w:val="superscript"/>
        </w:rPr>
        <w:t>th</w:t>
      </w:r>
      <w:r w:rsidR="0009629F" w:rsidRPr="00B86BE6">
        <w:t xml:space="preserve"> annive</w:t>
      </w:r>
      <w:r w:rsidR="00281B7E" w:rsidRPr="00B86BE6">
        <w:t xml:space="preserve">rsary in 2007.  In fact, </w:t>
      </w:r>
      <w:r w:rsidR="0009629F" w:rsidRPr="00B86BE6">
        <w:t>some of the same Boston</w:t>
      </w:r>
      <w:r w:rsidR="005776DE" w:rsidRPr="00B86BE6">
        <w:t xml:space="preserve"> superstars who </w:t>
      </w:r>
      <w:r w:rsidR="00D75AFE" w:rsidRPr="00B86BE6">
        <w:t xml:space="preserve">founded </w:t>
      </w:r>
      <w:r w:rsidR="00007B5C" w:rsidRPr="00B86BE6">
        <w:t xml:space="preserve">the MFA </w:t>
      </w:r>
      <w:r w:rsidR="00835179" w:rsidRPr="00B86BE6">
        <w:t xml:space="preserve">also </w:t>
      </w:r>
      <w:r w:rsidR="00007B5C" w:rsidRPr="00B86BE6">
        <w:t xml:space="preserve">created the </w:t>
      </w:r>
      <w:r w:rsidR="0009629F" w:rsidRPr="00B86BE6">
        <w:t xml:space="preserve">magazine.  Picture </w:t>
      </w:r>
      <w:r w:rsidR="00281B7E" w:rsidRPr="00B86BE6">
        <w:t xml:space="preserve">the aftermath </w:t>
      </w:r>
      <w:r w:rsidR="0009629F" w:rsidRPr="00B86BE6">
        <w:t>of a five</w:t>
      </w:r>
      <w:r w:rsidR="00281B7E" w:rsidRPr="00B86BE6">
        <w:t>-hour, multi-course dinner at Boston’s still famous Parker House Hotel. Brandy spills and bre</w:t>
      </w:r>
      <w:r w:rsidRPr="00B86BE6">
        <w:t xml:space="preserve">adcrumbs </w:t>
      </w:r>
      <w:r w:rsidR="00B36D2B" w:rsidRPr="00B86BE6">
        <w:t>litter the table</w:t>
      </w:r>
      <w:r w:rsidR="00281B7E" w:rsidRPr="00B86BE6">
        <w:t xml:space="preserve">cloth and </w:t>
      </w:r>
      <w:r w:rsidR="0009629F" w:rsidRPr="00B86BE6">
        <w:t>cigar smoke</w:t>
      </w:r>
      <w:r w:rsidRPr="00B86BE6">
        <w:t xml:space="preserve"> </w:t>
      </w:r>
      <w:r w:rsidR="00281B7E" w:rsidRPr="00B86BE6">
        <w:t>clings to the</w:t>
      </w:r>
      <w:r w:rsidR="0009629F" w:rsidRPr="00B86BE6">
        <w:t xml:space="preserve"> air.  The luminaries </w:t>
      </w:r>
      <w:r w:rsidR="00281B7E" w:rsidRPr="00B86BE6">
        <w:t xml:space="preserve">who </w:t>
      </w:r>
      <w:r w:rsidR="0009629F" w:rsidRPr="00B86BE6">
        <w:t xml:space="preserve">gathered included Ralph Waldo Emerson, </w:t>
      </w:r>
      <w:r w:rsidR="00835179" w:rsidRPr="00B86BE6">
        <w:t xml:space="preserve">the same </w:t>
      </w:r>
      <w:r w:rsidR="005C4B7E" w:rsidRPr="00B86BE6">
        <w:t xml:space="preserve">celebrated philosopher and poet </w:t>
      </w:r>
      <w:r w:rsidR="00835179" w:rsidRPr="00B86BE6">
        <w:t xml:space="preserve">who delivered </w:t>
      </w:r>
      <w:r w:rsidR="00007B5C" w:rsidRPr="00B86BE6">
        <w:t xml:space="preserve">the 1837 address at </w:t>
      </w:r>
      <w:r w:rsidR="005C4B7E" w:rsidRPr="00B86BE6">
        <w:t xml:space="preserve">Harvard which </w:t>
      </w:r>
      <w:r w:rsidR="00835179" w:rsidRPr="00B86BE6">
        <w:t>Oliver Wend</w:t>
      </w:r>
      <w:r w:rsidR="00007B5C" w:rsidRPr="00B86BE6">
        <w:t xml:space="preserve">ell Holmes </w:t>
      </w:r>
      <w:r w:rsidR="00835179" w:rsidRPr="00B86BE6">
        <w:t>later called America’s intellectual Declaration of Independence</w:t>
      </w:r>
      <w:r w:rsidR="0009629F" w:rsidRPr="00B86BE6">
        <w:t>; Henry Wadsworth Longfellow</w:t>
      </w:r>
      <w:r w:rsidR="00D75AFE" w:rsidRPr="00B86BE6">
        <w:t xml:space="preserve">, </w:t>
      </w:r>
      <w:r w:rsidR="005C4B7E" w:rsidRPr="00B86BE6">
        <w:t xml:space="preserve">one of </w:t>
      </w:r>
      <w:r w:rsidR="0009629F" w:rsidRPr="00B86BE6">
        <w:t>Americ</w:t>
      </w:r>
      <w:r w:rsidR="00281B7E" w:rsidRPr="00B86BE6">
        <w:t>a’s most popular poet</w:t>
      </w:r>
      <w:r w:rsidR="005C4B7E" w:rsidRPr="00B86BE6">
        <w:t>s</w:t>
      </w:r>
      <w:r w:rsidR="00337B25" w:rsidRPr="00B86BE6">
        <w:t xml:space="preserve"> at the time</w:t>
      </w:r>
      <w:r w:rsidR="00D75AFE" w:rsidRPr="00B86BE6">
        <w:t>;</w:t>
      </w:r>
      <w:r w:rsidR="0009629F" w:rsidRPr="00B86BE6">
        <w:t xml:space="preserve"> and James Russell Lowell, poet</w:t>
      </w:r>
      <w:r w:rsidRPr="00B86BE6">
        <w:t>, editor, and diplomat.</w:t>
      </w:r>
      <w:r w:rsidR="00B36D2B" w:rsidRPr="00B86BE6">
        <w:rPr>
          <w:rStyle w:val="EndnoteReference"/>
        </w:rPr>
        <w:endnoteReference w:id="114"/>
      </w:r>
      <w:r w:rsidR="0009629F" w:rsidRPr="00B86BE6">
        <w:t xml:space="preserve"> </w:t>
      </w:r>
    </w:p>
    <w:p w:rsidR="0009629F" w:rsidRPr="00B86BE6" w:rsidRDefault="0009629F" w:rsidP="0009629F">
      <w:pPr>
        <w:ind w:firstLine="360"/>
      </w:pPr>
    </w:p>
    <w:p w:rsidR="0009629F" w:rsidRPr="00B86BE6" w:rsidRDefault="005C4B7E" w:rsidP="007F03CB">
      <w:pPr>
        <w:widowControl w:val="0"/>
        <w:autoSpaceDE w:val="0"/>
        <w:autoSpaceDN w:val="0"/>
        <w:adjustRightInd w:val="0"/>
        <w:ind w:firstLine="720"/>
      </w:pPr>
      <w:r w:rsidRPr="00B86BE6">
        <w:t>The term</w:t>
      </w:r>
      <w:r w:rsidR="00F50442" w:rsidRPr="00B86BE6">
        <w:t xml:space="preserve"> “t</w:t>
      </w:r>
      <w:r w:rsidR="0009629F" w:rsidRPr="00B86BE6">
        <w:t>he American Idea” comes from</w:t>
      </w:r>
      <w:r w:rsidR="007F03CB" w:rsidRPr="00B86BE6">
        <w:t xml:space="preserve"> </w:t>
      </w:r>
      <w:r w:rsidR="007F03CB" w:rsidRPr="00B86BE6">
        <w:rPr>
          <w:i/>
        </w:rPr>
        <w:t>The Atlantic</w:t>
      </w:r>
      <w:r w:rsidR="007F03CB" w:rsidRPr="00B86BE6">
        <w:t>’s inaugural issue.</w:t>
      </w:r>
      <w:r w:rsidR="007F03CB" w:rsidRPr="00B86BE6">
        <w:rPr>
          <w:rStyle w:val="EndnoteReference"/>
        </w:rPr>
        <w:endnoteReference w:id="115"/>
      </w:r>
      <w:r w:rsidR="00D75AFE" w:rsidRPr="00B86BE6">
        <w:t xml:space="preserve"> </w:t>
      </w:r>
      <w:r w:rsidR="0009629F" w:rsidRPr="00B86BE6">
        <w:t>It’s first back cover included an unsigned Decl</w:t>
      </w:r>
      <w:r w:rsidR="005776DE" w:rsidRPr="00B86BE6">
        <w:t>aration of Purpose proclaiming</w:t>
      </w:r>
      <w:r w:rsidR="0009629F" w:rsidRPr="00B86BE6">
        <w:t xml:space="preserve"> its objectives in a few simple sentences, “</w:t>
      </w:r>
      <w:r w:rsidR="0009629F" w:rsidRPr="00B86BE6">
        <w:rPr>
          <w:i/>
        </w:rPr>
        <w:t>The Atlantic</w:t>
      </w:r>
      <w:r w:rsidR="0009629F" w:rsidRPr="00B86BE6">
        <w:t xml:space="preserve">,” its editors wrote, “will be </w:t>
      </w:r>
      <w:r w:rsidR="00B36D2B" w:rsidRPr="00B86BE6">
        <w:t>an organ of no party or clique…</w:t>
      </w:r>
      <w:r w:rsidR="0009629F" w:rsidRPr="00B86BE6">
        <w:t xml:space="preserve">It will not rank itself with any sect of antis: but with a body of men which is in favor of Freedom, National Progress, and Honor, whether public or private.”  </w:t>
      </w:r>
      <w:r w:rsidR="00835179" w:rsidRPr="00B86BE6">
        <w:t xml:space="preserve">Its founders committed themselves to </w:t>
      </w:r>
      <w:r w:rsidR="0009629F" w:rsidRPr="00B86BE6">
        <w:t xml:space="preserve">exploring, monitoring, and promoting “the American idea,” which they left fairly undefined. </w:t>
      </w:r>
      <w:r w:rsidR="00335C43" w:rsidRPr="00B86BE6">
        <w:t xml:space="preserve">They wrote at a </w:t>
      </w:r>
      <w:r w:rsidR="0009629F" w:rsidRPr="00B86BE6">
        <w:t>time of heated debates about nation</w:t>
      </w:r>
      <w:r w:rsidR="00F50442" w:rsidRPr="00B86BE6">
        <w:t>al identity. Westward expansion,</w:t>
      </w:r>
      <w:r w:rsidR="00835179" w:rsidRPr="00B86BE6">
        <w:t xml:space="preserve"> growing tensions </w:t>
      </w:r>
      <w:r w:rsidR="0009629F" w:rsidRPr="00B86BE6">
        <w:t xml:space="preserve">between the </w:t>
      </w:r>
      <w:r w:rsidR="00A1708A" w:rsidRPr="00B86BE6">
        <w:t xml:space="preserve">centralized </w:t>
      </w:r>
      <w:r w:rsidR="00335C43" w:rsidRPr="00B86BE6">
        <w:t xml:space="preserve">federal government and its </w:t>
      </w:r>
      <w:r w:rsidR="00F50442" w:rsidRPr="00B86BE6">
        <w:t>unruly decentralized states,</w:t>
      </w:r>
      <w:r w:rsidR="0009629F" w:rsidRPr="00B86BE6">
        <w:t xml:space="preserve"> and bad blood between the North and South thwarted attempts </w:t>
      </w:r>
      <w:r w:rsidR="00F54C56" w:rsidRPr="00B86BE6">
        <w:t xml:space="preserve">to arrive at a national </w:t>
      </w:r>
      <w:r w:rsidR="0009629F" w:rsidRPr="00B86BE6">
        <w:t xml:space="preserve">consensus. </w:t>
      </w:r>
    </w:p>
    <w:p w:rsidR="0009629F" w:rsidRPr="00B86BE6" w:rsidRDefault="0009629F" w:rsidP="0009629F">
      <w:pPr>
        <w:widowControl w:val="0"/>
        <w:autoSpaceDE w:val="0"/>
        <w:autoSpaceDN w:val="0"/>
        <w:adjustRightInd w:val="0"/>
      </w:pPr>
    </w:p>
    <w:p w:rsidR="0009629F" w:rsidRPr="00B86BE6" w:rsidRDefault="0009629F" w:rsidP="0009629F">
      <w:pPr>
        <w:widowControl w:val="0"/>
        <w:autoSpaceDE w:val="0"/>
        <w:autoSpaceDN w:val="0"/>
        <w:adjustRightInd w:val="0"/>
        <w:ind w:firstLine="720"/>
      </w:pPr>
      <w:r w:rsidRPr="00B86BE6">
        <w:t>To celebrate its 150</w:t>
      </w:r>
      <w:r w:rsidRPr="00B86BE6">
        <w:rPr>
          <w:vertAlign w:val="superscript"/>
        </w:rPr>
        <w:t>th</w:t>
      </w:r>
      <w:r w:rsidRPr="00B86BE6">
        <w:t xml:space="preserve"> anniversary, the Atlantic compiled a volume of its “best”—“a 150</w:t>
      </w:r>
      <w:r w:rsidRPr="00B86BE6">
        <w:rPr>
          <w:vertAlign w:val="superscript"/>
        </w:rPr>
        <w:t>th</w:t>
      </w:r>
      <w:r w:rsidRPr="00B86BE6">
        <w:t xml:space="preserve"> years of writers and thinkers who shaped our history.</w:t>
      </w:r>
      <w:r w:rsidR="00835179" w:rsidRPr="00B86BE6">
        <w:t>”</w:t>
      </w:r>
      <w:r w:rsidRPr="00B86BE6">
        <w:t xml:space="preserve"> Editor Robert Vare selected poems, sho</w:t>
      </w:r>
      <w:r w:rsidR="00F50442" w:rsidRPr="00B86BE6">
        <w:t>rt stories, and some of the long-form</w:t>
      </w:r>
      <w:r w:rsidRPr="00B86BE6">
        <w:t xml:space="preserve"> pieces the magazine became famous</w:t>
      </w:r>
      <w:r w:rsidR="00A1708A" w:rsidRPr="00B86BE6">
        <w:t xml:space="preserve"> for. He also inadvertently </w:t>
      </w:r>
      <w:r w:rsidR="00D75AFE" w:rsidRPr="00B86BE6">
        <w:t xml:space="preserve">helped me with my </w:t>
      </w:r>
      <w:r w:rsidRPr="00B86BE6">
        <w:t xml:space="preserve">homework.  What better place to </w:t>
      </w:r>
      <w:r w:rsidR="00D75AFE" w:rsidRPr="00B86BE6">
        <w:t xml:space="preserve">get a handle on </w:t>
      </w:r>
      <w:r w:rsidRPr="00B86BE6">
        <w:t xml:space="preserve">the American idea than in </w:t>
      </w:r>
      <w:r w:rsidR="00A1708A" w:rsidRPr="00B86BE6">
        <w:t xml:space="preserve">the last section </w:t>
      </w:r>
      <w:r w:rsidR="00F54C56" w:rsidRPr="00B86BE6">
        <w:t xml:space="preserve">of his volume </w:t>
      </w:r>
      <w:r w:rsidR="00835179" w:rsidRPr="00B86BE6">
        <w:t xml:space="preserve">bearing that </w:t>
      </w:r>
      <w:r w:rsidR="00335C43" w:rsidRPr="00B86BE6">
        <w:t>name?</w:t>
      </w:r>
      <w:r w:rsidRPr="00B86BE6">
        <w:t xml:space="preserve"> </w:t>
      </w:r>
    </w:p>
    <w:p w:rsidR="0009629F" w:rsidRPr="00B86BE6" w:rsidRDefault="0009629F" w:rsidP="0009629F">
      <w:pPr>
        <w:widowControl w:val="0"/>
        <w:autoSpaceDE w:val="0"/>
        <w:autoSpaceDN w:val="0"/>
        <w:adjustRightInd w:val="0"/>
        <w:ind w:firstLine="720"/>
      </w:pPr>
    </w:p>
    <w:p w:rsidR="0009629F" w:rsidRPr="00B86BE6" w:rsidRDefault="0009629F" w:rsidP="0009629F">
      <w:pPr>
        <w:widowControl w:val="0"/>
        <w:autoSpaceDE w:val="0"/>
        <w:autoSpaceDN w:val="0"/>
        <w:adjustRightInd w:val="0"/>
        <w:ind w:firstLine="720"/>
      </w:pPr>
      <w:r w:rsidRPr="00B86BE6">
        <w:t xml:space="preserve">What runs throughout these excerpts is a tension </w:t>
      </w:r>
      <w:r w:rsidR="00A1708A" w:rsidRPr="00B86BE6">
        <w:t xml:space="preserve">between </w:t>
      </w:r>
      <w:r w:rsidR="00335C43" w:rsidRPr="00B86BE6">
        <w:t xml:space="preserve">seemingly </w:t>
      </w:r>
      <w:r w:rsidR="00A1708A" w:rsidRPr="00B86BE6">
        <w:t xml:space="preserve">competing </w:t>
      </w:r>
      <w:r w:rsidR="00167F92" w:rsidRPr="00B86BE6">
        <w:t xml:space="preserve">imperatives: </w:t>
      </w:r>
      <w:r w:rsidR="00335C43" w:rsidRPr="00B86BE6">
        <w:t xml:space="preserve">the desire to </w:t>
      </w:r>
      <w:r w:rsidR="00F54C56" w:rsidRPr="00B86BE6">
        <w:t xml:space="preserve">be a world leader </w:t>
      </w:r>
      <w:r w:rsidR="00335C43" w:rsidRPr="00B86BE6">
        <w:t xml:space="preserve">and </w:t>
      </w:r>
      <w:r w:rsidR="00835179" w:rsidRPr="00B86BE6">
        <w:t>to preserve</w:t>
      </w:r>
      <w:r w:rsidRPr="00B86BE6">
        <w:t xml:space="preserve"> the cou</w:t>
      </w:r>
      <w:r w:rsidR="00A1708A" w:rsidRPr="00B86BE6">
        <w:t>ntry’s isolated, insular stance;</w:t>
      </w:r>
      <w:r w:rsidRPr="00B86BE6">
        <w:t xml:space="preserve"> to put the group before </w:t>
      </w:r>
      <w:r w:rsidR="00F54C56" w:rsidRPr="00B86BE6">
        <w:t xml:space="preserve">the individual </w:t>
      </w:r>
      <w:r w:rsidR="005C4B7E" w:rsidRPr="00B86BE6">
        <w:t>and t</w:t>
      </w:r>
      <w:r w:rsidR="00B36D2B" w:rsidRPr="00B86BE6">
        <w:t xml:space="preserve">o </w:t>
      </w:r>
      <w:r w:rsidR="00F54C56" w:rsidRPr="00B86BE6">
        <w:t xml:space="preserve">deify the </w:t>
      </w:r>
      <w:r w:rsidR="00A1708A" w:rsidRPr="00B86BE6">
        <w:t>rugged, self-reliant pioneer;</w:t>
      </w:r>
      <w:r w:rsidR="00167F92" w:rsidRPr="00B86BE6">
        <w:t xml:space="preserve"> embracing</w:t>
      </w:r>
      <w:r w:rsidR="001F0640" w:rsidRPr="00B86BE6">
        <w:t xml:space="preserve"> cosmopolitanism versus celebrat</w:t>
      </w:r>
      <w:r w:rsidR="00167F92" w:rsidRPr="00B86BE6">
        <w:t xml:space="preserve">ing </w:t>
      </w:r>
      <w:r w:rsidRPr="00B86BE6">
        <w:t xml:space="preserve">American exceptionalism.  </w:t>
      </w:r>
      <w:r w:rsidR="001F0640" w:rsidRPr="00B86BE6">
        <w:t xml:space="preserve">These tensions have not gone away.  They are still at the heart of </w:t>
      </w:r>
      <w:r w:rsidR="005776DE" w:rsidRPr="00B86BE6">
        <w:t xml:space="preserve">the country’s electoral choices, its </w:t>
      </w:r>
      <w:r w:rsidR="001F0640" w:rsidRPr="00B86BE6">
        <w:t>domestic a</w:t>
      </w:r>
      <w:r w:rsidR="005776DE" w:rsidRPr="00B86BE6">
        <w:t>nd international policy debates, and its museums.</w:t>
      </w:r>
      <w:r w:rsidR="001F0640" w:rsidRPr="00B86BE6">
        <w:t xml:space="preserve"> </w:t>
      </w:r>
    </w:p>
    <w:p w:rsidR="0009629F" w:rsidRPr="00B86BE6" w:rsidRDefault="0009629F" w:rsidP="001F0640">
      <w:pPr>
        <w:widowControl w:val="0"/>
        <w:autoSpaceDE w:val="0"/>
        <w:autoSpaceDN w:val="0"/>
        <w:adjustRightInd w:val="0"/>
      </w:pPr>
    </w:p>
    <w:p w:rsidR="0009629F" w:rsidRPr="00B86BE6" w:rsidRDefault="0009629F" w:rsidP="00D75AFE">
      <w:pPr>
        <w:widowControl w:val="0"/>
        <w:autoSpaceDE w:val="0"/>
        <w:autoSpaceDN w:val="0"/>
        <w:adjustRightInd w:val="0"/>
        <w:ind w:firstLine="720"/>
      </w:pPr>
      <w:r w:rsidRPr="00B86BE6">
        <w:t xml:space="preserve">What does Mr. Vare include?  Among other things, “The Ideals of America,” </w:t>
      </w:r>
      <w:r w:rsidR="005833DB" w:rsidRPr="00B86BE6">
        <w:t xml:space="preserve">which </w:t>
      </w:r>
      <w:r w:rsidRPr="00B86BE6">
        <w:t>Woodrow Wilson</w:t>
      </w:r>
      <w:r w:rsidR="00337B25" w:rsidRPr="00B86BE6">
        <w:t xml:space="preserve"> wrote </w:t>
      </w:r>
      <w:r w:rsidRPr="00B86BE6">
        <w:t>in 1902</w:t>
      </w:r>
      <w:r w:rsidR="00337B25" w:rsidRPr="00B86BE6">
        <w:t xml:space="preserve"> </w:t>
      </w:r>
      <w:r w:rsidRPr="00B86BE6">
        <w:t>in respo</w:t>
      </w:r>
      <w:r w:rsidR="003B259E" w:rsidRPr="00B86BE6">
        <w:t>nse to the Spanish-American war. In it</w:t>
      </w:r>
      <w:r w:rsidR="00F54C56" w:rsidRPr="00B86BE6">
        <w:t xml:space="preserve">, he </w:t>
      </w:r>
      <w:r w:rsidR="00D75AFE" w:rsidRPr="00B86BE6">
        <w:t xml:space="preserve">urges </w:t>
      </w:r>
      <w:r w:rsidR="00F54C56" w:rsidRPr="00B86BE6">
        <w:t>leaders to</w:t>
      </w:r>
      <w:r w:rsidR="00337B25" w:rsidRPr="00B86BE6">
        <w:t xml:space="preserve"> abandon</w:t>
      </w:r>
      <w:r w:rsidR="00D75AFE" w:rsidRPr="00B86BE6">
        <w:t xml:space="preserve"> </w:t>
      </w:r>
      <w:r w:rsidR="007B4A5B" w:rsidRPr="00B86BE6">
        <w:t xml:space="preserve">George Washington’s call to </w:t>
      </w:r>
      <w:r w:rsidR="003B259E" w:rsidRPr="00B86BE6">
        <w:t>stay out of other countries’ business</w:t>
      </w:r>
      <w:r w:rsidR="00337B25" w:rsidRPr="00B86BE6">
        <w:t xml:space="preserve"> and </w:t>
      </w:r>
      <w:r w:rsidR="007B4A5B" w:rsidRPr="00B86BE6">
        <w:t xml:space="preserve">take on a </w:t>
      </w:r>
      <w:r w:rsidR="00F54C56" w:rsidRPr="00B86BE6">
        <w:t xml:space="preserve">more </w:t>
      </w:r>
      <w:r w:rsidRPr="00B86BE6">
        <w:t>prominent international role</w:t>
      </w:r>
      <w:r w:rsidR="00337B25" w:rsidRPr="00B86BE6">
        <w:t xml:space="preserve"> instead</w:t>
      </w:r>
      <w:r w:rsidRPr="00B86BE6">
        <w:t xml:space="preserve">.  Until then, the country had been too busy </w:t>
      </w:r>
      <w:r w:rsidR="00786CC7" w:rsidRPr="00B86BE6">
        <w:t xml:space="preserve">expanding westward and </w:t>
      </w:r>
      <w:r w:rsidR="001F0640" w:rsidRPr="00B86BE6">
        <w:t xml:space="preserve">warding off </w:t>
      </w:r>
      <w:r w:rsidRPr="00B86BE6">
        <w:t xml:space="preserve">continental competitors and external threats.  Now, said Wilson, </w:t>
      </w:r>
      <w:r w:rsidR="00786CC7" w:rsidRPr="00B86BE6">
        <w:t xml:space="preserve">Asia was ripe </w:t>
      </w:r>
      <w:r w:rsidR="003B259E" w:rsidRPr="00B86BE6">
        <w:t xml:space="preserve">for the economic picking, </w:t>
      </w:r>
      <w:r w:rsidRPr="00B86BE6">
        <w:t xml:space="preserve">Cuba was </w:t>
      </w:r>
      <w:r w:rsidR="003B259E" w:rsidRPr="00B86BE6">
        <w:t>boiling over</w:t>
      </w:r>
      <w:r w:rsidR="00F54C56" w:rsidRPr="00B86BE6">
        <w:t xml:space="preserve"> just to the south</w:t>
      </w:r>
      <w:r w:rsidR="00786CC7" w:rsidRPr="00B86BE6">
        <w:t>,</w:t>
      </w:r>
      <w:r w:rsidR="00F54C56" w:rsidRPr="00B86BE6">
        <w:t xml:space="preserve"> and </w:t>
      </w:r>
      <w:r w:rsidR="005833DB" w:rsidRPr="00B86BE6">
        <w:t>the United States’</w:t>
      </w:r>
      <w:r w:rsidR="00F54C56" w:rsidRPr="00B86BE6">
        <w:t xml:space="preserve"> </w:t>
      </w:r>
      <w:r w:rsidR="005833DB" w:rsidRPr="00B86BE6">
        <w:t>self-confidence</w:t>
      </w:r>
      <w:r w:rsidR="00F54C56" w:rsidRPr="00B86BE6">
        <w:t xml:space="preserve"> soared after its </w:t>
      </w:r>
      <w:r w:rsidRPr="00B86BE6">
        <w:t>easy victory over Spain in the Philippines.  Why not</w:t>
      </w:r>
      <w:r w:rsidR="003B259E" w:rsidRPr="00B86BE6">
        <w:t xml:space="preserve"> build an empire</w:t>
      </w:r>
      <w:r w:rsidR="00B36D2B" w:rsidRPr="00B86BE6">
        <w:t>?</w:t>
      </w:r>
      <w:r w:rsidR="005776DE" w:rsidRPr="00B86BE6">
        <w:t xml:space="preserve"> A decade later, though, </w:t>
      </w:r>
      <w:r w:rsidRPr="00B86BE6">
        <w:t>Wilson</w:t>
      </w:r>
      <w:r w:rsidR="001F0640" w:rsidRPr="00B86BE6">
        <w:t xml:space="preserve"> </w:t>
      </w:r>
      <w:r w:rsidR="005776DE" w:rsidRPr="00B86BE6">
        <w:t xml:space="preserve">did </w:t>
      </w:r>
      <w:r w:rsidR="001F0640" w:rsidRPr="00B86BE6">
        <w:t>an about face</w:t>
      </w:r>
      <w:r w:rsidR="00F54C56" w:rsidRPr="00B86BE6">
        <w:t xml:space="preserve"> from his presidential seat in the White House.</w:t>
      </w:r>
      <w:r w:rsidRPr="00B86BE6">
        <w:t xml:space="preserve"> Unrepentant Filipino insurge</w:t>
      </w:r>
      <w:r w:rsidR="003B259E" w:rsidRPr="00B86BE6">
        <w:t>n</w:t>
      </w:r>
      <w:r w:rsidR="005833DB" w:rsidRPr="00B86BE6">
        <w:t xml:space="preserve">ts and Mexican revolutionaries </w:t>
      </w:r>
      <w:r w:rsidRPr="00B86BE6">
        <w:t xml:space="preserve">and the human cost </w:t>
      </w:r>
      <w:r w:rsidR="005833DB" w:rsidRPr="00B86BE6">
        <w:t>of World War I</w:t>
      </w:r>
      <w:r w:rsidR="003B259E" w:rsidRPr="00B86BE6">
        <w:t xml:space="preserve"> </w:t>
      </w:r>
      <w:r w:rsidR="001F0640" w:rsidRPr="00B86BE6">
        <w:t xml:space="preserve">convinced him </w:t>
      </w:r>
      <w:r w:rsidRPr="00B86BE6">
        <w:t xml:space="preserve">that imperialism impeded democracy, converting him into a die-hard internationalist. </w:t>
      </w:r>
    </w:p>
    <w:p w:rsidR="0009629F" w:rsidRPr="00B86BE6" w:rsidRDefault="0009629F" w:rsidP="0009629F">
      <w:pPr>
        <w:widowControl w:val="0"/>
        <w:autoSpaceDE w:val="0"/>
        <w:autoSpaceDN w:val="0"/>
        <w:adjustRightInd w:val="0"/>
      </w:pPr>
    </w:p>
    <w:p w:rsidR="00B36D2B" w:rsidRPr="00B86BE6" w:rsidRDefault="0009629F" w:rsidP="0009629F">
      <w:pPr>
        <w:widowControl w:val="0"/>
        <w:autoSpaceDE w:val="0"/>
        <w:autoSpaceDN w:val="0"/>
        <w:adjustRightInd w:val="0"/>
      </w:pPr>
      <w:r w:rsidRPr="00B86BE6">
        <w:tab/>
        <w:t>Then comes</w:t>
      </w:r>
      <w:r w:rsidR="001F0640" w:rsidRPr="00B86BE6">
        <w:t xml:space="preserve"> the idea of w</w:t>
      </w:r>
      <w:r w:rsidR="00E802B2" w:rsidRPr="00B86BE6">
        <w:t>estward expansion—that the wide-</w:t>
      </w:r>
      <w:r w:rsidR="001F0640" w:rsidRPr="00B86BE6">
        <w:t xml:space="preserve">open, uninhabited spaces of the American west evoked a </w:t>
      </w:r>
      <w:r w:rsidRPr="00B86BE6">
        <w:t>frontier me</w:t>
      </w:r>
      <w:r w:rsidR="00E802B2" w:rsidRPr="00B86BE6">
        <w:t>ntality and fiercely indep</w:t>
      </w:r>
      <w:r w:rsidR="006B0863" w:rsidRPr="00B86BE6">
        <w:t xml:space="preserve">endent </w:t>
      </w:r>
      <w:r w:rsidR="00D9227B" w:rsidRPr="00B86BE6">
        <w:t xml:space="preserve">personality </w:t>
      </w:r>
      <w:r w:rsidR="002B5AAB" w:rsidRPr="00B86BE6">
        <w:t xml:space="preserve">that still marks the country </w:t>
      </w:r>
      <w:r w:rsidR="006B0863" w:rsidRPr="00B86BE6">
        <w:t>today</w:t>
      </w:r>
      <w:r w:rsidR="00E802B2" w:rsidRPr="00B86BE6">
        <w:t>.</w:t>
      </w:r>
      <w:r w:rsidRPr="00B86BE6">
        <w:t xml:space="preserve"> </w:t>
      </w:r>
      <w:r w:rsidR="00E802B2" w:rsidRPr="00B86BE6">
        <w:t xml:space="preserve">In his </w:t>
      </w:r>
      <w:r w:rsidRPr="00B86BE6">
        <w:t xml:space="preserve">1893 </w:t>
      </w:r>
      <w:r w:rsidR="00E802B2" w:rsidRPr="00B86BE6">
        <w:t xml:space="preserve">speech at the </w:t>
      </w:r>
      <w:r w:rsidRPr="00B86BE6">
        <w:t xml:space="preserve">Chicago World’s Fair, </w:t>
      </w:r>
      <w:r w:rsidR="00E802B2" w:rsidRPr="00B86BE6">
        <w:t xml:space="preserve">University of Wisconsin History Professor Frederick Jackson Turner told </w:t>
      </w:r>
      <w:r w:rsidRPr="00B86BE6">
        <w:t>listeners that</w:t>
      </w:r>
      <w:r w:rsidR="00E802B2" w:rsidRPr="00B86BE6">
        <w:t xml:space="preserve"> </w:t>
      </w:r>
      <w:r w:rsidR="002B5AAB" w:rsidRPr="00B86BE6">
        <w:t xml:space="preserve">taming those </w:t>
      </w:r>
      <w:r w:rsidR="00E802B2" w:rsidRPr="00B86BE6">
        <w:t>inhospitable</w:t>
      </w:r>
      <w:r w:rsidR="002B5AAB" w:rsidRPr="00B86BE6">
        <w:t>, lonely</w:t>
      </w:r>
      <w:r w:rsidR="00E802B2" w:rsidRPr="00B86BE6">
        <w:t xml:space="preserve"> expanses </w:t>
      </w:r>
      <w:r w:rsidR="002B5AAB" w:rsidRPr="00B86BE6">
        <w:t>required staunch individualists who</w:t>
      </w:r>
      <w:r w:rsidR="00D9227B" w:rsidRPr="00B86BE6">
        <w:t xml:space="preserve"> could </w:t>
      </w:r>
      <w:r w:rsidR="007B4A5B" w:rsidRPr="00B86BE6">
        <w:t>only rely on themselves. A</w:t>
      </w:r>
      <w:r w:rsidR="002B5AAB" w:rsidRPr="00B86BE6">
        <w:t xml:space="preserve">chieving the American dream became an individual </w:t>
      </w:r>
      <w:r w:rsidR="00D9227B" w:rsidRPr="00B86BE6">
        <w:t xml:space="preserve">rather than a collective accomplishment. </w:t>
      </w:r>
    </w:p>
    <w:p w:rsidR="00786CC7" w:rsidRPr="00B86BE6" w:rsidRDefault="00786CC7" w:rsidP="0009629F">
      <w:pPr>
        <w:widowControl w:val="0"/>
        <w:autoSpaceDE w:val="0"/>
        <w:autoSpaceDN w:val="0"/>
        <w:adjustRightInd w:val="0"/>
      </w:pPr>
    </w:p>
    <w:p w:rsidR="0009629F" w:rsidRPr="00B86BE6" w:rsidRDefault="0009629F" w:rsidP="007D2315">
      <w:pPr>
        <w:widowControl w:val="0"/>
        <w:autoSpaceDE w:val="0"/>
        <w:autoSpaceDN w:val="0"/>
        <w:adjustRightInd w:val="0"/>
        <w:ind w:firstLine="720"/>
      </w:pPr>
      <w:r w:rsidRPr="00B86BE6">
        <w:t xml:space="preserve">Randolph Bourne put his finger on the multi-national roots of America.  Writing in 1916, at a time of </w:t>
      </w:r>
      <w:r w:rsidR="002B5AAB" w:rsidRPr="00B86BE6">
        <w:t xml:space="preserve">large-scale </w:t>
      </w:r>
      <w:r w:rsidRPr="00B86BE6">
        <w:t xml:space="preserve">immigration and </w:t>
      </w:r>
      <w:r w:rsidR="002B5AAB" w:rsidRPr="00B86BE6">
        <w:t xml:space="preserve">heightened </w:t>
      </w:r>
      <w:r w:rsidRPr="00B86BE6">
        <w:t xml:space="preserve">xenophobia, he railed against calls </w:t>
      </w:r>
      <w:r w:rsidR="002B5AAB" w:rsidRPr="00B86BE6">
        <w:t xml:space="preserve">to </w:t>
      </w:r>
      <w:r w:rsidR="00D9227B" w:rsidRPr="00B86BE6">
        <w:t xml:space="preserve">transform America into a </w:t>
      </w:r>
      <w:r w:rsidR="006B0863" w:rsidRPr="00B86BE6">
        <w:t xml:space="preserve">homogenous bastion of </w:t>
      </w:r>
      <w:r w:rsidRPr="00B86BE6">
        <w:t>Anglo-</w:t>
      </w:r>
      <w:r w:rsidR="00900931" w:rsidRPr="00B86BE6">
        <w:t>Saxon</w:t>
      </w:r>
      <w:r w:rsidRPr="00B86BE6">
        <w:t xml:space="preserve"> culture, proposing instead a “cosmopolitan vision” </w:t>
      </w:r>
      <w:r w:rsidR="00D9227B" w:rsidRPr="00B86BE6">
        <w:t xml:space="preserve">that allowed each group </w:t>
      </w:r>
      <w:r w:rsidR="006B0863" w:rsidRPr="00B86BE6">
        <w:t xml:space="preserve">to retain its </w:t>
      </w:r>
      <w:r w:rsidRPr="00B86BE6">
        <w:t xml:space="preserve">customs and character because they </w:t>
      </w:r>
      <w:r w:rsidR="002B5AAB" w:rsidRPr="00B86BE6">
        <w:t xml:space="preserve">added up to a </w:t>
      </w:r>
      <w:r w:rsidRPr="00B86BE6">
        <w:t xml:space="preserve">richer whole. </w:t>
      </w:r>
      <w:r w:rsidR="00786CC7" w:rsidRPr="00B86BE6">
        <w:t xml:space="preserve">Americans were </w:t>
      </w:r>
      <w:r w:rsidR="007D2315" w:rsidRPr="00B86BE6">
        <w:t>all foreign-born</w:t>
      </w:r>
      <w:r w:rsidR="00D9227B" w:rsidRPr="00B86BE6">
        <w:t xml:space="preserve"> or the children of immigrants</w:t>
      </w:r>
      <w:r w:rsidR="005833DB" w:rsidRPr="00B86BE6">
        <w:t>,</w:t>
      </w:r>
      <w:r w:rsidR="00D9227B" w:rsidRPr="00B86BE6">
        <w:t xml:space="preserve"> </w:t>
      </w:r>
      <w:r w:rsidR="007D2315" w:rsidRPr="00B86BE6">
        <w:t xml:space="preserve">so </w:t>
      </w:r>
      <w:r w:rsidR="00786CC7" w:rsidRPr="00B86BE6">
        <w:t xml:space="preserve">why make </w:t>
      </w:r>
      <w:r w:rsidR="007D2315" w:rsidRPr="00B86BE6">
        <w:t xml:space="preserve">social distinctions </w:t>
      </w:r>
      <w:r w:rsidR="00786CC7" w:rsidRPr="00B86BE6">
        <w:t>based on nativity?</w:t>
      </w:r>
      <w:r w:rsidR="007D2315" w:rsidRPr="00B86BE6">
        <w:t xml:space="preserve"> </w:t>
      </w:r>
      <w:r w:rsidRPr="00B86BE6">
        <w:t xml:space="preserve"> </w:t>
      </w:r>
      <w:r w:rsidR="00D9227B" w:rsidRPr="00B86BE6">
        <w:t xml:space="preserve">The United States was in a unique position to model cosmopolitanism to the rest of the world because </w:t>
      </w:r>
      <w:r w:rsidR="005833DB" w:rsidRPr="00B86BE6">
        <w:t>“o</w:t>
      </w:r>
      <w:r w:rsidRPr="00B86BE6">
        <w:t xml:space="preserve">nly the American—and in this category I include the migratory alien who has lived with us and caught the pioneer spirit and a sense of new social vistas—has the chance to become that citizen of the world. American is coming to be, not a nationality but a trans-nationality, a weaving back and forth, with the other land, of many </w:t>
      </w:r>
      <w:r w:rsidR="007D2315" w:rsidRPr="00B86BE6">
        <w:t>threads of all sizes and colors</w:t>
      </w:r>
      <w:r w:rsidRPr="00B86BE6">
        <w:t xml:space="preserve">.” </w:t>
      </w:r>
      <w:r w:rsidR="007F03CB" w:rsidRPr="00B86BE6">
        <w:rPr>
          <w:rStyle w:val="EndnoteReference"/>
        </w:rPr>
        <w:endnoteReference w:id="116"/>
      </w:r>
    </w:p>
    <w:p w:rsidR="0009629F" w:rsidRPr="00B86BE6" w:rsidRDefault="0009629F" w:rsidP="0009629F">
      <w:pPr>
        <w:widowControl w:val="0"/>
        <w:autoSpaceDE w:val="0"/>
        <w:autoSpaceDN w:val="0"/>
        <w:adjustRightInd w:val="0"/>
      </w:pPr>
    </w:p>
    <w:p w:rsidR="0009629F" w:rsidRPr="00B86BE6" w:rsidRDefault="0009629F" w:rsidP="0009629F">
      <w:pPr>
        <w:widowControl w:val="0"/>
        <w:autoSpaceDE w:val="0"/>
        <w:autoSpaceDN w:val="0"/>
        <w:adjustRightInd w:val="0"/>
      </w:pPr>
      <w:r w:rsidRPr="00B86BE6">
        <w:tab/>
      </w:r>
      <w:r w:rsidR="002B5AAB" w:rsidRPr="00B86BE6">
        <w:t xml:space="preserve">Nearly twenty years </w:t>
      </w:r>
      <w:r w:rsidRPr="00B86BE6">
        <w:t xml:space="preserve">later, </w:t>
      </w:r>
      <w:r w:rsidR="002B5AAB" w:rsidRPr="00B86BE6">
        <w:t xml:space="preserve">theologian </w:t>
      </w:r>
      <w:r w:rsidRPr="00B86BE6">
        <w:t>Reinhold Niebuhr c</w:t>
      </w:r>
      <w:r w:rsidR="007D2315" w:rsidRPr="00B86BE6">
        <w:t>hastised</w:t>
      </w:r>
      <w:r w:rsidRPr="00B86BE6">
        <w:t xml:space="preserve"> h</w:t>
      </w:r>
      <w:r w:rsidR="007D2315" w:rsidRPr="00B86BE6">
        <w:t>is fellow citizens as anything b</w:t>
      </w:r>
      <w:r w:rsidRPr="00B86BE6">
        <w:t xml:space="preserve">ut.  In his essay, </w:t>
      </w:r>
      <w:r w:rsidRPr="00B86BE6">
        <w:rPr>
          <w:i/>
        </w:rPr>
        <w:t xml:space="preserve">The Perils of American Power, </w:t>
      </w:r>
      <w:r w:rsidR="007D2315" w:rsidRPr="00B86BE6">
        <w:t>he warned</w:t>
      </w:r>
      <w:r w:rsidR="002B5AAB" w:rsidRPr="00B86BE6">
        <w:t xml:space="preserve"> that America had become too powerful too quickly and that, as a result, it </w:t>
      </w:r>
      <w:r w:rsidR="00D9227B" w:rsidRPr="00B86BE6">
        <w:t xml:space="preserve">did not exercise </w:t>
      </w:r>
      <w:r w:rsidR="00786CC7" w:rsidRPr="00B86BE6">
        <w:t xml:space="preserve">its </w:t>
      </w:r>
      <w:r w:rsidR="007D2315" w:rsidRPr="00B86BE6">
        <w:t xml:space="preserve">influence </w:t>
      </w:r>
      <w:r w:rsidRPr="00B86BE6">
        <w:t>effectively or ethically.  “America is at once the most powerful and political</w:t>
      </w:r>
      <w:r w:rsidR="007F03CB" w:rsidRPr="00B86BE6">
        <w:t>ly ignorant of modern nations.”</w:t>
      </w:r>
      <w:r w:rsidR="007F03CB" w:rsidRPr="00B86BE6">
        <w:rPr>
          <w:rStyle w:val="EndnoteReference"/>
        </w:rPr>
        <w:endnoteReference w:id="117"/>
      </w:r>
      <w:r w:rsidR="007F03CB" w:rsidRPr="00B86BE6">
        <w:t xml:space="preserve"> </w:t>
      </w:r>
      <w:r w:rsidRPr="00B86BE6">
        <w:t xml:space="preserve">Despite its achievements, </w:t>
      </w:r>
      <w:r w:rsidR="007D2315" w:rsidRPr="00B86BE6">
        <w:t>he said,</w:t>
      </w:r>
      <w:r w:rsidR="002B5AAB" w:rsidRPr="00B86BE6">
        <w:t xml:space="preserve"> it was still made up of powerful </w:t>
      </w:r>
      <w:r w:rsidRPr="00B86BE6">
        <w:t xml:space="preserve">businessmen and engineers </w:t>
      </w:r>
      <w:r w:rsidR="00786CC7" w:rsidRPr="00B86BE6">
        <w:t>who</w:t>
      </w:r>
      <w:r w:rsidR="00D9227B" w:rsidRPr="00B86BE6">
        <w:t xml:space="preserve"> have wealth and position </w:t>
      </w:r>
      <w:r w:rsidR="002B5AAB" w:rsidRPr="00B86BE6">
        <w:t xml:space="preserve">but lack a moral compass. </w:t>
      </w:r>
    </w:p>
    <w:p w:rsidR="0009629F" w:rsidRPr="00B86BE6" w:rsidRDefault="0009629F" w:rsidP="0009629F">
      <w:pPr>
        <w:widowControl w:val="0"/>
        <w:autoSpaceDE w:val="0"/>
        <w:autoSpaceDN w:val="0"/>
        <w:adjustRightInd w:val="0"/>
      </w:pPr>
    </w:p>
    <w:p w:rsidR="0009629F" w:rsidRPr="00B86BE6" w:rsidRDefault="0009629F" w:rsidP="0009629F">
      <w:pPr>
        <w:widowControl w:val="0"/>
        <w:autoSpaceDE w:val="0"/>
        <w:autoSpaceDN w:val="0"/>
        <w:adjustRightInd w:val="0"/>
      </w:pPr>
      <w:r w:rsidRPr="00B86BE6">
        <w:tab/>
        <w:t xml:space="preserve">The last piece Vare </w:t>
      </w:r>
      <w:r w:rsidR="007D2315" w:rsidRPr="00B86BE6">
        <w:t xml:space="preserve">includes is also emblematic of one thread of </w:t>
      </w:r>
      <w:r w:rsidRPr="00B86BE6">
        <w:t>Am</w:t>
      </w:r>
      <w:r w:rsidR="007B4A5B" w:rsidRPr="00B86BE6">
        <w:t xml:space="preserve">ericanness—the country’s </w:t>
      </w:r>
      <w:r w:rsidR="007D2315" w:rsidRPr="00B86BE6">
        <w:t xml:space="preserve">optimism and its abiding, sometimes </w:t>
      </w:r>
      <w:r w:rsidRPr="00B86BE6">
        <w:t>naïve</w:t>
      </w:r>
      <w:r w:rsidR="007B4A5B" w:rsidRPr="00B86BE6">
        <w:t>,</w:t>
      </w:r>
      <w:r w:rsidRPr="00B86BE6">
        <w:t xml:space="preserve"> belief in progress.  Writing about September 11</w:t>
      </w:r>
      <w:r w:rsidRPr="00B86BE6">
        <w:rPr>
          <w:vertAlign w:val="superscript"/>
        </w:rPr>
        <w:t>th</w:t>
      </w:r>
      <w:r w:rsidRPr="00B86BE6">
        <w:t>, essayist William Langewiesche wrote “Despite the apocalyptic nature of the scene, the response was unhesitant and almost childishly optimistic: it was simply understood that you would find survivors, and then that you would find the dead… and that you would work night and day to clean up the mess, and that this would allow the world’s greatest city to rebuild quickly, and maybe even to make itself into somet</w:t>
      </w:r>
      <w:r w:rsidR="007D2315" w:rsidRPr="00B86BE6">
        <w:t>hing better than before.”</w:t>
      </w:r>
      <w:r w:rsidR="007F03CB" w:rsidRPr="00B86BE6">
        <w:rPr>
          <w:rStyle w:val="EndnoteReference"/>
        </w:rPr>
        <w:endnoteReference w:id="118"/>
      </w:r>
      <w:r w:rsidR="007D2315" w:rsidRPr="00B86BE6">
        <w:t xml:space="preserve">  It was, in essence, </w:t>
      </w:r>
      <w:r w:rsidRPr="00B86BE6">
        <w:t xml:space="preserve">Winthrop’s 1617 City on the Hill all over again. </w:t>
      </w:r>
    </w:p>
    <w:p w:rsidR="0009629F" w:rsidRPr="00B86BE6" w:rsidRDefault="0009629F" w:rsidP="0009629F">
      <w:pPr>
        <w:widowControl w:val="0"/>
        <w:autoSpaceDE w:val="0"/>
        <w:autoSpaceDN w:val="0"/>
        <w:adjustRightInd w:val="0"/>
      </w:pPr>
    </w:p>
    <w:p w:rsidR="0009629F" w:rsidRPr="00B86BE6" w:rsidRDefault="0009629F" w:rsidP="0009629F">
      <w:pPr>
        <w:widowControl w:val="0"/>
        <w:autoSpaceDE w:val="0"/>
        <w:autoSpaceDN w:val="0"/>
        <w:adjustRightInd w:val="0"/>
        <w:spacing w:after="320"/>
        <w:rPr>
          <w:rFonts w:cs="Verdana"/>
        </w:rPr>
      </w:pPr>
      <w:r w:rsidRPr="00B86BE6">
        <w:tab/>
      </w:r>
      <w:r w:rsidR="00F9262D" w:rsidRPr="00B86BE6">
        <w:t>To this c</w:t>
      </w:r>
      <w:r w:rsidR="00F227B6" w:rsidRPr="00B86BE6">
        <w:t xml:space="preserve">ultural knapsack, as Anders </w:t>
      </w:r>
      <w:r w:rsidR="00F227B6" w:rsidRPr="00B86BE6">
        <w:rPr>
          <w:rStyle w:val="Emphasis"/>
          <w:i w:val="0"/>
        </w:rPr>
        <w:t>Björklund</w:t>
      </w:r>
      <w:r w:rsidR="00F227B6" w:rsidRPr="00B86BE6">
        <w:t xml:space="preserve"> </w:t>
      </w:r>
      <w:r w:rsidR="00F9262D" w:rsidRPr="00B86BE6">
        <w:t xml:space="preserve">would call it, I </w:t>
      </w:r>
      <w:r w:rsidR="007B4A5B" w:rsidRPr="00B86BE6">
        <w:t xml:space="preserve">would </w:t>
      </w:r>
      <w:r w:rsidR="000634C2" w:rsidRPr="00B86BE6">
        <w:t xml:space="preserve">add the </w:t>
      </w:r>
      <w:r w:rsidR="00F9262D" w:rsidRPr="00B86BE6">
        <w:t>idea</w:t>
      </w:r>
      <w:r w:rsidR="007B4A5B" w:rsidRPr="00B86BE6">
        <w:t xml:space="preserve"> of civil religion. </w:t>
      </w:r>
      <w:r w:rsidR="00F9262D" w:rsidRPr="00B86BE6">
        <w:t xml:space="preserve">Robert Bellah defined </w:t>
      </w:r>
      <w:r w:rsidRPr="00B86BE6">
        <w:rPr>
          <w:rFonts w:cs="Verdana"/>
        </w:rPr>
        <w:t>civil religion</w:t>
      </w:r>
      <w:r w:rsidR="007B4A5B" w:rsidRPr="00B86BE6">
        <w:rPr>
          <w:rFonts w:cs="Verdana"/>
        </w:rPr>
        <w:t xml:space="preserve"> </w:t>
      </w:r>
      <w:r w:rsidR="00F227B6" w:rsidRPr="00B86BE6">
        <w:rPr>
          <w:rFonts w:cs="Verdana"/>
        </w:rPr>
        <w:t>not a</w:t>
      </w:r>
      <w:r w:rsidR="007B4A5B" w:rsidRPr="00B86BE6">
        <w:rPr>
          <w:rFonts w:cs="Verdana"/>
        </w:rPr>
        <w:t>s a</w:t>
      </w:r>
      <w:r w:rsidR="00F227B6" w:rsidRPr="00B86BE6">
        <w:rPr>
          <w:rFonts w:cs="Verdana"/>
        </w:rPr>
        <w:t xml:space="preserve"> real religion or simple patriotism but</w:t>
      </w:r>
      <w:r w:rsidR="005833DB" w:rsidRPr="00B86BE6">
        <w:rPr>
          <w:rFonts w:cs="Verdana"/>
        </w:rPr>
        <w:t xml:space="preserve"> as</w:t>
      </w:r>
      <w:r w:rsidR="00F227B6" w:rsidRPr="00B86BE6">
        <w:rPr>
          <w:rFonts w:cs="Verdana"/>
        </w:rPr>
        <w:t xml:space="preserve"> </w:t>
      </w:r>
      <w:r w:rsidR="005833DB" w:rsidRPr="00B86BE6">
        <w:rPr>
          <w:rFonts w:cs="Verdana"/>
        </w:rPr>
        <w:t>“a</w:t>
      </w:r>
      <w:r w:rsidRPr="00B86BE6">
        <w:rPr>
          <w:rFonts w:cs="Verdana"/>
        </w:rPr>
        <w:t>n institutionalized collection of sacred beli</w:t>
      </w:r>
      <w:r w:rsidR="000634C2" w:rsidRPr="00B86BE6">
        <w:rPr>
          <w:rFonts w:cs="Verdana"/>
        </w:rPr>
        <w:t xml:space="preserve">efs about the American nation,” including </w:t>
      </w:r>
      <w:r w:rsidR="00F227B6" w:rsidRPr="00B86BE6">
        <w:rPr>
          <w:rFonts w:cs="Verdana"/>
        </w:rPr>
        <w:t xml:space="preserve">a belief in </w:t>
      </w:r>
      <w:r w:rsidR="005833DB" w:rsidRPr="00B86BE6">
        <w:rPr>
          <w:rFonts w:cs="Verdana"/>
        </w:rPr>
        <w:t>a transcendent being called God,</w:t>
      </w:r>
      <w:r w:rsidRPr="00B86BE6">
        <w:rPr>
          <w:rFonts w:cs="Verdana"/>
        </w:rPr>
        <w:t xml:space="preserve"> the idea that America is subject to God's laws, and that God </w:t>
      </w:r>
      <w:r w:rsidR="00F227B6" w:rsidRPr="00B86BE6">
        <w:rPr>
          <w:rFonts w:cs="Verdana"/>
        </w:rPr>
        <w:t xml:space="preserve">guides and protects </w:t>
      </w:r>
      <w:r w:rsidRPr="00B86BE6">
        <w:rPr>
          <w:rFonts w:cs="Verdana"/>
        </w:rPr>
        <w:t xml:space="preserve">the United States. </w:t>
      </w:r>
      <w:r w:rsidR="000634C2" w:rsidRPr="00B86BE6">
        <w:rPr>
          <w:rFonts w:cs="Verdana"/>
        </w:rPr>
        <w:t xml:space="preserve">These ideas, Bellah believed, </w:t>
      </w:r>
      <w:r w:rsidR="00F227B6" w:rsidRPr="00B86BE6">
        <w:rPr>
          <w:rFonts w:cs="Verdana"/>
        </w:rPr>
        <w:t xml:space="preserve">underlay </w:t>
      </w:r>
      <w:r w:rsidR="000634C2" w:rsidRPr="00B86BE6">
        <w:rPr>
          <w:rFonts w:cs="Verdana"/>
        </w:rPr>
        <w:t xml:space="preserve">national </w:t>
      </w:r>
      <w:r w:rsidRPr="00B86BE6">
        <w:rPr>
          <w:rFonts w:cs="Verdana"/>
        </w:rPr>
        <w:t>values of liberty, justice, charity, and personal virtue</w:t>
      </w:r>
      <w:r w:rsidR="00CA2C95" w:rsidRPr="00B86BE6">
        <w:rPr>
          <w:rFonts w:cs="Verdana"/>
        </w:rPr>
        <w:t>.</w:t>
      </w:r>
      <w:r w:rsidR="00CA2C95" w:rsidRPr="00B86BE6">
        <w:rPr>
          <w:rStyle w:val="EndnoteReference"/>
          <w:rFonts w:cs="Verdana"/>
        </w:rPr>
        <w:endnoteReference w:id="119"/>
      </w:r>
      <w:r w:rsidRPr="00B86BE6">
        <w:rPr>
          <w:rFonts w:cs="Verdana"/>
        </w:rPr>
        <w:t xml:space="preserve"> </w:t>
      </w:r>
      <w:r w:rsidR="00D9227B" w:rsidRPr="00B86BE6">
        <w:rPr>
          <w:rFonts w:cs="Verdana"/>
        </w:rPr>
        <w:t xml:space="preserve">They also underlay a </w:t>
      </w:r>
      <w:r w:rsidRPr="00B86BE6">
        <w:rPr>
          <w:rFonts w:cs="Verdana"/>
        </w:rPr>
        <w:t xml:space="preserve">sense of special calling, of being chosen to carry forth God’s plan and to be judged accordingly.  </w:t>
      </w:r>
    </w:p>
    <w:p w:rsidR="00E974FC" w:rsidRPr="00B86BE6" w:rsidRDefault="00B36D2B" w:rsidP="009565EB">
      <w:pPr>
        <w:ind w:firstLine="720"/>
      </w:pPr>
      <w:r w:rsidRPr="00B86BE6">
        <w:rPr>
          <w:rFonts w:cs="Verdana"/>
        </w:rPr>
        <w:t xml:space="preserve">I </w:t>
      </w:r>
      <w:r w:rsidR="007B4A5B" w:rsidRPr="00B86BE6">
        <w:rPr>
          <w:rFonts w:cs="Verdana"/>
        </w:rPr>
        <w:t xml:space="preserve">also add </w:t>
      </w:r>
      <w:r w:rsidRPr="00B86BE6">
        <w:rPr>
          <w:rFonts w:cs="Verdana"/>
        </w:rPr>
        <w:t xml:space="preserve">the idea of </w:t>
      </w:r>
      <w:r w:rsidR="00E974FC" w:rsidRPr="00B86BE6">
        <w:rPr>
          <w:rFonts w:cs="Verdana"/>
        </w:rPr>
        <w:t xml:space="preserve">American </w:t>
      </w:r>
      <w:r w:rsidR="00900931" w:rsidRPr="00B86BE6">
        <w:rPr>
          <w:rFonts w:cs="Verdana"/>
        </w:rPr>
        <w:t>exceptionalism</w:t>
      </w:r>
      <w:r w:rsidR="00F227B6" w:rsidRPr="00B86BE6">
        <w:rPr>
          <w:rFonts w:cs="Verdana"/>
        </w:rPr>
        <w:t xml:space="preserve">, a term which arose in 1906, </w:t>
      </w:r>
      <w:r w:rsidR="00D9227B" w:rsidRPr="00B86BE6">
        <w:rPr>
          <w:rFonts w:cs="Verdana"/>
        </w:rPr>
        <w:t xml:space="preserve">when </w:t>
      </w:r>
      <w:r w:rsidR="00067B0E" w:rsidRPr="00B86BE6">
        <w:rPr>
          <w:rFonts w:cs="Helvetica"/>
        </w:rPr>
        <w:t xml:space="preserve">Werner Sombart </w:t>
      </w:r>
      <w:r w:rsidR="00F227B6" w:rsidRPr="00B86BE6">
        <w:rPr>
          <w:rFonts w:cs="Helvetica"/>
        </w:rPr>
        <w:t>was asked</w:t>
      </w:r>
      <w:r w:rsidR="007B4A5B" w:rsidRPr="00B86BE6">
        <w:rPr>
          <w:rFonts w:cs="Helvetica"/>
        </w:rPr>
        <w:t xml:space="preserve"> to explain</w:t>
      </w:r>
      <w:r w:rsidR="00F227B6" w:rsidRPr="00B86BE6">
        <w:rPr>
          <w:rFonts w:cs="Helvetica"/>
        </w:rPr>
        <w:t xml:space="preserve"> </w:t>
      </w:r>
      <w:r w:rsidR="00067B0E" w:rsidRPr="00B86BE6">
        <w:rPr>
          <w:rFonts w:cs="Helvetica"/>
        </w:rPr>
        <w:t>why</w:t>
      </w:r>
      <w:r w:rsidR="007F03CB" w:rsidRPr="00B86BE6">
        <w:rPr>
          <w:rFonts w:cs="Helvetica"/>
        </w:rPr>
        <w:t xml:space="preserve"> </w:t>
      </w:r>
      <w:r w:rsidR="00067B0E" w:rsidRPr="00B86BE6">
        <w:rPr>
          <w:rFonts w:cs="Times"/>
        </w:rPr>
        <w:t>one of the largest, we</w:t>
      </w:r>
      <w:r w:rsidR="00F227B6" w:rsidRPr="00B86BE6">
        <w:rPr>
          <w:rFonts w:cs="Times"/>
        </w:rPr>
        <w:t xml:space="preserve">althiest industrialized nations </w:t>
      </w:r>
      <w:r w:rsidR="00311ACD" w:rsidRPr="00B86BE6">
        <w:rPr>
          <w:rFonts w:cs="Times"/>
        </w:rPr>
        <w:t>devoted</w:t>
      </w:r>
      <w:r w:rsidR="00337B25" w:rsidRPr="00B86BE6">
        <w:rPr>
          <w:rFonts w:cs="Times"/>
        </w:rPr>
        <w:t xml:space="preserve"> so little money to </w:t>
      </w:r>
      <w:r w:rsidR="00067B0E" w:rsidRPr="00B86BE6">
        <w:rPr>
          <w:rFonts w:cs="Times"/>
        </w:rPr>
        <w:t>the welfare of its citizens</w:t>
      </w:r>
      <w:r w:rsidR="00F227B6" w:rsidRPr="00B86BE6">
        <w:rPr>
          <w:rFonts w:cs="Times"/>
        </w:rPr>
        <w:t xml:space="preserve">?  Why </w:t>
      </w:r>
      <w:r w:rsidR="007B4A5B" w:rsidRPr="00B86BE6">
        <w:rPr>
          <w:rFonts w:cs="Times"/>
        </w:rPr>
        <w:t xml:space="preserve">was the government so “hands-off” when it came to managing the economy and why were </w:t>
      </w:r>
      <w:r w:rsidR="00F227B6" w:rsidRPr="00B86BE6">
        <w:rPr>
          <w:rFonts w:cs="Times"/>
        </w:rPr>
        <w:t xml:space="preserve">trade unions so weak? </w:t>
      </w:r>
      <w:r w:rsidR="00067B0E" w:rsidRPr="00B86BE6">
        <w:rPr>
          <w:rFonts w:cs="Times"/>
        </w:rPr>
        <w:t xml:space="preserve">The answer, Sombart and others </w:t>
      </w:r>
      <w:r w:rsidR="00D9227B" w:rsidRPr="00B86BE6">
        <w:rPr>
          <w:rFonts w:cs="Times"/>
        </w:rPr>
        <w:t xml:space="preserve">later </w:t>
      </w:r>
      <w:r w:rsidR="00067B0E" w:rsidRPr="00B86BE6">
        <w:rPr>
          <w:rFonts w:cs="Times"/>
        </w:rPr>
        <w:t xml:space="preserve">argued, </w:t>
      </w:r>
      <w:r w:rsidR="007F03CB" w:rsidRPr="00B86BE6">
        <w:rPr>
          <w:rFonts w:cs="Times"/>
        </w:rPr>
        <w:t xml:space="preserve">was that </w:t>
      </w:r>
      <w:r w:rsidR="005833DB" w:rsidRPr="00B86BE6">
        <w:rPr>
          <w:rFonts w:cs="Times"/>
        </w:rPr>
        <w:t xml:space="preserve">because </w:t>
      </w:r>
      <w:r w:rsidR="007F03CB" w:rsidRPr="00B86BE6">
        <w:rPr>
          <w:rFonts w:cs="Times"/>
        </w:rPr>
        <w:t xml:space="preserve">America </w:t>
      </w:r>
      <w:r w:rsidR="00067B0E" w:rsidRPr="00B86BE6">
        <w:rPr>
          <w:rFonts w:cs="Times"/>
        </w:rPr>
        <w:t>never had a landed aristocr</w:t>
      </w:r>
      <w:r w:rsidR="007F03CB" w:rsidRPr="00B86BE6">
        <w:rPr>
          <w:rFonts w:cs="Times"/>
        </w:rPr>
        <w:t xml:space="preserve">acy or an established church, </w:t>
      </w:r>
      <w:r w:rsidR="00067B0E" w:rsidRPr="00B86BE6">
        <w:rPr>
          <w:rFonts w:cs="Times"/>
        </w:rPr>
        <w:t xml:space="preserve">there was </w:t>
      </w:r>
      <w:r w:rsidR="005833DB" w:rsidRPr="00B86BE6">
        <w:rPr>
          <w:rFonts w:cs="Times"/>
        </w:rPr>
        <w:t>never any</w:t>
      </w:r>
      <w:r w:rsidR="00067B0E" w:rsidRPr="00B86BE6">
        <w:rPr>
          <w:rFonts w:cs="Times"/>
        </w:rPr>
        <w:t xml:space="preserve"> need t</w:t>
      </w:r>
      <w:r w:rsidR="007B4A5B" w:rsidRPr="00B86BE6">
        <w:rPr>
          <w:rFonts w:cs="Times"/>
        </w:rPr>
        <w:t xml:space="preserve">o rebel against them. The country’s </w:t>
      </w:r>
      <w:r w:rsidR="00067B0E" w:rsidRPr="00B86BE6">
        <w:rPr>
          <w:rFonts w:cs="Times"/>
        </w:rPr>
        <w:t xml:space="preserve">vast open spaces allowed potential class antagonists to walk away from each other rather than fight it out. The same people who sought their fortunes in isolated areas became strong-minded independent farmers, not </w:t>
      </w:r>
      <w:r w:rsidR="00900931" w:rsidRPr="00B86BE6">
        <w:rPr>
          <w:rFonts w:cs="Times"/>
        </w:rPr>
        <w:t>collectively organized</w:t>
      </w:r>
      <w:r w:rsidR="00067B0E" w:rsidRPr="00B86BE6">
        <w:rPr>
          <w:rFonts w:cs="Times"/>
        </w:rPr>
        <w:t xml:space="preserve"> workers. </w:t>
      </w:r>
      <w:r w:rsidR="007B4A5B" w:rsidRPr="00B86BE6">
        <w:rPr>
          <w:rFonts w:cs="Times"/>
        </w:rPr>
        <w:t xml:space="preserve">Americans became successful by </w:t>
      </w:r>
      <w:r w:rsidR="00E974FC" w:rsidRPr="00B86BE6">
        <w:rPr>
          <w:rFonts w:cs="Times"/>
        </w:rPr>
        <w:t xml:space="preserve">being independent, </w:t>
      </w:r>
      <w:r w:rsidR="00067B0E" w:rsidRPr="00B86BE6">
        <w:t>autonomous, sovereign, and rational actor</w:t>
      </w:r>
      <w:r w:rsidR="00E974FC" w:rsidRPr="00B86BE6">
        <w:t>s</w:t>
      </w:r>
      <w:r w:rsidR="00067B0E" w:rsidRPr="00B86BE6">
        <w:t xml:space="preserve"> in a free market</w:t>
      </w:r>
      <w:r w:rsidR="007F03CB" w:rsidRPr="00B86BE6">
        <w:t>.</w:t>
      </w:r>
      <w:r w:rsidR="007F03CB" w:rsidRPr="00B86BE6">
        <w:rPr>
          <w:rStyle w:val="EndnoteReference"/>
        </w:rPr>
        <w:endnoteReference w:id="120"/>
      </w:r>
    </w:p>
    <w:p w:rsidR="007F03CB" w:rsidRPr="00B86BE6" w:rsidRDefault="007F03CB" w:rsidP="009565EB">
      <w:pPr>
        <w:ind w:firstLine="720"/>
      </w:pPr>
    </w:p>
    <w:p w:rsidR="007F03CB" w:rsidRPr="00B86BE6" w:rsidRDefault="000634C2" w:rsidP="00400B8A">
      <w:pPr>
        <w:ind w:firstLine="720"/>
      </w:pPr>
      <w:r w:rsidRPr="00B86BE6">
        <w:t>American exceptionalism,</w:t>
      </w:r>
      <w:r w:rsidR="007F03CB" w:rsidRPr="00B86BE6">
        <w:t xml:space="preserve"> </w:t>
      </w:r>
      <w:r w:rsidR="00311ACD" w:rsidRPr="00B86BE6">
        <w:t xml:space="preserve">some argue, </w:t>
      </w:r>
      <w:r w:rsidR="007F03CB" w:rsidRPr="00B86BE6">
        <w:t xml:space="preserve">explains all kinds of things: what </w:t>
      </w:r>
      <w:r w:rsidR="00900931" w:rsidRPr="00B86BE6">
        <w:t xml:space="preserve">Ignatieff and colleague John Ruggie </w:t>
      </w:r>
      <w:r w:rsidR="007F03CB" w:rsidRPr="00B86BE6">
        <w:t xml:space="preserve">call </w:t>
      </w:r>
      <w:r w:rsidR="00900931" w:rsidRPr="00B86BE6">
        <w:t xml:space="preserve">American “schizophrenism”—that no other country </w:t>
      </w:r>
      <w:r w:rsidR="00337B25" w:rsidRPr="00B86BE6">
        <w:t xml:space="preserve">spends so much time promoting </w:t>
      </w:r>
      <w:r w:rsidR="00900931" w:rsidRPr="00B86BE6">
        <w:t xml:space="preserve">human rights and democracy while </w:t>
      </w:r>
      <w:r w:rsidR="00F227B6" w:rsidRPr="00B86BE6">
        <w:t xml:space="preserve">also </w:t>
      </w:r>
      <w:r w:rsidR="00900931" w:rsidRPr="00B86BE6">
        <w:t>supporting rights abusing regimes, opting out of treaties</w:t>
      </w:r>
      <w:r w:rsidR="005833DB" w:rsidRPr="00B86BE6">
        <w:t>,</w:t>
      </w:r>
      <w:r w:rsidR="00900931" w:rsidRPr="00B86BE6">
        <w:t xml:space="preserve"> and insisting that domestic law always trumps</w:t>
      </w:r>
      <w:r w:rsidR="00EF0189" w:rsidRPr="00B86BE6">
        <w:t xml:space="preserve"> international agreements</w:t>
      </w:r>
      <w:r w:rsidR="00900931" w:rsidRPr="00B86BE6">
        <w:t xml:space="preserve">. </w:t>
      </w:r>
      <w:r w:rsidR="007F03CB" w:rsidRPr="00B86BE6">
        <w:rPr>
          <w:rStyle w:val="EndnoteReference"/>
        </w:rPr>
        <w:endnoteReference w:id="121"/>
      </w:r>
      <w:r w:rsidR="00900931" w:rsidRPr="00B86BE6">
        <w:t xml:space="preserve"> </w:t>
      </w:r>
      <w:r w:rsidRPr="00B86BE6">
        <w:t>Andrei S. Markovits and Steven Hellerman</w:t>
      </w:r>
      <w:r w:rsidR="005833DB" w:rsidRPr="00B86BE6">
        <w:t xml:space="preserve">  even</w:t>
      </w:r>
      <w:r w:rsidR="00E974FC" w:rsidRPr="00B86BE6">
        <w:t xml:space="preserve"> </w:t>
      </w:r>
      <w:r w:rsidR="007B4A5B" w:rsidRPr="00B86BE6">
        <w:t>say it explains why soccer</w:t>
      </w:r>
      <w:r w:rsidR="005833DB" w:rsidRPr="00B86BE6">
        <w:t xml:space="preserve"> </w:t>
      </w:r>
      <w:r w:rsidR="000F358D" w:rsidRPr="00B86BE6">
        <w:t xml:space="preserve">is the </w:t>
      </w:r>
      <w:r w:rsidR="00311ACD" w:rsidRPr="00B86BE6">
        <w:t xml:space="preserve">sport of choice </w:t>
      </w:r>
      <w:r w:rsidR="00337B25" w:rsidRPr="00B86BE6">
        <w:t>all over the wor</w:t>
      </w:r>
      <w:r w:rsidR="00EC1932" w:rsidRPr="00B86BE6">
        <w:t xml:space="preserve">ld </w:t>
      </w:r>
      <w:r w:rsidR="00337B25" w:rsidRPr="00B86BE6">
        <w:t xml:space="preserve">but only </w:t>
      </w:r>
      <w:r w:rsidR="00311ACD" w:rsidRPr="00B86BE6">
        <w:t xml:space="preserve">recently </w:t>
      </w:r>
      <w:r w:rsidR="00EC1932" w:rsidRPr="00B86BE6">
        <w:t xml:space="preserve">became popular </w:t>
      </w:r>
      <w:r w:rsidR="00311ACD" w:rsidRPr="00B86BE6">
        <w:t>in the United States</w:t>
      </w:r>
      <w:r w:rsidR="007B4A5B" w:rsidRPr="00B86BE6">
        <w:t>.</w:t>
      </w:r>
      <w:r w:rsidR="007F03CB" w:rsidRPr="00B86BE6">
        <w:rPr>
          <w:rStyle w:val="EndnoteReference"/>
        </w:rPr>
        <w:endnoteReference w:id="122"/>
      </w:r>
      <w:r w:rsidR="007F03CB" w:rsidRPr="00B86BE6">
        <w:t xml:space="preserve"> </w:t>
      </w:r>
    </w:p>
    <w:p w:rsidR="00EF0189" w:rsidRPr="00B86BE6" w:rsidRDefault="00EF0189" w:rsidP="00400B8A">
      <w:pPr>
        <w:ind w:firstLine="720"/>
      </w:pPr>
    </w:p>
    <w:p w:rsidR="0009629F" w:rsidRPr="00B86BE6" w:rsidRDefault="0009629F" w:rsidP="002B7E8C">
      <w:r w:rsidRPr="00B86BE6">
        <w:rPr>
          <w:rFonts w:cs="Verdana"/>
        </w:rPr>
        <w:tab/>
      </w:r>
      <w:r w:rsidR="002B7E8C" w:rsidRPr="00B86BE6">
        <w:t xml:space="preserve">Taken together, these values </w:t>
      </w:r>
      <w:r w:rsidR="00C22EEA" w:rsidRPr="00B86BE6">
        <w:t xml:space="preserve">add up to a </w:t>
      </w:r>
      <w:r w:rsidR="002B7E8C" w:rsidRPr="00B86BE6">
        <w:t>messianic charge, of a nation destined to spread democ</w:t>
      </w:r>
      <w:r w:rsidR="00F44ADE" w:rsidRPr="00B86BE6">
        <w:t xml:space="preserve">racy and be a role model to </w:t>
      </w:r>
      <w:r w:rsidR="002B7E8C" w:rsidRPr="00B86BE6">
        <w:t>other nations</w:t>
      </w:r>
      <w:r w:rsidR="00311ACD" w:rsidRPr="00B86BE6">
        <w:t>.  Boston’s self-image as the “hub of the universe” that would inspire mankind has the same genealogy</w:t>
      </w:r>
      <w:r w:rsidR="002B7E8C" w:rsidRPr="00B86BE6">
        <w:t xml:space="preserve"> as the rhetoric of Manifest Destiny, Woodrow Wilson’s call to make the world safe for democracy, and Franklin Roosevelt’s cru</w:t>
      </w:r>
      <w:r w:rsidR="00B63DA4" w:rsidRPr="00B86BE6">
        <w:t xml:space="preserve">sade for the “four freedoms” during </w:t>
      </w:r>
      <w:r w:rsidR="00EF0189" w:rsidRPr="00B86BE6">
        <w:t>World War II</w:t>
      </w:r>
      <w:r w:rsidR="002B7E8C" w:rsidRPr="00B86BE6">
        <w:t xml:space="preserve">. </w:t>
      </w:r>
      <w:r w:rsidR="00C22EEA" w:rsidRPr="00B86BE6">
        <w:rPr>
          <w:rStyle w:val="EndnoteReference"/>
        </w:rPr>
        <w:endnoteReference w:id="123"/>
      </w:r>
      <w:r w:rsidR="002B7E8C" w:rsidRPr="00B86BE6">
        <w:t xml:space="preserve"> “</w:t>
      </w:r>
      <w:r w:rsidR="00311ACD" w:rsidRPr="00B86BE6">
        <w:t xml:space="preserve">It is </w:t>
      </w:r>
      <w:r w:rsidR="002B7E8C" w:rsidRPr="00B86BE6">
        <w:t>something more than the ordinary narcissism and nationalism t</w:t>
      </w:r>
      <w:r w:rsidR="00311ACD" w:rsidRPr="00B86BE6">
        <w:t>hat all powerful states display,” writes Ignatieff, “</w:t>
      </w:r>
      <w:r w:rsidRPr="00B86BE6">
        <w:t xml:space="preserve">It is rooted in the particular achievements of a successful history of liberty that U.S. leaders have believed is of universal significance, even the work of Providential design. </w:t>
      </w:r>
      <w:r w:rsidR="00900931" w:rsidRPr="00B86BE6">
        <w:t>For most Americans, human rights are American values writ large, the export version of its own Bill of Rights” and America is “the last imperial ideology left standing in the world, the sole survivor of imperial claims to universal significance</w:t>
      </w:r>
      <w:r w:rsidR="00C22EEA" w:rsidRPr="00B86BE6">
        <w:t>.”</w:t>
      </w:r>
      <w:r w:rsidR="00C22EEA" w:rsidRPr="00B86BE6">
        <w:rPr>
          <w:rStyle w:val="EndnoteReference"/>
        </w:rPr>
        <w:endnoteReference w:id="124"/>
      </w:r>
      <w:r w:rsidR="00EC1932" w:rsidRPr="00B86BE6">
        <w:t xml:space="preserve"> </w:t>
      </w:r>
    </w:p>
    <w:p w:rsidR="00EC1932" w:rsidRPr="00B86BE6" w:rsidRDefault="00EC1932" w:rsidP="002B7E8C"/>
    <w:p w:rsidR="00EC1932" w:rsidRPr="00B86BE6" w:rsidRDefault="00EC1932" w:rsidP="002B7E8C">
      <w:r w:rsidRPr="00B86BE6">
        <w:tab/>
        <w:t xml:space="preserve">Even when creating cosmopolitan competencies, then, there was little discussion about what kind of world they would create or how to achieve it. Nor did the conversation turn to who decides what attitudes and skills are needed, who gets to embrace them and, more importantly, what would have to change to make that possible for greater numbers.  This is global engagement when you are so far out in front, no one else can really hold you accountable.  It is leading without staying true to your own rules.  </w:t>
      </w:r>
    </w:p>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Default="00B50E1C" w:rsidP="0009629F"/>
    <w:p w:rsidR="00B50E1C" w:rsidRPr="00B50E1C" w:rsidRDefault="00B50E1C" w:rsidP="0009629F">
      <w:pPr>
        <w:rPr>
          <w:b/>
        </w:rPr>
      </w:pPr>
      <w:r w:rsidRPr="00B50E1C">
        <w:rPr>
          <w:b/>
        </w:rPr>
        <w:t>Works Cited</w:t>
      </w:r>
    </w:p>
    <w:p w:rsidR="00BA0A8A" w:rsidRPr="00B86BE6" w:rsidRDefault="00BA0A8A" w:rsidP="0009629F"/>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Amory, Cleveland. </w:t>
      </w:r>
      <w:r w:rsidRPr="00B50E1C">
        <w:rPr>
          <w:rFonts w:ascii="Times" w:eastAsia="ＭＳ 明朝" w:hAnsi="Times"/>
          <w:i/>
          <w:szCs w:val="20"/>
        </w:rPr>
        <w:t>The Proper Bostonians</w:t>
      </w:r>
      <w:r w:rsidRPr="00B50E1C">
        <w:rPr>
          <w:rFonts w:ascii="Times" w:eastAsia="ＭＳ 明朝" w:hAnsi="Times"/>
          <w:szCs w:val="20"/>
        </w:rPr>
        <w:t>. New York: E.P. Dutton, 1947.</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Avedon, E.M. “Stewart Culin, Ethnographer.” </w:t>
      </w:r>
      <w:r w:rsidRPr="00B50E1C">
        <w:rPr>
          <w:rFonts w:ascii="Times" w:eastAsia="ＭＳ 明朝" w:hAnsi="Times"/>
          <w:i/>
          <w:szCs w:val="20"/>
        </w:rPr>
        <w:t>Elliott Avedon Virtual Museum of Games</w:t>
      </w:r>
      <w:r w:rsidRPr="00B50E1C">
        <w:rPr>
          <w:rFonts w:ascii="Times" w:eastAsia="ＭＳ 明朝" w:hAnsi="Times"/>
          <w:szCs w:val="20"/>
        </w:rPr>
        <w:t>. Faculty of Applied Health Sciences, University of Waterloo, January 11, 2010. http://www.gamesmuseum.uwaterloo.ca/Archives/Culin/index.html.</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Bailyn, Bernard. </w:t>
      </w:r>
      <w:r w:rsidRPr="00B50E1C">
        <w:rPr>
          <w:rFonts w:ascii="Times" w:eastAsia="ＭＳ 明朝" w:hAnsi="Times"/>
          <w:i/>
          <w:szCs w:val="20"/>
        </w:rPr>
        <w:t>The New England Merchants in the Seventeenth Century</w:t>
      </w:r>
      <w:r w:rsidRPr="00B50E1C">
        <w:rPr>
          <w:rFonts w:ascii="Times" w:eastAsia="ＭＳ 明朝" w:hAnsi="Times"/>
          <w:szCs w:val="20"/>
        </w:rPr>
        <w:t>. Cambridge: Harvard University Press, 1979.</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“Brooklyn Museum: reOrder: An Architectural Environment by Situ Studio.” </w:t>
      </w:r>
      <w:r w:rsidRPr="00B50E1C">
        <w:rPr>
          <w:rFonts w:ascii="Times" w:eastAsia="ＭＳ 明朝" w:hAnsi="Times"/>
          <w:i/>
          <w:szCs w:val="20"/>
        </w:rPr>
        <w:t>Brooklyn Museum</w:t>
      </w:r>
      <w:r w:rsidRPr="00B50E1C">
        <w:rPr>
          <w:rFonts w:ascii="Times" w:eastAsia="ＭＳ 明朝" w:hAnsi="Times"/>
          <w:szCs w:val="20"/>
        </w:rPr>
        <w:t>, 2011. https://www.brooklynmuseum.org/opencollection/exhibitions/3230/.</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Brown, Richard D., and Jack Tager. </w:t>
      </w:r>
      <w:r w:rsidRPr="00B50E1C">
        <w:rPr>
          <w:rFonts w:ascii="Times" w:eastAsia="ＭＳ 明朝" w:hAnsi="Times"/>
          <w:i/>
          <w:szCs w:val="20"/>
        </w:rPr>
        <w:t>Massachusetts: a Concise History</w:t>
      </w:r>
      <w:r w:rsidRPr="00B50E1C">
        <w:rPr>
          <w:rFonts w:ascii="Times" w:eastAsia="ＭＳ 明朝" w:hAnsi="Times"/>
          <w:szCs w:val="20"/>
        </w:rPr>
        <w:t>. Amherst: University of Massachusetts Press, 2000.</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Caglar, Ayse. “Hyphenated Identities and the Limits of ‘Culture’.” In </w:t>
      </w:r>
      <w:r w:rsidRPr="00B50E1C">
        <w:rPr>
          <w:rFonts w:ascii="Times" w:eastAsia="ＭＳ 明朝" w:hAnsi="Times"/>
          <w:i/>
          <w:szCs w:val="20"/>
        </w:rPr>
        <w:t>The Politics of Multiculturalism in the New Europe: Racism, Identity and Community</w:t>
      </w:r>
      <w:r w:rsidRPr="00B50E1C">
        <w:rPr>
          <w:rFonts w:ascii="Times" w:eastAsia="ＭＳ 明朝" w:hAnsi="Times"/>
          <w:szCs w:val="20"/>
        </w:rPr>
        <w:t>, edited by Tariq Modood and Pnina Werbner. London: Zed Books, 1997.</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Carbonell, Bettina Messias. </w:t>
      </w:r>
      <w:r w:rsidRPr="00B50E1C">
        <w:rPr>
          <w:rFonts w:ascii="Times" w:eastAsia="ＭＳ 明朝" w:hAnsi="Times"/>
          <w:i/>
          <w:szCs w:val="20"/>
        </w:rPr>
        <w:t>Museum Studies: An Anthology of Contexts</w:t>
      </w:r>
      <w:r w:rsidRPr="00B50E1C">
        <w:rPr>
          <w:rFonts w:ascii="Times" w:eastAsia="ＭＳ 明朝" w:hAnsi="Times"/>
          <w:szCs w:val="20"/>
        </w:rPr>
        <w:t>. New York: Blackwell Publishing, 2004.</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Cheever, Susan. </w:t>
      </w:r>
      <w:r w:rsidRPr="00B50E1C">
        <w:rPr>
          <w:rFonts w:ascii="Times" w:eastAsia="ＭＳ 明朝" w:hAnsi="Times"/>
          <w:i/>
          <w:szCs w:val="20"/>
        </w:rPr>
        <w:t>American Bloomsbury: Louisa May Alcott, Ralph Waldo Emerson, Margaret Fuller, Nathaniel Hawthorne, and Henry David Thoreau; Their Lives, Their Loves, Their Work</w:t>
      </w:r>
      <w:r w:rsidRPr="00B50E1C">
        <w:rPr>
          <w:rFonts w:ascii="Times" w:eastAsia="ＭＳ 明朝" w:hAnsi="Times"/>
          <w:szCs w:val="20"/>
        </w:rPr>
        <w:t>. Detroit: Thorndike Press, 2006.</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Cotter, Holland. “Art of the Americas Wing at Museum of Fine Arts, Boston: Seating All the Americas at the Same Table.” </w:t>
      </w:r>
      <w:r w:rsidRPr="00B50E1C">
        <w:rPr>
          <w:rFonts w:ascii="Times" w:eastAsia="ＭＳ 明朝" w:hAnsi="Times"/>
          <w:i/>
          <w:szCs w:val="20"/>
        </w:rPr>
        <w:t>New York Times</w:t>
      </w:r>
      <w:r w:rsidRPr="00B50E1C">
        <w:rPr>
          <w:rFonts w:ascii="Times" w:eastAsia="ＭＳ 明朝" w:hAnsi="Times"/>
          <w:szCs w:val="20"/>
        </w:rPr>
        <w:t>. November 18, 2010, New York edition.</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 “‘Connecting Cultures’ at the Brooklyn Museum.” </w:t>
      </w:r>
      <w:r w:rsidRPr="00B50E1C">
        <w:rPr>
          <w:rFonts w:ascii="Times" w:eastAsia="ＭＳ 明朝" w:hAnsi="Times"/>
          <w:i/>
          <w:szCs w:val="20"/>
        </w:rPr>
        <w:t>New York Times</w:t>
      </w:r>
      <w:r w:rsidRPr="00B50E1C">
        <w:rPr>
          <w:rFonts w:ascii="Times" w:eastAsia="ＭＳ 明朝" w:hAnsi="Times"/>
          <w:szCs w:val="20"/>
        </w:rPr>
        <w:t>. April 19, 2012.</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Cullen, Deborah, ed. </w:t>
      </w:r>
      <w:r w:rsidRPr="00B50E1C">
        <w:rPr>
          <w:rFonts w:ascii="Times" w:eastAsia="ＭＳ 明朝" w:hAnsi="Times"/>
          <w:i/>
          <w:szCs w:val="20"/>
        </w:rPr>
        <w:t>Caribbean: Art at the Crossroads of the World</w:t>
      </w:r>
      <w:r w:rsidRPr="00B50E1C">
        <w:rPr>
          <w:rFonts w:ascii="Times" w:eastAsia="ＭＳ 明朝" w:hAnsi="Times"/>
          <w:szCs w:val="20"/>
        </w:rPr>
        <w:t>. New York, NY: El Museo del Barrio in association with Yale University Press, 2012.</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Dalzell, Robert F. </w:t>
      </w:r>
      <w:r w:rsidRPr="00B50E1C">
        <w:rPr>
          <w:rFonts w:ascii="Times" w:eastAsia="ＭＳ 明朝" w:hAnsi="Times"/>
          <w:i/>
          <w:szCs w:val="20"/>
        </w:rPr>
        <w:t>Enterprising Elite: The Boston Associates and the World They Made</w:t>
      </w:r>
      <w:r w:rsidRPr="00B50E1C">
        <w:rPr>
          <w:rFonts w:ascii="Times" w:eastAsia="ＭＳ 明朝" w:hAnsi="Times"/>
          <w:szCs w:val="20"/>
        </w:rPr>
        <w:t>. Cambridge: Harvard University Press, 1987.</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Davis, Elliot Bostwick, ed. </w:t>
      </w:r>
      <w:r w:rsidRPr="00B50E1C">
        <w:rPr>
          <w:rFonts w:ascii="Times" w:eastAsia="ＭＳ 明朝" w:hAnsi="Times"/>
          <w:i/>
          <w:szCs w:val="20"/>
        </w:rPr>
        <w:t>A New World Imagined: Art of the Americas</w:t>
      </w:r>
      <w:r w:rsidRPr="00B50E1C">
        <w:rPr>
          <w:rFonts w:ascii="Times" w:eastAsia="ＭＳ 明朝" w:hAnsi="Times"/>
          <w:szCs w:val="20"/>
        </w:rPr>
        <w:t>. 1st ed. Boston: MFA Publications, D.A.P./Distributed Art Publishers, 2010.</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Duncan, Carol, and Alan Wallach. “The Universal Survey Museum.” In </w:t>
      </w:r>
      <w:r w:rsidRPr="00B50E1C">
        <w:rPr>
          <w:rFonts w:ascii="Times" w:eastAsia="ＭＳ 明朝" w:hAnsi="Times"/>
          <w:i/>
          <w:szCs w:val="20"/>
        </w:rPr>
        <w:t>Museum Studies: An Anthology of Contexts</w:t>
      </w:r>
      <w:r w:rsidRPr="00B50E1C">
        <w:rPr>
          <w:rFonts w:ascii="Times" w:eastAsia="ＭＳ 明朝" w:hAnsi="Times"/>
          <w:szCs w:val="20"/>
        </w:rPr>
        <w:t>, edited by Bettina Messias Carbonell, 51–80. New York: Wiley-Blackwell, 2004.</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Emerson, Ralph Waldo. “The American Scholar.” Phi Beta Kappa Society, Cambridge, MA, August 31, 1837. http://www.emersoncentral.com/amscholar.htm.</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Fane, Diana, ed. </w:t>
      </w:r>
      <w:r w:rsidRPr="00B50E1C">
        <w:rPr>
          <w:rFonts w:ascii="Times" w:eastAsia="ＭＳ 明朝" w:hAnsi="Times"/>
          <w:i/>
          <w:szCs w:val="20"/>
        </w:rPr>
        <w:t>Converging Cultures: Art &amp; Identity in Spanish America</w:t>
      </w:r>
      <w:r w:rsidRPr="00B50E1C">
        <w:rPr>
          <w:rFonts w:ascii="Times" w:eastAsia="ＭＳ 明朝" w:hAnsi="Times"/>
          <w:szCs w:val="20"/>
        </w:rPr>
        <w:t>. New York: Brooklyn Museum and Harry N. Abrams, 1996.</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Fane, Diana. “The Language of Things: Stewart Culin as Collector.” In </w:t>
      </w:r>
      <w:r w:rsidRPr="00B50E1C">
        <w:rPr>
          <w:rFonts w:ascii="Times" w:eastAsia="ＭＳ 明朝" w:hAnsi="Times"/>
          <w:i/>
          <w:szCs w:val="20"/>
        </w:rPr>
        <w:t>Objects of Myth and Memory: American Indian Art at the Brooklyn Museum</w:t>
      </w:r>
      <w:r w:rsidRPr="00B50E1C">
        <w:rPr>
          <w:rFonts w:ascii="Times" w:eastAsia="ＭＳ 明朝" w:hAnsi="Times"/>
          <w:szCs w:val="20"/>
        </w:rPr>
        <w:t>, edited by Diana Fane, 13–27. New York: The Brooklyn Museum in Association with University of Washington Press, 1991.</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Farrell, Betty, and Maria Medvedeva. </w:t>
      </w:r>
      <w:r w:rsidRPr="00B50E1C">
        <w:rPr>
          <w:rFonts w:ascii="Times" w:eastAsia="ＭＳ 明朝" w:hAnsi="Times"/>
          <w:i/>
          <w:szCs w:val="20"/>
        </w:rPr>
        <w:t>Museums &amp; Society 2034: Trends and Potential Futures</w:t>
      </w:r>
      <w:r w:rsidRPr="00B50E1C">
        <w:rPr>
          <w:rFonts w:ascii="Times" w:eastAsia="ＭＳ 明朝" w:hAnsi="Times"/>
          <w:szCs w:val="20"/>
        </w:rPr>
        <w:t>. Washington, DC: American Association of Museums, Center for the Future of Museums (CFM), December 2008. http://www.aam-us.org/docs/center-for-the-future-of-museums/museumssociety2034.pdf?sfvrsn=0.</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Foner, Nancy. “How Exceptional Is New York? Migration and Multiculturalism in the Empire City.” </w:t>
      </w:r>
      <w:r w:rsidRPr="00B50E1C">
        <w:rPr>
          <w:rFonts w:ascii="Times" w:eastAsia="ＭＳ 明朝" w:hAnsi="Times"/>
          <w:i/>
          <w:szCs w:val="20"/>
        </w:rPr>
        <w:t>Ethnic and Racial Studies</w:t>
      </w:r>
      <w:r w:rsidRPr="00B50E1C">
        <w:rPr>
          <w:rFonts w:ascii="Times" w:eastAsia="ＭＳ 明朝" w:hAnsi="Times"/>
          <w:szCs w:val="20"/>
        </w:rPr>
        <w:t xml:space="preserve"> 30, no. 6 (2007): 999–1023.</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Foner, Nancy, ed. </w:t>
      </w:r>
      <w:r w:rsidRPr="00B50E1C">
        <w:rPr>
          <w:rFonts w:ascii="Times" w:eastAsia="ＭＳ 明朝" w:hAnsi="Times"/>
          <w:i/>
          <w:szCs w:val="20"/>
        </w:rPr>
        <w:t>New Immigrants in New York</w:t>
      </w:r>
      <w:r w:rsidRPr="00B50E1C">
        <w:rPr>
          <w:rFonts w:ascii="Times" w:eastAsia="ＭＳ 明朝" w:hAnsi="Times"/>
          <w:szCs w:val="20"/>
        </w:rPr>
        <w:t>. Completely rev. and updated ed. New York: Columbia University Press, 2001.</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Frayler, John. “Privateers in the American Revolution.” </w:t>
      </w:r>
      <w:r w:rsidRPr="00B50E1C">
        <w:rPr>
          <w:rFonts w:ascii="Times" w:eastAsia="ＭＳ 明朝" w:hAnsi="Times"/>
          <w:i/>
          <w:szCs w:val="20"/>
        </w:rPr>
        <w:t>The American Revolution: Lighting Freedom’s Flame</w:t>
      </w:r>
      <w:r w:rsidRPr="00B50E1C">
        <w:rPr>
          <w:rFonts w:ascii="Times" w:eastAsia="ＭＳ 明朝" w:hAnsi="Times"/>
          <w:szCs w:val="20"/>
        </w:rPr>
        <w:t>, 2008. http://www.nps.gov/revwar/about_the_revolution/privateers.html.</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Gallati, Barbara, and Dominic Carter. “5020: William Williams, Deborah Hall and Unknown, Doña Mariana Belsunse y Salasar.” </w:t>
      </w:r>
      <w:r w:rsidRPr="00B50E1C">
        <w:rPr>
          <w:rFonts w:ascii="Times" w:eastAsia="ＭＳ 明朝" w:hAnsi="Times"/>
          <w:i/>
          <w:szCs w:val="20"/>
        </w:rPr>
        <w:t>Brooklyn Museum</w:t>
      </w:r>
      <w:r w:rsidRPr="00B50E1C">
        <w:rPr>
          <w:rFonts w:ascii="Times" w:eastAsia="ＭＳ 明朝" w:hAnsi="Times"/>
          <w:szCs w:val="20"/>
        </w:rPr>
        <w:t>, 2012. http://www.brooklynmuseum.org/assets/uploads/5020_ColonialPairing.pdf.</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Garrett, Wendell. “Garrett’s Attic.” </w:t>
      </w:r>
      <w:r w:rsidRPr="00B50E1C">
        <w:rPr>
          <w:rFonts w:ascii="Times" w:eastAsia="ＭＳ 明朝" w:hAnsi="Times"/>
          <w:i/>
          <w:szCs w:val="20"/>
        </w:rPr>
        <w:t>Artnet.com</w:t>
      </w:r>
      <w:r w:rsidRPr="00B50E1C">
        <w:rPr>
          <w:rFonts w:ascii="Times" w:eastAsia="ＭＳ 明朝" w:hAnsi="Times"/>
          <w:szCs w:val="20"/>
        </w:rPr>
        <w:t>, February 14, 2000. http://www.artnet.com/magazine/features/garrett/garrett2-14-00.asp.</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Glaser, Edward L. </w:t>
      </w:r>
      <w:r w:rsidRPr="00B50E1C">
        <w:rPr>
          <w:rFonts w:ascii="Times" w:eastAsia="ＭＳ 明朝" w:hAnsi="Times"/>
          <w:i/>
          <w:szCs w:val="20"/>
        </w:rPr>
        <w:t>Citizen’s Committee on Boston’s Future: Chairman’s Final Report</w:t>
      </w:r>
      <w:r w:rsidRPr="00B50E1C">
        <w:rPr>
          <w:rFonts w:ascii="Times" w:eastAsia="ＭＳ 明朝" w:hAnsi="Times"/>
          <w:szCs w:val="20"/>
        </w:rPr>
        <w:t>. Boston: Citizens’ Committee on Boston’s Future, December 14, 2010. http://www.cityofboston.gov/cityclerk/hearing/upload_pdfs/docket_pdfs/168612122010.pdf.</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Halle, David, and Louise Mirrer. “New York City: City Culture as Public Display.” In </w:t>
      </w:r>
      <w:r w:rsidRPr="00B50E1C">
        <w:rPr>
          <w:rFonts w:ascii="Times" w:eastAsia="ＭＳ 明朝" w:hAnsi="Times"/>
          <w:i/>
          <w:szCs w:val="20"/>
        </w:rPr>
        <w:t>Cultures and Globalization: Cities, Cultural Policy and Governance</w:t>
      </w:r>
      <w:r w:rsidRPr="00B50E1C">
        <w:rPr>
          <w:rFonts w:ascii="Times" w:eastAsia="ＭＳ 明朝" w:hAnsi="Times"/>
          <w:szCs w:val="20"/>
        </w:rPr>
        <w:t>, edited by Helmut K. Anheier and Yudhishthur Raj Isar, 258. SAGE, 2012.</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Hartley, Cody. “Untitled, by Wifredo Lam, 1943, Cuban.” </w:t>
      </w:r>
      <w:r w:rsidRPr="00B50E1C">
        <w:rPr>
          <w:rFonts w:ascii="Times" w:eastAsia="ＭＳ 明朝" w:hAnsi="Times"/>
          <w:i/>
          <w:szCs w:val="20"/>
        </w:rPr>
        <w:t>Museum of Fine Arts, Boston</w:t>
      </w:r>
      <w:r w:rsidRPr="00B50E1C">
        <w:rPr>
          <w:rFonts w:ascii="Times" w:eastAsia="ＭＳ 明朝" w:hAnsi="Times"/>
          <w:szCs w:val="20"/>
        </w:rPr>
        <w:t>, 2013. http://educators.mfa.org/objects/detail/336406?related_people_text=Wifredo+Lam.</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Hoogenboom, Olive. “Augustus Graham.” </w:t>
      </w:r>
      <w:r w:rsidRPr="00B50E1C">
        <w:rPr>
          <w:rFonts w:ascii="Times" w:eastAsia="ＭＳ 明朝" w:hAnsi="Times"/>
          <w:i/>
          <w:szCs w:val="20"/>
        </w:rPr>
        <w:t>Dictionary of Unitarian &amp; Universalist Biography</w:t>
      </w:r>
      <w:r w:rsidRPr="00B50E1C">
        <w:rPr>
          <w:rFonts w:ascii="Times" w:eastAsia="ＭＳ 明朝" w:hAnsi="Times"/>
          <w:szCs w:val="20"/>
        </w:rPr>
        <w:t>. Unitarian Universalist History &amp; Heritage Society, 1999. http://www25.uua.org/uuhs/duub/articles/augustusgraham.html.</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Ignatieff, Michael. </w:t>
      </w:r>
      <w:r w:rsidRPr="00B50E1C">
        <w:rPr>
          <w:rFonts w:ascii="Times" w:eastAsia="ＭＳ 明朝" w:hAnsi="Times"/>
          <w:i/>
          <w:szCs w:val="20"/>
        </w:rPr>
        <w:t>American Exceptionalism and Human Rights</w:t>
      </w:r>
      <w:r w:rsidRPr="00B50E1C">
        <w:rPr>
          <w:rFonts w:ascii="Times" w:eastAsia="ＭＳ 明朝" w:hAnsi="Times"/>
          <w:szCs w:val="20"/>
        </w:rPr>
        <w:t>. Princeton, N.J: Princeton University Press, 2005.</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Kotkin, Joel. “The Hollow Boom Of Brooklyn: Behind Veneer Of Gentrification, Life Gets Worse For Many - Forbes.” </w:t>
      </w:r>
      <w:r w:rsidRPr="00B50E1C">
        <w:rPr>
          <w:rFonts w:ascii="Times" w:eastAsia="ＭＳ 明朝" w:hAnsi="Times"/>
          <w:i/>
          <w:szCs w:val="20"/>
        </w:rPr>
        <w:t>Forbes</w:t>
      </w:r>
      <w:r w:rsidRPr="00B50E1C">
        <w:rPr>
          <w:rFonts w:ascii="Times" w:eastAsia="ＭＳ 明朝" w:hAnsi="Times"/>
          <w:szCs w:val="20"/>
        </w:rPr>
        <w:t>, September 25, 2012. http://www.forbes.com/sites/joelkotkin/2012/09/25/the-hollow-boom-of-brooklyn-behind-veneer-of-gentrification-life-gets-worse-for-many/.</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Kraly, Ellen Percy, and Ines Miyares. “Immigration to New York: Policy, Population and Patterns.” In </w:t>
      </w:r>
      <w:r w:rsidRPr="00B50E1C">
        <w:rPr>
          <w:rFonts w:ascii="Times" w:eastAsia="ＭＳ 明朝" w:hAnsi="Times"/>
          <w:i/>
          <w:szCs w:val="20"/>
        </w:rPr>
        <w:t>New Immigrants in New York</w:t>
      </w:r>
      <w:r w:rsidRPr="00B50E1C">
        <w:rPr>
          <w:rFonts w:ascii="Times" w:eastAsia="ＭＳ 明朝" w:hAnsi="Times"/>
          <w:szCs w:val="20"/>
        </w:rPr>
        <w:t>, edited by Nancy Foner. Completely rev. and updated ed. New York: Columbia University Press, 2001.</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Lawrence, Diedre E. “Guide to Culin Archival Collection.” Accessed November 14, 2012. http://www.brooklynmuseum.org/opencollection/research/culin/culin.php.</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Lee, Felicia R. “Amid Turmoil at Museo Del Barrio, Its Director Steps Down.” </w:t>
      </w:r>
      <w:r w:rsidRPr="00B50E1C">
        <w:rPr>
          <w:rFonts w:ascii="Times" w:eastAsia="ＭＳ 明朝" w:hAnsi="Times"/>
          <w:i/>
          <w:szCs w:val="20"/>
        </w:rPr>
        <w:t>New York Times</w:t>
      </w:r>
      <w:r w:rsidRPr="00B50E1C">
        <w:rPr>
          <w:rFonts w:ascii="Times" w:eastAsia="ＭＳ 明朝" w:hAnsi="Times"/>
          <w:szCs w:val="20"/>
        </w:rPr>
        <w:t>, February 16, 2013, New York edition.</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Levine, Lawrence W. </w:t>
      </w:r>
      <w:r w:rsidRPr="00B50E1C">
        <w:rPr>
          <w:rFonts w:ascii="Times" w:eastAsia="ＭＳ 明朝" w:hAnsi="Times"/>
          <w:i/>
          <w:szCs w:val="20"/>
        </w:rPr>
        <w:t>Highbrow/Lowbrow</w:t>
      </w:r>
      <w:r w:rsidRPr="00B50E1C">
        <w:rPr>
          <w:rFonts w:eastAsia="ＭＳ 明朝"/>
          <w:i/>
          <w:szCs w:val="20"/>
        </w:rPr>
        <w:t> </w:t>
      </w:r>
      <w:r w:rsidRPr="00B50E1C">
        <w:rPr>
          <w:rFonts w:ascii="Times" w:eastAsia="ＭＳ 明朝" w:hAnsi="Times"/>
          <w:i/>
          <w:szCs w:val="20"/>
        </w:rPr>
        <w:t>: the emergence of cultural hierarchy in America</w:t>
      </w:r>
      <w:r w:rsidRPr="00B50E1C">
        <w:rPr>
          <w:rFonts w:ascii="Times" w:eastAsia="ＭＳ 明朝" w:hAnsi="Times"/>
          <w:szCs w:val="20"/>
        </w:rPr>
        <w:t>. Cambridge, MA: Harvard University Press, 1988.</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Lopate, Carol. </w:t>
      </w:r>
      <w:r w:rsidRPr="00B50E1C">
        <w:rPr>
          <w:rFonts w:ascii="Times" w:eastAsia="ＭＳ 明朝" w:hAnsi="Times"/>
          <w:i/>
          <w:szCs w:val="20"/>
        </w:rPr>
        <w:t>Education and Culture in Brooklyn: a History of Ten Institutions</w:t>
      </w:r>
      <w:r w:rsidRPr="00B50E1C">
        <w:rPr>
          <w:rFonts w:ascii="Times" w:eastAsia="ＭＳ 明朝" w:hAnsi="Times"/>
          <w:szCs w:val="20"/>
        </w:rPr>
        <w:t>. Brooklyn: Brooklyn Rediscovery, Brooklyn Educational &amp; Cultural Alliance, 1979.</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Macdonald, Sharon. “Museums, National, Postnational and Transcultural Identities.” In </w:t>
      </w:r>
      <w:r w:rsidRPr="00B50E1C">
        <w:rPr>
          <w:rFonts w:ascii="Times" w:eastAsia="ＭＳ 明朝" w:hAnsi="Times"/>
          <w:i/>
          <w:szCs w:val="20"/>
        </w:rPr>
        <w:t>Museum Studies: An Anthology of Contexts</w:t>
      </w:r>
      <w:r w:rsidRPr="00B50E1C">
        <w:rPr>
          <w:rFonts w:ascii="Times" w:eastAsia="ＭＳ 明朝" w:hAnsi="Times"/>
          <w:szCs w:val="20"/>
        </w:rPr>
        <w:t>, edited by Bettina Messias Carbonell. New York: Blackwell Publishing, 2004.</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 “Reassembling Nuremberg, Reassembling Heritage.” </w:t>
      </w:r>
      <w:r w:rsidRPr="00B50E1C">
        <w:rPr>
          <w:rFonts w:ascii="Times" w:eastAsia="ＭＳ 明朝" w:hAnsi="Times"/>
          <w:i/>
          <w:szCs w:val="20"/>
        </w:rPr>
        <w:t>Journal of Cultural Economy</w:t>
      </w:r>
      <w:r w:rsidRPr="00B50E1C">
        <w:rPr>
          <w:rFonts w:ascii="Times" w:eastAsia="ＭＳ 明朝" w:hAnsi="Times"/>
          <w:szCs w:val="20"/>
        </w:rPr>
        <w:t xml:space="preserve"> 2, no. 1–2 (2009): 117–24.</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Markovits, Andrei S., and Steven L. Hellerman. </w:t>
      </w:r>
      <w:r w:rsidRPr="00B50E1C">
        <w:rPr>
          <w:rFonts w:ascii="Times" w:eastAsia="ＭＳ 明朝" w:hAnsi="Times"/>
          <w:i/>
          <w:szCs w:val="20"/>
        </w:rPr>
        <w:t>Offside: Soccer and American Exceptionalism</w:t>
      </w:r>
      <w:r w:rsidRPr="00B50E1C">
        <w:rPr>
          <w:rFonts w:ascii="Times" w:eastAsia="ＭＳ 明朝" w:hAnsi="Times"/>
          <w:szCs w:val="20"/>
        </w:rPr>
        <w:t>. Princeton, N.J: Princeton University Press, 2001.</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Melton, Maureen. </w:t>
      </w:r>
      <w:r w:rsidRPr="00B50E1C">
        <w:rPr>
          <w:rFonts w:ascii="Times" w:eastAsia="ＭＳ 明朝" w:hAnsi="Times"/>
          <w:i/>
          <w:szCs w:val="20"/>
        </w:rPr>
        <w:t>Invitation to Art: a History of the Museum of Fine Arts, Boston</w:t>
      </w:r>
      <w:r w:rsidRPr="00B50E1C">
        <w:rPr>
          <w:rFonts w:ascii="Times" w:eastAsia="ＭＳ 明朝" w:hAnsi="Times"/>
          <w:szCs w:val="20"/>
        </w:rPr>
        <w:t>. 1st ed. Boston: MFA Publications, Museum of Fine Arts, 2009.</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Ment, David. </w:t>
      </w:r>
      <w:r w:rsidRPr="00B50E1C">
        <w:rPr>
          <w:rFonts w:ascii="Times" w:eastAsia="ＭＳ 明朝" w:hAnsi="Times"/>
          <w:i/>
          <w:szCs w:val="20"/>
        </w:rPr>
        <w:t>The Shaping of a City: a Brief History of Brooklyn</w:t>
      </w:r>
      <w:r w:rsidRPr="00B50E1C">
        <w:rPr>
          <w:rFonts w:ascii="Times" w:eastAsia="ＭＳ 明朝" w:hAnsi="Times"/>
          <w:szCs w:val="20"/>
        </w:rPr>
        <w:t>. Brooklyn: Brooklyn Rediscovery, Brooklyn Educational &amp; Cultural Alliance, 1979.</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Museum of Fine Arts, Boston. “The New MFA.” </w:t>
      </w:r>
      <w:r w:rsidRPr="00B50E1C">
        <w:rPr>
          <w:rFonts w:ascii="Times" w:eastAsia="ＭＳ 明朝" w:hAnsi="Times"/>
          <w:i/>
          <w:szCs w:val="20"/>
        </w:rPr>
        <w:t>Museum of Fine Arts, Boston</w:t>
      </w:r>
      <w:r w:rsidRPr="00B50E1C">
        <w:rPr>
          <w:rFonts w:ascii="Times" w:eastAsia="ＭＳ 明朝" w:hAnsi="Times"/>
          <w:szCs w:val="20"/>
        </w:rPr>
        <w:t>, 2012. http://www.mfa.org/about/new-mfa.</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Myrdal, Gunnar. </w:t>
      </w:r>
      <w:r w:rsidRPr="00B50E1C">
        <w:rPr>
          <w:rFonts w:ascii="Times" w:eastAsia="ＭＳ 明朝" w:hAnsi="Times"/>
          <w:i/>
          <w:szCs w:val="20"/>
        </w:rPr>
        <w:t>An American Dilemma: The Negro Problem and Modern Democracy</w:t>
      </w:r>
      <w:r w:rsidRPr="00B50E1C">
        <w:rPr>
          <w:rFonts w:ascii="Times" w:eastAsia="ＭＳ 明朝" w:hAnsi="Times"/>
          <w:szCs w:val="20"/>
        </w:rPr>
        <w:t>, 1944.</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National Park Service. “Salem’s International Trade.” </w:t>
      </w:r>
      <w:r w:rsidRPr="00B50E1C">
        <w:rPr>
          <w:rFonts w:ascii="Times" w:eastAsia="ＭＳ 明朝" w:hAnsi="Times"/>
          <w:i/>
          <w:szCs w:val="20"/>
        </w:rPr>
        <w:t>Salem Maritime National Historic Site</w:t>
      </w:r>
      <w:r w:rsidRPr="00B50E1C">
        <w:rPr>
          <w:rFonts w:ascii="Times" w:eastAsia="ＭＳ 明朝" w:hAnsi="Times"/>
          <w:szCs w:val="20"/>
        </w:rPr>
        <w:t>, 2012. http://www.nps.gov/sama/historyculture/trade.htm.</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O’Connor, Thomas H. </w:t>
      </w:r>
      <w:r w:rsidRPr="00B50E1C">
        <w:rPr>
          <w:rFonts w:ascii="Times" w:eastAsia="ＭＳ 明朝" w:hAnsi="Times"/>
          <w:i/>
          <w:szCs w:val="20"/>
        </w:rPr>
        <w:t>The Athens of America: Boston, 1825-1845</w:t>
      </w:r>
      <w:r w:rsidRPr="00B50E1C">
        <w:rPr>
          <w:rFonts w:ascii="Times" w:eastAsia="ＭＳ 明朝" w:hAnsi="Times"/>
          <w:szCs w:val="20"/>
        </w:rPr>
        <w:t>. Amherst: University of Massachusetts Press, 2006.</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 </w:t>
      </w:r>
      <w:r w:rsidRPr="00B50E1C">
        <w:rPr>
          <w:rFonts w:ascii="Times" w:eastAsia="ＭＳ 明朝" w:hAnsi="Times"/>
          <w:i/>
          <w:szCs w:val="20"/>
        </w:rPr>
        <w:t>The Hub: Boston Past and Present</w:t>
      </w:r>
      <w:r w:rsidRPr="00B50E1C">
        <w:rPr>
          <w:rFonts w:ascii="Times" w:eastAsia="ＭＳ 明朝" w:hAnsi="Times"/>
          <w:szCs w:val="20"/>
        </w:rPr>
        <w:t>. Boston: Northeastern University Press, 2001.</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Petrilli, Michael J. “The Fastest-gentrifying Neighborhoods in the United States.” </w:t>
      </w:r>
      <w:r w:rsidRPr="00B50E1C">
        <w:rPr>
          <w:rFonts w:ascii="Times" w:eastAsia="ＭＳ 明朝" w:hAnsi="Times"/>
          <w:i/>
          <w:szCs w:val="20"/>
        </w:rPr>
        <w:t>Flypaper</w:t>
      </w:r>
      <w:r w:rsidRPr="00B50E1C">
        <w:rPr>
          <w:rFonts w:ascii="Times" w:eastAsia="ＭＳ 明朝" w:hAnsi="Times"/>
          <w:szCs w:val="20"/>
        </w:rPr>
        <w:t>, June 11, 2012. http://www.edexcellence.net/commentary/education-gadfly-daily/flypaper/2012/the-fastest-gentrifying-neighborhoods-in-the-united-states.html.</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“Pizarro Commemorative Plate.” </w:t>
      </w:r>
      <w:r w:rsidRPr="00B50E1C">
        <w:rPr>
          <w:rFonts w:ascii="Times" w:eastAsia="ＭＳ 明朝" w:hAnsi="Times"/>
          <w:i/>
          <w:szCs w:val="20"/>
        </w:rPr>
        <w:t>Brooklyn Museum</w:t>
      </w:r>
      <w:r w:rsidRPr="00B50E1C">
        <w:rPr>
          <w:rFonts w:ascii="Times" w:eastAsia="ＭＳ 明朝" w:hAnsi="Times"/>
          <w:szCs w:val="20"/>
        </w:rPr>
        <w:t>, 2012. http://www.brooklynmuseum.org/opencollection/objects/689/Pizarro_Commemorative_Plate.</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Rawson, Philip. “A Professional Sage.” </w:t>
      </w:r>
      <w:r w:rsidRPr="00B50E1C">
        <w:rPr>
          <w:rFonts w:ascii="Times" w:eastAsia="ＭＳ 明朝" w:hAnsi="Times"/>
          <w:i/>
          <w:szCs w:val="20"/>
        </w:rPr>
        <w:t>New York Review of Books</w:t>
      </w:r>
      <w:r w:rsidRPr="00B50E1C">
        <w:rPr>
          <w:rFonts w:ascii="Times" w:eastAsia="ＭＳ 明朝" w:hAnsi="Times"/>
          <w:szCs w:val="20"/>
        </w:rPr>
        <w:t>, 1979. http://www.nybooks.com/articles/archives/1979/feb/22/a-professional-sage/?pagination=false.</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Rosoff, Nancy B. “As Revealed by Art: Herbert Spinden and the Brooklyn Museum.” </w:t>
      </w:r>
      <w:r w:rsidRPr="00B50E1C">
        <w:rPr>
          <w:rFonts w:ascii="Times" w:eastAsia="ＭＳ 明朝" w:hAnsi="Times"/>
          <w:i/>
          <w:szCs w:val="20"/>
        </w:rPr>
        <w:t>Museum Anthropology</w:t>
      </w:r>
      <w:r w:rsidRPr="00B50E1C">
        <w:rPr>
          <w:rFonts w:ascii="Times" w:eastAsia="ＭＳ 明朝" w:hAnsi="Times"/>
          <w:szCs w:val="20"/>
        </w:rPr>
        <w:t xml:space="preserve"> 28, no. 1 (2005): 47–56. doi:10.1525/mua.2005.28.1.47.</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 </w:t>
      </w:r>
      <w:r w:rsidRPr="00B50E1C">
        <w:rPr>
          <w:rFonts w:ascii="Times" w:eastAsia="ＭＳ 明朝" w:hAnsi="Times"/>
          <w:i/>
          <w:szCs w:val="20"/>
        </w:rPr>
        <w:t>Native American Art at the Brooklyn Museum</w:t>
      </w:r>
      <w:r w:rsidRPr="00B50E1C">
        <w:rPr>
          <w:rFonts w:ascii="Times" w:eastAsia="ＭＳ 明朝" w:hAnsi="Times"/>
          <w:szCs w:val="20"/>
        </w:rPr>
        <w:t>. Brooklyn Museum, October 22, 2009.</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Rutman, Darrett Bruce. </w:t>
      </w:r>
      <w:r w:rsidRPr="00B50E1C">
        <w:rPr>
          <w:rFonts w:ascii="Times" w:eastAsia="ＭＳ 明朝" w:hAnsi="Times"/>
          <w:i/>
          <w:szCs w:val="20"/>
        </w:rPr>
        <w:t>Winthrop’s Boston: Portrait of a Puritan Town, 1630-1649</w:t>
      </w:r>
      <w:r w:rsidRPr="00B50E1C">
        <w:rPr>
          <w:rFonts w:ascii="Times" w:eastAsia="ＭＳ 明朝" w:hAnsi="Times"/>
          <w:szCs w:val="20"/>
        </w:rPr>
        <w:t>. New York: Norton, 1972.</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Sorensen, Lee. “Ananda Coomaraswamy.” </w:t>
      </w:r>
      <w:r w:rsidRPr="00B50E1C">
        <w:rPr>
          <w:rFonts w:ascii="Times" w:eastAsia="ＭＳ 明朝" w:hAnsi="Times"/>
          <w:i/>
          <w:szCs w:val="20"/>
        </w:rPr>
        <w:t>Dictionary of Art Historians</w:t>
      </w:r>
      <w:r w:rsidRPr="00B50E1C">
        <w:rPr>
          <w:rFonts w:ascii="Times" w:eastAsia="ＭＳ 明朝" w:hAnsi="Times"/>
          <w:szCs w:val="20"/>
        </w:rPr>
        <w:t>. Accessed January 22, 2013. http://www.dictionaryofarthistorians.org/coomaraswamya.htm.</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Sorkhabi, Rasoul. “Ananda K. Coomaraswamy: From Geology to Philosophia Perennis.” </w:t>
      </w:r>
      <w:r w:rsidRPr="00B50E1C">
        <w:rPr>
          <w:rFonts w:ascii="Times" w:eastAsia="ＭＳ 明朝" w:hAnsi="Times"/>
          <w:i/>
          <w:szCs w:val="20"/>
        </w:rPr>
        <w:t>Current Science</w:t>
      </w:r>
      <w:r w:rsidRPr="00B50E1C">
        <w:rPr>
          <w:rFonts w:ascii="Times" w:eastAsia="ＭＳ 明朝" w:hAnsi="Times"/>
          <w:szCs w:val="20"/>
        </w:rPr>
        <w:t xml:space="preserve"> 94, no. 3 (2008): 394–401.</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Staloff, Darren. </w:t>
      </w:r>
      <w:r w:rsidRPr="00B50E1C">
        <w:rPr>
          <w:rFonts w:ascii="Times" w:eastAsia="ＭＳ 明朝" w:hAnsi="Times"/>
          <w:i/>
          <w:szCs w:val="20"/>
        </w:rPr>
        <w:t>The Making of an American Thinking Class: Intellectuals and Intelligentsia in Puritan Massachusetts</w:t>
      </w:r>
      <w:r w:rsidRPr="00B50E1C">
        <w:rPr>
          <w:rFonts w:ascii="Times" w:eastAsia="ＭＳ 明朝" w:hAnsi="Times"/>
          <w:szCs w:val="20"/>
        </w:rPr>
        <w:t>. New York: Oxford University Press, 1998.</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“Tray or Waiter.” </w:t>
      </w:r>
      <w:r w:rsidRPr="00B50E1C">
        <w:rPr>
          <w:rFonts w:ascii="Times" w:eastAsia="ＭＳ 明朝" w:hAnsi="Times"/>
          <w:i/>
          <w:szCs w:val="20"/>
        </w:rPr>
        <w:t>Brooklyn Museum</w:t>
      </w:r>
      <w:r w:rsidRPr="00B50E1C">
        <w:rPr>
          <w:rFonts w:ascii="Times" w:eastAsia="ＭＳ 明朝" w:hAnsi="Times"/>
          <w:szCs w:val="20"/>
        </w:rPr>
        <w:t>, 2012. www.brooklynmuseum.org/opencollection/objects/1849/Tray_or_Waiter.</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Troyen, Carol. “The Incomparable Max: Maxim Karolik and the Taste for American Art.” </w:t>
      </w:r>
      <w:r w:rsidRPr="00B50E1C">
        <w:rPr>
          <w:rFonts w:ascii="Times" w:eastAsia="ＭＳ 明朝" w:hAnsi="Times"/>
          <w:i/>
          <w:szCs w:val="20"/>
        </w:rPr>
        <w:t>American Art</w:t>
      </w:r>
      <w:r w:rsidRPr="00B50E1C">
        <w:rPr>
          <w:rFonts w:ascii="Times" w:eastAsia="ＭＳ 明朝" w:hAnsi="Times"/>
          <w:szCs w:val="20"/>
        </w:rPr>
        <w:t xml:space="preserve"> 7, no. 3 (1993): 64–87.</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Vogel, Carol. “Charles Ryskamp Bequeaths Work to Frick and Morgan.” </w:t>
      </w:r>
      <w:r w:rsidRPr="00B50E1C">
        <w:rPr>
          <w:rFonts w:ascii="Times" w:eastAsia="ＭＳ 明朝" w:hAnsi="Times"/>
          <w:i/>
          <w:szCs w:val="20"/>
        </w:rPr>
        <w:t>New York Times</w:t>
      </w:r>
      <w:r w:rsidRPr="00B50E1C">
        <w:rPr>
          <w:rFonts w:ascii="Times" w:eastAsia="ＭＳ 明朝" w:hAnsi="Times"/>
          <w:szCs w:val="20"/>
        </w:rPr>
        <w:t>. January 13, 2011. http://www.nytimes.com/2011/01/14/arts/design/14vogel.html?_r=1&amp;.</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Waldinger, Roger David, ed. </w:t>
      </w:r>
      <w:r w:rsidRPr="00B50E1C">
        <w:rPr>
          <w:rFonts w:ascii="Times" w:eastAsia="ＭＳ 明朝" w:hAnsi="Times"/>
          <w:i/>
          <w:szCs w:val="20"/>
        </w:rPr>
        <w:t>Strangers at the Gates: New Immigrants in Urban America</w:t>
      </w:r>
      <w:r w:rsidRPr="00B50E1C">
        <w:rPr>
          <w:rFonts w:ascii="Times" w:eastAsia="ＭＳ 明朝" w:hAnsi="Times"/>
          <w:szCs w:val="20"/>
        </w:rPr>
        <w:t>. Berkeley: University of California Press, 2001.</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Waldinger, Roger David, and Jennifer Lee. “New Immigrants in Urban America.” In </w:t>
      </w:r>
      <w:r w:rsidRPr="00B50E1C">
        <w:rPr>
          <w:rFonts w:ascii="Times" w:eastAsia="ＭＳ 明朝" w:hAnsi="Times"/>
          <w:i/>
          <w:szCs w:val="20"/>
        </w:rPr>
        <w:t>Strangers at the Gates: New Immigrants in Urban America</w:t>
      </w:r>
      <w:r w:rsidRPr="00B50E1C">
        <w:rPr>
          <w:rFonts w:ascii="Times" w:eastAsia="ＭＳ 明朝" w:hAnsi="Times"/>
          <w:szCs w:val="20"/>
        </w:rPr>
        <w:t>, edited by Roger David Waldinger, 30–79. Berkeley: University of California Press, 2001.</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Werbner, Pnina. “Introduction: The Dialectics of Cultural Hybridity.” In </w:t>
      </w:r>
      <w:r w:rsidRPr="00B50E1C">
        <w:rPr>
          <w:rFonts w:ascii="Times" w:eastAsia="ＭＳ 明朝" w:hAnsi="Times"/>
          <w:i/>
          <w:szCs w:val="20"/>
        </w:rPr>
        <w:t>Debating Cultural Hybridity: Multi-cultural Identities and the Politics of Anti-racism</w:t>
      </w:r>
      <w:r w:rsidRPr="00B50E1C">
        <w:rPr>
          <w:rFonts w:ascii="Times" w:eastAsia="ＭＳ 明朝" w:hAnsi="Times"/>
          <w:szCs w:val="20"/>
        </w:rPr>
        <w:t>, edited by Pnina Werbner and Tariq Modood, 1–26. London: Zed Books, 1997.</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Whitehill, Walter Muir. </w:t>
      </w:r>
      <w:r w:rsidRPr="00B50E1C">
        <w:rPr>
          <w:rFonts w:ascii="Times" w:eastAsia="ＭＳ 明朝" w:hAnsi="Times"/>
          <w:i/>
          <w:szCs w:val="20"/>
        </w:rPr>
        <w:t>Museum of Fine Arts, Boston: a Centennial History</w:t>
      </w:r>
      <w:r w:rsidRPr="00B50E1C">
        <w:rPr>
          <w:rFonts w:ascii="Times" w:eastAsia="ＭＳ 明朝" w:hAnsi="Times"/>
          <w:szCs w:val="20"/>
        </w:rPr>
        <w:t>. Cambridge, Mass: Belknap Press, 1970.</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Williams, Kevin, and David Keen. </w:t>
      </w:r>
      <w:r w:rsidRPr="00B50E1C">
        <w:rPr>
          <w:rFonts w:ascii="Times" w:eastAsia="ＭＳ 明朝" w:hAnsi="Times"/>
          <w:i/>
          <w:szCs w:val="20"/>
        </w:rPr>
        <w:t>2008 Survey of Public Participation in the Arts</w:t>
      </w:r>
      <w:r w:rsidRPr="00B50E1C">
        <w:rPr>
          <w:rFonts w:ascii="Times" w:eastAsia="ＭＳ 明朝" w:hAnsi="Times"/>
          <w:szCs w:val="20"/>
        </w:rPr>
        <w:t>. Washington, D.C.: National Endowment for the Arts, November 2009. http://www.nea.gov/research/2008-sppa.pdf.</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Winthrop, John. “A Modell of Christian Charity (1630).” </w:t>
      </w:r>
      <w:r w:rsidRPr="00B50E1C">
        <w:rPr>
          <w:rFonts w:ascii="Times" w:eastAsia="ＭＳ 明朝" w:hAnsi="Times"/>
          <w:i/>
          <w:szCs w:val="20"/>
        </w:rPr>
        <w:t>Collections of the Massachusetts Historical Society</w:t>
      </w:r>
      <w:r w:rsidRPr="00B50E1C">
        <w:rPr>
          <w:rFonts w:ascii="Times" w:eastAsia="ＭＳ 明朝" w:hAnsi="Times"/>
          <w:szCs w:val="20"/>
        </w:rPr>
        <w:t>. 3 7, 1838. http://history.hanover.edu/texts/winthmod.html.</w:t>
      </w:r>
    </w:p>
    <w:p w:rsidR="00B50E1C" w:rsidRPr="00B50E1C" w:rsidRDefault="00B50E1C" w:rsidP="00B50E1C">
      <w:pPr>
        <w:ind w:left="720" w:hanging="720"/>
        <w:rPr>
          <w:rFonts w:ascii="Times" w:eastAsia="ＭＳ 明朝" w:hAnsi="Times"/>
          <w:szCs w:val="20"/>
        </w:rPr>
      </w:pPr>
      <w:r w:rsidRPr="00B50E1C">
        <w:rPr>
          <w:rFonts w:ascii="Times" w:eastAsia="ＭＳ 明朝" w:hAnsi="Times"/>
          <w:szCs w:val="20"/>
        </w:rPr>
        <w:t xml:space="preserve">Wong, Venessa. “Boston’s ‘Innovation District’ Eagerly Awaits More Innovators - Businessweek.” </w:t>
      </w:r>
      <w:r w:rsidRPr="00B50E1C">
        <w:rPr>
          <w:rFonts w:ascii="Times" w:eastAsia="ＭＳ 明朝" w:hAnsi="Times"/>
          <w:i/>
          <w:szCs w:val="20"/>
        </w:rPr>
        <w:t>Bloomberg Businessweek</w:t>
      </w:r>
      <w:r w:rsidRPr="00B50E1C">
        <w:rPr>
          <w:rFonts w:ascii="Times" w:eastAsia="ＭＳ 明朝" w:hAnsi="Times"/>
          <w:szCs w:val="20"/>
        </w:rPr>
        <w:t>, March 21, 2012. http://www.businessweek.com/articles/2012-03-21/bostons-so-called-innovation-district-eagerly-awaits-more-innovators.</w:t>
      </w:r>
    </w:p>
    <w:p w:rsidR="00B72E5A" w:rsidRPr="00964E41" w:rsidRDefault="00B72E5A" w:rsidP="0009629F"/>
    <w:p w:rsidR="00B72E5A" w:rsidRPr="00964E41" w:rsidRDefault="00B72E5A" w:rsidP="00B72E5A">
      <w:pPr>
        <w:widowControl w:val="0"/>
        <w:autoSpaceDE w:val="0"/>
        <w:autoSpaceDN w:val="0"/>
        <w:adjustRightInd w:val="0"/>
        <w:rPr>
          <w:rFonts w:eastAsia="ＭＳ 明朝"/>
          <w:szCs w:val="18"/>
        </w:rPr>
      </w:pPr>
    </w:p>
    <w:p w:rsidR="0009629F" w:rsidRPr="00964E41" w:rsidRDefault="0009629F" w:rsidP="0009629F"/>
    <w:p w:rsidR="0009629F" w:rsidRPr="00964E41" w:rsidRDefault="0009629F" w:rsidP="0009629F"/>
    <w:p w:rsidR="0009629F" w:rsidRPr="00964E41" w:rsidRDefault="0009629F" w:rsidP="0009629F"/>
    <w:p w:rsidR="0009629F" w:rsidRPr="00964E41" w:rsidRDefault="0009629F" w:rsidP="0009629F"/>
    <w:p w:rsidR="0009629F" w:rsidRPr="00B86BE6" w:rsidRDefault="0009629F" w:rsidP="0009629F">
      <w:pPr>
        <w:rPr>
          <w:b/>
        </w:rPr>
      </w:pPr>
    </w:p>
    <w:p w:rsidR="0009629F" w:rsidRPr="00B86BE6" w:rsidRDefault="0009629F" w:rsidP="0009629F">
      <w:pPr>
        <w:ind w:firstLine="720"/>
        <w:rPr>
          <w:b/>
        </w:rPr>
      </w:pPr>
    </w:p>
    <w:p w:rsidR="0009629F" w:rsidRPr="00B86BE6" w:rsidRDefault="0009629F" w:rsidP="0009629F">
      <w:pPr>
        <w:ind w:firstLine="720"/>
        <w:rPr>
          <w:b/>
        </w:rPr>
      </w:pPr>
    </w:p>
    <w:p w:rsidR="0009629F" w:rsidRPr="00B86BE6" w:rsidRDefault="0009629F" w:rsidP="0009629F"/>
    <w:p w:rsidR="0009629F" w:rsidRPr="00B86BE6" w:rsidRDefault="0009629F" w:rsidP="0009629F"/>
    <w:p w:rsidR="0009629F" w:rsidRPr="00B86BE6" w:rsidRDefault="0009629F" w:rsidP="0009629F"/>
    <w:p w:rsidR="0009629F" w:rsidRPr="00B86BE6" w:rsidRDefault="0009629F" w:rsidP="0009629F"/>
    <w:p w:rsidR="00672344" w:rsidRDefault="00672344" w:rsidP="00F10D82"/>
    <w:p w:rsidR="0038686C" w:rsidRPr="00B86BE6" w:rsidRDefault="0038686C" w:rsidP="00F10D82"/>
    <w:p w:rsidR="00E57257" w:rsidRPr="00B86BE6" w:rsidRDefault="00E57257" w:rsidP="00672344"/>
    <w:sectPr w:rsidR="00E57257" w:rsidRPr="00B86BE6" w:rsidSect="003A6E65">
      <w:headerReference w:type="even" r:id="rId9"/>
      <w:head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B5" w:rsidRDefault="006D40B5" w:rsidP="0013427D">
      <w:r>
        <w:separator/>
      </w:r>
    </w:p>
  </w:endnote>
  <w:endnote w:type="continuationSeparator" w:id="0">
    <w:p w:rsidR="006D40B5" w:rsidRDefault="006D40B5" w:rsidP="0013427D">
      <w:r>
        <w:continuationSeparator/>
      </w:r>
    </w:p>
  </w:endnote>
  <w:endnote w:id="1">
    <w:p w:rsidR="006D40B5" w:rsidRPr="008352A9" w:rsidRDefault="006D40B5" w:rsidP="008352A9">
      <w:pPr>
        <w:pStyle w:val="EndnoteText"/>
        <w:spacing w:line="240" w:lineRule="auto"/>
        <w:ind w:firstLine="0"/>
        <w:rPr>
          <w:sz w:val="24"/>
        </w:rPr>
      </w:pPr>
      <w:r w:rsidRPr="008352A9">
        <w:rPr>
          <w:rStyle w:val="EndnoteReference"/>
          <w:sz w:val="24"/>
        </w:rPr>
        <w:endnoteRef/>
      </w:r>
      <w:r w:rsidRPr="008352A9">
        <w:rPr>
          <w:sz w:val="24"/>
        </w:rPr>
        <w:t xml:space="preserve"> Thomas H. O’Connor, </w:t>
      </w:r>
      <w:r w:rsidRPr="008352A9">
        <w:rPr>
          <w:i/>
          <w:sz w:val="24"/>
        </w:rPr>
        <w:t>The Athens of America: Boston, 1825-1845</w:t>
      </w:r>
      <w:r w:rsidRPr="008352A9">
        <w:rPr>
          <w:sz w:val="24"/>
        </w:rPr>
        <w:t xml:space="preserve"> (Amherst: University of Massachusetts Press, 2006): 18.</w:t>
      </w:r>
    </w:p>
  </w:endnote>
  <w:endnote w:id="2">
    <w:p w:rsidR="006D40B5" w:rsidRPr="008352A9" w:rsidRDefault="006D40B5" w:rsidP="008352A9">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Darren Staloff, </w:t>
      </w:r>
      <w:r w:rsidRPr="008352A9">
        <w:rPr>
          <w:i/>
          <w:sz w:val="24"/>
          <w:szCs w:val="24"/>
        </w:rPr>
        <w:t>The Making of an American Thinking Class: Intellectuals and Intelligentsia in Puritan Massachusetts</w:t>
      </w:r>
      <w:r w:rsidRPr="008352A9">
        <w:rPr>
          <w:sz w:val="24"/>
          <w:szCs w:val="24"/>
        </w:rPr>
        <w:t xml:space="preserve"> (New York:</w:t>
      </w:r>
      <w:r>
        <w:rPr>
          <w:sz w:val="24"/>
          <w:szCs w:val="24"/>
        </w:rPr>
        <w:t xml:space="preserve"> Oxford University Press, 1998)</w:t>
      </w:r>
    </w:p>
  </w:endnote>
  <w:endnote w:id="3">
    <w:p w:rsidR="006D40B5" w:rsidRDefault="006D40B5" w:rsidP="008352A9">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Hence, Boston’s nickname today. </w:t>
      </w:r>
    </w:p>
    <w:p w:rsidR="006D40B5" w:rsidRPr="008352A9" w:rsidRDefault="006D40B5" w:rsidP="008352A9">
      <w:pPr>
        <w:pStyle w:val="EndnoteText"/>
        <w:spacing w:line="240" w:lineRule="auto"/>
        <w:ind w:firstLine="0"/>
        <w:rPr>
          <w:sz w:val="24"/>
          <w:szCs w:val="24"/>
        </w:rPr>
      </w:pPr>
      <w:r w:rsidRPr="008352A9">
        <w:rPr>
          <w:sz w:val="24"/>
          <w:szCs w:val="24"/>
        </w:rPr>
        <w:t xml:space="preserve">Darrett Bruce Rutman, </w:t>
      </w:r>
      <w:r w:rsidRPr="008352A9">
        <w:rPr>
          <w:i/>
          <w:sz w:val="24"/>
          <w:szCs w:val="24"/>
        </w:rPr>
        <w:t xml:space="preserve">Winthrop’s Boston: Portrait of a Puritan Town, 1630-1649 </w:t>
      </w:r>
      <w:r>
        <w:rPr>
          <w:sz w:val="24"/>
          <w:szCs w:val="24"/>
        </w:rPr>
        <w:t>(New York: Norton, 1972): 4.</w:t>
      </w:r>
    </w:p>
    <w:p w:rsidR="006D40B5" w:rsidRPr="008352A9" w:rsidRDefault="006D40B5" w:rsidP="008352A9">
      <w:pPr>
        <w:pStyle w:val="EndnoteText"/>
        <w:spacing w:line="240" w:lineRule="auto"/>
        <w:ind w:firstLine="0"/>
        <w:rPr>
          <w:sz w:val="24"/>
          <w:szCs w:val="24"/>
        </w:rPr>
      </w:pPr>
      <w:r w:rsidRPr="008352A9">
        <w:rPr>
          <w:sz w:val="24"/>
        </w:rPr>
        <w:t xml:space="preserve">O’Connor, </w:t>
      </w:r>
      <w:r w:rsidRPr="008352A9">
        <w:rPr>
          <w:i/>
          <w:sz w:val="24"/>
        </w:rPr>
        <w:t>The Athens of America</w:t>
      </w:r>
      <w:r>
        <w:rPr>
          <w:sz w:val="24"/>
        </w:rPr>
        <w:t>.</w:t>
      </w:r>
    </w:p>
  </w:endnote>
  <w:endnote w:id="4">
    <w:p w:rsidR="006D40B5" w:rsidRPr="008352A9" w:rsidRDefault="006D40B5" w:rsidP="008352A9">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Staloff, </w:t>
      </w:r>
      <w:r w:rsidRPr="008352A9">
        <w:rPr>
          <w:i/>
          <w:sz w:val="24"/>
          <w:szCs w:val="24"/>
        </w:rPr>
        <w:t>The Making of an American Thinking Class</w:t>
      </w:r>
      <w:r w:rsidRPr="008352A9">
        <w:rPr>
          <w:i/>
          <w:iCs/>
          <w:sz w:val="24"/>
          <w:szCs w:val="24"/>
        </w:rPr>
        <w:t>,</w:t>
      </w:r>
      <w:r w:rsidRPr="008352A9">
        <w:rPr>
          <w:iCs/>
          <w:sz w:val="24"/>
          <w:szCs w:val="24"/>
        </w:rPr>
        <w:t xml:space="preserve"> 3</w:t>
      </w:r>
      <w:r>
        <w:rPr>
          <w:iCs/>
          <w:sz w:val="24"/>
          <w:szCs w:val="24"/>
        </w:rPr>
        <w:t>.</w:t>
      </w:r>
    </w:p>
  </w:endnote>
  <w:endnote w:id="5">
    <w:p w:rsidR="006D40B5" w:rsidRPr="008352A9" w:rsidRDefault="006D40B5" w:rsidP="008352A9">
      <w:pPr>
        <w:pStyle w:val="EndnoteText"/>
        <w:spacing w:line="240" w:lineRule="auto"/>
        <w:ind w:firstLine="0"/>
        <w:rPr>
          <w:sz w:val="24"/>
        </w:rPr>
      </w:pPr>
      <w:r w:rsidRPr="008352A9">
        <w:rPr>
          <w:rStyle w:val="EndnoteReference"/>
          <w:sz w:val="24"/>
        </w:rPr>
        <w:endnoteRef/>
      </w:r>
      <w:r w:rsidRPr="008352A9">
        <w:rPr>
          <w:sz w:val="24"/>
        </w:rPr>
        <w:t xml:space="preserve"> According to </w:t>
      </w:r>
      <w:r>
        <w:rPr>
          <w:sz w:val="24"/>
        </w:rPr>
        <w:t>Cleveland Amory (</w:t>
      </w:r>
      <w:r w:rsidRPr="008352A9">
        <w:rPr>
          <w:i/>
          <w:sz w:val="24"/>
        </w:rPr>
        <w:t>The Proper Bostonians</w:t>
      </w:r>
      <w:r>
        <w:rPr>
          <w:sz w:val="24"/>
        </w:rPr>
        <w:t xml:space="preserve"> (New York: E.P. Dutton, 1947): </w:t>
      </w:r>
      <w:r w:rsidRPr="008352A9">
        <w:rPr>
          <w:sz w:val="24"/>
        </w:rPr>
        <w:t>36</w:t>
      </w:r>
      <w:r>
        <w:rPr>
          <w:sz w:val="24"/>
        </w:rPr>
        <w:t>),</w:t>
      </w:r>
      <w:r w:rsidRPr="008352A9">
        <w:rPr>
          <w:sz w:val="24"/>
        </w:rPr>
        <w:t xml:space="preserve"> </w:t>
      </w:r>
      <w:r w:rsidRPr="008352A9">
        <w:rPr>
          <w:sz w:val="24"/>
          <w:szCs w:val="24"/>
        </w:rPr>
        <w:t>“Contrary to the general impression they are never loath to give outsiders, the First Families of Boston are not those who forebears came over on the Mayflower…. Plymouth, settled in 1620, was made up of people who were proud of the fact that hardly a one of them had more than a few drops of old English blue blood in his veins. Boston, settled in 1630, was in comparison a definitely Aristocratic undertaking, financed to the extent of a sum equal to five million dollars, and made up largely of upper-crust merchant adventurers.</w:t>
      </w:r>
      <w:r>
        <w:rPr>
          <w:sz w:val="24"/>
        </w:rPr>
        <w:t>”</w:t>
      </w:r>
    </w:p>
  </w:endnote>
  <w:endnote w:id="6">
    <w:p w:rsidR="006D40B5" w:rsidRPr="008352A9" w:rsidRDefault="006D40B5" w:rsidP="008352A9">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Robert F. Dalzell, </w:t>
      </w:r>
      <w:r w:rsidRPr="008352A9">
        <w:rPr>
          <w:i/>
          <w:sz w:val="24"/>
          <w:szCs w:val="24"/>
        </w:rPr>
        <w:t>Enterprising Elite: The Boston Associates and the World They Made</w:t>
      </w:r>
      <w:r w:rsidRPr="008352A9">
        <w:rPr>
          <w:sz w:val="24"/>
          <w:szCs w:val="24"/>
        </w:rPr>
        <w:t xml:space="preserve"> (Cambridge: </w:t>
      </w:r>
      <w:r>
        <w:rPr>
          <w:sz w:val="24"/>
          <w:szCs w:val="24"/>
        </w:rPr>
        <w:t xml:space="preserve">Harvard University Press, 1987): 125. </w:t>
      </w:r>
    </w:p>
    <w:p w:rsidR="006D40B5" w:rsidRPr="008352A9" w:rsidRDefault="006D40B5" w:rsidP="008352A9">
      <w:pPr>
        <w:pStyle w:val="EndnoteText"/>
        <w:spacing w:line="240" w:lineRule="auto"/>
        <w:ind w:firstLine="0"/>
        <w:rPr>
          <w:iCs/>
          <w:sz w:val="24"/>
          <w:szCs w:val="24"/>
        </w:rPr>
      </w:pPr>
      <w:r w:rsidRPr="008352A9">
        <w:rPr>
          <w:sz w:val="24"/>
          <w:szCs w:val="24"/>
        </w:rPr>
        <w:t xml:space="preserve">Rutman, </w:t>
      </w:r>
      <w:r>
        <w:rPr>
          <w:i/>
          <w:sz w:val="24"/>
          <w:szCs w:val="24"/>
        </w:rPr>
        <w:t>Winthrop’s Boston</w:t>
      </w:r>
      <w:r>
        <w:rPr>
          <w:sz w:val="24"/>
          <w:szCs w:val="24"/>
        </w:rPr>
        <w:t>,</w:t>
      </w:r>
      <w:r w:rsidRPr="008352A9">
        <w:rPr>
          <w:iCs/>
          <w:sz w:val="24"/>
          <w:szCs w:val="24"/>
        </w:rPr>
        <w:t xml:space="preserve"> 7</w:t>
      </w:r>
      <w:r>
        <w:rPr>
          <w:iCs/>
          <w:sz w:val="24"/>
          <w:szCs w:val="24"/>
        </w:rPr>
        <w:t>.</w:t>
      </w:r>
    </w:p>
  </w:endnote>
  <w:endnote w:id="7">
    <w:p w:rsidR="006D40B5" w:rsidRPr="008352A9" w:rsidRDefault="006D40B5" w:rsidP="00303ACD">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Amory,</w:t>
      </w:r>
      <w:r>
        <w:rPr>
          <w:sz w:val="24"/>
          <w:szCs w:val="24"/>
        </w:rPr>
        <w:t xml:space="preserve"> </w:t>
      </w:r>
      <w:r>
        <w:rPr>
          <w:i/>
          <w:sz w:val="24"/>
          <w:szCs w:val="24"/>
        </w:rPr>
        <w:t xml:space="preserve">The Proper Bostonians, </w:t>
      </w:r>
      <w:r w:rsidRPr="008352A9">
        <w:rPr>
          <w:sz w:val="24"/>
          <w:szCs w:val="24"/>
        </w:rPr>
        <w:t>37</w:t>
      </w:r>
      <w:r>
        <w:rPr>
          <w:sz w:val="24"/>
          <w:szCs w:val="24"/>
        </w:rPr>
        <w:t>.</w:t>
      </w:r>
    </w:p>
  </w:endnote>
  <w:endnote w:id="8">
    <w:p w:rsidR="006D40B5" w:rsidRPr="008352A9" w:rsidRDefault="006D40B5" w:rsidP="00303ACD">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According to historians Brown and Tager (</w:t>
      </w:r>
      <w:r w:rsidRPr="00303ACD">
        <w:rPr>
          <w:i/>
          <w:sz w:val="24"/>
          <w:szCs w:val="24"/>
        </w:rPr>
        <w:t>Massachusetts: a Concise History</w:t>
      </w:r>
      <w:r w:rsidRPr="00303ACD">
        <w:rPr>
          <w:sz w:val="24"/>
          <w:szCs w:val="24"/>
        </w:rPr>
        <w:t xml:space="preserve"> (Amherst: Universit</w:t>
      </w:r>
      <w:r>
        <w:rPr>
          <w:sz w:val="24"/>
          <w:szCs w:val="24"/>
        </w:rPr>
        <w:t>y of Massachusetts Press, 2000):</w:t>
      </w:r>
      <w:r w:rsidRPr="00303ACD">
        <w:rPr>
          <w:sz w:val="24"/>
          <w:szCs w:val="24"/>
        </w:rPr>
        <w:t xml:space="preserve"> </w:t>
      </w:r>
      <w:r w:rsidRPr="008352A9">
        <w:rPr>
          <w:sz w:val="24"/>
          <w:szCs w:val="24"/>
        </w:rPr>
        <w:t>52)  “As the 18</w:t>
      </w:r>
      <w:r w:rsidRPr="008352A9">
        <w:rPr>
          <w:sz w:val="24"/>
          <w:szCs w:val="24"/>
          <w:vertAlign w:val="superscript"/>
        </w:rPr>
        <w:t>th</w:t>
      </w:r>
      <w:r w:rsidRPr="008352A9">
        <w:rPr>
          <w:sz w:val="24"/>
          <w:szCs w:val="24"/>
        </w:rPr>
        <w:t xml:space="preserve"> century progressed … the intense devotion to the Puritan past waned among ordinary farmers as well as wealthier, more cosmopolitan people. In the port towns, Boston, Salem, Newbury, and in a handful of others, commercial prosperity encouraged more and more involvement with the Atlantic trading world.” </w:t>
      </w:r>
    </w:p>
  </w:endnote>
  <w:endnote w:id="9">
    <w:p w:rsidR="006D40B5" w:rsidRDefault="006D40B5" w:rsidP="00303ACD">
      <w:pPr>
        <w:shd w:val="clear" w:color="auto" w:fill="FFFFFF"/>
        <w:rPr>
          <w:bCs/>
          <w:color w:val="000000"/>
        </w:rPr>
      </w:pPr>
      <w:r w:rsidRPr="008352A9">
        <w:rPr>
          <w:rStyle w:val="EndnoteReference"/>
          <w:rFonts w:eastAsia="Calibri"/>
        </w:rPr>
        <w:endnoteRef/>
      </w:r>
      <w:r w:rsidRPr="008352A9">
        <w:t xml:space="preserve"> </w:t>
      </w:r>
      <w:r w:rsidRPr="008352A9">
        <w:rPr>
          <w:bCs/>
          <w:color w:val="000000"/>
        </w:rPr>
        <w:t xml:space="preserve">Brown and Tager, </w:t>
      </w:r>
      <w:r w:rsidRPr="00303ACD">
        <w:rPr>
          <w:i/>
        </w:rPr>
        <w:t>Massachusetts</w:t>
      </w:r>
      <w:r w:rsidRPr="00303ACD">
        <w:rPr>
          <w:bCs/>
          <w:color w:val="000000"/>
        </w:rPr>
        <w:t>, 36</w:t>
      </w:r>
      <w:r w:rsidRPr="008352A9">
        <w:rPr>
          <w:bCs/>
          <w:color w:val="000000"/>
        </w:rPr>
        <w:t xml:space="preserve">. </w:t>
      </w:r>
    </w:p>
    <w:p w:rsidR="006D40B5" w:rsidRPr="008352A9" w:rsidRDefault="006D40B5" w:rsidP="00303ACD">
      <w:pPr>
        <w:shd w:val="clear" w:color="auto" w:fill="FFFFFF"/>
        <w:rPr>
          <w:bCs/>
          <w:color w:val="000000"/>
        </w:rPr>
      </w:pPr>
      <w:r w:rsidRPr="00303ACD">
        <w:rPr>
          <w:bCs/>
          <w:color w:val="000000"/>
        </w:rPr>
        <w:t xml:space="preserve">Bernard Bailyn, </w:t>
      </w:r>
      <w:r w:rsidRPr="00303ACD">
        <w:rPr>
          <w:bCs/>
          <w:i/>
          <w:color w:val="000000"/>
        </w:rPr>
        <w:t>The New England Merchants in the Seventeenth Century</w:t>
      </w:r>
      <w:r w:rsidRPr="00303ACD">
        <w:rPr>
          <w:bCs/>
          <w:color w:val="000000"/>
        </w:rPr>
        <w:t xml:space="preserve"> (Cambridge: Harvard University Press, 1979).</w:t>
      </w:r>
    </w:p>
  </w:endnote>
  <w:endnote w:id="10">
    <w:p w:rsidR="006D40B5" w:rsidRPr="008352A9" w:rsidRDefault="006D40B5" w:rsidP="00303ACD">
      <w:pPr>
        <w:pStyle w:val="EndnoteText"/>
        <w:spacing w:line="240" w:lineRule="auto"/>
        <w:ind w:firstLine="0"/>
        <w:rPr>
          <w:sz w:val="24"/>
          <w:szCs w:val="24"/>
        </w:rPr>
      </w:pPr>
      <w:r w:rsidRPr="008352A9">
        <w:rPr>
          <w:rStyle w:val="EndnoteReference"/>
          <w:sz w:val="24"/>
          <w:szCs w:val="24"/>
        </w:rPr>
        <w:endnoteRef/>
      </w:r>
      <w:r>
        <w:rPr>
          <w:sz w:val="24"/>
          <w:szCs w:val="24"/>
        </w:rPr>
        <w:t xml:space="preserve"> </w:t>
      </w:r>
      <w:r w:rsidRPr="008352A9">
        <w:rPr>
          <w:sz w:val="24"/>
          <w:szCs w:val="24"/>
        </w:rPr>
        <w:t>Brown and Tager</w:t>
      </w:r>
      <w:r>
        <w:rPr>
          <w:sz w:val="24"/>
          <w:szCs w:val="24"/>
        </w:rPr>
        <w:t xml:space="preserve">, </w:t>
      </w:r>
      <w:r>
        <w:rPr>
          <w:i/>
          <w:sz w:val="24"/>
          <w:szCs w:val="24"/>
        </w:rPr>
        <w:t>Massachusetts</w:t>
      </w:r>
      <w:r>
        <w:rPr>
          <w:sz w:val="24"/>
          <w:szCs w:val="24"/>
        </w:rPr>
        <w:t xml:space="preserve">, </w:t>
      </w:r>
      <w:r w:rsidRPr="008352A9">
        <w:rPr>
          <w:sz w:val="24"/>
          <w:szCs w:val="24"/>
        </w:rPr>
        <w:t>47.</w:t>
      </w:r>
    </w:p>
  </w:endnote>
  <w:endnote w:id="11">
    <w:p w:rsidR="006D40B5" w:rsidRPr="008352A9" w:rsidRDefault="006D40B5" w:rsidP="00303ACD">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w:t>
      </w:r>
      <w:r>
        <w:rPr>
          <w:rFonts w:eastAsia="Times New Roman"/>
          <w:bCs w:val="0"/>
          <w:color w:val="000000"/>
          <w:sz w:val="24"/>
          <w:szCs w:val="24"/>
        </w:rPr>
        <w:t xml:space="preserve">Brown and Tager, </w:t>
      </w:r>
      <w:r>
        <w:rPr>
          <w:i/>
          <w:sz w:val="24"/>
          <w:szCs w:val="24"/>
        </w:rPr>
        <w:t>Massachusetts</w:t>
      </w:r>
      <w:r>
        <w:rPr>
          <w:sz w:val="24"/>
          <w:szCs w:val="24"/>
        </w:rPr>
        <w:t xml:space="preserve">, </w:t>
      </w:r>
      <w:r w:rsidRPr="008352A9">
        <w:rPr>
          <w:sz w:val="24"/>
          <w:szCs w:val="24"/>
        </w:rPr>
        <w:t>52</w:t>
      </w:r>
      <w:r>
        <w:rPr>
          <w:sz w:val="24"/>
          <w:szCs w:val="24"/>
        </w:rPr>
        <w:t>.</w:t>
      </w:r>
    </w:p>
  </w:endnote>
  <w:endnote w:id="12">
    <w:p w:rsidR="006D40B5" w:rsidRPr="008352A9" w:rsidRDefault="006D40B5" w:rsidP="00303ACD">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w:t>
      </w:r>
      <w:r>
        <w:rPr>
          <w:rFonts w:eastAsia="Times New Roman"/>
          <w:bCs w:val="0"/>
          <w:color w:val="000000"/>
          <w:sz w:val="24"/>
          <w:szCs w:val="24"/>
        </w:rPr>
        <w:t xml:space="preserve">Brown and Tager, </w:t>
      </w:r>
      <w:r>
        <w:rPr>
          <w:i/>
          <w:sz w:val="24"/>
          <w:szCs w:val="24"/>
        </w:rPr>
        <w:t>Massachusetts</w:t>
      </w:r>
      <w:r>
        <w:rPr>
          <w:sz w:val="24"/>
          <w:szCs w:val="24"/>
        </w:rPr>
        <w:t xml:space="preserve">, </w:t>
      </w:r>
      <w:r w:rsidRPr="008352A9">
        <w:rPr>
          <w:sz w:val="24"/>
          <w:szCs w:val="24"/>
        </w:rPr>
        <w:t>57</w:t>
      </w:r>
    </w:p>
  </w:endnote>
  <w:endnote w:id="13">
    <w:p w:rsidR="006D40B5" w:rsidRPr="008352A9" w:rsidRDefault="006D40B5" w:rsidP="008352A9">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Dalzell, </w:t>
      </w:r>
      <w:r w:rsidRPr="008352A9">
        <w:rPr>
          <w:i/>
          <w:sz w:val="24"/>
          <w:szCs w:val="24"/>
        </w:rPr>
        <w:t xml:space="preserve">Enterprising </w:t>
      </w:r>
      <w:r w:rsidRPr="00F04D56">
        <w:rPr>
          <w:sz w:val="24"/>
          <w:szCs w:val="24"/>
        </w:rPr>
        <w:t>Elite</w:t>
      </w:r>
      <w:r>
        <w:rPr>
          <w:sz w:val="24"/>
          <w:szCs w:val="24"/>
        </w:rPr>
        <w:t xml:space="preserve">, </w:t>
      </w:r>
      <w:r w:rsidRPr="00F04D56">
        <w:rPr>
          <w:sz w:val="24"/>
          <w:szCs w:val="24"/>
        </w:rPr>
        <w:t>79</w:t>
      </w:r>
      <w:r w:rsidRPr="008352A9">
        <w:rPr>
          <w:sz w:val="24"/>
          <w:szCs w:val="24"/>
        </w:rPr>
        <w:t>-80</w:t>
      </w:r>
      <w:r>
        <w:rPr>
          <w:sz w:val="24"/>
          <w:szCs w:val="24"/>
        </w:rPr>
        <w:t>.</w:t>
      </w:r>
    </w:p>
  </w:endnote>
  <w:endnote w:id="14">
    <w:p w:rsidR="006D40B5" w:rsidRPr="008352A9" w:rsidRDefault="006D40B5" w:rsidP="00F04D56">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w:t>
      </w:r>
      <w:r>
        <w:rPr>
          <w:sz w:val="24"/>
          <w:szCs w:val="24"/>
        </w:rPr>
        <w:t>Amory (</w:t>
      </w:r>
      <w:r w:rsidRPr="00F04D56">
        <w:rPr>
          <w:i/>
          <w:sz w:val="24"/>
          <w:szCs w:val="24"/>
        </w:rPr>
        <w:t>The Proper Bostonians</w:t>
      </w:r>
      <w:r>
        <w:rPr>
          <w:sz w:val="24"/>
          <w:szCs w:val="24"/>
        </w:rPr>
        <w:t xml:space="preserve">, 20): </w:t>
      </w:r>
      <w:r w:rsidRPr="008352A9">
        <w:rPr>
          <w:sz w:val="24"/>
          <w:szCs w:val="24"/>
        </w:rPr>
        <w:t>“First families in Boston have tended toward marrying each other in a way that would do justice to the planned marriages of European royalty… Old colonel Henry Lee, an impeccable First Family man, phrased the matter gently: “Lees, Cabots, Jacksons, and Higginsons knew each other well… and had a satisfying belief that new England morality and intellectuality had produced nothing better than they were; so they very contentedly made a little clique of themselves, and intermarried very much, with a sure and cheerful faith that in such al</w:t>
      </w:r>
      <w:r>
        <w:rPr>
          <w:sz w:val="24"/>
          <w:szCs w:val="24"/>
        </w:rPr>
        <w:t>liances there can be no blunder.”</w:t>
      </w:r>
      <w:r w:rsidRPr="008352A9">
        <w:rPr>
          <w:sz w:val="24"/>
          <w:szCs w:val="24"/>
        </w:rPr>
        <w:t xml:space="preserve"> </w:t>
      </w:r>
    </w:p>
  </w:endnote>
  <w:endnote w:id="15">
    <w:p w:rsidR="006D40B5" w:rsidRPr="008352A9" w:rsidRDefault="006D40B5" w:rsidP="008352A9">
      <w:pPr>
        <w:pStyle w:val="EndnoteText"/>
        <w:spacing w:line="240" w:lineRule="auto"/>
        <w:ind w:firstLine="0"/>
        <w:rPr>
          <w:sz w:val="24"/>
          <w:szCs w:val="24"/>
        </w:rPr>
      </w:pPr>
      <w:r w:rsidRPr="008352A9">
        <w:rPr>
          <w:rStyle w:val="EndnoteReference"/>
          <w:sz w:val="24"/>
          <w:szCs w:val="24"/>
        </w:rPr>
        <w:endnoteRef/>
      </w:r>
      <w:r>
        <w:rPr>
          <w:sz w:val="24"/>
          <w:szCs w:val="24"/>
        </w:rPr>
        <w:t xml:space="preserve"> Dalzell, </w:t>
      </w:r>
      <w:r w:rsidRPr="008352A9">
        <w:rPr>
          <w:i/>
          <w:sz w:val="24"/>
          <w:szCs w:val="24"/>
        </w:rPr>
        <w:t>Enterprising Elite</w:t>
      </w:r>
      <w:r>
        <w:rPr>
          <w:sz w:val="24"/>
          <w:szCs w:val="24"/>
        </w:rPr>
        <w:t xml:space="preserve">, </w:t>
      </w:r>
      <w:r w:rsidRPr="009A286D">
        <w:rPr>
          <w:b/>
          <w:sz w:val="24"/>
          <w:szCs w:val="24"/>
          <w:highlight w:val="yellow"/>
        </w:rPr>
        <w:t>PAGE</w:t>
      </w:r>
      <w:r w:rsidRPr="008352A9">
        <w:rPr>
          <w:sz w:val="24"/>
          <w:szCs w:val="24"/>
        </w:rPr>
        <w:t xml:space="preserve">.  </w:t>
      </w:r>
    </w:p>
  </w:endnote>
  <w:endnote w:id="16">
    <w:p w:rsidR="006D40B5" w:rsidRPr="009A286D" w:rsidRDefault="006D40B5" w:rsidP="008352A9">
      <w:pPr>
        <w:pStyle w:val="EndnoteText"/>
        <w:spacing w:line="240" w:lineRule="auto"/>
        <w:ind w:firstLine="0"/>
        <w:rPr>
          <w:sz w:val="24"/>
        </w:rPr>
      </w:pPr>
      <w:r w:rsidRPr="008352A9">
        <w:rPr>
          <w:rStyle w:val="EndnoteReference"/>
          <w:sz w:val="24"/>
        </w:rPr>
        <w:endnoteRef/>
      </w:r>
      <w:r w:rsidRPr="008352A9">
        <w:rPr>
          <w:sz w:val="24"/>
        </w:rPr>
        <w:t xml:space="preserve"> Cohesive in more than family and business connections, this illustrious upper class also shared a common culture, bolstered by their common connection to one (in)famous educational institution: Harvard. Indeed, during the 19</w:t>
      </w:r>
      <w:r w:rsidRPr="008352A9">
        <w:rPr>
          <w:sz w:val="24"/>
          <w:vertAlign w:val="superscript"/>
        </w:rPr>
        <w:t>th</w:t>
      </w:r>
      <w:r w:rsidRPr="008352A9">
        <w:rPr>
          <w:sz w:val="24"/>
        </w:rPr>
        <w:t xml:space="preserve"> century, Harvard would become a stronghold of the Boston “Aristocracy”. During this time, the university would experience unprecedented growth, due to the generosity of private benefactors, and would largely be governed, staffed, and attended by members of the growing elite. From 1779 to 1789, the Harvard Corporation had gone from being made up of teaching faculty to becoming a much largely external Board of Trustees; from 1810 to 1828, 6 of the 18 men were members of Associate families. Funding, much of which came originally from the state, gradually increasingly from Brahmin donors. Furthermore, the Harvard endowment, like many charitable organizations of the time, was often invested in the very businesses run by the trustees themselves, creating a continuous flow of capital which was then fed back to enhance the holdings of their companies (Dalzell</w:t>
      </w:r>
      <w:r>
        <w:rPr>
          <w:sz w:val="24"/>
        </w:rPr>
        <w:t>,</w:t>
      </w:r>
      <w:r w:rsidRPr="009A286D">
        <w:rPr>
          <w:i/>
          <w:sz w:val="24"/>
          <w:szCs w:val="24"/>
        </w:rPr>
        <w:t xml:space="preserve"> </w:t>
      </w:r>
      <w:r w:rsidRPr="008352A9">
        <w:rPr>
          <w:i/>
          <w:sz w:val="24"/>
          <w:szCs w:val="24"/>
        </w:rPr>
        <w:t>Enterprising Elite</w:t>
      </w:r>
      <w:r>
        <w:rPr>
          <w:sz w:val="24"/>
        </w:rPr>
        <w:t xml:space="preserve">, 8).  </w:t>
      </w:r>
    </w:p>
  </w:endnote>
  <w:endnote w:id="17">
    <w:p w:rsidR="006D40B5" w:rsidRPr="008352A9" w:rsidRDefault="006D40B5" w:rsidP="008352A9">
      <w:pPr>
        <w:pStyle w:val="EndnoteText"/>
        <w:spacing w:line="240" w:lineRule="auto"/>
        <w:ind w:firstLine="0"/>
        <w:rPr>
          <w:sz w:val="24"/>
        </w:rPr>
      </w:pPr>
      <w:r w:rsidRPr="008352A9">
        <w:rPr>
          <w:rStyle w:val="EndnoteReference"/>
          <w:sz w:val="24"/>
        </w:rPr>
        <w:endnoteRef/>
      </w:r>
      <w:r w:rsidRPr="008352A9">
        <w:rPr>
          <w:sz w:val="24"/>
        </w:rPr>
        <w:t xml:space="preserve"> </w:t>
      </w:r>
      <w:r w:rsidRPr="009A286D">
        <w:rPr>
          <w:b/>
          <w:color w:val="FF0000"/>
          <w:sz w:val="24"/>
          <w:highlight w:val="yellow"/>
        </w:rPr>
        <w:t>Renella -----.</w:t>
      </w:r>
      <w:r w:rsidRPr="008352A9">
        <w:rPr>
          <w:sz w:val="24"/>
        </w:rPr>
        <w:t xml:space="preserve">  </w:t>
      </w:r>
    </w:p>
  </w:endnote>
  <w:endnote w:id="18">
    <w:p w:rsidR="006D40B5" w:rsidRPr="008352A9" w:rsidRDefault="006D40B5" w:rsidP="008352A9">
      <w:r w:rsidRPr="008352A9">
        <w:rPr>
          <w:rStyle w:val="EndnoteReference"/>
          <w:rFonts w:eastAsia="Calibri"/>
        </w:rPr>
        <w:endnoteRef/>
      </w:r>
      <w:r w:rsidRPr="008352A9">
        <w:t xml:space="preserve"> </w:t>
      </w:r>
      <w:r>
        <w:t>Ralph Waldo Emerson, “The American Scholar” (Phi Beta Kappa Society, Cambridge, MA, August 31, 1837), http://www.emersoncentral.com/amscholar.htm</w:t>
      </w:r>
    </w:p>
  </w:endnote>
  <w:endnote w:id="19">
    <w:p w:rsidR="006D40B5" w:rsidRPr="008352A9" w:rsidRDefault="006D40B5" w:rsidP="009A286D">
      <w:r w:rsidRPr="008352A9">
        <w:rPr>
          <w:rStyle w:val="EndnoteReference"/>
          <w:rFonts w:eastAsia="Calibri"/>
        </w:rPr>
        <w:endnoteRef/>
      </w:r>
      <w:r w:rsidRPr="008352A9">
        <w:t xml:space="preserve"> </w:t>
      </w:r>
      <w:r>
        <w:t xml:space="preserve">Susan Cheever, </w:t>
      </w:r>
      <w:r w:rsidRPr="009A286D">
        <w:rPr>
          <w:i/>
        </w:rPr>
        <w:t xml:space="preserve">American Bloomsbury: Louisa May Alcott, Ralph Waldo Emerson, Margaret Fuller, Nathaniel Hawthorne, and Henry David Thoreau; Their Lives, Their Loves, Their Work </w:t>
      </w:r>
      <w:r>
        <w:t xml:space="preserve">(Detroit: Thorndike Press, 2006): 80. </w:t>
      </w:r>
    </w:p>
  </w:endnote>
  <w:endnote w:id="20">
    <w:p w:rsidR="006D40B5" w:rsidRPr="008352A9" w:rsidRDefault="006D40B5" w:rsidP="009A286D">
      <w:r w:rsidRPr="008352A9">
        <w:rPr>
          <w:rStyle w:val="EndnoteReference"/>
        </w:rPr>
        <w:endnoteRef/>
      </w:r>
      <w:r w:rsidRPr="008352A9">
        <w:t xml:space="preserve"> Turner echoes these sentiments, noting complaints of Bostonians at the time: “Unlike earlier immigrants, they could neither “rapidly amalgamate with our native population” nor “speedily adapt themselves to our institutions.”</w:t>
      </w:r>
      <w:r w:rsidRPr="008352A9">
        <w:rPr>
          <w:rFonts w:eastAsia="Calibri"/>
        </w:rPr>
        <w:t xml:space="preserve"> </w:t>
      </w:r>
      <w:r w:rsidRPr="009A286D">
        <w:rPr>
          <w:rFonts w:eastAsia="Calibri"/>
          <w:b/>
          <w:color w:val="FF0000"/>
          <w:highlight w:val="yellow"/>
        </w:rPr>
        <w:t>WE NEED CITE, PERHAPS IN EARLIER DRAFTS?</w:t>
      </w:r>
      <w:r>
        <w:t xml:space="preserve"> </w:t>
      </w:r>
    </w:p>
  </w:endnote>
  <w:endnote w:id="21">
    <w:p w:rsidR="006D40B5" w:rsidRPr="008352A9" w:rsidRDefault="006D40B5" w:rsidP="008352A9">
      <w:pPr>
        <w:pStyle w:val="EndnoteText"/>
        <w:spacing w:line="240" w:lineRule="auto"/>
        <w:ind w:firstLine="0"/>
        <w:rPr>
          <w:sz w:val="24"/>
          <w:szCs w:val="24"/>
        </w:rPr>
      </w:pPr>
      <w:r w:rsidRPr="008352A9">
        <w:rPr>
          <w:rStyle w:val="EndnoteReference"/>
          <w:sz w:val="24"/>
          <w:szCs w:val="24"/>
        </w:rPr>
        <w:endnoteRef/>
      </w:r>
      <w:r w:rsidRPr="008352A9">
        <w:rPr>
          <w:sz w:val="24"/>
          <w:szCs w:val="24"/>
        </w:rPr>
        <w:t xml:space="preserve"> Dalzell, </w:t>
      </w:r>
      <w:r>
        <w:rPr>
          <w:i/>
          <w:iCs/>
          <w:sz w:val="24"/>
          <w:szCs w:val="24"/>
        </w:rPr>
        <w:t>Enterprising Elite</w:t>
      </w:r>
      <w:r>
        <w:rPr>
          <w:iCs/>
          <w:sz w:val="24"/>
          <w:szCs w:val="24"/>
        </w:rPr>
        <w:t xml:space="preserve">, </w:t>
      </w:r>
      <w:r w:rsidRPr="008352A9">
        <w:rPr>
          <w:sz w:val="24"/>
          <w:szCs w:val="24"/>
        </w:rPr>
        <w:t>140</w:t>
      </w:r>
      <w:r>
        <w:rPr>
          <w:sz w:val="24"/>
          <w:szCs w:val="24"/>
        </w:rPr>
        <w:t>.</w:t>
      </w:r>
    </w:p>
  </w:endnote>
  <w:endnote w:id="22">
    <w:p w:rsidR="006D40B5" w:rsidRPr="008352A9" w:rsidRDefault="006D40B5" w:rsidP="008352A9">
      <w:pPr>
        <w:pStyle w:val="EndnoteText"/>
        <w:spacing w:line="240" w:lineRule="auto"/>
        <w:ind w:firstLine="0"/>
        <w:rPr>
          <w:sz w:val="24"/>
        </w:rPr>
      </w:pPr>
      <w:r w:rsidRPr="008352A9">
        <w:rPr>
          <w:rStyle w:val="EndnoteReference"/>
          <w:sz w:val="24"/>
        </w:rPr>
        <w:endnoteRef/>
      </w:r>
      <w:r>
        <w:rPr>
          <w:sz w:val="24"/>
        </w:rPr>
        <w:t xml:space="preserve"> Lawrence W. </w:t>
      </w:r>
      <w:r w:rsidRPr="009A286D">
        <w:rPr>
          <w:sz w:val="24"/>
        </w:rPr>
        <w:t xml:space="preserve">Levine, </w:t>
      </w:r>
      <w:r w:rsidRPr="009A286D">
        <w:rPr>
          <w:i/>
          <w:sz w:val="24"/>
        </w:rPr>
        <w:t>Highbrow/Lowbrow : the emergence of cultural hierarchy in America</w:t>
      </w:r>
      <w:r w:rsidRPr="009A286D">
        <w:rPr>
          <w:sz w:val="24"/>
        </w:rPr>
        <w:t xml:space="preserve"> (Cambridge, MA: Harvard University Press, 1988).</w:t>
      </w:r>
    </w:p>
  </w:endnote>
  <w:endnote w:id="23">
    <w:p w:rsidR="006D40B5" w:rsidRPr="008352A9" w:rsidRDefault="006D40B5" w:rsidP="009A286D">
      <w:r w:rsidRPr="008352A9">
        <w:rPr>
          <w:rStyle w:val="EndnoteReference"/>
        </w:rPr>
        <w:endnoteRef/>
      </w:r>
      <w:r w:rsidRPr="008352A9">
        <w:t xml:space="preserve"> </w:t>
      </w:r>
      <w:r w:rsidRPr="009A286D">
        <w:rPr>
          <w:b/>
          <w:color w:val="FF0000"/>
          <w:highlight w:val="yellow"/>
        </w:rPr>
        <w:t>Dimaggio 1982, Orosz 1990</w:t>
      </w:r>
      <w:r w:rsidRPr="008352A9">
        <w:t>.  Nineteenth Century America boasted few museums. Those that existed grew out of the enlightenment model in which art, humanities, and the sciences were intertwined. They often displayed “curiosities,” which referred to wondrous objects that gave people perspectives on the world that helped them transcend their narrow and provincial views and experiences. By the end of the century, however, knowledge became more specialized which was also reflected in museum practice.  Whereas the “scientific” and the spectacular had been displayed side-by-side, they were increasingly</w:t>
      </w:r>
      <w:r>
        <w:t xml:space="preserve"> relegated to separate venues. </w:t>
      </w:r>
    </w:p>
  </w:endnote>
  <w:endnote w:id="24">
    <w:p w:rsidR="006D40B5" w:rsidRPr="008352A9" w:rsidRDefault="006D40B5" w:rsidP="008352A9">
      <w:pPr>
        <w:pStyle w:val="EndnoteText"/>
        <w:spacing w:line="240" w:lineRule="auto"/>
        <w:ind w:firstLine="0"/>
        <w:rPr>
          <w:sz w:val="24"/>
        </w:rPr>
      </w:pPr>
      <w:r w:rsidRPr="008352A9">
        <w:rPr>
          <w:rStyle w:val="EndnoteReference"/>
          <w:sz w:val="24"/>
        </w:rPr>
        <w:endnoteRef/>
      </w:r>
      <w:r w:rsidRPr="008352A9">
        <w:rPr>
          <w:sz w:val="24"/>
        </w:rPr>
        <w:t xml:space="preserve"> </w:t>
      </w:r>
      <w:r w:rsidRPr="009A286D">
        <w:rPr>
          <w:b/>
          <w:color w:val="FF0000"/>
          <w:sz w:val="24"/>
          <w:highlight w:val="yellow"/>
        </w:rPr>
        <w:t>Orosz 1990:3</w:t>
      </w:r>
    </w:p>
  </w:endnote>
  <w:endnote w:id="25">
    <w:p w:rsidR="006D40B5" w:rsidRPr="009A286D" w:rsidRDefault="006D40B5" w:rsidP="008352A9">
      <w:pPr>
        <w:pStyle w:val="EndnoteText"/>
        <w:spacing w:line="240" w:lineRule="auto"/>
        <w:ind w:firstLine="0"/>
        <w:rPr>
          <w:b/>
          <w:color w:val="FF0000"/>
          <w:sz w:val="24"/>
          <w:szCs w:val="24"/>
        </w:rPr>
      </w:pPr>
      <w:r w:rsidRPr="009A286D">
        <w:rPr>
          <w:rStyle w:val="EndnoteReference"/>
          <w:b/>
          <w:color w:val="FF0000"/>
          <w:sz w:val="24"/>
          <w:szCs w:val="24"/>
          <w:highlight w:val="yellow"/>
        </w:rPr>
        <w:endnoteRef/>
      </w:r>
      <w:r w:rsidRPr="009A286D">
        <w:rPr>
          <w:b/>
          <w:color w:val="FF0000"/>
          <w:sz w:val="24"/>
          <w:szCs w:val="24"/>
          <w:highlight w:val="yellow"/>
        </w:rPr>
        <w:t xml:space="preserve"> (Harris -----, Handlin 1972).</w:t>
      </w:r>
      <w:r>
        <w:rPr>
          <w:b/>
          <w:color w:val="FF0000"/>
          <w:sz w:val="24"/>
          <w:szCs w:val="24"/>
        </w:rPr>
        <w:t xml:space="preserve"> </w:t>
      </w:r>
    </w:p>
  </w:endnote>
  <w:endnote w:id="26">
    <w:p w:rsidR="006D40B5" w:rsidRPr="008352A9" w:rsidRDefault="006D40B5" w:rsidP="008352A9">
      <w:pPr>
        <w:pStyle w:val="EndnoteText"/>
        <w:spacing w:line="240" w:lineRule="auto"/>
        <w:ind w:firstLine="0"/>
        <w:rPr>
          <w:sz w:val="24"/>
        </w:rPr>
      </w:pPr>
      <w:r w:rsidRPr="008352A9">
        <w:rPr>
          <w:rStyle w:val="EndnoteReference"/>
          <w:sz w:val="24"/>
        </w:rPr>
        <w:endnoteRef/>
      </w:r>
      <w:r w:rsidRPr="008352A9">
        <w:rPr>
          <w:sz w:val="24"/>
        </w:rPr>
        <w:t xml:space="preserve"> The city’s movers and shakers wanted a museum long before they got one; a happy convergence of events brought their dreams to fruition. Colonel Timothy Bigelow Lawrence had an armor collection that could not fit in the Boston Athenaeum. Harvard had a collection of prints that needed a fireproof home. And MIT and the American Social Science Association could not house all of the architectural casts in their collection. City leaders set out to raise money for a suitable home for these treasures in the city’s Back Bay </w:t>
      </w:r>
      <w:r w:rsidRPr="009A286D">
        <w:rPr>
          <w:b/>
          <w:color w:val="FF0000"/>
          <w:sz w:val="24"/>
          <w:highlight w:val="yellow"/>
        </w:rPr>
        <w:t>(Harris: 555-556)</w:t>
      </w:r>
    </w:p>
  </w:endnote>
  <w:endnote w:id="27">
    <w:p w:rsidR="006D40B5" w:rsidRPr="008352A9" w:rsidRDefault="006D40B5" w:rsidP="009A286D">
      <w:r w:rsidRPr="008352A9">
        <w:rPr>
          <w:rStyle w:val="EndnoteReference"/>
        </w:rPr>
        <w:endnoteRef/>
      </w:r>
      <w:r w:rsidRPr="008352A9">
        <w:t xml:space="preserve"> </w:t>
      </w:r>
      <w:r w:rsidRPr="009A286D">
        <w:rPr>
          <w:b/>
          <w:color w:val="FF0000"/>
          <w:highlight w:val="yellow"/>
        </w:rPr>
        <w:t>Harris P. 555.</w:t>
      </w:r>
      <w:r w:rsidRPr="008352A9">
        <w:t xml:space="preserve">  Check if this is where quo</w:t>
      </w:r>
      <w:r>
        <w:t xml:space="preserve">te about herbarium comes from. </w:t>
      </w:r>
    </w:p>
  </w:endnote>
  <w:endnote w:id="28">
    <w:p w:rsidR="006D40B5" w:rsidRPr="00A011B7" w:rsidRDefault="006D40B5" w:rsidP="00A011B7">
      <w:pPr>
        <w:pStyle w:val="EndnoteText"/>
        <w:spacing w:line="240" w:lineRule="auto"/>
        <w:ind w:firstLine="0"/>
        <w:rPr>
          <w:sz w:val="24"/>
        </w:rPr>
      </w:pPr>
      <w:r w:rsidRPr="00A011B7">
        <w:rPr>
          <w:rStyle w:val="EndnoteReference"/>
          <w:sz w:val="24"/>
        </w:rPr>
        <w:endnoteRef/>
      </w:r>
      <w:r w:rsidR="00A011B7">
        <w:rPr>
          <w:sz w:val="24"/>
        </w:rPr>
        <w:t xml:space="preserve"> </w:t>
      </w:r>
      <w:r w:rsidR="00A011B7" w:rsidRPr="00A011B7">
        <w:rPr>
          <w:sz w:val="24"/>
        </w:rPr>
        <w:t xml:space="preserve">Walter Muir Whitehill, </w:t>
      </w:r>
      <w:r w:rsidR="00A011B7" w:rsidRPr="00A011B7">
        <w:rPr>
          <w:i/>
          <w:sz w:val="24"/>
        </w:rPr>
        <w:t>Museum of Fine Arts, Boston: a Centennial History</w:t>
      </w:r>
      <w:r w:rsidR="00A011B7" w:rsidRPr="00A011B7">
        <w:rPr>
          <w:sz w:val="24"/>
        </w:rPr>
        <w:t xml:space="preserve"> (Cambri</w:t>
      </w:r>
      <w:r w:rsidR="00A011B7">
        <w:rPr>
          <w:sz w:val="24"/>
        </w:rPr>
        <w:t>dge, Mass: Belknap Press, 1970).</w:t>
      </w:r>
    </w:p>
  </w:endnote>
  <w:endnote w:id="29">
    <w:p w:rsidR="006D40B5" w:rsidRPr="009A286D" w:rsidRDefault="006D40B5" w:rsidP="009A286D">
      <w:pPr>
        <w:rPr>
          <w:b/>
          <w:color w:val="FF0000"/>
        </w:rPr>
      </w:pPr>
      <w:r w:rsidRPr="008352A9">
        <w:rPr>
          <w:rStyle w:val="EndnoteReference"/>
        </w:rPr>
        <w:endnoteRef/>
      </w:r>
      <w:r w:rsidRPr="008352A9">
        <w:t xml:space="preserve"> The Museum’s declining populism also reflected broader cultural trends. More and more, there was a bright line in the sand between high art displayed in not-for-profit settings, managed by artistic professionals and governed by prosperous and influential trustees and popular entertainment, sponsored by profit-seeking entrepreneurs on display for anyone who could afford a ticket.  The “cultural capitalists,” who accomplished this, according to Paul DiMaggio, did so by creating the nonprofit corporation, a distinctly American invention, which later became the standard mode of governing and distributing high culture.</w:t>
      </w:r>
      <w:r w:rsidRPr="008352A9">
        <w:rPr>
          <w:rStyle w:val="EndnoteReference"/>
        </w:rPr>
        <w:t xml:space="preserve"> </w:t>
      </w:r>
      <w:r w:rsidRPr="008352A9">
        <w:t xml:space="preserve"> The same kind of interconnected, semi-incestuous group of elites that ran institutions like Harvard also stood at the helm while professional artists and art historians ran things day to day. In short, a cast of Brahmins, and a microcosm of elites, each with a special skill, set of connections, or large bank account. </w:t>
      </w:r>
      <w:r w:rsidRPr="009A286D">
        <w:rPr>
          <w:b/>
          <w:color w:val="FF0000"/>
          <w:highlight w:val="yellow"/>
        </w:rPr>
        <w:t>(Dimaggio -----).</w:t>
      </w:r>
      <w:r>
        <w:rPr>
          <w:b/>
          <w:color w:val="FF0000"/>
        </w:rPr>
        <w:t xml:space="preserve"> </w:t>
      </w:r>
    </w:p>
  </w:endnote>
  <w:endnote w:id="30">
    <w:p w:rsidR="006D40B5" w:rsidRPr="009A286D" w:rsidRDefault="006D40B5" w:rsidP="009A286D">
      <w:pPr>
        <w:rPr>
          <w:rFonts w:cs="Verdana"/>
          <w:lang w:bidi="en-US"/>
        </w:rPr>
      </w:pPr>
      <w:r w:rsidRPr="008352A9">
        <w:rPr>
          <w:rStyle w:val="EndnoteReference"/>
        </w:rPr>
        <w:endnoteRef/>
      </w:r>
      <w:r w:rsidRPr="008352A9">
        <w:t xml:space="preserve"> </w:t>
      </w:r>
      <w:r w:rsidRPr="008352A9">
        <w:rPr>
          <w:rFonts w:cs="Verdana"/>
          <w:lang w:bidi="en-US"/>
        </w:rPr>
        <w:t>Including Edward Sylvester Morse, Ernest Francisco Fenollosa, William Sturgis Bigelow, Charles Goddard Weld, and Denman Waldo Ross—and the leading Japanese art-historian and cultural commentator Okakura Kakuzô, who worked for the Museum from 1904 until his death in 1913 (</w:t>
      </w:r>
      <w:hyperlink r:id="rId1" w:history="1">
        <w:r w:rsidRPr="008352A9">
          <w:rPr>
            <w:rStyle w:val="Hyperlink"/>
            <w:rFonts w:cs="Verdana"/>
            <w:lang w:bidi="en-US"/>
          </w:rPr>
          <w:t>www.mfa.org</w:t>
        </w:r>
      </w:hyperlink>
      <w:r w:rsidRPr="009A286D">
        <w:rPr>
          <w:rStyle w:val="Hyperlink"/>
          <w:rFonts w:cs="Verdana"/>
          <w:color w:val="auto"/>
          <w:u w:val="none"/>
          <w:lang w:bidi="en-US"/>
        </w:rPr>
        <w:t>, accessed July 14, 2012.</w:t>
      </w:r>
      <w:r w:rsidRPr="009A286D">
        <w:rPr>
          <w:rFonts w:cs="Verdana"/>
          <w:lang w:bidi="en-US"/>
        </w:rPr>
        <w:t>)</w:t>
      </w:r>
      <w:r>
        <w:rPr>
          <w:rFonts w:cs="Verdana"/>
          <w:lang w:bidi="en-US"/>
        </w:rPr>
        <w:t xml:space="preserve"> </w:t>
      </w:r>
    </w:p>
  </w:endnote>
  <w:endnote w:id="31">
    <w:p w:rsidR="006D40B5" w:rsidRPr="00E94B5E" w:rsidRDefault="006D40B5" w:rsidP="00E94B5E">
      <w:pPr>
        <w:rPr>
          <w:rFonts w:cs="Verdana"/>
          <w:lang w:bidi="en-US"/>
        </w:rPr>
      </w:pPr>
      <w:r w:rsidRPr="008352A9">
        <w:rPr>
          <w:rStyle w:val="EndnoteReference"/>
        </w:rPr>
        <w:endnoteRef/>
      </w:r>
      <w:r w:rsidRPr="008352A9">
        <w:t xml:space="preserve"> </w:t>
      </w:r>
      <w:r w:rsidRPr="00E94B5E">
        <w:rPr>
          <w:rFonts w:cs="ArialMT"/>
          <w:b/>
          <w:color w:val="FF0000"/>
          <w:highlight w:val="yellow"/>
          <w:lang w:bidi="en-US"/>
        </w:rPr>
        <w:t>(</w:t>
      </w:r>
      <w:r w:rsidRPr="00E94B5E">
        <w:rPr>
          <w:b/>
          <w:color w:val="FF0000"/>
          <w:highlight w:val="yellow"/>
        </w:rPr>
        <w:t>Dobrzynski 1999).</w:t>
      </w:r>
      <w:r w:rsidRPr="008352A9">
        <w:t xml:space="preserve"> </w:t>
      </w:r>
    </w:p>
  </w:endnote>
  <w:endnote w:id="32">
    <w:p w:rsidR="006D40B5" w:rsidRPr="00E53EBA" w:rsidRDefault="006D40B5" w:rsidP="008352A9">
      <w:pPr>
        <w:pStyle w:val="EndnoteText"/>
        <w:spacing w:line="240" w:lineRule="auto"/>
        <w:ind w:firstLine="0"/>
        <w:rPr>
          <w:sz w:val="24"/>
        </w:rPr>
      </w:pPr>
      <w:r w:rsidRPr="00E53EBA">
        <w:rPr>
          <w:rStyle w:val="EndnoteReference"/>
          <w:sz w:val="24"/>
        </w:rPr>
        <w:endnoteRef/>
      </w:r>
      <w:r w:rsidRPr="00E53EBA">
        <w:rPr>
          <w:sz w:val="24"/>
        </w:rPr>
        <w:t xml:space="preserve"> http://www.nagoya-boston.or.jp/english/. Accessed 1 September 2013. </w:t>
      </w:r>
    </w:p>
  </w:endnote>
  <w:endnote w:id="33">
    <w:p w:rsidR="006D40B5" w:rsidRPr="00E53EBA" w:rsidRDefault="006D40B5" w:rsidP="00E53EBA">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Rasoul Sorkhabi, “Ananda K. Coomaraswamy: From Geology to Philosophia Perennis,” </w:t>
      </w:r>
      <w:r w:rsidRPr="00E53EBA">
        <w:rPr>
          <w:i/>
          <w:sz w:val="24"/>
          <w:szCs w:val="24"/>
        </w:rPr>
        <w:t>Current Science</w:t>
      </w:r>
      <w:r w:rsidRPr="00E53EBA">
        <w:rPr>
          <w:sz w:val="24"/>
          <w:szCs w:val="24"/>
        </w:rPr>
        <w:t xml:space="preserve"> 94, no. 3 (2008): 396.</w:t>
      </w:r>
    </w:p>
  </w:endnote>
  <w:endnote w:id="34">
    <w:p w:rsidR="006D40B5" w:rsidRPr="00E53EBA" w:rsidRDefault="006D40B5" w:rsidP="00E53EBA">
      <w:pPr>
        <w:pStyle w:val="EndnoteText"/>
        <w:spacing w:line="240" w:lineRule="auto"/>
        <w:ind w:firstLine="0"/>
        <w:rPr>
          <w:sz w:val="24"/>
          <w:szCs w:val="24"/>
        </w:rPr>
      </w:pPr>
      <w:r w:rsidRPr="00E53EBA">
        <w:rPr>
          <w:rStyle w:val="EndnoteReference"/>
          <w:sz w:val="24"/>
          <w:szCs w:val="24"/>
        </w:rPr>
        <w:endnoteRef/>
      </w:r>
      <w:r>
        <w:rPr>
          <w:sz w:val="24"/>
          <w:szCs w:val="24"/>
        </w:rPr>
        <w:t xml:space="preserve"> </w:t>
      </w:r>
      <w:r w:rsidRPr="00E53EBA">
        <w:rPr>
          <w:sz w:val="24"/>
          <w:szCs w:val="24"/>
        </w:rPr>
        <w:t>Sorkhabi, “Ananda K. Coomaraswamy,</w:t>
      </w:r>
      <w:r>
        <w:rPr>
          <w:sz w:val="24"/>
          <w:szCs w:val="24"/>
        </w:rPr>
        <w:t>”</w:t>
      </w:r>
      <w:r w:rsidRPr="00E53EBA">
        <w:rPr>
          <w:sz w:val="24"/>
          <w:szCs w:val="24"/>
        </w:rPr>
        <w:t xml:space="preserve"> 396.</w:t>
      </w:r>
    </w:p>
  </w:endnote>
  <w:endnote w:id="35">
    <w:p w:rsidR="006D40B5" w:rsidRPr="00E53EBA" w:rsidRDefault="006D40B5" w:rsidP="00E53EBA">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w:t>
      </w:r>
      <w:r>
        <w:rPr>
          <w:sz w:val="24"/>
          <w:szCs w:val="24"/>
        </w:rPr>
        <w:t xml:space="preserve">Philip </w:t>
      </w:r>
      <w:r w:rsidRPr="00E53EBA">
        <w:rPr>
          <w:sz w:val="24"/>
          <w:szCs w:val="24"/>
        </w:rPr>
        <w:t xml:space="preserve">Rawson, “A Professional Sage,” </w:t>
      </w:r>
      <w:r w:rsidRPr="00E53EBA">
        <w:rPr>
          <w:i/>
          <w:sz w:val="24"/>
          <w:szCs w:val="24"/>
        </w:rPr>
        <w:t>New York Review of Books</w:t>
      </w:r>
      <w:r w:rsidRPr="00E53EBA">
        <w:rPr>
          <w:sz w:val="24"/>
          <w:szCs w:val="24"/>
        </w:rPr>
        <w:t>, 1979, http://www.nybooks.com/articles/archives/1979/feb/22/a-prof</w:t>
      </w:r>
      <w:r>
        <w:rPr>
          <w:sz w:val="24"/>
          <w:szCs w:val="24"/>
        </w:rPr>
        <w:t>essional-sage/?pagination=false.</w:t>
      </w:r>
    </w:p>
  </w:endnote>
  <w:endnote w:id="36">
    <w:p w:rsidR="006D40B5" w:rsidRPr="00E53EBA" w:rsidRDefault="006D40B5" w:rsidP="00E53EBA">
      <w:pPr>
        <w:pStyle w:val="EndnoteText"/>
        <w:spacing w:line="240" w:lineRule="auto"/>
        <w:ind w:firstLine="0"/>
        <w:rPr>
          <w:sz w:val="24"/>
          <w:szCs w:val="24"/>
        </w:rPr>
      </w:pPr>
      <w:r w:rsidRPr="00E53EBA">
        <w:rPr>
          <w:rStyle w:val="EndnoteReference"/>
          <w:sz w:val="24"/>
          <w:szCs w:val="24"/>
        </w:rPr>
        <w:endnoteRef/>
      </w:r>
      <w:r>
        <w:rPr>
          <w:sz w:val="24"/>
          <w:szCs w:val="24"/>
        </w:rPr>
        <w:t xml:space="preserve"> Philip Rawson, “A Professional Sage</w:t>
      </w:r>
      <w:r w:rsidRPr="00E53EBA">
        <w:rPr>
          <w:sz w:val="24"/>
          <w:szCs w:val="24"/>
        </w:rPr>
        <w:t>.</w:t>
      </w:r>
      <w:r>
        <w:rPr>
          <w:sz w:val="24"/>
          <w:szCs w:val="24"/>
        </w:rPr>
        <w:t>”</w:t>
      </w:r>
    </w:p>
  </w:endnote>
  <w:endnote w:id="37">
    <w:p w:rsidR="006D40B5" w:rsidRPr="00E53EBA" w:rsidRDefault="006D40B5" w:rsidP="00E53EBA">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Sorkhabi, “Ananda K. Coomaraswamy</w:t>
      </w:r>
      <w:r>
        <w:rPr>
          <w:sz w:val="24"/>
          <w:szCs w:val="24"/>
        </w:rPr>
        <w:t xml:space="preserve">,” </w:t>
      </w:r>
      <w:r w:rsidRPr="00E53EBA">
        <w:rPr>
          <w:sz w:val="24"/>
          <w:szCs w:val="24"/>
        </w:rPr>
        <w:t>394, 396.</w:t>
      </w:r>
    </w:p>
  </w:endnote>
  <w:endnote w:id="38">
    <w:p w:rsidR="006D40B5" w:rsidRPr="00E53EBA" w:rsidRDefault="006D40B5" w:rsidP="005D04A4">
      <w:pPr>
        <w:pStyle w:val="EndnoteText"/>
        <w:spacing w:line="240" w:lineRule="auto"/>
        <w:ind w:firstLine="0"/>
        <w:rPr>
          <w:sz w:val="24"/>
          <w:szCs w:val="24"/>
        </w:rPr>
      </w:pPr>
      <w:r w:rsidRPr="00E53EBA">
        <w:rPr>
          <w:rStyle w:val="EndnoteReference"/>
          <w:sz w:val="24"/>
          <w:szCs w:val="24"/>
        </w:rPr>
        <w:endnoteRef/>
      </w:r>
      <w:r>
        <w:rPr>
          <w:sz w:val="24"/>
          <w:szCs w:val="24"/>
        </w:rPr>
        <w:t xml:space="preserve"> Philip Rawson, “A Professional Sage</w:t>
      </w:r>
      <w:r w:rsidRPr="00E53EBA">
        <w:rPr>
          <w:sz w:val="24"/>
          <w:szCs w:val="24"/>
        </w:rPr>
        <w:t>.</w:t>
      </w:r>
      <w:r>
        <w:rPr>
          <w:sz w:val="24"/>
          <w:szCs w:val="24"/>
        </w:rPr>
        <w:t>”</w:t>
      </w:r>
    </w:p>
  </w:endnote>
  <w:endnote w:id="39">
    <w:p w:rsidR="006D40B5" w:rsidRPr="00E53EBA" w:rsidRDefault="006D40B5" w:rsidP="005D04A4">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S</w:t>
      </w:r>
      <w:r>
        <w:rPr>
          <w:sz w:val="24"/>
          <w:szCs w:val="24"/>
        </w:rPr>
        <w:t>orkhabi, “Ananda K. Coomaraswamy,” 396.</w:t>
      </w:r>
    </w:p>
  </w:endnote>
  <w:endnote w:id="40">
    <w:p w:rsidR="006D40B5" w:rsidRPr="00E53EBA" w:rsidRDefault="006D40B5" w:rsidP="005D04A4">
      <w:pPr>
        <w:pStyle w:val="EndnoteText"/>
        <w:spacing w:line="240" w:lineRule="auto"/>
        <w:ind w:firstLine="0"/>
        <w:rPr>
          <w:sz w:val="24"/>
          <w:szCs w:val="24"/>
        </w:rPr>
      </w:pPr>
      <w:r w:rsidRPr="00E53EBA">
        <w:rPr>
          <w:rStyle w:val="EndnoteReference"/>
          <w:sz w:val="24"/>
          <w:szCs w:val="24"/>
        </w:rPr>
        <w:endnoteRef/>
      </w:r>
      <w:r>
        <w:rPr>
          <w:sz w:val="24"/>
          <w:szCs w:val="24"/>
        </w:rPr>
        <w:t xml:space="preserve"> Philip Rawson, “A Professional Sage</w:t>
      </w:r>
      <w:r w:rsidRPr="00E53EBA">
        <w:rPr>
          <w:sz w:val="24"/>
          <w:szCs w:val="24"/>
        </w:rPr>
        <w:t>.</w:t>
      </w:r>
      <w:r>
        <w:rPr>
          <w:sz w:val="24"/>
          <w:szCs w:val="24"/>
        </w:rPr>
        <w:t>”</w:t>
      </w:r>
    </w:p>
  </w:endnote>
  <w:endnote w:id="41">
    <w:p w:rsidR="006D40B5" w:rsidRPr="00E53EBA" w:rsidRDefault="006D40B5" w:rsidP="005D04A4">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w:t>
      </w:r>
      <w:r>
        <w:rPr>
          <w:sz w:val="24"/>
          <w:szCs w:val="24"/>
        </w:rPr>
        <w:t>Philip Rawson, “A Professional Sage</w:t>
      </w:r>
      <w:r w:rsidRPr="00E53EBA">
        <w:rPr>
          <w:sz w:val="24"/>
          <w:szCs w:val="24"/>
        </w:rPr>
        <w:t>.</w:t>
      </w:r>
      <w:r>
        <w:rPr>
          <w:sz w:val="24"/>
          <w:szCs w:val="24"/>
        </w:rPr>
        <w:t>”</w:t>
      </w:r>
    </w:p>
  </w:endnote>
  <w:endnote w:id="42">
    <w:p w:rsidR="006D40B5" w:rsidRPr="00E53EBA" w:rsidRDefault="006D40B5" w:rsidP="005D04A4">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w:t>
      </w:r>
      <w:r>
        <w:rPr>
          <w:sz w:val="24"/>
          <w:szCs w:val="24"/>
        </w:rPr>
        <w:t>Philip Rawson, “A Professional Sage</w:t>
      </w:r>
      <w:r w:rsidRPr="00E53EBA">
        <w:rPr>
          <w:sz w:val="24"/>
          <w:szCs w:val="24"/>
        </w:rPr>
        <w:t>.</w:t>
      </w:r>
      <w:r>
        <w:rPr>
          <w:sz w:val="24"/>
          <w:szCs w:val="24"/>
        </w:rPr>
        <w:t>”</w:t>
      </w:r>
    </w:p>
  </w:endnote>
  <w:endnote w:id="43">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r w:rsidRPr="00E53EBA">
        <w:rPr>
          <w:b/>
          <w:color w:val="FF0000"/>
          <w:sz w:val="24"/>
          <w:highlight w:val="yellow"/>
        </w:rPr>
        <w:t>This is from wall text. How to cite?</w:t>
      </w:r>
      <w:r w:rsidRPr="00E53EBA">
        <w:rPr>
          <w:sz w:val="24"/>
        </w:rPr>
        <w:t xml:space="preserve"> </w:t>
      </w:r>
    </w:p>
  </w:endnote>
  <w:endnote w:id="44">
    <w:p w:rsidR="006D40B5" w:rsidRPr="00E53EBA" w:rsidRDefault="006D40B5" w:rsidP="005D04A4">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w:t>
      </w:r>
      <w:r>
        <w:rPr>
          <w:sz w:val="24"/>
          <w:szCs w:val="24"/>
        </w:rPr>
        <w:t>Philip Rawson, “A Professional Sage</w:t>
      </w:r>
      <w:r w:rsidRPr="00E53EBA">
        <w:rPr>
          <w:sz w:val="24"/>
          <w:szCs w:val="24"/>
        </w:rPr>
        <w:t>.</w:t>
      </w:r>
      <w:r>
        <w:rPr>
          <w:sz w:val="24"/>
          <w:szCs w:val="24"/>
        </w:rPr>
        <w:t>”</w:t>
      </w:r>
    </w:p>
  </w:endnote>
  <w:endnote w:id="45">
    <w:p w:rsidR="006D40B5" w:rsidRPr="00E53EBA" w:rsidRDefault="006D40B5" w:rsidP="00E53EBA">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Lee Sorensen, “Ananda Coomaraswamy,” Dictionary of Art Historians, accessed January 22, 2013, http://www.dictionaryofarthistorians.org/coomaraswamya.htm.</w:t>
      </w:r>
    </w:p>
    <w:p w:rsidR="006D40B5" w:rsidRPr="00E53EBA" w:rsidRDefault="006D40B5" w:rsidP="00E53EBA">
      <w:pPr>
        <w:pStyle w:val="EndnoteText"/>
        <w:spacing w:line="240" w:lineRule="auto"/>
        <w:ind w:firstLine="0"/>
        <w:rPr>
          <w:sz w:val="24"/>
          <w:szCs w:val="24"/>
        </w:rPr>
      </w:pPr>
      <w:r w:rsidRPr="00E53EBA">
        <w:rPr>
          <w:sz w:val="24"/>
          <w:szCs w:val="24"/>
        </w:rPr>
        <w:t>S</w:t>
      </w:r>
      <w:r>
        <w:rPr>
          <w:sz w:val="24"/>
          <w:szCs w:val="24"/>
        </w:rPr>
        <w:t>orkhabi, “Ananda K. Coomaraswamy,” 398.</w:t>
      </w:r>
    </w:p>
  </w:endnote>
  <w:endnote w:id="46">
    <w:p w:rsidR="006D40B5" w:rsidRPr="00E53EBA" w:rsidRDefault="006D40B5" w:rsidP="00E53EBA">
      <w:pPr>
        <w:pStyle w:val="EndnoteText"/>
        <w:spacing w:line="240" w:lineRule="auto"/>
        <w:ind w:firstLine="0"/>
        <w:rPr>
          <w:sz w:val="24"/>
          <w:szCs w:val="24"/>
        </w:rPr>
      </w:pPr>
      <w:r w:rsidRPr="00E53EBA">
        <w:rPr>
          <w:rStyle w:val="EndnoteReference"/>
          <w:sz w:val="24"/>
          <w:szCs w:val="24"/>
        </w:rPr>
        <w:endnoteRef/>
      </w:r>
      <w:r>
        <w:rPr>
          <w:sz w:val="24"/>
          <w:szCs w:val="24"/>
        </w:rPr>
        <w:t xml:space="preserve"> </w:t>
      </w:r>
      <w:r w:rsidRPr="00E53EBA">
        <w:rPr>
          <w:sz w:val="24"/>
          <w:szCs w:val="24"/>
        </w:rPr>
        <w:t>S</w:t>
      </w:r>
      <w:r>
        <w:rPr>
          <w:sz w:val="24"/>
          <w:szCs w:val="24"/>
        </w:rPr>
        <w:t>orkhabi, “Ananda K. Coomaraswamy,” 398.</w:t>
      </w:r>
    </w:p>
    <w:p w:rsidR="006D40B5" w:rsidRPr="00E53EBA" w:rsidRDefault="006D40B5" w:rsidP="00E53EBA">
      <w:pPr>
        <w:pStyle w:val="EndnoteText"/>
        <w:spacing w:line="240" w:lineRule="auto"/>
        <w:ind w:firstLine="0"/>
        <w:rPr>
          <w:sz w:val="24"/>
          <w:szCs w:val="24"/>
        </w:rPr>
      </w:pPr>
      <w:r w:rsidRPr="00E53EBA">
        <w:rPr>
          <w:sz w:val="24"/>
          <w:szCs w:val="24"/>
        </w:rPr>
        <w:t xml:space="preserve"> </w:t>
      </w:r>
      <w:r>
        <w:rPr>
          <w:sz w:val="24"/>
          <w:szCs w:val="24"/>
        </w:rPr>
        <w:t>Philip Rawson, “A Professional Sage</w:t>
      </w:r>
      <w:r w:rsidRPr="00E53EBA">
        <w:rPr>
          <w:sz w:val="24"/>
          <w:szCs w:val="24"/>
        </w:rPr>
        <w:t>.</w:t>
      </w:r>
      <w:r>
        <w:rPr>
          <w:sz w:val="24"/>
          <w:szCs w:val="24"/>
        </w:rPr>
        <w:t>”</w:t>
      </w:r>
    </w:p>
    <w:p w:rsidR="006D40B5" w:rsidRPr="00E53EBA" w:rsidRDefault="006D40B5" w:rsidP="005D04A4">
      <w:pPr>
        <w:pStyle w:val="EndnoteText"/>
        <w:spacing w:line="240" w:lineRule="auto"/>
        <w:ind w:firstLine="0"/>
        <w:rPr>
          <w:sz w:val="24"/>
          <w:szCs w:val="24"/>
        </w:rPr>
      </w:pPr>
      <w:r>
        <w:rPr>
          <w:sz w:val="24"/>
          <w:szCs w:val="24"/>
        </w:rPr>
        <w:t>Sorensen, “Ananda Coomaraswamy.”</w:t>
      </w:r>
    </w:p>
  </w:endnote>
  <w:endnote w:id="47">
    <w:p w:rsidR="006D40B5" w:rsidRPr="00E53EBA" w:rsidRDefault="006D40B5" w:rsidP="005D04A4">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Sorkhabi, </w:t>
      </w:r>
      <w:r>
        <w:rPr>
          <w:sz w:val="24"/>
          <w:szCs w:val="24"/>
        </w:rPr>
        <w:t xml:space="preserve">“Ananda K. Coomaraswamy,” </w:t>
      </w:r>
      <w:r w:rsidRPr="00E53EBA">
        <w:rPr>
          <w:sz w:val="24"/>
          <w:szCs w:val="24"/>
        </w:rPr>
        <w:t xml:space="preserve">398. </w:t>
      </w:r>
    </w:p>
  </w:endnote>
  <w:endnote w:id="48">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r>
        <w:rPr>
          <w:sz w:val="24"/>
        </w:rPr>
        <w:t>A</w:t>
      </w:r>
      <w:r w:rsidRPr="00E53EBA">
        <w:rPr>
          <w:sz w:val="24"/>
        </w:rPr>
        <w:t>cc</w:t>
      </w:r>
      <w:r>
        <w:rPr>
          <w:sz w:val="24"/>
        </w:rPr>
        <w:t xml:space="preserve">ording to Curator of Education </w:t>
      </w:r>
      <w:r w:rsidRPr="00E53EBA">
        <w:rPr>
          <w:sz w:val="24"/>
        </w:rPr>
        <w:t xml:space="preserve">Barbara Martin, </w:t>
      </w:r>
      <w:r>
        <w:rPr>
          <w:sz w:val="24"/>
        </w:rPr>
        <w:t>t</w:t>
      </w:r>
      <w:r w:rsidRPr="00E53EBA">
        <w:rPr>
          <w:sz w:val="24"/>
        </w:rPr>
        <w:t>he MFA was, in fact, trying to accomplish two goals, using space to retell a national and international story at the same time. The art moves chronologically from the lowest level, where the Ancient Americas are, and where visitors exit into a major special exhibition gallery, establishing the beginning with the Mayan urns,  At the same time, there  is a “grand entrance” on the ground level taking visitors directly to Boston’s strongest story—Pau</w:t>
      </w:r>
      <w:r>
        <w:rPr>
          <w:sz w:val="24"/>
        </w:rPr>
        <w:t xml:space="preserve">l Revere and the Liberty Bowl. </w:t>
      </w:r>
    </w:p>
  </w:endnote>
  <w:endnote w:id="49">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According to Dan Monroe, Director and CEO of the Peabody Essex Museum, the China trade started in 1785 in American.  Prior to that, China’s influence on American art would</w:t>
      </w:r>
      <w:r>
        <w:rPr>
          <w:sz w:val="24"/>
        </w:rPr>
        <w:t xml:space="preserve"> have traveled through Europe. </w:t>
      </w:r>
    </w:p>
  </w:endnote>
  <w:endnote w:id="50">
    <w:p w:rsidR="006D40B5" w:rsidRPr="00E53EBA" w:rsidRDefault="006D40B5" w:rsidP="005D04A4">
      <w:pPr>
        <w:widowControl w:val="0"/>
        <w:autoSpaceDE w:val="0"/>
        <w:autoSpaceDN w:val="0"/>
        <w:adjustRightInd w:val="0"/>
        <w:spacing w:after="200"/>
      </w:pPr>
      <w:r w:rsidRPr="00E53EBA">
        <w:rPr>
          <w:rStyle w:val="EndnoteReference"/>
        </w:rPr>
        <w:endnoteRef/>
      </w:r>
      <w:r w:rsidRPr="00E53EBA">
        <w:t xml:space="preserve"> According to Hirshler, his teacher Carolus-Duran constantly repeated to his students, “Velázquez, Velázquez, Velázquez, ceaselessly study Velázquez’” and Sargent did just that.  In the late 1800s, all serious aspiring artists had to at least give a nod to Spanish artistic styles that by then were an integral part of the artistic vocabulary. Sargent made the requisite pilgrimage to Madrid’s Museo del Prado and copied Velázquez’s </w:t>
      </w:r>
      <w:r w:rsidRPr="00E53EBA">
        <w:rPr>
          <w:i/>
        </w:rPr>
        <w:t xml:space="preserve">Las Meninas </w:t>
      </w:r>
      <w:r w:rsidRPr="00E53EBA">
        <w:t xml:space="preserve">that, according to Hirshler, served as a model for his </w:t>
      </w:r>
      <w:r w:rsidRPr="00E53EBA">
        <w:rPr>
          <w:i/>
        </w:rPr>
        <w:t>The Daughters of Edward Darley Boit</w:t>
      </w:r>
      <w:r w:rsidRPr="00E53EBA">
        <w:t xml:space="preserve">.  </w:t>
      </w:r>
    </w:p>
    <w:p w:rsidR="006D40B5" w:rsidRPr="00E53EBA" w:rsidRDefault="006D40B5" w:rsidP="005D04A4">
      <w:pPr>
        <w:pStyle w:val="EndnoteText"/>
        <w:spacing w:line="240" w:lineRule="auto"/>
        <w:ind w:firstLine="0"/>
        <w:rPr>
          <w:sz w:val="24"/>
          <w:szCs w:val="24"/>
        </w:rPr>
      </w:pPr>
    </w:p>
  </w:endnote>
  <w:endnote w:id="51">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In fact, he thought that modern art was not that modern because, from his perspective, he found similar forms in Ancient Andean Art. From Museum we</w:t>
      </w:r>
      <w:r>
        <w:rPr>
          <w:sz w:val="24"/>
        </w:rPr>
        <w:t xml:space="preserve">bsite on painting. </w:t>
      </w:r>
      <w:r w:rsidRPr="00D07499">
        <w:rPr>
          <w:sz w:val="24"/>
        </w:rPr>
        <w:t>http://www.mfa.org/collections/object/staccato-522747</w:t>
      </w:r>
      <w:r>
        <w:rPr>
          <w:sz w:val="24"/>
        </w:rPr>
        <w:t>. Accessed 1 September 2013.</w:t>
      </w:r>
    </w:p>
  </w:endnote>
  <w:endnote w:id="52">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r>
        <w:rPr>
          <w:sz w:val="24"/>
        </w:rPr>
        <w:t>http://www.</w:t>
      </w:r>
      <w:r w:rsidRPr="00E53EBA">
        <w:rPr>
          <w:rFonts w:cs="Arial"/>
          <w:sz w:val="24"/>
        </w:rPr>
        <w:t>educators.mfa.org/objects/detail/336406?related_people_text=Wifre</w:t>
      </w:r>
      <w:r>
        <w:rPr>
          <w:rFonts w:cs="Arial"/>
          <w:sz w:val="24"/>
        </w:rPr>
        <w:t xml:space="preserve">do+Lam. Accessed July 27, 2012. </w:t>
      </w:r>
    </w:p>
  </w:endnote>
  <w:endnote w:id="53">
    <w:p w:rsidR="006D40B5" w:rsidRPr="00EE5D55" w:rsidRDefault="006D40B5" w:rsidP="00EE5D55">
      <w:pPr>
        <w:rPr>
          <w:rFonts w:eastAsia="ＭＳ 明朝"/>
        </w:rPr>
      </w:pPr>
      <w:r w:rsidRPr="00E53EBA">
        <w:rPr>
          <w:rStyle w:val="EndnoteReference"/>
        </w:rPr>
        <w:endnoteRef/>
      </w:r>
      <w:r w:rsidRPr="00E53EBA">
        <w:t xml:space="preserve"> </w:t>
      </w:r>
      <w:r w:rsidRPr="00E53EBA">
        <w:rPr>
          <w:rFonts w:eastAsia="ＭＳ 明朝"/>
        </w:rPr>
        <w:t>In the accompanying catalogue, Bostwick Davis describes this as follows, “Over time, the indigenous peoples, their descendants, and later waves of immigrants to the Americas would encounter other cultures from around the world.  How those encounters influenced the works of art they created</w:t>
      </w:r>
      <w:r>
        <w:rPr>
          <w:rFonts w:eastAsia="ＭＳ 明朝"/>
        </w:rPr>
        <w:t xml:space="preserve"> is the main theme of this book</w:t>
      </w:r>
      <w:r w:rsidRPr="00E53EBA">
        <w:rPr>
          <w:rFonts w:eastAsia="ＭＳ 明朝"/>
        </w:rPr>
        <w:t>” (</w:t>
      </w:r>
      <w:r w:rsidRPr="00EE5D55">
        <w:rPr>
          <w:rFonts w:eastAsia="ＭＳ 明朝"/>
        </w:rPr>
        <w:t xml:space="preserve">Elliot Bostwick Davis, ed., </w:t>
      </w:r>
      <w:r w:rsidRPr="00EE5D55">
        <w:rPr>
          <w:rFonts w:eastAsia="ＭＳ 明朝"/>
          <w:i/>
        </w:rPr>
        <w:t>A New World Imagined: Art of the Americas</w:t>
      </w:r>
      <w:r w:rsidRPr="00EE5D55">
        <w:rPr>
          <w:rFonts w:eastAsia="ＭＳ 明朝"/>
        </w:rPr>
        <w:t>, 1st ed (Boston: MFA Publications, D.A.P./Di</w:t>
      </w:r>
      <w:r>
        <w:rPr>
          <w:rFonts w:eastAsia="ＭＳ 明朝"/>
        </w:rPr>
        <w:t>stributed Art Publishers, 2010): 12).</w:t>
      </w:r>
      <w:r w:rsidRPr="00EE5D55">
        <w:rPr>
          <w:rFonts w:eastAsia="ＭＳ 明朝"/>
        </w:rPr>
        <w:t xml:space="preserve"> </w:t>
      </w:r>
      <w:r w:rsidRPr="00E53EBA">
        <w:rPr>
          <w:rFonts w:eastAsia="ＭＳ 明朝"/>
        </w:rPr>
        <w:t>In other words, newcomers brought their artistic traditions with them and these artistic traditions played a central role in how the newly established nation defined itself. It was not a single indigenous or national culture.  “As peoples from different traditions came into contract with each other, artists adopted, adapted, borrowed, and put new or unfamiliar forms to old uses and new ends. The book is an exploration not a definition of the “American,” because no attempt at definition could do justice to anything as rich and complex as a nation’s artistic culture, let alone a culture—or rather, cultures—as mixed and varied as those of the Americas.” (</w:t>
      </w:r>
      <w:r>
        <w:rPr>
          <w:rFonts w:eastAsia="ＭＳ 明朝"/>
        </w:rPr>
        <w:t>Davis</w:t>
      </w:r>
      <w:r w:rsidRPr="00EE5D55">
        <w:rPr>
          <w:rFonts w:eastAsia="ＭＳ 明朝"/>
        </w:rPr>
        <w:t xml:space="preserve">, </w:t>
      </w:r>
      <w:r w:rsidRPr="00EE5D55">
        <w:rPr>
          <w:rFonts w:eastAsia="ＭＳ 明朝"/>
          <w:i/>
        </w:rPr>
        <w:t>A New World Imagined</w:t>
      </w:r>
      <w:r>
        <w:rPr>
          <w:rFonts w:eastAsia="ＭＳ 明朝"/>
        </w:rPr>
        <w:t xml:space="preserve">, </w:t>
      </w:r>
      <w:r w:rsidRPr="00E53EBA">
        <w:rPr>
          <w:rFonts w:eastAsia="ＭＳ 明朝"/>
        </w:rPr>
        <w:t>12)</w:t>
      </w:r>
      <w:r>
        <w:rPr>
          <w:rFonts w:eastAsia="ＭＳ 明朝"/>
        </w:rPr>
        <w:t>.</w:t>
      </w:r>
      <w:r w:rsidRPr="00E53EBA">
        <w:rPr>
          <w:rFonts w:eastAsia="ＭＳ 明朝"/>
        </w:rPr>
        <w:t xml:space="preserve">  However, only two chapters deal with the Native American and Pre-Columbian materials, followed by seven chapters about European influences, and four chapters on A</w:t>
      </w:r>
      <w:r>
        <w:rPr>
          <w:rFonts w:eastAsia="ＭＳ 明朝"/>
        </w:rPr>
        <w:t xml:space="preserve">frica, the Near East, and Asia </w:t>
      </w:r>
    </w:p>
  </w:endnote>
  <w:endnote w:id="54">
    <w:p w:rsidR="006D40B5" w:rsidRDefault="006D40B5" w:rsidP="00A93669">
      <w:pPr>
        <w:widowControl w:val="0"/>
        <w:autoSpaceDE w:val="0"/>
        <w:autoSpaceDN w:val="0"/>
        <w:adjustRightInd w:val="0"/>
      </w:pPr>
      <w:r w:rsidRPr="00E53EBA">
        <w:rPr>
          <w:rStyle w:val="EndnoteReference"/>
        </w:rPr>
        <w:endnoteRef/>
      </w:r>
      <w:r w:rsidRPr="00E53EBA">
        <w:t xml:space="preserve"> Betty Farrell and Maria Medvedeva, the AAM report’s authors, conducted focus groups among younger visitors between 16 and 25 years of age.  They found th</w:t>
      </w:r>
      <w:r>
        <w:t>a</w:t>
      </w:r>
      <w:r w:rsidRPr="00E53EBA">
        <w:t xml:space="preserve">t participants never spontaneously mentioned museums as the kind of place where they would choose to spend their leisure time.  In fact, they generally described museums as static places, places that exhibit things, didactic places (but not necessarily places where the learning was fun or engaging), and places where you had to be quiet and stand outside looking in. </w:t>
      </w:r>
    </w:p>
    <w:p w:rsidR="006D40B5" w:rsidRPr="00E53EBA" w:rsidRDefault="006D40B5" w:rsidP="00A93669">
      <w:pPr>
        <w:widowControl w:val="0"/>
        <w:autoSpaceDE w:val="0"/>
        <w:autoSpaceDN w:val="0"/>
        <w:adjustRightInd w:val="0"/>
      </w:pPr>
      <w:r>
        <w:t xml:space="preserve">Betty Farrell and Maria Medvedeva, </w:t>
      </w:r>
      <w:r w:rsidRPr="00A93669">
        <w:rPr>
          <w:i/>
        </w:rPr>
        <w:t>Museums &amp; Society 2034: Trends and Potential Futures</w:t>
      </w:r>
      <w:r>
        <w:t xml:space="preserve"> (Washington, DC: American Association of Museums, Center for the Future of Museums (CFM), December 2008), http://www.aam-us.org/docs/center-for-the-future-of-museums/museumssociety2034.pdf?sfvrsn=0.</w:t>
      </w:r>
    </w:p>
  </w:endnote>
  <w:endnote w:id="55">
    <w:p w:rsidR="006D40B5" w:rsidRPr="00E53EBA" w:rsidRDefault="006D40B5" w:rsidP="00A93669">
      <w:pPr>
        <w:widowControl w:val="0"/>
        <w:autoSpaceDE w:val="0"/>
        <w:autoSpaceDN w:val="0"/>
        <w:adjustRightInd w:val="0"/>
      </w:pPr>
      <w:r w:rsidRPr="00E53EBA">
        <w:rPr>
          <w:rStyle w:val="EndnoteReference"/>
        </w:rPr>
        <w:endnoteRef/>
      </w:r>
      <w:r>
        <w:t xml:space="preserve"> Farrell and Maria Medvedeva, </w:t>
      </w:r>
      <w:r w:rsidRPr="00A93669">
        <w:rPr>
          <w:i/>
        </w:rPr>
        <w:t>Museums &amp; Society 2034</w:t>
      </w:r>
      <w:r>
        <w:t>.</w:t>
      </w:r>
    </w:p>
  </w:endnote>
  <w:endnote w:id="56">
    <w:p w:rsidR="006D40B5" w:rsidRPr="00E53EBA" w:rsidRDefault="006D40B5" w:rsidP="00A93669">
      <w:pPr>
        <w:pStyle w:val="EndnoteText"/>
        <w:spacing w:line="240" w:lineRule="auto"/>
        <w:ind w:firstLine="0"/>
        <w:rPr>
          <w:sz w:val="24"/>
        </w:rPr>
      </w:pPr>
      <w:r w:rsidRPr="00E53EBA">
        <w:rPr>
          <w:rStyle w:val="EndnoteReference"/>
          <w:sz w:val="24"/>
        </w:rPr>
        <w:endnoteRef/>
      </w:r>
      <w:r>
        <w:rPr>
          <w:sz w:val="24"/>
        </w:rPr>
        <w:t xml:space="preserve"> </w:t>
      </w:r>
      <w:r w:rsidRPr="00A93669">
        <w:rPr>
          <w:sz w:val="24"/>
        </w:rPr>
        <w:t xml:space="preserve">Kevin Williams and David Keen, </w:t>
      </w:r>
      <w:r w:rsidRPr="00A93669">
        <w:rPr>
          <w:i/>
          <w:sz w:val="24"/>
        </w:rPr>
        <w:t>2008 Survey of Public Participation in the Arts</w:t>
      </w:r>
      <w:r w:rsidRPr="00A93669">
        <w:rPr>
          <w:sz w:val="24"/>
        </w:rPr>
        <w:t xml:space="preserve"> (Washington, D.C.: National Endowment for the Arts, November 2009), http://www</w:t>
      </w:r>
      <w:r>
        <w:rPr>
          <w:sz w:val="24"/>
        </w:rPr>
        <w:t>.nea.gov/research/2008-sppa.pdf.</w:t>
      </w:r>
    </w:p>
  </w:endnote>
  <w:endnote w:id="57">
    <w:p w:rsidR="006D40B5" w:rsidRPr="00E53EBA" w:rsidRDefault="006D40B5" w:rsidP="00A93669">
      <w:pPr>
        <w:widowControl w:val="0"/>
        <w:autoSpaceDE w:val="0"/>
        <w:autoSpaceDN w:val="0"/>
        <w:adjustRightInd w:val="0"/>
      </w:pPr>
      <w:r w:rsidRPr="00E53EBA">
        <w:rPr>
          <w:rStyle w:val="EndnoteReference"/>
        </w:rPr>
        <w:endnoteRef/>
      </w:r>
      <w:r w:rsidRPr="00E53EBA">
        <w:t xml:space="preserve"> In general, according to the AAM, art museum and gallery attendance remained steady during the 25 years that the NEA collected data, although the core audience, adults between 45-54 dropped from 33 percent to 23 percent between 2002 and 2008.  Still, blaring disparities persisted in cultural participation among racial and ethnic groups.  While Non-Hispanic whites represented 69 percent of the country’s population, they made up nearly 79 percent of all museums visitors. In contrast, Hispanics made up 9 percent of all museum visitors and 14 percent of the country’s residents.  African American comprise 6 percent of all museum visits and they make up 11 percent of all Americans. While 23 percent of all adults in the U.S. visit museums, only 15 percent of Hispanic adults and 12 percent of African American adults do so respectively.  Another troubling demographic is the decline in museum </w:t>
      </w:r>
      <w:r>
        <w:t xml:space="preserve">visits among young people (Farrell and Medvedeva, , </w:t>
      </w:r>
      <w:r w:rsidRPr="00A93669">
        <w:rPr>
          <w:i/>
        </w:rPr>
        <w:t>Museums &amp; Society 2034</w:t>
      </w:r>
      <w:r>
        <w:t xml:space="preserve">). </w:t>
      </w:r>
    </w:p>
  </w:endnote>
  <w:endnote w:id="58">
    <w:p w:rsidR="006D40B5" w:rsidRPr="00E53EBA" w:rsidRDefault="006D40B5" w:rsidP="00A93669">
      <w:pPr>
        <w:pStyle w:val="EndnoteText"/>
        <w:spacing w:line="240" w:lineRule="auto"/>
        <w:ind w:firstLine="0"/>
        <w:rPr>
          <w:sz w:val="24"/>
          <w:szCs w:val="24"/>
        </w:rPr>
      </w:pPr>
      <w:r w:rsidRPr="00E53EBA">
        <w:rPr>
          <w:rStyle w:val="EndnoteReference"/>
          <w:sz w:val="24"/>
          <w:szCs w:val="24"/>
        </w:rPr>
        <w:endnoteRef/>
      </w:r>
      <w:r w:rsidRPr="00A93669">
        <w:rPr>
          <w:sz w:val="24"/>
          <w:szCs w:val="24"/>
        </w:rPr>
        <w:t xml:space="preserve"> John Frayler, “Privateers in the American Revolution,” </w:t>
      </w:r>
      <w:r w:rsidRPr="00A93669">
        <w:rPr>
          <w:i/>
          <w:sz w:val="24"/>
          <w:szCs w:val="24"/>
        </w:rPr>
        <w:t>The American Revolution: Lighting Freedom’s Flame</w:t>
      </w:r>
      <w:r w:rsidRPr="00A93669">
        <w:rPr>
          <w:sz w:val="24"/>
          <w:szCs w:val="24"/>
        </w:rPr>
        <w:t>, 2008, http://www.nps.gov/revwar/about_the_revolution/privateers.html.</w:t>
      </w:r>
    </w:p>
  </w:endnote>
  <w:endnote w:id="59">
    <w:p w:rsidR="006D40B5" w:rsidRPr="00E53EBA" w:rsidRDefault="006D40B5" w:rsidP="00A93669">
      <w:pPr>
        <w:pStyle w:val="EndnoteText"/>
        <w:spacing w:line="240" w:lineRule="auto"/>
        <w:ind w:firstLine="0"/>
        <w:rPr>
          <w:sz w:val="24"/>
          <w:szCs w:val="24"/>
        </w:rPr>
      </w:pPr>
      <w:r w:rsidRPr="00E53EBA">
        <w:rPr>
          <w:rStyle w:val="EndnoteReference"/>
          <w:sz w:val="24"/>
          <w:szCs w:val="24"/>
        </w:rPr>
        <w:endnoteRef/>
      </w:r>
      <w:r w:rsidRPr="00E53EBA">
        <w:rPr>
          <w:sz w:val="24"/>
          <w:szCs w:val="24"/>
        </w:rPr>
        <w:t xml:space="preserve"> </w:t>
      </w:r>
      <w:r w:rsidRPr="00A93669">
        <w:rPr>
          <w:sz w:val="24"/>
          <w:szCs w:val="24"/>
        </w:rPr>
        <w:t xml:space="preserve">National Park Service, “Salem’s International Trade,” </w:t>
      </w:r>
      <w:r w:rsidRPr="00A93669">
        <w:rPr>
          <w:i/>
          <w:sz w:val="24"/>
          <w:szCs w:val="24"/>
        </w:rPr>
        <w:t>Salem Maritime National Historic Site</w:t>
      </w:r>
      <w:r w:rsidRPr="00A93669">
        <w:rPr>
          <w:sz w:val="24"/>
          <w:szCs w:val="24"/>
        </w:rPr>
        <w:t>, 2012, http://www.nps.gov/sama/historyculture/trade.htm.</w:t>
      </w:r>
    </w:p>
  </w:endnote>
  <w:endnote w:id="60">
    <w:p w:rsidR="006D40B5" w:rsidRPr="00FB4B6F" w:rsidRDefault="006D40B5" w:rsidP="005D04A4">
      <w:pPr>
        <w:pStyle w:val="EndnoteText"/>
        <w:spacing w:line="240" w:lineRule="auto"/>
        <w:ind w:firstLine="0"/>
        <w:rPr>
          <w:b/>
          <w:color w:val="FF0000"/>
          <w:sz w:val="24"/>
        </w:rPr>
      </w:pPr>
      <w:r w:rsidRPr="00FB4B6F">
        <w:rPr>
          <w:rStyle w:val="EndnoteReference"/>
          <w:b/>
          <w:color w:val="FF0000"/>
          <w:sz w:val="24"/>
          <w:highlight w:val="yellow"/>
        </w:rPr>
        <w:endnoteRef/>
      </w:r>
      <w:r w:rsidRPr="00FB4B6F">
        <w:rPr>
          <w:b/>
          <w:color w:val="FF0000"/>
          <w:sz w:val="24"/>
          <w:highlight w:val="yellow"/>
        </w:rPr>
        <w:t xml:space="preserve"> Melville 1986:125 in Gilroy in Beck.</w:t>
      </w:r>
    </w:p>
  </w:endnote>
  <w:endnote w:id="61">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The Institute and the East India Marine Society developed in tandem. The Institute traded its natural history and archaeology collections with the Museum in the 1860s in exchange for the Museum’</w:t>
      </w:r>
      <w:r>
        <w:rPr>
          <w:sz w:val="24"/>
        </w:rPr>
        <w:t>s local history collection.</w:t>
      </w:r>
    </w:p>
  </w:endnote>
  <w:endnote w:id="62">
    <w:p w:rsidR="006D40B5" w:rsidRPr="00E53EBA" w:rsidRDefault="006D40B5" w:rsidP="00FB4B6F">
      <w:r w:rsidRPr="00E53EBA">
        <w:rPr>
          <w:rStyle w:val="EndnoteReference"/>
        </w:rPr>
        <w:endnoteRef/>
      </w:r>
      <w:r w:rsidRPr="00E53EBA">
        <w:t xml:space="preserve"> In fact, the Institute became a leader in the historic preservation movement, displaying some of the country’s earliest period rooms or what were then called “type rooms.” Locals bequeathed them on their deathbeds and they were then crated up and reassembled inside the Museum’</w:t>
      </w:r>
      <w:r>
        <w:t xml:space="preserve">s walls. </w:t>
      </w:r>
    </w:p>
  </w:endnote>
  <w:endnote w:id="63">
    <w:p w:rsidR="006D40B5" w:rsidRPr="00FB4B6F" w:rsidRDefault="006D40B5" w:rsidP="00FB4B6F">
      <w:r w:rsidRPr="00E53EBA">
        <w:rPr>
          <w:rStyle w:val="EndnoteReference"/>
        </w:rPr>
        <w:endnoteRef/>
      </w:r>
      <w:r w:rsidRPr="00E53EBA">
        <w:t xml:space="preserve"> These are often quite personal, including anecdotes about how the curator got interested in a particular topic or question. Chris Geary, for example, introduced </w:t>
      </w:r>
      <w:r w:rsidRPr="00E53EBA">
        <w:rPr>
          <w:i/>
        </w:rPr>
        <w:t xml:space="preserve">Global Patterns, </w:t>
      </w:r>
      <w:r w:rsidRPr="00E53EBA">
        <w:t>a show about African textiles she mounted in 2011 by describing the moment in her field work when she realized the importance of dress in the African context. That exhibit was also an example of how connection and interaction is being stressed.  According to Ms. Geary, the exhibit looked “at the way artists and craftspeople appropriated ideas from other parts of world” and adopted them to fit their their own cultural patterns and expressions. One of the first items on view</w:t>
      </w:r>
      <w:r>
        <w:t xml:space="preserve"> was </w:t>
      </w:r>
      <w:r w:rsidRPr="00E53EBA">
        <w:t xml:space="preserve">a commemorative cloth from Mozambique that used Coca Cola bottle caps as a design element. </w:t>
      </w:r>
      <w:r w:rsidRPr="00FB4B6F">
        <w:rPr>
          <w:highlight w:val="yellow"/>
        </w:rPr>
        <w:t>REVIEW: http://www.boston.com/ae/theater_arts/articles/2011/05/06/global_patterns_features_african_textiles_that_reveal_at_the_same_time_they_cover/</w:t>
      </w:r>
    </w:p>
  </w:endnote>
  <w:endnote w:id="64">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Over 15 years, long-time MFA benefactor John Axelrod amassed a collection including paintings, sculptures, carvings, and drawings by many of the most renowned African-American artists of the last 150 years, most of whom, the MFA’s press release admitted, had never before been represented in the MFA’</w:t>
      </w:r>
      <w:r>
        <w:rPr>
          <w:sz w:val="24"/>
        </w:rPr>
        <w:t>s holdings.</w:t>
      </w:r>
    </w:p>
  </w:endnote>
  <w:endnote w:id="65">
    <w:p w:rsidR="006D40B5" w:rsidRPr="00174786" w:rsidRDefault="006D40B5" w:rsidP="00B27D1A">
      <w:pPr>
        <w:pStyle w:val="EndnoteText"/>
        <w:spacing w:line="240" w:lineRule="auto"/>
        <w:ind w:firstLine="0"/>
        <w:rPr>
          <w:sz w:val="24"/>
        </w:rPr>
      </w:pPr>
      <w:r w:rsidRPr="00174786">
        <w:rPr>
          <w:rStyle w:val="EndnoteReference"/>
          <w:sz w:val="24"/>
        </w:rPr>
        <w:endnoteRef/>
      </w:r>
      <w:r w:rsidRPr="00174786">
        <w:rPr>
          <w:sz w:val="24"/>
        </w:rPr>
        <w:t xml:space="preserve"> </w:t>
      </w:r>
      <w:r w:rsidRPr="00174786">
        <w:rPr>
          <w:b/>
          <w:color w:val="FF0000"/>
          <w:sz w:val="24"/>
          <w:highlight w:val="yellow"/>
        </w:rPr>
        <w:t>Ment</w:t>
      </w:r>
      <w:r w:rsidRPr="00174786">
        <w:rPr>
          <w:sz w:val="24"/>
        </w:rPr>
        <w:t xml:space="preserve"> in Rosoff, “As Revealed by Art.”</w:t>
      </w:r>
    </w:p>
    <w:p w:rsidR="006D40B5" w:rsidRPr="00E53EBA" w:rsidRDefault="006D40B5" w:rsidP="00B27D1A">
      <w:pPr>
        <w:pStyle w:val="EndnoteText"/>
        <w:spacing w:line="240" w:lineRule="auto"/>
        <w:ind w:firstLine="0"/>
        <w:rPr>
          <w:sz w:val="24"/>
        </w:rPr>
      </w:pPr>
      <w:r w:rsidRPr="00B27D1A">
        <w:rPr>
          <w:sz w:val="24"/>
        </w:rPr>
        <w:t xml:space="preserve">Carol Lopate, </w:t>
      </w:r>
      <w:r w:rsidRPr="00B27D1A">
        <w:rPr>
          <w:i/>
          <w:sz w:val="24"/>
        </w:rPr>
        <w:t>Education and Culture in Brooklyn</w:t>
      </w:r>
      <w:r>
        <w:rPr>
          <w:sz w:val="24"/>
        </w:rPr>
        <w:t>.</w:t>
      </w:r>
    </w:p>
  </w:endnote>
  <w:endnote w:id="66">
    <w:p w:rsidR="006D40B5" w:rsidRPr="00E53EBA" w:rsidRDefault="006D40B5" w:rsidP="00174786">
      <w:pPr>
        <w:pStyle w:val="EndnoteText"/>
        <w:spacing w:line="240" w:lineRule="auto"/>
        <w:ind w:firstLine="0"/>
        <w:rPr>
          <w:sz w:val="24"/>
        </w:rPr>
      </w:pPr>
      <w:r w:rsidRPr="00E53EBA">
        <w:rPr>
          <w:rStyle w:val="EndnoteReference"/>
          <w:sz w:val="24"/>
        </w:rPr>
        <w:endnoteRef/>
      </w:r>
      <w:r w:rsidRPr="00E53EBA">
        <w:rPr>
          <w:sz w:val="24"/>
        </w:rPr>
        <w:t xml:space="preserve"> </w:t>
      </w:r>
      <w:r w:rsidRPr="00174786">
        <w:rPr>
          <w:sz w:val="24"/>
        </w:rPr>
        <w:t>Olive Hoogenboom, “Augustus Graham,” Dictionary of Unitarian &amp; Universalist Biography (Unitarian Universalist History &amp; Heritage Society, 1999), http://www25.uua.org/uuhs/duub/articles/augustusgraham.html.</w:t>
      </w:r>
    </w:p>
  </w:endnote>
  <w:endnote w:id="67">
    <w:p w:rsidR="006D40B5" w:rsidRPr="00E53EBA" w:rsidRDefault="006D40B5" w:rsidP="00174786">
      <w:pPr>
        <w:pStyle w:val="EndnoteText"/>
        <w:spacing w:line="240" w:lineRule="auto"/>
        <w:ind w:firstLine="0"/>
        <w:rPr>
          <w:sz w:val="24"/>
        </w:rPr>
      </w:pPr>
      <w:r w:rsidRPr="00E53EBA">
        <w:rPr>
          <w:rStyle w:val="EndnoteReference"/>
          <w:sz w:val="24"/>
        </w:rPr>
        <w:endnoteRef/>
      </w:r>
      <w:r w:rsidRPr="00E53EBA">
        <w:rPr>
          <w:sz w:val="24"/>
        </w:rPr>
        <w:t xml:space="preserve"> </w:t>
      </w:r>
      <w:r>
        <w:rPr>
          <w:sz w:val="24"/>
        </w:rPr>
        <w:t>Hoogenboom, “Augustus Graham.</w:t>
      </w:r>
      <w:r w:rsidRPr="00174786">
        <w:rPr>
          <w:sz w:val="24"/>
        </w:rPr>
        <w:t>”</w:t>
      </w:r>
    </w:p>
  </w:endnote>
  <w:endnote w:id="68">
    <w:p w:rsidR="006D40B5" w:rsidRPr="00E53EBA" w:rsidRDefault="006D40B5" w:rsidP="00174786">
      <w:pPr>
        <w:pStyle w:val="EndnoteText"/>
        <w:spacing w:line="240" w:lineRule="auto"/>
        <w:ind w:firstLine="0"/>
        <w:rPr>
          <w:sz w:val="24"/>
        </w:rPr>
      </w:pPr>
      <w:r w:rsidRPr="00E53EBA">
        <w:rPr>
          <w:rStyle w:val="EndnoteReference"/>
          <w:sz w:val="24"/>
        </w:rPr>
        <w:endnoteRef/>
      </w:r>
      <w:r w:rsidRPr="00E53EBA">
        <w:rPr>
          <w:sz w:val="24"/>
        </w:rPr>
        <w:t xml:space="preserve"> </w:t>
      </w:r>
      <w:r w:rsidRPr="00174786">
        <w:rPr>
          <w:sz w:val="24"/>
        </w:rPr>
        <w:t>Rosoff, “As Revealed by Art.</w:t>
      </w:r>
    </w:p>
  </w:endnote>
  <w:endnote w:id="69">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r w:rsidRPr="00E53EBA">
        <w:rPr>
          <w:rFonts w:eastAsiaTheme="minorEastAsia" w:cs="Arial"/>
          <w:color w:val="262626"/>
          <w:sz w:val="24"/>
        </w:rPr>
        <w:t xml:space="preserve">As cited in </w:t>
      </w:r>
      <w:r w:rsidRPr="00174786">
        <w:rPr>
          <w:sz w:val="24"/>
        </w:rPr>
        <w:t>Rosoff, “As Revealed by Art.”</w:t>
      </w:r>
      <w:r>
        <w:rPr>
          <w:sz w:val="24"/>
        </w:rPr>
        <w:t xml:space="preserve">, </w:t>
      </w:r>
      <w:r w:rsidRPr="00E53EBA">
        <w:rPr>
          <w:rFonts w:eastAsiaTheme="minorEastAsia" w:cs="Arial"/>
          <w:color w:val="262626"/>
          <w:sz w:val="24"/>
        </w:rPr>
        <w:t>48</w:t>
      </w:r>
    </w:p>
  </w:endnote>
  <w:endnote w:id="70">
    <w:p w:rsidR="006D40B5" w:rsidRPr="00E53EBA" w:rsidRDefault="006D40B5" w:rsidP="005D04A4">
      <w:pPr>
        <w:pStyle w:val="EndnoteText"/>
        <w:spacing w:line="240" w:lineRule="auto"/>
        <w:ind w:firstLine="0"/>
        <w:rPr>
          <w:sz w:val="24"/>
        </w:rPr>
      </w:pPr>
      <w:r w:rsidRPr="00E53EBA">
        <w:rPr>
          <w:rStyle w:val="EndnoteReference"/>
          <w:sz w:val="24"/>
        </w:rPr>
        <w:endnoteRef/>
      </w:r>
      <w:r>
        <w:rPr>
          <w:sz w:val="24"/>
        </w:rPr>
        <w:t xml:space="preserve"> </w:t>
      </w:r>
      <w:r w:rsidRPr="00174786">
        <w:rPr>
          <w:sz w:val="24"/>
        </w:rPr>
        <w:t>Rosoff, “As Revealed by Art.”</w:t>
      </w:r>
      <w:r w:rsidRPr="00E53EBA">
        <w:rPr>
          <w:sz w:val="24"/>
        </w:rPr>
        <w:t xml:space="preserve"> </w:t>
      </w:r>
    </w:p>
  </w:endnote>
  <w:endnote w:id="71">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By some estimates, twice as big as the stairs leading up to the Metropolitan Museum today.  </w:t>
      </w:r>
      <w:r w:rsidRPr="007D677E">
        <w:rPr>
          <w:b/>
          <w:color w:val="FF0000"/>
          <w:sz w:val="24"/>
          <w:highlight w:val="yellow"/>
        </w:rPr>
        <w:t>(Ferber 1997).</w:t>
      </w:r>
    </w:p>
  </w:endnote>
  <w:endnote w:id="72">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The Metropolitan Museum in Manhattan. </w:t>
      </w:r>
    </w:p>
  </w:endnote>
  <w:endnote w:id="73">
    <w:p w:rsidR="006D40B5" w:rsidRPr="00E53EBA" w:rsidRDefault="006D40B5" w:rsidP="005D04A4">
      <w:r w:rsidRPr="00E53EBA">
        <w:rPr>
          <w:rStyle w:val="EndnoteReference"/>
        </w:rPr>
        <w:endnoteRef/>
      </w:r>
      <w:r>
        <w:t xml:space="preserve"> In June</w:t>
      </w:r>
      <w:r w:rsidRPr="00E53EBA">
        <w:t xml:space="preserve"> 2012, Michael Petrilli of the Fordham Institute shocked blog readers when he posted that four of the top 25 fastest-gentrifying zip codes in the nation were in Brooklyn</w:t>
      </w:r>
      <w:r>
        <w:t xml:space="preserve"> ( “The Fastest-gentrifying Neighborhoods in the United States,” </w:t>
      </w:r>
      <w:r w:rsidRPr="00955490">
        <w:rPr>
          <w:i/>
        </w:rPr>
        <w:t>Flypaper</w:t>
      </w:r>
      <w:r>
        <w:t>, June 11, 2012, http://www.edexcellence.net/commentary/education-gadfly-daily/flypaper/2012/the-fastest-gentrifying-neighborhoods-in-the-united-states.html)</w:t>
      </w:r>
      <w:r w:rsidRPr="00E53EBA">
        <w:t xml:space="preserve">. In the same month, </w:t>
      </w:r>
      <w:r w:rsidRPr="00E53EBA">
        <w:rPr>
          <w:i/>
        </w:rPr>
        <w:t>The New York Times</w:t>
      </w:r>
      <w:r w:rsidRPr="00E53EBA">
        <w:t xml:space="preserve"> summarized Brooklyn’s transformation as follows, “For much of the past century, Brooklyn was the Rodney Dangerfield of boroughs, known for its blue-collar style, for its funny accent and, of course, for getting no respect. Then came the brownstone homesteaders and the bohemian pioneers. They turned lunch-bucket warrens in Park Slope, Dumbo and Williamsburg into glamorous destinations, drawing a flood of well-schooled young men and women who were attracted by quaint yet affordable homes, outdoor cafes, bicycle lanes and the neighborhoods’ sometimes self-parodying artisanal, sustainable and locavore ethos. Brooklyn somehow, against all odds, became an internati</w:t>
      </w:r>
      <w:r>
        <w:t>onally recognized icon of cool.”</w:t>
      </w:r>
    </w:p>
    <w:p w:rsidR="006D40B5" w:rsidRPr="009532A4" w:rsidRDefault="006D40B5" w:rsidP="009532A4">
      <w:pPr>
        <w:pStyle w:val="EndnoteText"/>
        <w:spacing w:line="240" w:lineRule="auto"/>
        <w:ind w:firstLine="0"/>
        <w:rPr>
          <w:sz w:val="24"/>
        </w:rPr>
      </w:pPr>
      <w:r w:rsidRPr="00955490">
        <w:rPr>
          <w:sz w:val="24"/>
        </w:rPr>
        <w:t>Joseph Berger, “As Brooklyn Gentrifies, Some Neighborhoods Are Being Left Behind,” New York Times, July 8, 2012, http://www.nytimes.com/2012/07/09/nyregion/as-brooklyn-gentrifies-</w:t>
      </w:r>
      <w:r w:rsidRPr="009532A4">
        <w:rPr>
          <w:sz w:val="24"/>
        </w:rPr>
        <w:t>some-neighborhoods-are-being-left-behind.html?pagewanted=all&amp;_r=0&amp;pagewanted=print.</w:t>
      </w:r>
    </w:p>
  </w:endnote>
  <w:endnote w:id="74">
    <w:p w:rsidR="006D40B5" w:rsidRPr="009532A4" w:rsidRDefault="006D40B5" w:rsidP="004F7A71">
      <w:pPr>
        <w:spacing w:beforeLines="1" w:before="2" w:afterLines="1" w:after="2"/>
        <w:rPr>
          <w:rFonts w:eastAsia="ＭＳ 明朝"/>
          <w:szCs w:val="20"/>
        </w:rPr>
      </w:pPr>
      <w:r w:rsidRPr="009532A4">
        <w:rPr>
          <w:rStyle w:val="EndnoteReference"/>
        </w:rPr>
        <w:endnoteRef/>
      </w:r>
      <w:r w:rsidRPr="009532A4">
        <w:t xml:space="preserve"> </w:t>
      </w:r>
      <w:r w:rsidRPr="009532A4">
        <w:rPr>
          <w:rFonts w:eastAsia="ＭＳ 明朝"/>
          <w:szCs w:val="20"/>
        </w:rPr>
        <w:t xml:space="preserve">Wendell Garrett, “Garrett’s Attic,” </w:t>
      </w:r>
      <w:r w:rsidRPr="009532A4">
        <w:rPr>
          <w:rFonts w:eastAsia="ＭＳ 明朝"/>
          <w:i/>
          <w:szCs w:val="20"/>
        </w:rPr>
        <w:t>Artnet.com</w:t>
      </w:r>
      <w:r w:rsidRPr="009532A4">
        <w:rPr>
          <w:rFonts w:eastAsia="ＭＳ 明朝"/>
          <w:szCs w:val="20"/>
        </w:rPr>
        <w:t>, February 14, 2000, http://www.artnet.com/magazine/features/garrett/garrett2-14-00.asp.</w:t>
      </w:r>
    </w:p>
  </w:endnote>
  <w:endnote w:id="75">
    <w:p w:rsidR="006D40B5" w:rsidRPr="00E53EBA" w:rsidRDefault="006D40B5" w:rsidP="004C497C">
      <w:pPr>
        <w:pStyle w:val="EndnoteText"/>
        <w:spacing w:line="240" w:lineRule="auto"/>
        <w:ind w:firstLine="0"/>
        <w:rPr>
          <w:sz w:val="24"/>
        </w:rPr>
      </w:pPr>
      <w:r w:rsidRPr="00E53EBA">
        <w:rPr>
          <w:rStyle w:val="EndnoteReference"/>
          <w:sz w:val="24"/>
        </w:rPr>
        <w:endnoteRef/>
      </w:r>
      <w:r w:rsidRPr="00E53EBA">
        <w:rPr>
          <w:sz w:val="24"/>
        </w:rPr>
        <w:t xml:space="preserve"> </w:t>
      </w:r>
      <w:r w:rsidRPr="009532A4">
        <w:rPr>
          <w:sz w:val="24"/>
        </w:rPr>
        <w:t>Diedre E. Lawrence, “Guide to Culin Archival Collection,” accessed November 14, 2012, http://www.brooklynmuseum.org/opencollection/research/culin/culin.php.</w:t>
      </w:r>
    </w:p>
  </w:endnote>
  <w:endnote w:id="76">
    <w:p w:rsidR="006D40B5" w:rsidRPr="00E53EBA" w:rsidRDefault="006D40B5" w:rsidP="00A91081">
      <w:pPr>
        <w:pStyle w:val="EndnoteText"/>
        <w:spacing w:line="240" w:lineRule="auto"/>
        <w:ind w:firstLine="0"/>
        <w:rPr>
          <w:sz w:val="24"/>
        </w:rPr>
      </w:pPr>
      <w:r w:rsidRPr="00E53EBA">
        <w:rPr>
          <w:rStyle w:val="EndnoteReference"/>
          <w:sz w:val="24"/>
        </w:rPr>
        <w:endnoteRef/>
      </w:r>
      <w:r w:rsidRPr="004C497C">
        <w:rPr>
          <w:sz w:val="24"/>
        </w:rPr>
        <w:t xml:space="preserve"> Nancy B. Rosoff, </w:t>
      </w:r>
      <w:r w:rsidRPr="004C497C">
        <w:rPr>
          <w:i/>
          <w:sz w:val="24"/>
        </w:rPr>
        <w:t>Native American Art at the Brooklyn Museum</w:t>
      </w:r>
      <w:r w:rsidRPr="004C497C">
        <w:rPr>
          <w:sz w:val="24"/>
        </w:rPr>
        <w:t xml:space="preserve"> (Bro</w:t>
      </w:r>
      <w:r>
        <w:rPr>
          <w:sz w:val="24"/>
        </w:rPr>
        <w:t>oklyn Museum, October 22, 2009).</w:t>
      </w:r>
    </w:p>
  </w:endnote>
  <w:endnote w:id="77">
    <w:p w:rsidR="006D40B5" w:rsidRPr="00E53EBA" w:rsidRDefault="006D40B5" w:rsidP="00A91081">
      <w:pPr>
        <w:pStyle w:val="EndnoteText"/>
        <w:spacing w:line="240" w:lineRule="auto"/>
        <w:ind w:firstLine="0"/>
        <w:rPr>
          <w:sz w:val="24"/>
        </w:rPr>
      </w:pPr>
      <w:r w:rsidRPr="00E53EBA">
        <w:rPr>
          <w:rStyle w:val="EndnoteReference"/>
          <w:sz w:val="24"/>
        </w:rPr>
        <w:endnoteRef/>
      </w:r>
      <w:r w:rsidRPr="00E53EBA">
        <w:rPr>
          <w:sz w:val="24"/>
        </w:rPr>
        <w:t xml:space="preserve"> </w:t>
      </w:r>
      <w:r w:rsidRPr="00A91081">
        <w:rPr>
          <w:sz w:val="24"/>
        </w:rPr>
        <w:t xml:space="preserve">“Brooklyn Museum: reOrder: An Architectural Environment by Situ Studio,” </w:t>
      </w:r>
      <w:r w:rsidRPr="00A91081">
        <w:rPr>
          <w:i/>
          <w:sz w:val="24"/>
        </w:rPr>
        <w:t>Brooklyn Museum</w:t>
      </w:r>
      <w:r w:rsidRPr="00A91081">
        <w:rPr>
          <w:sz w:val="24"/>
        </w:rPr>
        <w:t>, 2011, https://www.brooklynmuseum.org/opencollection/exhibitions/3230/.</w:t>
      </w:r>
    </w:p>
  </w:endnote>
  <w:endnote w:id="78">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As Dan Monroe of the PEM expressed to me in a personal communication, “Culin and Spinden stand among many American curators who acquired major collections of Native Ameican and Meso-American art.  The means by which they acquired these collections involve a story that is not so uplifting. Not that they were exceptions, the history of collecting Native American and Meso-Ameican art is not often a happy one form the standpoint of the people whose art was being collected. Museums, mostly Natural History museums, began collecting Native American art based on the “Vanishing Redman” theory—all these people and cultures were destined to become extinct as victims of ‘progress.’ Therefore, museums must collect their material culture and record their cultural practices before they disappear.  The means by which these collections were formed were not ideal in many instances.  Tombs were robbed.  People who were starving were forced to sell. Gravers were exhumed without permission. One can hardly characterize these efforts as ‘cultural exchange.” The interpretations of indigenous cultures remains a vexing problem today and the Native American Graves Protection and Repatriation Act of 1990 came into existence to help remedy some of the ethical problems associated with the building of c</w:t>
      </w:r>
      <w:r>
        <w:rPr>
          <w:sz w:val="24"/>
        </w:rPr>
        <w:t xml:space="preserve">ollections of indigenous art.” </w:t>
      </w:r>
    </w:p>
  </w:endnote>
  <w:endnote w:id="79">
    <w:p w:rsidR="006D40B5" w:rsidRPr="00E53EBA" w:rsidRDefault="006D40B5" w:rsidP="00F97173">
      <w:r w:rsidRPr="00E53EBA">
        <w:rPr>
          <w:rStyle w:val="EndnoteReference"/>
        </w:rPr>
        <w:endnoteRef/>
      </w:r>
      <w:r>
        <w:t xml:space="preserve"> Diana Fane, ed., </w:t>
      </w:r>
      <w:r w:rsidRPr="00F97173">
        <w:rPr>
          <w:i/>
        </w:rPr>
        <w:t>Converging Cultures: Art &amp; Identity in Spanish America</w:t>
      </w:r>
      <w:r>
        <w:t xml:space="preserve"> (New York: Brooklyn Museum and Harry N. Abrams, 1996).</w:t>
      </w:r>
    </w:p>
  </w:endnote>
  <w:endnote w:id="80">
    <w:p w:rsidR="006D40B5" w:rsidRPr="008D65E3"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Between 1900 and 1940, schools, libraries, and museums all over the country were recruited to help acculturate newcomers.  At the same time, collectors and museum professionals were bent on “Americanizing” their collections, in part, out of nostalgia for a pre-industrial past but also out of concerns about these seemingly un-assimilable immigrants. Spinden, according to Nancy Rosoff, went a step further. He wanted to celebrate American history and art from the point of view of the indigenous cultures that inspired it. A truly national art, he believed, would also “take its inspiration from the materials, designs, and craftsmanship of the indigenous peoples of the Americas, and with which Americans could identify and be proud.” (Rosoff</w:t>
      </w:r>
      <w:r>
        <w:rPr>
          <w:sz w:val="24"/>
        </w:rPr>
        <w:t>, “</w:t>
      </w:r>
      <w:r w:rsidRPr="008D65E3">
        <w:rPr>
          <w:sz w:val="24"/>
        </w:rPr>
        <w:t>As Revealed by Art</w:t>
      </w:r>
      <w:r>
        <w:rPr>
          <w:sz w:val="24"/>
        </w:rPr>
        <w:t xml:space="preserve">,” </w:t>
      </w:r>
      <w:r w:rsidRPr="00E53EBA">
        <w:rPr>
          <w:sz w:val="24"/>
        </w:rPr>
        <w:t>52)</w:t>
      </w:r>
      <w:r>
        <w:rPr>
          <w:sz w:val="24"/>
        </w:rPr>
        <w:t>.</w:t>
      </w:r>
    </w:p>
  </w:endnote>
  <w:endnote w:id="81">
    <w:p w:rsidR="006D40B5" w:rsidRPr="008D65E3" w:rsidRDefault="006D40B5" w:rsidP="0006562B">
      <w:pPr>
        <w:pStyle w:val="EndnoteText"/>
        <w:ind w:firstLine="0"/>
        <w:rPr>
          <w:sz w:val="24"/>
        </w:rPr>
      </w:pPr>
      <w:r w:rsidRPr="008D65E3">
        <w:rPr>
          <w:rStyle w:val="EndnoteReference"/>
          <w:sz w:val="24"/>
        </w:rPr>
        <w:endnoteRef/>
      </w:r>
      <w:r w:rsidRPr="008D65E3">
        <w:rPr>
          <w:sz w:val="24"/>
        </w:rPr>
        <w:t xml:space="preserve"> A term, equivalent to creole, describing whites born in the Americas rather than in Europe.</w:t>
      </w:r>
    </w:p>
  </w:endnote>
  <w:endnote w:id="82">
    <w:p w:rsidR="006D40B5" w:rsidRDefault="006D40B5" w:rsidP="00B24CBC">
      <w:r w:rsidRPr="00E53EBA">
        <w:rPr>
          <w:rStyle w:val="EndnoteReference"/>
        </w:rPr>
        <w:endnoteRef/>
      </w:r>
      <w:r>
        <w:t xml:space="preserve"> Barbara Gallati and Dominic Carter, “5020: William Williams, Deborah Hall and Unknown, Doña Mariana Belsunse y Salasar,” </w:t>
      </w:r>
      <w:r w:rsidRPr="00B24CBC">
        <w:rPr>
          <w:i/>
        </w:rPr>
        <w:t>Brooklyn Museum</w:t>
      </w:r>
      <w:r>
        <w:t>, 2012, http://www.brooklynmuseum.org/assets/uploads/5020_ColonialPairing.pdf.</w:t>
      </w:r>
    </w:p>
    <w:p w:rsidR="006D40B5" w:rsidRPr="00E53EBA" w:rsidRDefault="006D40B5" w:rsidP="00B24CBC">
      <w:r>
        <w:t xml:space="preserve">Fane, </w:t>
      </w:r>
      <w:r>
        <w:rPr>
          <w:i/>
        </w:rPr>
        <w:t>Converging Cultures</w:t>
      </w:r>
      <w:r>
        <w:t>.</w:t>
      </w:r>
    </w:p>
  </w:endnote>
  <w:endnote w:id="83">
    <w:p w:rsidR="006D40B5" w:rsidRPr="00B24CBC" w:rsidRDefault="006D40B5" w:rsidP="00B24CBC">
      <w:r w:rsidRPr="00E53EBA">
        <w:rPr>
          <w:rStyle w:val="EndnoteReference"/>
        </w:rPr>
        <w:endnoteRef/>
      </w:r>
      <w:r>
        <w:t xml:space="preserve">“Pizarro Commemorative Plate,” </w:t>
      </w:r>
      <w:r w:rsidRPr="00B24CBC">
        <w:rPr>
          <w:i/>
        </w:rPr>
        <w:t>Brooklyn Museum,</w:t>
      </w:r>
      <w:r>
        <w:t xml:space="preserve"> 2012, http://www.brooklynmuseum.org/opencollection/objects/689/Pizarro_Commemorative_Plate, </w:t>
      </w:r>
      <w:r>
        <w:rPr>
          <w:rFonts w:cs="Arial"/>
          <w:color w:val="262626"/>
        </w:rPr>
        <w:t>accessed July 24, 2012.</w:t>
      </w:r>
    </w:p>
  </w:endnote>
  <w:endnote w:id="84">
    <w:p w:rsidR="006D40B5" w:rsidRPr="00A45820" w:rsidRDefault="006D40B5" w:rsidP="00A45820">
      <w:pPr>
        <w:pStyle w:val="EndnoteText"/>
        <w:spacing w:line="240" w:lineRule="auto"/>
        <w:ind w:firstLine="0"/>
        <w:rPr>
          <w:sz w:val="24"/>
        </w:rPr>
      </w:pPr>
      <w:r w:rsidRPr="00A45820">
        <w:rPr>
          <w:rStyle w:val="EndnoteReference"/>
          <w:sz w:val="24"/>
        </w:rPr>
        <w:endnoteRef/>
      </w:r>
      <w:r w:rsidRPr="00A45820">
        <w:rPr>
          <w:sz w:val="24"/>
        </w:rPr>
        <w:t xml:space="preserve"> “Tray or Waiter,” Brooklyn Museum, 2012, www.brooklynmuseum.org/opencollection/objects/1849/Tray_or_Waiter,</w:t>
      </w:r>
      <w:r>
        <w:rPr>
          <w:rFonts w:cs="Arial"/>
          <w:color w:val="262626"/>
          <w:sz w:val="24"/>
        </w:rPr>
        <w:t xml:space="preserve"> accessed July 24, 2012.</w:t>
      </w:r>
    </w:p>
  </w:endnote>
  <w:endnote w:id="85">
    <w:p w:rsidR="006D40B5" w:rsidRPr="00E53EBA" w:rsidRDefault="006D40B5" w:rsidP="002629AD">
      <w:pPr>
        <w:widowControl w:val="0"/>
        <w:autoSpaceDE w:val="0"/>
        <w:autoSpaceDN w:val="0"/>
        <w:adjustRightInd w:val="0"/>
        <w:spacing w:after="320"/>
        <w:rPr>
          <w:rFonts w:cs="Arial"/>
          <w:color w:val="262626"/>
        </w:rPr>
      </w:pPr>
      <w:r w:rsidRPr="00A45820">
        <w:rPr>
          <w:rStyle w:val="EndnoteReference"/>
        </w:rPr>
        <w:endnoteRef/>
      </w:r>
      <w:r w:rsidRPr="00A45820">
        <w:t xml:space="preserve"> </w:t>
      </w:r>
      <w:r w:rsidRPr="00A45820">
        <w:rPr>
          <w:rFonts w:cs="Arial"/>
          <w:color w:val="262626"/>
        </w:rPr>
        <w:t>Exhibit</w:t>
      </w:r>
      <w:r>
        <w:rPr>
          <w:rFonts w:cs="Arial"/>
          <w:color w:val="262626"/>
        </w:rPr>
        <w:t xml:space="preserve"> text, accessed April 21, 2011. </w:t>
      </w:r>
    </w:p>
  </w:endnote>
  <w:endnote w:id="86">
    <w:p w:rsidR="006D40B5" w:rsidRPr="006D40B5" w:rsidRDefault="006D40B5" w:rsidP="002629AD">
      <w:pPr>
        <w:pStyle w:val="EndnoteText"/>
        <w:spacing w:line="240" w:lineRule="auto"/>
        <w:ind w:firstLine="0"/>
        <w:rPr>
          <w:sz w:val="24"/>
        </w:rPr>
      </w:pPr>
      <w:r w:rsidRPr="006D40B5">
        <w:rPr>
          <w:rStyle w:val="EndnoteReference"/>
          <w:sz w:val="24"/>
        </w:rPr>
        <w:endnoteRef/>
      </w:r>
      <w:r w:rsidRPr="006D40B5">
        <w:rPr>
          <w:sz w:val="24"/>
        </w:rPr>
        <w:t xml:space="preserve"> Carol Vogel, “Charles Ryskamp Bequeaths Work to Frick and Morgan,” New York Times, January 13, 2011, http://www.nytimes.com/2011/01/14/arts/design/14vogel.html?_r=1&amp;.</w:t>
      </w:r>
    </w:p>
  </w:endnote>
  <w:endnote w:id="87">
    <w:p w:rsidR="006D40B5" w:rsidRPr="002629AD" w:rsidRDefault="006D40B5" w:rsidP="002629AD">
      <w:pPr>
        <w:pStyle w:val="EndnoteText"/>
        <w:spacing w:line="240" w:lineRule="auto"/>
        <w:ind w:firstLine="0"/>
        <w:rPr>
          <w:rFonts w:eastAsiaTheme="minorEastAsia" w:cs="Verdana"/>
          <w:sz w:val="24"/>
        </w:rPr>
      </w:pPr>
      <w:r w:rsidRPr="00E53EBA">
        <w:rPr>
          <w:rStyle w:val="EndnoteReference"/>
          <w:sz w:val="24"/>
        </w:rPr>
        <w:endnoteRef/>
      </w:r>
      <w:r w:rsidR="002629AD" w:rsidRPr="002629AD">
        <w:rPr>
          <w:rFonts w:eastAsiaTheme="minorEastAsia" w:cs="Verdana"/>
          <w:sz w:val="24"/>
        </w:rPr>
        <w:t xml:space="preserve"> Holland Cotter, “‘Connecting Cultures’ at the Brooklyn Museum,” New York Times, April 19, 2012.</w:t>
      </w:r>
    </w:p>
  </w:endnote>
  <w:endnote w:id="88">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hyperlink r:id="rId2" w:history="1">
        <w:r w:rsidRPr="00E53EBA">
          <w:rPr>
            <w:rStyle w:val="Hyperlink"/>
            <w:sz w:val="24"/>
          </w:rPr>
          <w:t>www.queensmuseum.org/1139/queens-international-4</w:t>
        </w:r>
      </w:hyperlink>
      <w:r w:rsidRPr="00E53EBA">
        <w:rPr>
          <w:sz w:val="24"/>
        </w:rPr>
        <w:t xml:space="preserve">, accessed January 21, 2013. </w:t>
      </w:r>
    </w:p>
  </w:endnote>
  <w:endnote w:id="89">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r w:rsidR="002629AD">
        <w:rPr>
          <w:sz w:val="24"/>
        </w:rPr>
        <w:t xml:space="preserve">Elvis Fuentes, in </w:t>
      </w:r>
      <w:r w:rsidR="002629AD" w:rsidRPr="002629AD">
        <w:rPr>
          <w:sz w:val="24"/>
        </w:rPr>
        <w:t xml:space="preserve">Deborah Cullen, ed., </w:t>
      </w:r>
      <w:r w:rsidR="002629AD" w:rsidRPr="002629AD">
        <w:rPr>
          <w:i/>
          <w:sz w:val="24"/>
        </w:rPr>
        <w:t>Caribbean: Art at the Crossroads of the World</w:t>
      </w:r>
      <w:r w:rsidR="002629AD" w:rsidRPr="002629AD">
        <w:rPr>
          <w:sz w:val="24"/>
        </w:rPr>
        <w:t xml:space="preserve"> (New York, NY: El Museo del Barrio in association wi</w:t>
      </w:r>
      <w:r w:rsidR="002629AD">
        <w:rPr>
          <w:sz w:val="24"/>
        </w:rPr>
        <w:t xml:space="preserve">th Yale University Press, 2012). </w:t>
      </w:r>
    </w:p>
  </w:endnote>
  <w:endnote w:id="90">
    <w:p w:rsidR="006D40B5" w:rsidRPr="00E53EBA" w:rsidRDefault="006D40B5" w:rsidP="005D04A4">
      <w:pPr>
        <w:pStyle w:val="EndnoteText"/>
        <w:spacing w:line="240" w:lineRule="auto"/>
        <w:ind w:firstLine="0"/>
        <w:rPr>
          <w:sz w:val="24"/>
        </w:rPr>
      </w:pPr>
      <w:r w:rsidRPr="00E53EBA">
        <w:rPr>
          <w:rStyle w:val="EndnoteReference"/>
          <w:sz w:val="24"/>
        </w:rPr>
        <w:endnoteRef/>
      </w:r>
      <w:r w:rsidR="002629AD">
        <w:rPr>
          <w:sz w:val="24"/>
        </w:rPr>
        <w:t>Cullen</w:t>
      </w:r>
      <w:r w:rsidR="002629AD" w:rsidRPr="002629AD">
        <w:rPr>
          <w:sz w:val="24"/>
        </w:rPr>
        <w:t xml:space="preserve">, </w:t>
      </w:r>
      <w:r w:rsidR="002629AD" w:rsidRPr="002629AD">
        <w:rPr>
          <w:i/>
          <w:sz w:val="24"/>
        </w:rPr>
        <w:t>Caribbean</w:t>
      </w:r>
      <w:r w:rsidR="002629AD" w:rsidRPr="002629AD">
        <w:rPr>
          <w:sz w:val="24"/>
        </w:rPr>
        <w:t xml:space="preserve">, </w:t>
      </w:r>
      <w:r w:rsidRPr="002629AD">
        <w:rPr>
          <w:sz w:val="24"/>
        </w:rPr>
        <w:t>1. “The</w:t>
      </w:r>
      <w:r w:rsidRPr="00E53EBA">
        <w:rPr>
          <w:sz w:val="24"/>
        </w:rPr>
        <w:t xml:space="preserve"> work on view,” states the exhibit catalogue, “reflects Caribbean perspectives and external perceptions of the region through a wide range of subjects and artistic practices,” including portraits, paintings with spiritual and religious themes, depictions of labor and historical events, abstraction, and contemporar</w:t>
      </w:r>
      <w:r w:rsidR="002629AD">
        <w:rPr>
          <w:sz w:val="24"/>
        </w:rPr>
        <w:t>y video and installations.</w:t>
      </w:r>
    </w:p>
  </w:endnote>
  <w:endnote w:id="91">
    <w:p w:rsidR="006D40B5" w:rsidRPr="002629AD" w:rsidRDefault="006D40B5" w:rsidP="005D04A4">
      <w:pPr>
        <w:pStyle w:val="EndnoteText"/>
        <w:spacing w:line="240" w:lineRule="auto"/>
        <w:ind w:firstLine="0"/>
        <w:rPr>
          <w:b/>
          <w:color w:val="FF0000"/>
          <w:sz w:val="24"/>
        </w:rPr>
      </w:pPr>
      <w:r w:rsidRPr="002629AD">
        <w:rPr>
          <w:rStyle w:val="EndnoteReference"/>
          <w:b/>
          <w:color w:val="FF0000"/>
          <w:sz w:val="24"/>
          <w:highlight w:val="yellow"/>
        </w:rPr>
        <w:endnoteRef/>
      </w:r>
      <w:r w:rsidRPr="002629AD">
        <w:rPr>
          <w:b/>
          <w:color w:val="FF0000"/>
          <w:sz w:val="24"/>
          <w:highlight w:val="yellow"/>
        </w:rPr>
        <w:t xml:space="preserve"> (Ortiz, 1971).</w:t>
      </w:r>
    </w:p>
  </w:endnote>
  <w:endnote w:id="92">
    <w:p w:rsidR="005210BC" w:rsidRDefault="006D40B5" w:rsidP="005210BC">
      <w:pPr>
        <w:pStyle w:val="EndnoteText"/>
        <w:spacing w:line="240" w:lineRule="auto"/>
        <w:ind w:firstLine="0"/>
        <w:rPr>
          <w:sz w:val="24"/>
        </w:rPr>
      </w:pPr>
      <w:r w:rsidRPr="00E53EBA">
        <w:rPr>
          <w:rStyle w:val="EndnoteReference"/>
          <w:sz w:val="24"/>
        </w:rPr>
        <w:endnoteRef/>
      </w:r>
      <w:r w:rsidRPr="00E53EBA">
        <w:rPr>
          <w:sz w:val="24"/>
        </w:rPr>
        <w:t xml:space="preserve"> </w:t>
      </w:r>
      <w:r w:rsidR="005210BC" w:rsidRPr="005210BC">
        <w:rPr>
          <w:sz w:val="24"/>
        </w:rPr>
        <w:t>Ayse Caglar, “Hyphenated Identities and the Limits of ‘Culture</w:t>
      </w:r>
      <w:r w:rsidR="005210BC">
        <w:rPr>
          <w:sz w:val="24"/>
        </w:rPr>
        <w:t>.’”</w:t>
      </w:r>
    </w:p>
    <w:p w:rsidR="005210BC" w:rsidRPr="005210BC" w:rsidRDefault="005210BC" w:rsidP="005210BC">
      <w:pPr>
        <w:pStyle w:val="EndnoteText"/>
        <w:spacing w:line="240" w:lineRule="auto"/>
        <w:ind w:firstLine="0"/>
        <w:rPr>
          <w:sz w:val="24"/>
        </w:rPr>
      </w:pPr>
      <w:r w:rsidRPr="005210BC">
        <w:rPr>
          <w:sz w:val="24"/>
        </w:rPr>
        <w:t>Werbner, “Introduction</w:t>
      </w:r>
      <w:r>
        <w:rPr>
          <w:sz w:val="24"/>
        </w:rPr>
        <w:t>.”</w:t>
      </w:r>
    </w:p>
    <w:p w:rsidR="006D40B5" w:rsidRPr="00E53EBA" w:rsidRDefault="005210BC" w:rsidP="005210BC">
      <w:pPr>
        <w:pStyle w:val="EndnoteText"/>
        <w:spacing w:line="240" w:lineRule="auto"/>
        <w:ind w:firstLine="0"/>
        <w:rPr>
          <w:sz w:val="24"/>
        </w:rPr>
      </w:pPr>
      <w:r w:rsidRPr="005210BC">
        <w:rPr>
          <w:sz w:val="24"/>
        </w:rPr>
        <w:t xml:space="preserve">Sharon Macdonald, “Reassembling Nuremberg, Reassembling Heritage,” </w:t>
      </w:r>
      <w:r w:rsidRPr="005210BC">
        <w:rPr>
          <w:i/>
          <w:sz w:val="24"/>
        </w:rPr>
        <w:t>Journal of Cultural Economy</w:t>
      </w:r>
      <w:r w:rsidRPr="005210BC">
        <w:rPr>
          <w:sz w:val="24"/>
        </w:rPr>
        <w:t xml:space="preserve"> 2, no. 1–2 (2009): 117–24.</w:t>
      </w:r>
    </w:p>
  </w:endnote>
  <w:endnote w:id="93">
    <w:p w:rsidR="006D40B5" w:rsidRPr="0026711A" w:rsidRDefault="006D40B5" w:rsidP="005D04A4">
      <w:pPr>
        <w:pStyle w:val="EndnoteText"/>
        <w:spacing w:line="240" w:lineRule="auto"/>
        <w:ind w:firstLine="0"/>
        <w:rPr>
          <w:b/>
          <w:color w:val="FF0000"/>
          <w:sz w:val="24"/>
        </w:rPr>
      </w:pPr>
      <w:r w:rsidRPr="0026711A">
        <w:rPr>
          <w:rStyle w:val="EndnoteReference"/>
          <w:b/>
          <w:color w:val="FF0000"/>
          <w:sz w:val="24"/>
          <w:highlight w:val="yellow"/>
        </w:rPr>
        <w:endnoteRef/>
      </w:r>
      <w:r w:rsidRPr="0026711A">
        <w:rPr>
          <w:b/>
          <w:color w:val="FF0000"/>
          <w:sz w:val="24"/>
          <w:highlight w:val="yellow"/>
        </w:rPr>
        <w:t xml:space="preserve"> (Agüeros, April 1978)</w:t>
      </w:r>
    </w:p>
  </w:endnote>
  <w:endnote w:id="94">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hyperlink r:id="rId3" w:history="1">
        <w:r w:rsidRPr="00E53EBA">
          <w:rPr>
            <w:rStyle w:val="Hyperlink"/>
            <w:sz w:val="24"/>
          </w:rPr>
          <w:t>www.elmuseo.org/en/content/about-us/our-history</w:t>
        </w:r>
      </w:hyperlink>
      <w:r w:rsidRPr="00E53EBA">
        <w:rPr>
          <w:sz w:val="24"/>
        </w:rPr>
        <w:t xml:space="preserve">, accessed January 23, 2012. </w:t>
      </w:r>
    </w:p>
  </w:endnote>
  <w:endnote w:id="95">
    <w:p w:rsidR="006D40B5" w:rsidRPr="00E53EBA" w:rsidRDefault="006D40B5" w:rsidP="0026711A">
      <w:r w:rsidRPr="00E53EBA">
        <w:rPr>
          <w:rStyle w:val="EndnoteReference"/>
        </w:rPr>
        <w:endnoteRef/>
      </w:r>
      <w:r w:rsidRPr="00E53EBA">
        <w:t xml:space="preserve"> For an overview of the controversies surrounding El Museo, see </w:t>
      </w:r>
      <w:r w:rsidRPr="0026711A">
        <w:rPr>
          <w:b/>
          <w:color w:val="FF0000"/>
          <w:highlight w:val="yellow"/>
        </w:rPr>
        <w:t>Ramirez, 2003, Davila (---)</w:t>
      </w:r>
      <w:r w:rsidRPr="00E53EBA">
        <w:t xml:space="preserve"> and </w:t>
      </w:r>
      <w:r w:rsidR="0026711A">
        <w:t xml:space="preserve">Felicia R. Lee, “Amid Turmoil at Museo Del Barrio, Its Director Steps Down,” </w:t>
      </w:r>
      <w:r w:rsidR="0026711A" w:rsidRPr="0026711A">
        <w:rPr>
          <w:i/>
        </w:rPr>
        <w:t>New York Times</w:t>
      </w:r>
      <w:r w:rsidR="0026711A">
        <w:t xml:space="preserve">, February 16, 2013, New York edition. </w:t>
      </w:r>
    </w:p>
  </w:endnote>
  <w:endnote w:id="96">
    <w:p w:rsidR="006D40B5" w:rsidRPr="00E53EBA" w:rsidRDefault="006D40B5" w:rsidP="009D5FCE">
      <w:r w:rsidRPr="00E53EBA">
        <w:rPr>
          <w:rStyle w:val="EndnoteReference"/>
        </w:rPr>
        <w:endnoteRef/>
      </w:r>
      <w:r w:rsidRPr="00E53EBA">
        <w:t xml:space="preserve"> Brooklyn and Boston brought very different resources to bear on their rewrites. The MFA added a new wing, increasing its square footage from 483,447 to 616,937 at a cost of $504 million, including an approximately $164 million endowment. The MFA’s Director began fundraising in 2001 and the new wing finally opened nine years later</w:t>
      </w:r>
      <w:r w:rsidR="009D5FCE">
        <w:t xml:space="preserve"> (</w:t>
      </w:r>
      <w:r w:rsidR="009D5FCE" w:rsidRPr="009D5FCE">
        <w:t>http://www.mfa.org/about/new-mfa</w:t>
      </w:r>
      <w:r w:rsidR="009D5FCE">
        <w:t>)</w:t>
      </w:r>
      <w:r w:rsidRPr="00E53EBA">
        <w:rPr>
          <w:rFonts w:eastAsia="Calibri"/>
        </w:rPr>
        <w:t xml:space="preserve">. </w:t>
      </w:r>
      <w:r w:rsidRPr="00E53EBA">
        <w:t xml:space="preserve"> It’s role in the museological distribution of labor in New England and in the country as a whole makes change, as one respondent put it, “like turning a natural gas tanker in the Boston harbor.  It takes a really long time and you have to take it really slow.” The Brooklyn Museum retold its story in 15 months at a budget of just under $100,000. It did not restructure or expand its galleries but simply reinsta</w:t>
      </w:r>
      <w:r w:rsidR="009D5FCE">
        <w:t xml:space="preserve">lled what it had in a new way. </w:t>
      </w:r>
    </w:p>
  </w:endnote>
  <w:endnote w:id="97">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hyperlink r:id="rId4" w:history="1">
        <w:r w:rsidRPr="00E53EBA">
          <w:rPr>
            <w:rStyle w:val="Hyperlink"/>
            <w:sz w:val="24"/>
          </w:rPr>
          <w:t>www.mfa.org/programs/special-event/mfa-first-fridays</w:t>
        </w:r>
      </w:hyperlink>
      <w:r w:rsidRPr="00E53EBA">
        <w:rPr>
          <w:sz w:val="24"/>
        </w:rPr>
        <w:t>, accessed Feb. 21, 2013. The MFA is also open free every Wednesday evening and hosts as least three free Community Open Houses each year which, according to one staff member, “have more of the quality of</w:t>
      </w:r>
      <w:r w:rsidR="002277CF">
        <w:rPr>
          <w:sz w:val="24"/>
        </w:rPr>
        <w:t xml:space="preserve"> a multicultural celebration.” </w:t>
      </w:r>
    </w:p>
  </w:endnote>
  <w:endnote w:id="98">
    <w:p w:rsidR="006D40B5" w:rsidRPr="002277CF" w:rsidRDefault="006D40B5" w:rsidP="005D04A4">
      <w:pPr>
        <w:pStyle w:val="EndnoteText"/>
        <w:spacing w:line="240" w:lineRule="auto"/>
        <w:ind w:firstLine="0"/>
        <w:rPr>
          <w:rFonts w:eastAsia="ＭＳ 明朝"/>
          <w:sz w:val="24"/>
        </w:rPr>
      </w:pPr>
      <w:r w:rsidRPr="00E53EBA">
        <w:rPr>
          <w:rStyle w:val="EndnoteReference"/>
          <w:sz w:val="24"/>
        </w:rPr>
        <w:endnoteRef/>
      </w:r>
      <w:r w:rsidRPr="00E53EBA">
        <w:rPr>
          <w:sz w:val="24"/>
        </w:rPr>
        <w:t xml:space="preserve">  In 2000, </w:t>
      </w:r>
      <w:r w:rsidRPr="00E53EBA">
        <w:rPr>
          <w:rFonts w:eastAsia="ＭＳ 明朝"/>
          <w:sz w:val="24"/>
        </w:rPr>
        <w:t>no other foreign-born group accounted for more than five per cent of all the foreign-b</w:t>
      </w:r>
      <w:r w:rsidR="002277CF">
        <w:rPr>
          <w:rFonts w:eastAsia="ＭＳ 明朝"/>
          <w:sz w:val="24"/>
        </w:rPr>
        <w:t>orn.  (Kraly and Miyares, “Immigration to New York”).</w:t>
      </w:r>
    </w:p>
  </w:endnote>
  <w:endnote w:id="99">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These are figures for the New York urban region (</w:t>
      </w:r>
      <w:r w:rsidR="00D96629">
        <w:rPr>
          <w:rFonts w:eastAsia="ＭＳ 明朝"/>
          <w:sz w:val="24"/>
        </w:rPr>
        <w:t>Waldinger and Lee, “</w:t>
      </w:r>
      <w:r w:rsidR="00D96629" w:rsidRPr="00D96629">
        <w:rPr>
          <w:rFonts w:eastAsia="ＭＳ 明朝"/>
          <w:sz w:val="24"/>
        </w:rPr>
        <w:t>New Immigrants in Urban America</w:t>
      </w:r>
      <w:r w:rsidR="00D96629">
        <w:rPr>
          <w:rFonts w:eastAsia="ＭＳ 明朝"/>
          <w:sz w:val="24"/>
        </w:rPr>
        <w:t xml:space="preserve">,” </w:t>
      </w:r>
      <w:r w:rsidRPr="00E53EBA">
        <w:rPr>
          <w:rFonts w:eastAsia="ＭＳ 明朝"/>
          <w:sz w:val="24"/>
        </w:rPr>
        <w:t>50, 52, 63).</w:t>
      </w:r>
    </w:p>
  </w:endnote>
  <w:endnote w:id="100">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r w:rsidRPr="00E53EBA">
        <w:rPr>
          <w:rFonts w:eastAsia="ＭＳ 明朝"/>
          <w:sz w:val="24"/>
        </w:rPr>
        <w:t xml:space="preserve">By U.S. standards, the city and its politicians respond generously, providing a variety of social, health, and educational services, including the City University of New York, one of the largest urban public universities in the nation. Officials and social service agencies actively foster ethnic pride by supporting ethnic festivals and/or parades. </w:t>
      </w:r>
      <w:r w:rsidRPr="007B1B56">
        <w:rPr>
          <w:b/>
          <w:color w:val="FF0000"/>
          <w:sz w:val="24"/>
          <w:highlight w:val="yellow"/>
        </w:rPr>
        <w:t>Foner 2006:1000-1001.</w:t>
      </w:r>
      <w:r w:rsidRPr="007B1B56">
        <w:rPr>
          <w:b/>
          <w:color w:val="FF0000"/>
          <w:sz w:val="24"/>
        </w:rPr>
        <w:t xml:space="preserve"> </w:t>
      </w:r>
    </w:p>
  </w:endnote>
  <w:endnote w:id="101">
    <w:p w:rsidR="006D40B5" w:rsidRPr="007B1B56" w:rsidRDefault="006D40B5" w:rsidP="005D04A4">
      <w:pPr>
        <w:rPr>
          <w:rFonts w:cs="Verdana"/>
        </w:rPr>
      </w:pPr>
      <w:r w:rsidRPr="00E53EBA">
        <w:rPr>
          <w:rStyle w:val="EndnoteReference"/>
        </w:rPr>
        <w:endnoteRef/>
      </w:r>
      <w:r w:rsidRPr="00E53EBA">
        <w:t xml:space="preserve"> This model of public-private partnership dates back to 1869 when the State legislature authorized the City to build the Museum of Natural History, amass a collection, and oversee its </w:t>
      </w:r>
      <w:r w:rsidRPr="00E53EBA">
        <w:rPr>
          <w:rFonts w:cs="Verdana"/>
        </w:rPr>
        <w:t>exhibits and programs.</w:t>
      </w:r>
      <w:r w:rsidRPr="00E53EBA">
        <w:t xml:space="preserve"> </w:t>
      </w:r>
      <w:r w:rsidRPr="00E53EBA">
        <w:rPr>
          <w:rFonts w:cs="Verdana"/>
        </w:rPr>
        <w:t>Members of the CIG include many of the city’s oldest institutions including the Metropolitan Museum of Art, the New York Botanical Garden, the Wildlife Conservation Society, and the now independent pieces of the Brooklyn Institute of Arts and Sciences, including the Brooklyn Museum, The Brooklyn Botanic Garden, and the Brooklyn Academy of Music. Interestingly, the website tells, the 1960s and 70s, the CIG expanded exponentially “as the City recognized that its increasingly diverse population required a diverse and dynamic pool of institutions to serve it.” Many of these new groups were located outside Manhattan and serve traditionally underserved constituencies, including the Bronx Museum of the Arts, the Studio Museum in Harlem, and El Museo del Barrio (</w:t>
      </w:r>
      <w:hyperlink r:id="rId5" w:history="1">
        <w:r w:rsidRPr="00E53EBA">
          <w:rPr>
            <w:rStyle w:val="Hyperlink"/>
            <w:rFonts w:cs="Verdana"/>
          </w:rPr>
          <w:t>www.nyc.gov/html/dcla/html/funding/institutions.shtml</w:t>
        </w:r>
      </w:hyperlink>
      <w:r w:rsidRPr="00E53EBA">
        <w:rPr>
          <w:rFonts w:cs="Verdana"/>
        </w:rPr>
        <w:t>, accessed July 31, 2012).</w:t>
      </w:r>
      <w:r w:rsidR="007B1B56">
        <w:rPr>
          <w:rFonts w:cs="Verdana"/>
        </w:rPr>
        <w:t xml:space="preserve"> </w:t>
      </w:r>
    </w:p>
  </w:endnote>
  <w:endnote w:id="102">
    <w:p w:rsidR="006D40B5" w:rsidRPr="007B1B56" w:rsidRDefault="006D40B5" w:rsidP="007B1B56">
      <w:pPr>
        <w:rPr>
          <w:rFonts w:cs="Verdana"/>
        </w:rPr>
      </w:pPr>
      <w:r w:rsidRPr="00E53EBA">
        <w:rPr>
          <w:rStyle w:val="EndnoteReference"/>
        </w:rPr>
        <w:endnoteRef/>
      </w:r>
      <w:r w:rsidRPr="00E53EBA">
        <w:t xml:space="preserve"> These tensions became particularly apparent in the 1999 </w:t>
      </w:r>
      <w:r w:rsidRPr="00E53EBA">
        <w:rPr>
          <w:rFonts w:cs="Verdana"/>
          <w:i/>
        </w:rPr>
        <w:t>Sensation</w:t>
      </w:r>
      <w:r w:rsidRPr="00E53EBA">
        <w:rPr>
          <w:rFonts w:cs="Verdana"/>
        </w:rPr>
        <w:t xml:space="preserve"> fiasco, when a touring exhibition of works by members of the Young British Artists movement offended Mayor Rudy Giuliani so much that he ordered the Museum to cancel its upcoming show or lose its annual $7 million grant. Giuliani was particularly incensed by Chris Ofili’s mixed media work </w:t>
      </w:r>
      <w:r w:rsidRPr="00E53EBA">
        <w:rPr>
          <w:rFonts w:cs="Verdana"/>
          <w:i/>
        </w:rPr>
        <w:t>The Holy Virgin Mary</w:t>
      </w:r>
      <w:r w:rsidRPr="00E53EBA">
        <w:rPr>
          <w:rFonts w:cs="Verdana"/>
        </w:rPr>
        <w:t>, which included a lump of varnished elephant dung (a trademark of the artist) and cutout pornographic images of female genitalia.  The Museum, he said, did not “have the right to a government subsidy for desecrating somebody else's religion,” which Ofili’s spokesman countered as “totalitarian and fascistic.” Giuliani not only cut off funding, he also filed an eviction suit, which the Museum contested on First Amendment grounds. Ultimately, Giuli</w:t>
      </w:r>
      <w:r w:rsidR="007B1B56">
        <w:rPr>
          <w:rFonts w:cs="Verdana"/>
        </w:rPr>
        <w:t xml:space="preserve">ani lost and the show went on. </w:t>
      </w:r>
    </w:p>
  </w:endnote>
  <w:endnote w:id="103">
    <w:p w:rsidR="006D40B5" w:rsidRPr="007B1B56" w:rsidRDefault="006D40B5" w:rsidP="005D04A4">
      <w:pPr>
        <w:pStyle w:val="EndnoteText"/>
        <w:spacing w:line="240" w:lineRule="auto"/>
        <w:ind w:firstLine="0"/>
        <w:rPr>
          <w:b/>
          <w:color w:val="FF0000"/>
          <w:sz w:val="24"/>
        </w:rPr>
      </w:pPr>
      <w:r w:rsidRPr="007B1B56">
        <w:rPr>
          <w:rStyle w:val="EndnoteReference"/>
          <w:b/>
          <w:color w:val="FF0000"/>
          <w:sz w:val="24"/>
          <w:highlight w:val="yellow"/>
        </w:rPr>
        <w:endnoteRef/>
      </w:r>
      <w:r w:rsidRPr="007B1B56">
        <w:rPr>
          <w:b/>
          <w:color w:val="FF0000"/>
          <w:sz w:val="24"/>
          <w:highlight w:val="yellow"/>
        </w:rPr>
        <w:t xml:space="preserve"> Interview Katie Davis, find out her title, March 2010.</w:t>
      </w:r>
      <w:r w:rsidRPr="007B1B56">
        <w:rPr>
          <w:b/>
          <w:color w:val="FF0000"/>
          <w:sz w:val="24"/>
        </w:rPr>
        <w:t xml:space="preserve"> </w:t>
      </w:r>
    </w:p>
  </w:endnote>
  <w:endnote w:id="104">
    <w:p w:rsidR="006D40B5" w:rsidRPr="007B1B56" w:rsidRDefault="006D40B5" w:rsidP="005D04A4">
      <w:pPr>
        <w:pStyle w:val="EndnoteText"/>
        <w:spacing w:line="240" w:lineRule="auto"/>
        <w:ind w:firstLine="0"/>
        <w:rPr>
          <w:rFonts w:cs="Verdana"/>
          <w:sz w:val="24"/>
        </w:rPr>
      </w:pPr>
      <w:r w:rsidRPr="00E53EBA">
        <w:rPr>
          <w:rStyle w:val="EndnoteReference"/>
          <w:sz w:val="24"/>
        </w:rPr>
        <w:endnoteRef/>
      </w:r>
      <w:r w:rsidRPr="00E53EBA">
        <w:rPr>
          <w:sz w:val="24"/>
        </w:rPr>
        <w:t xml:space="preserve"> The Mayor’s </w:t>
      </w:r>
      <w:r w:rsidRPr="007B1B56">
        <w:rPr>
          <w:b/>
          <w:color w:val="FF0000"/>
          <w:sz w:val="24"/>
          <w:highlight w:val="yellow"/>
        </w:rPr>
        <w:t>----, ----</w:t>
      </w:r>
      <w:r w:rsidRPr="007B1B56">
        <w:rPr>
          <w:b/>
          <w:color w:val="FF0000"/>
          <w:sz w:val="24"/>
        </w:rPr>
        <w:t xml:space="preserve"> </w:t>
      </w:r>
      <w:r w:rsidRPr="00E53EBA">
        <w:rPr>
          <w:sz w:val="24"/>
        </w:rPr>
        <w:t xml:space="preserve">said that </w:t>
      </w:r>
      <w:r w:rsidRPr="00E53EBA">
        <w:rPr>
          <w:rFonts w:cs="Verdana"/>
          <w:sz w:val="24"/>
        </w:rPr>
        <w:t>Boston’s cultural policy is the many neighborhood concerts and festivals the city sponsors each summer.  The mayor wants to make culture accessible to everyone not to use it to achieve a specific goal. These activities fall under the purview of the Mayor's Office of Arts, Tourism &amp; Special Events which “fosters the growth of the cultural community; promotes public participation in the arts and public celebrations; and advan</w:t>
      </w:r>
      <w:r w:rsidR="007B1B56">
        <w:rPr>
          <w:rFonts w:cs="Verdana"/>
          <w:sz w:val="24"/>
        </w:rPr>
        <w:t>ces cultural tourism in Boston.</w:t>
      </w:r>
    </w:p>
  </w:endnote>
  <w:endnote w:id="105">
    <w:p w:rsidR="006D40B5" w:rsidRPr="00E53EBA" w:rsidRDefault="006D40B5" w:rsidP="005D04A4">
      <w:pPr>
        <w:pStyle w:val="EndnoteText"/>
        <w:spacing w:line="240" w:lineRule="auto"/>
        <w:ind w:firstLine="0"/>
        <w:rPr>
          <w:sz w:val="24"/>
        </w:rPr>
      </w:pPr>
      <w:r w:rsidRPr="00E53EBA">
        <w:rPr>
          <w:rStyle w:val="EndnoteReference"/>
          <w:sz w:val="24"/>
        </w:rPr>
        <w:endnoteRef/>
      </w:r>
      <w:r w:rsidR="007B1B56">
        <w:rPr>
          <w:sz w:val="24"/>
        </w:rPr>
        <w:t xml:space="preserve"> www.cityofboston.gov/arts/bcc,</w:t>
      </w:r>
      <w:r w:rsidRPr="00E53EBA">
        <w:rPr>
          <w:sz w:val="24"/>
        </w:rPr>
        <w:t xml:space="preserve"> 2010</w:t>
      </w:r>
      <w:r w:rsidR="007B1B56">
        <w:rPr>
          <w:sz w:val="24"/>
        </w:rPr>
        <w:t>,</w:t>
      </w:r>
      <w:r w:rsidRPr="00E53EBA">
        <w:rPr>
          <w:sz w:val="24"/>
        </w:rPr>
        <w:t xml:space="preserve"> 7, accessed July 31, 2012. </w:t>
      </w:r>
    </w:p>
  </w:endnote>
  <w:endnote w:id="106">
    <w:p w:rsidR="006D40B5" w:rsidRPr="00E53EBA" w:rsidRDefault="006D40B5" w:rsidP="003E1EE6">
      <w:r w:rsidRPr="00E53EBA">
        <w:rPr>
          <w:rStyle w:val="EndnoteReference"/>
        </w:rPr>
        <w:endnoteRef/>
      </w:r>
      <w:r w:rsidR="007B1B56">
        <w:t xml:space="preserve"> David Halle and Louise Mirrer, “New York City: City Culture as Public Display,” in </w:t>
      </w:r>
      <w:r w:rsidR="007B1B56" w:rsidRPr="007B1B56">
        <w:rPr>
          <w:i/>
        </w:rPr>
        <w:t>Cultures and Globalization: Cities, Cultural Policy and Governance</w:t>
      </w:r>
      <w:r w:rsidR="007B1B56">
        <w:t>, ed. Helmut K. Anheier and Yudhishthur Raj Isar (SAGE, 2012), 258.</w:t>
      </w:r>
    </w:p>
  </w:endnote>
  <w:endnote w:id="107">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w:t>
      </w:r>
      <w:r w:rsidRPr="00E53EBA">
        <w:rPr>
          <w:rFonts w:cs="Tms Rmn"/>
          <w:color w:val="000000"/>
          <w:sz w:val="24"/>
        </w:rPr>
        <w:t>(see also Ferber 2011: 95).</w:t>
      </w:r>
    </w:p>
  </w:endnote>
  <w:endnote w:id="108">
    <w:p w:rsidR="006D40B5" w:rsidRPr="00E53EBA" w:rsidRDefault="006D40B5" w:rsidP="003E1EE6">
      <w:r w:rsidRPr="00E53EBA">
        <w:rPr>
          <w:rStyle w:val="EndnoteReference"/>
          <w:rFonts w:eastAsia="Calibri"/>
        </w:rPr>
        <w:endnoteRef/>
      </w:r>
      <w:r w:rsidRPr="00E53EBA">
        <w:t xml:space="preserve"> Halle </w:t>
      </w:r>
      <w:r w:rsidR="003E1EE6">
        <w:t xml:space="preserve">and </w:t>
      </w:r>
      <w:r w:rsidRPr="00E53EBA">
        <w:t xml:space="preserve">Mirrer, “New York City: City Culture as Public Display.” </w:t>
      </w:r>
    </w:p>
  </w:endnote>
  <w:endnote w:id="109">
    <w:p w:rsidR="006D40B5" w:rsidRPr="003E1EE6" w:rsidRDefault="006D40B5" w:rsidP="003E1EE6">
      <w:pPr>
        <w:pStyle w:val="EndnoteText"/>
        <w:spacing w:line="240" w:lineRule="auto"/>
        <w:ind w:firstLine="0"/>
        <w:rPr>
          <w:b/>
          <w:color w:val="FF0000"/>
          <w:sz w:val="24"/>
        </w:rPr>
      </w:pPr>
      <w:r w:rsidRPr="003E1EE6">
        <w:rPr>
          <w:rStyle w:val="EndnoteReference"/>
          <w:b/>
          <w:color w:val="FF0000"/>
          <w:sz w:val="24"/>
          <w:highlight w:val="yellow"/>
        </w:rPr>
        <w:endnoteRef/>
      </w:r>
      <w:r w:rsidRPr="003E1EE6">
        <w:rPr>
          <w:b/>
          <w:color w:val="FF0000"/>
          <w:sz w:val="24"/>
          <w:highlight w:val="yellow"/>
        </w:rPr>
        <w:t xml:space="preserve"> (Wallach, 305).</w:t>
      </w:r>
      <w:r w:rsidRPr="003E1EE6">
        <w:rPr>
          <w:b/>
          <w:color w:val="FF0000"/>
          <w:sz w:val="24"/>
        </w:rPr>
        <w:t xml:space="preserve">  </w:t>
      </w:r>
    </w:p>
  </w:endnote>
  <w:endnote w:id="110">
    <w:p w:rsidR="006D40B5" w:rsidRPr="003E1EE6" w:rsidRDefault="006D40B5" w:rsidP="003E1EE6">
      <w:pPr>
        <w:shd w:val="clear" w:color="auto" w:fill="FFFFFF"/>
        <w:spacing w:before="360" w:after="360"/>
        <w:rPr>
          <w:b/>
          <w:color w:val="FF0000"/>
        </w:rPr>
      </w:pPr>
      <w:r w:rsidRPr="003E1EE6">
        <w:rPr>
          <w:rStyle w:val="EndnoteReference"/>
          <w:b/>
          <w:color w:val="FF0000"/>
          <w:highlight w:val="yellow"/>
        </w:rPr>
        <w:endnoteRef/>
      </w:r>
      <w:r w:rsidRPr="003E1EE6">
        <w:rPr>
          <w:b/>
          <w:color w:val="FF0000"/>
          <w:highlight w:val="yellow"/>
        </w:rPr>
        <w:t xml:space="preserve"> Berger, 2003.</w:t>
      </w:r>
      <w:r w:rsidR="003E1EE6" w:rsidRPr="003E1EE6">
        <w:rPr>
          <w:b/>
          <w:color w:val="FF0000"/>
        </w:rPr>
        <w:t xml:space="preserve"> </w:t>
      </w:r>
    </w:p>
  </w:endnote>
  <w:endnote w:id="111">
    <w:p w:rsidR="006D40B5" w:rsidRPr="00E53EBA" w:rsidRDefault="006D40B5" w:rsidP="003E1EE6">
      <w:r w:rsidRPr="00E53EBA">
        <w:rPr>
          <w:rStyle w:val="EndnoteReference"/>
        </w:rPr>
        <w:endnoteRef/>
      </w:r>
      <w:r w:rsidRPr="00E53EBA">
        <w:t xml:space="preserve"> The romance between Maxim Karolik and Martha Catherine</w:t>
      </w:r>
      <w:r w:rsidRPr="00E53EBA">
        <w:rPr>
          <w:i/>
        </w:rPr>
        <w:t xml:space="preserve"> </w:t>
      </w:r>
      <w:r w:rsidRPr="00E53EBA">
        <w:t>Codman was unconventional, to say the least. Heiress Martha possessed impeccable Brahmin breeding—she was the great granddaughter of Elias Hasket Derby, one of the richest of the very rich post-revolutionary Salem merchants—and allegedly one of the wealthiest women in America. In 1928, spinster Martha, then 72, led a quiet but busy life as a philanthropist, patron of music, and socialite in Newport and Washington, D.C. Otherwise, the epitome of decorous behavior, the modest Miss Codman seemed to wait her whole life to make one outrageous decision: to marry Maxim Karolik, a 35-year-old Russian-Jewish tenor, wh</w:t>
      </w:r>
      <w:r w:rsidR="003E1EE6">
        <w:t>ile the two vacationed in Nice.</w:t>
      </w:r>
    </w:p>
    <w:p w:rsidR="003E1EE6" w:rsidRDefault="006D40B5" w:rsidP="003E1EE6">
      <w:pPr>
        <w:ind w:firstLine="720"/>
        <w:rPr>
          <w:rFonts w:cs="Helvetica"/>
        </w:rPr>
      </w:pPr>
      <w:r w:rsidRPr="00E53EBA">
        <w:t>Although the scandal of their marriage persisted, Boston’ elite and the press eventually warmed to Karolik, at first cautiously, then ever more effusively, as he embarked on a second act as a generous and influential art patron. His growing admirers praised him as one of the first to recognize and advocate for 18</w:t>
      </w:r>
      <w:r w:rsidRPr="00E53EBA">
        <w:rPr>
          <w:vertAlign w:val="superscript"/>
        </w:rPr>
        <w:t>th</w:t>
      </w:r>
      <w:r w:rsidRPr="00E53EBA">
        <w:t xml:space="preserve"> and 19</w:t>
      </w:r>
      <w:r w:rsidRPr="00E53EBA">
        <w:rPr>
          <w:vertAlign w:val="superscript"/>
        </w:rPr>
        <w:t>th</w:t>
      </w:r>
      <w:r w:rsidRPr="00E53EBA">
        <w:t xml:space="preserve"> century American art, then denigrated as uninteresting, derivative, and not worthy of serious museological or scholarly attention. </w:t>
      </w:r>
      <w:r w:rsidRPr="00E53EBA">
        <w:rPr>
          <w:rFonts w:cs="Helvetica"/>
        </w:rPr>
        <w:t>“Gifted with a vivid turn of phrase,” the gallery text reads, “Maxim Karolik was always happy to hold forth.  He had strong, frequently stated beliefs in the power of art and the importance of museums.” As he put it, “What is the purpose of a museum? You come to a museum to feel finer, not better. To feel better, we need only a good steak, to feel finer we need more than that.”</w:t>
      </w:r>
    </w:p>
    <w:p w:rsidR="006D40B5" w:rsidRPr="00E53EBA" w:rsidRDefault="003E1EE6" w:rsidP="003E1EE6">
      <w:r>
        <w:t xml:space="preserve">Carol Troyen, “The Incomparable Max: Maxim Karolik and the Taste for American Art,” </w:t>
      </w:r>
      <w:r w:rsidRPr="003E1EE6">
        <w:rPr>
          <w:i/>
        </w:rPr>
        <w:t>American Art</w:t>
      </w:r>
      <w:r>
        <w:t xml:space="preserve"> 7, no. 3 (1993): 64–87.</w:t>
      </w:r>
    </w:p>
  </w:endnote>
  <w:endnote w:id="112">
    <w:p w:rsidR="006D40B5" w:rsidRPr="003E1EE6" w:rsidRDefault="006D40B5" w:rsidP="005D04A4">
      <w:pPr>
        <w:pStyle w:val="EndnoteText"/>
        <w:spacing w:line="240" w:lineRule="auto"/>
        <w:ind w:firstLine="0"/>
        <w:rPr>
          <w:b/>
          <w:color w:val="FF0000"/>
          <w:sz w:val="24"/>
        </w:rPr>
      </w:pPr>
      <w:r w:rsidRPr="003E1EE6">
        <w:rPr>
          <w:rStyle w:val="EndnoteReference"/>
          <w:b/>
          <w:color w:val="FF0000"/>
          <w:sz w:val="24"/>
          <w:highlight w:val="yellow"/>
        </w:rPr>
        <w:endnoteRef/>
      </w:r>
      <w:r w:rsidRPr="003E1EE6">
        <w:rPr>
          <w:b/>
          <w:color w:val="FF0000"/>
          <w:sz w:val="24"/>
          <w:highlight w:val="yellow"/>
        </w:rPr>
        <w:t xml:space="preserve"> (American Dilemma, p. 3).</w:t>
      </w:r>
      <w:r w:rsidRPr="003E1EE6">
        <w:rPr>
          <w:b/>
          <w:color w:val="FF0000"/>
          <w:sz w:val="24"/>
        </w:rPr>
        <w:t xml:space="preserve">  </w:t>
      </w:r>
    </w:p>
  </w:endnote>
  <w:endnote w:id="113">
    <w:p w:rsidR="006D40B5" w:rsidRPr="00E53EBA" w:rsidRDefault="006D40B5" w:rsidP="003E1EE6">
      <w:pPr>
        <w:pStyle w:val="EndnoteText"/>
        <w:spacing w:line="240" w:lineRule="auto"/>
        <w:ind w:firstLine="0"/>
        <w:rPr>
          <w:sz w:val="24"/>
        </w:rPr>
      </w:pPr>
      <w:r w:rsidRPr="00E53EBA">
        <w:rPr>
          <w:rStyle w:val="EndnoteReference"/>
          <w:sz w:val="24"/>
        </w:rPr>
        <w:endnoteRef/>
      </w:r>
      <w:r w:rsidR="003E1EE6" w:rsidRPr="003E1EE6">
        <w:rPr>
          <w:sz w:val="24"/>
        </w:rPr>
        <w:t xml:space="preserve"> Michael Ignatieff, </w:t>
      </w:r>
      <w:r w:rsidR="003E1EE6" w:rsidRPr="003E1EE6">
        <w:rPr>
          <w:i/>
          <w:sz w:val="24"/>
        </w:rPr>
        <w:t>American Exceptionalism and Human Rights</w:t>
      </w:r>
      <w:r w:rsidR="003E1EE6" w:rsidRPr="003E1EE6">
        <w:rPr>
          <w:sz w:val="24"/>
        </w:rPr>
        <w:t xml:space="preserve"> (Princeton, N.J: Pr</w:t>
      </w:r>
      <w:r w:rsidR="003E1EE6">
        <w:rPr>
          <w:sz w:val="24"/>
        </w:rPr>
        <w:t xml:space="preserve">inceton University Press, 2005): </w:t>
      </w:r>
      <w:r w:rsidRPr="00E53EBA">
        <w:rPr>
          <w:sz w:val="24"/>
        </w:rPr>
        <w:t>25</w:t>
      </w:r>
      <w:r w:rsidR="003E1EE6">
        <w:rPr>
          <w:sz w:val="24"/>
        </w:rPr>
        <w:t xml:space="preserve">. </w:t>
      </w:r>
      <w:r w:rsidRPr="00E53EBA">
        <w:rPr>
          <w:sz w:val="24"/>
        </w:rPr>
        <w:t xml:space="preserve"> </w:t>
      </w:r>
    </w:p>
  </w:endnote>
  <w:endnote w:id="114">
    <w:p w:rsidR="006D40B5" w:rsidRPr="00E53EBA" w:rsidRDefault="006D40B5" w:rsidP="005D04A4">
      <w:r w:rsidRPr="003E1EE6">
        <w:rPr>
          <w:rStyle w:val="EndnoteReference"/>
          <w:highlight w:val="yellow"/>
        </w:rPr>
        <w:endnoteRef/>
      </w:r>
      <w:r w:rsidRPr="003E1EE6">
        <w:rPr>
          <w:highlight w:val="yellow"/>
        </w:rPr>
        <w:t xml:space="preserve"> While these dinner companions did not always see eye to eye, they all firmly believed in the power of w</w:t>
      </w:r>
      <w:r w:rsidR="003E1EE6" w:rsidRPr="003E1EE6">
        <w:rPr>
          <w:highlight w:val="yellow"/>
        </w:rPr>
        <w:t>riting to instruct and inspire (</w:t>
      </w:r>
      <w:r w:rsidRPr="003E1EE6">
        <w:rPr>
          <w:highlight w:val="yellow"/>
        </w:rPr>
        <w:t>xviii</w:t>
      </w:r>
      <w:r w:rsidR="003E1EE6" w:rsidRPr="003E1EE6">
        <w:rPr>
          <w:highlight w:val="yellow"/>
        </w:rPr>
        <w:t>):</w:t>
      </w:r>
      <w:r w:rsidRPr="003E1EE6">
        <w:rPr>
          <w:highlight w:val="yellow"/>
        </w:rPr>
        <w:t xml:space="preserve"> “The men seated around the table tended to view their prospective magazine as part of a revolution that was taking place in American literature.  In an explosion of artistic innovation, American writers were breaking free of the old ties that had bound them for decades to Europe and creating works with a distinctly American voice, a distinctly American point of view, and distinctly American themes.  Emerson himself has first sounded the call to arms for a liberated, indigenous literature in his celebrated 1837 address “The American Scholar,” which Holmes would later call  “our intellectual Declaration of Independence.” 1805’s saw outpouring of literary brilliance – Scarlet Letter (1850) Hawthorne, Moby-Dick (1851) Herman Melville, Thoreau Walden (1854) and  Walt Whitman Leaves of Grass (1855).  The epicenter of this new movement was in New England, particularly in the fertile literary soil in and around Boston.”</w:t>
      </w:r>
    </w:p>
    <w:p w:rsidR="006D40B5" w:rsidRPr="003E1EE6" w:rsidRDefault="006D40B5" w:rsidP="005D04A4">
      <w:pPr>
        <w:pStyle w:val="EndnoteText"/>
        <w:spacing w:line="240" w:lineRule="auto"/>
        <w:ind w:firstLine="0"/>
        <w:rPr>
          <w:b/>
          <w:sz w:val="24"/>
          <w:szCs w:val="24"/>
        </w:rPr>
      </w:pPr>
    </w:p>
  </w:endnote>
  <w:endnote w:id="115">
    <w:p w:rsidR="006D40B5" w:rsidRPr="003E1EE6" w:rsidRDefault="006D40B5" w:rsidP="005D04A4">
      <w:pPr>
        <w:pStyle w:val="EndnoteText"/>
        <w:spacing w:line="240" w:lineRule="auto"/>
        <w:ind w:firstLine="0"/>
        <w:rPr>
          <w:b/>
          <w:sz w:val="24"/>
          <w:highlight w:val="yellow"/>
        </w:rPr>
      </w:pPr>
      <w:r w:rsidRPr="003E1EE6">
        <w:rPr>
          <w:rStyle w:val="EndnoteReference"/>
          <w:b/>
          <w:sz w:val="24"/>
          <w:highlight w:val="yellow"/>
        </w:rPr>
        <w:endnoteRef/>
      </w:r>
      <w:r w:rsidRPr="003E1EE6">
        <w:rPr>
          <w:b/>
          <w:sz w:val="24"/>
          <w:highlight w:val="yellow"/>
        </w:rPr>
        <w:t xml:space="preserve"> Anniversary issue (p. xxvii).  </w:t>
      </w:r>
    </w:p>
  </w:endnote>
  <w:endnote w:id="116">
    <w:p w:rsidR="006D40B5" w:rsidRPr="003E1EE6" w:rsidRDefault="006D40B5" w:rsidP="005D04A4">
      <w:pPr>
        <w:widowControl w:val="0"/>
        <w:autoSpaceDE w:val="0"/>
        <w:autoSpaceDN w:val="0"/>
        <w:adjustRightInd w:val="0"/>
        <w:rPr>
          <w:b/>
          <w:highlight w:val="yellow"/>
        </w:rPr>
      </w:pPr>
      <w:r w:rsidRPr="003E1EE6">
        <w:rPr>
          <w:rStyle w:val="EndnoteReference"/>
          <w:b/>
          <w:highlight w:val="yellow"/>
        </w:rPr>
        <w:endnoteRef/>
      </w:r>
      <w:r w:rsidRPr="003E1EE6">
        <w:rPr>
          <w:b/>
          <w:highlight w:val="yellow"/>
        </w:rPr>
        <w:t xml:space="preserve"> Atlantic anniversary book P. 583.  </w:t>
      </w:r>
    </w:p>
    <w:p w:rsidR="006D40B5" w:rsidRPr="003E1EE6" w:rsidRDefault="006D40B5" w:rsidP="005D04A4">
      <w:pPr>
        <w:pStyle w:val="EndnoteText"/>
        <w:spacing w:line="240" w:lineRule="auto"/>
        <w:ind w:firstLine="0"/>
        <w:rPr>
          <w:b/>
          <w:sz w:val="24"/>
          <w:highlight w:val="yellow"/>
        </w:rPr>
      </w:pPr>
    </w:p>
  </w:endnote>
  <w:endnote w:id="117">
    <w:p w:rsidR="006D40B5" w:rsidRPr="003E1EE6" w:rsidRDefault="006D40B5" w:rsidP="005D04A4">
      <w:pPr>
        <w:pStyle w:val="EndnoteText"/>
        <w:spacing w:line="240" w:lineRule="auto"/>
        <w:ind w:firstLine="0"/>
        <w:rPr>
          <w:b/>
          <w:sz w:val="24"/>
          <w:highlight w:val="yellow"/>
        </w:rPr>
      </w:pPr>
      <w:r w:rsidRPr="003E1EE6">
        <w:rPr>
          <w:rStyle w:val="EndnoteReference"/>
          <w:b/>
          <w:sz w:val="24"/>
          <w:highlight w:val="yellow"/>
        </w:rPr>
        <w:endnoteRef/>
      </w:r>
      <w:r w:rsidRPr="003E1EE6">
        <w:rPr>
          <w:b/>
          <w:sz w:val="24"/>
          <w:highlight w:val="yellow"/>
        </w:rPr>
        <w:t xml:space="preserve"> Atlantic Anniversary book. P 584.  </w:t>
      </w:r>
    </w:p>
  </w:endnote>
  <w:endnote w:id="118">
    <w:p w:rsidR="006D40B5" w:rsidRPr="003E1EE6" w:rsidRDefault="006D40B5" w:rsidP="005D04A4">
      <w:pPr>
        <w:pStyle w:val="EndnoteText"/>
        <w:spacing w:line="240" w:lineRule="auto"/>
        <w:ind w:firstLine="0"/>
        <w:rPr>
          <w:b/>
          <w:sz w:val="24"/>
        </w:rPr>
      </w:pPr>
      <w:r w:rsidRPr="003E1EE6">
        <w:rPr>
          <w:rStyle w:val="EndnoteReference"/>
          <w:b/>
          <w:sz w:val="24"/>
          <w:highlight w:val="yellow"/>
        </w:rPr>
        <w:endnoteRef/>
      </w:r>
      <w:r w:rsidRPr="003E1EE6">
        <w:rPr>
          <w:b/>
          <w:sz w:val="24"/>
          <w:highlight w:val="yellow"/>
        </w:rPr>
        <w:t xml:space="preserve"> Atlantic Anniversary book p. 633</w:t>
      </w:r>
    </w:p>
  </w:endnote>
  <w:endnote w:id="119">
    <w:p w:rsidR="006D40B5" w:rsidRPr="00E53EBA" w:rsidRDefault="006D40B5" w:rsidP="00CA2C95">
      <w:pPr>
        <w:pStyle w:val="EndnoteText"/>
        <w:ind w:firstLine="0"/>
      </w:pPr>
      <w:r w:rsidRPr="003E1EE6">
        <w:rPr>
          <w:rStyle w:val="EndnoteReference"/>
          <w:b/>
        </w:rPr>
        <w:endnoteRef/>
      </w:r>
      <w:r w:rsidRPr="003E1EE6">
        <w:rPr>
          <w:b/>
        </w:rPr>
        <w:t xml:space="preserve"> </w:t>
      </w:r>
      <w:r w:rsidRPr="003E1EE6">
        <w:rPr>
          <w:rFonts w:cs="Verdana"/>
          <w:b/>
          <w:highlight w:val="yellow"/>
        </w:rPr>
        <w:t>(Bellah 1970:168, 1974:255).</w:t>
      </w:r>
    </w:p>
  </w:endnote>
  <w:endnote w:id="120">
    <w:p w:rsidR="006D40B5" w:rsidRPr="003E1EE6" w:rsidRDefault="006D40B5" w:rsidP="003E1EE6">
      <w:pPr>
        <w:rPr>
          <w:b/>
          <w:color w:val="FF0000"/>
          <w:highlight w:val="yellow"/>
        </w:rPr>
      </w:pPr>
      <w:r w:rsidRPr="003E1EE6">
        <w:rPr>
          <w:rStyle w:val="EndnoteReference"/>
          <w:b/>
          <w:color w:val="FF0000"/>
          <w:highlight w:val="yellow"/>
        </w:rPr>
        <w:endnoteRef/>
      </w:r>
      <w:r w:rsidRPr="003E1EE6">
        <w:rPr>
          <w:b/>
          <w:color w:val="FF0000"/>
          <w:highlight w:val="yellow"/>
        </w:rPr>
        <w:t xml:space="preserve"> (Sombart----, Grattan -----).</w:t>
      </w:r>
      <w:r w:rsidR="003E1EE6" w:rsidRPr="003E1EE6">
        <w:rPr>
          <w:b/>
          <w:color w:val="FF0000"/>
          <w:highlight w:val="yellow"/>
        </w:rPr>
        <w:t xml:space="preserve"> </w:t>
      </w:r>
    </w:p>
  </w:endnote>
  <w:endnote w:id="121">
    <w:p w:rsidR="006D40B5" w:rsidRPr="00E53EBA" w:rsidRDefault="006D40B5" w:rsidP="005D04A4">
      <w:pPr>
        <w:pStyle w:val="EndnoteText"/>
        <w:spacing w:line="240" w:lineRule="auto"/>
        <w:ind w:firstLine="0"/>
        <w:rPr>
          <w:sz w:val="24"/>
        </w:rPr>
      </w:pPr>
      <w:r w:rsidRPr="003E1EE6">
        <w:rPr>
          <w:rStyle w:val="EndnoteReference"/>
          <w:b/>
          <w:color w:val="FF0000"/>
          <w:sz w:val="24"/>
          <w:highlight w:val="yellow"/>
        </w:rPr>
        <w:endnoteRef/>
      </w:r>
      <w:r w:rsidRPr="003E1EE6">
        <w:rPr>
          <w:b/>
          <w:color w:val="FF0000"/>
          <w:sz w:val="24"/>
          <w:highlight w:val="yellow"/>
        </w:rPr>
        <w:t xml:space="preserve"> Ruggie and Ignatieff.</w:t>
      </w:r>
      <w:r w:rsidRPr="00E53EBA">
        <w:rPr>
          <w:sz w:val="24"/>
        </w:rPr>
        <w:t xml:space="preserve"> </w:t>
      </w:r>
    </w:p>
  </w:endnote>
  <w:endnote w:id="122">
    <w:p w:rsidR="006D40B5" w:rsidRPr="003E1EE6" w:rsidRDefault="006D40B5" w:rsidP="003E1EE6">
      <w:pPr>
        <w:pStyle w:val="EndnoteText"/>
        <w:spacing w:line="240" w:lineRule="auto"/>
        <w:ind w:firstLine="0"/>
        <w:rPr>
          <w:color w:val="000000"/>
          <w:sz w:val="24"/>
        </w:rPr>
      </w:pPr>
      <w:r w:rsidRPr="00E53EBA">
        <w:rPr>
          <w:rStyle w:val="EndnoteReference"/>
          <w:sz w:val="24"/>
        </w:rPr>
        <w:endnoteRef/>
      </w:r>
      <w:r w:rsidRPr="00E53EBA">
        <w:rPr>
          <w:sz w:val="24"/>
        </w:rPr>
        <w:t xml:space="preserve"> </w:t>
      </w:r>
      <w:r w:rsidR="003E1EE6" w:rsidRPr="003E1EE6">
        <w:rPr>
          <w:color w:val="000000"/>
          <w:sz w:val="24"/>
        </w:rPr>
        <w:t>Andrei S. Markovits and Steven L. Hellerman, Offside: Soccer and American Exceptionalism (Princeton, N.J: Princeton University Press, 2001).</w:t>
      </w:r>
    </w:p>
  </w:endnote>
  <w:endnote w:id="123">
    <w:p w:rsidR="006D40B5" w:rsidRPr="00E53EBA" w:rsidRDefault="006D40B5" w:rsidP="005D04A4">
      <w:pPr>
        <w:pStyle w:val="EndnoteText"/>
        <w:spacing w:line="240" w:lineRule="auto"/>
        <w:ind w:firstLine="0"/>
        <w:rPr>
          <w:sz w:val="24"/>
        </w:rPr>
      </w:pPr>
      <w:r w:rsidRPr="00E53EBA">
        <w:rPr>
          <w:rStyle w:val="EndnoteReference"/>
          <w:sz w:val="24"/>
        </w:rPr>
        <w:endnoteRef/>
      </w:r>
      <w:r w:rsidRPr="00E53EBA">
        <w:rPr>
          <w:sz w:val="24"/>
        </w:rPr>
        <w:t xml:space="preserve"> Roosevelt introduced the four freedoms in his January 6, 1941 State of the Union address, a time when much of Europe had fallen to advancing German armies but US entry into the war was almost a year into the future. He hoped to convince a wary American people of abandoning isolationism and heeding the moral necessity of continuing to aid Britain, casting such support as part of a universal struggle to create a world that respected the freedoms to which all people had right.</w:t>
      </w:r>
      <w:r w:rsidRPr="00E53EBA">
        <w:rPr>
          <w:rStyle w:val="EndnoteReference"/>
          <w:sz w:val="24"/>
        </w:rPr>
        <w:endnoteRef/>
      </w:r>
      <w:r w:rsidRPr="00E53EBA">
        <w:rPr>
          <w:sz w:val="24"/>
        </w:rPr>
        <w:t xml:space="preserve"> Roosevelt argued that this struggle was at the heart of nation’s past and future: “Since the beginning of our American history, we have been engaged in change -- in a perpetual peaceful revolution—a revolution which goes on steadily, quietly adjusting itself to changing conditions—without the concentration camp or the quick-lime in the ditch. The world order which we seek is the cooperation of free countries, working together in a fri</w:t>
      </w:r>
      <w:r w:rsidR="003E1EE6">
        <w:rPr>
          <w:sz w:val="24"/>
        </w:rPr>
        <w:t xml:space="preserve">endly, civilized society.” </w:t>
      </w:r>
    </w:p>
  </w:endnote>
  <w:endnote w:id="124">
    <w:p w:rsidR="006D40B5" w:rsidRPr="00E53EBA" w:rsidRDefault="006D40B5" w:rsidP="005D04A4">
      <w:pPr>
        <w:pStyle w:val="EndnoteText"/>
        <w:spacing w:line="240" w:lineRule="auto"/>
        <w:ind w:firstLine="0"/>
        <w:rPr>
          <w:sz w:val="24"/>
        </w:rPr>
      </w:pPr>
      <w:r w:rsidRPr="00E53EBA">
        <w:rPr>
          <w:rStyle w:val="EndnoteReference"/>
          <w:sz w:val="24"/>
        </w:rPr>
        <w:endnoteRef/>
      </w:r>
      <w:r w:rsidR="003E1EE6">
        <w:rPr>
          <w:sz w:val="24"/>
        </w:rPr>
        <w:t xml:space="preserve"> Ignatieff, </w:t>
      </w:r>
      <w:r w:rsidR="003E1EE6" w:rsidRPr="003E1EE6">
        <w:rPr>
          <w:i/>
          <w:sz w:val="24"/>
        </w:rPr>
        <w:t>American Exceptionalism and Human Rights</w:t>
      </w:r>
      <w:r w:rsidR="003E1EE6" w:rsidRPr="003E1EE6">
        <w:rPr>
          <w:sz w:val="24"/>
        </w:rPr>
        <w:t>,</w:t>
      </w:r>
      <w:r w:rsidR="003E1EE6">
        <w:rPr>
          <w:i/>
          <w:sz w:val="24"/>
        </w:rPr>
        <w:t xml:space="preserve"> </w:t>
      </w:r>
      <w:r w:rsidRPr="003E1EE6">
        <w:rPr>
          <w:i/>
          <w:sz w:val="24"/>
        </w:rPr>
        <w:t>13</w:t>
      </w:r>
      <w:r w:rsidRPr="00E53EBA">
        <w:rPr>
          <w:sz w:val="24"/>
        </w:rPr>
        <w:t xml:space="preserve">-16.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rooklynesque">
    <w:altName w:val="Cambria"/>
    <w:panose1 w:val="00000000000000000000"/>
    <w:charset w:val="4D"/>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èòÊˇø‚k∆">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B5" w:rsidRDefault="006D40B5" w:rsidP="0013427D">
      <w:r>
        <w:separator/>
      </w:r>
    </w:p>
  </w:footnote>
  <w:footnote w:type="continuationSeparator" w:id="0">
    <w:p w:rsidR="006D40B5" w:rsidRDefault="006D40B5" w:rsidP="001342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B5" w:rsidRDefault="006D40B5" w:rsidP="00572A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40B5" w:rsidRDefault="006D40B5" w:rsidP="005D04A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B5" w:rsidRPr="00B86BE6" w:rsidRDefault="006D40B5" w:rsidP="005D04A4">
    <w:pPr>
      <w:pStyle w:val="Header"/>
      <w:framePr w:wrap="around" w:vAnchor="text" w:hAnchor="page" w:x="10621" w:y="1"/>
      <w:rPr>
        <w:rStyle w:val="PageNumber"/>
      </w:rPr>
    </w:pPr>
    <w:r w:rsidRPr="00B86BE6">
      <w:rPr>
        <w:rStyle w:val="PageNumber"/>
      </w:rPr>
      <w:fldChar w:fldCharType="begin"/>
    </w:r>
    <w:r w:rsidRPr="00B86BE6">
      <w:rPr>
        <w:rStyle w:val="PageNumber"/>
      </w:rPr>
      <w:instrText xml:space="preserve">PAGE  </w:instrText>
    </w:r>
    <w:r w:rsidRPr="00B86BE6">
      <w:rPr>
        <w:rStyle w:val="PageNumber"/>
      </w:rPr>
      <w:fldChar w:fldCharType="separate"/>
    </w:r>
    <w:r w:rsidR="004F7A71">
      <w:rPr>
        <w:rStyle w:val="PageNumber"/>
        <w:noProof/>
      </w:rPr>
      <w:t>1</w:t>
    </w:r>
    <w:r w:rsidRPr="00B86BE6">
      <w:rPr>
        <w:rStyle w:val="PageNumber"/>
      </w:rPr>
      <w:fldChar w:fldCharType="end"/>
    </w:r>
  </w:p>
  <w:p w:rsidR="006D40B5" w:rsidRDefault="006D40B5" w:rsidP="005D04A4">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63C7A"/>
    <w:multiLevelType w:val="hybridMultilevel"/>
    <w:tmpl w:val="8CD653DC"/>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7A109C"/>
    <w:multiLevelType w:val="hybridMultilevel"/>
    <w:tmpl w:val="127EC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56D8"/>
    <w:multiLevelType w:val="multilevel"/>
    <w:tmpl w:val="D234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B08A4"/>
    <w:multiLevelType w:val="hybridMultilevel"/>
    <w:tmpl w:val="B4407BA8"/>
    <w:lvl w:ilvl="0" w:tplc="B35EC3BC">
      <w:start w:val="5"/>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45EEA"/>
    <w:multiLevelType w:val="hybridMultilevel"/>
    <w:tmpl w:val="F0D2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90F28"/>
    <w:multiLevelType w:val="hybridMultilevel"/>
    <w:tmpl w:val="F462FFCA"/>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64B8446F"/>
    <w:multiLevelType w:val="hybridMultilevel"/>
    <w:tmpl w:val="1A0ED6DE"/>
    <w:lvl w:ilvl="0" w:tplc="6C8C9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2"/>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5E"/>
    <w:rsid w:val="00001A07"/>
    <w:rsid w:val="00003679"/>
    <w:rsid w:val="00004A71"/>
    <w:rsid w:val="00004BFC"/>
    <w:rsid w:val="000061EB"/>
    <w:rsid w:val="00007B5C"/>
    <w:rsid w:val="00010EE8"/>
    <w:rsid w:val="00011F5A"/>
    <w:rsid w:val="00012903"/>
    <w:rsid w:val="0002011E"/>
    <w:rsid w:val="00020712"/>
    <w:rsid w:val="00020B2E"/>
    <w:rsid w:val="000210B2"/>
    <w:rsid w:val="0002219C"/>
    <w:rsid w:val="0002272A"/>
    <w:rsid w:val="00022896"/>
    <w:rsid w:val="00023896"/>
    <w:rsid w:val="00030465"/>
    <w:rsid w:val="00032BA0"/>
    <w:rsid w:val="0003319C"/>
    <w:rsid w:val="00033481"/>
    <w:rsid w:val="0003512F"/>
    <w:rsid w:val="0003729F"/>
    <w:rsid w:val="0004205C"/>
    <w:rsid w:val="000421F8"/>
    <w:rsid w:val="00044515"/>
    <w:rsid w:val="00051272"/>
    <w:rsid w:val="00053FE8"/>
    <w:rsid w:val="000544F5"/>
    <w:rsid w:val="000603AF"/>
    <w:rsid w:val="000634C2"/>
    <w:rsid w:val="0006562B"/>
    <w:rsid w:val="00065C16"/>
    <w:rsid w:val="00067B08"/>
    <w:rsid w:val="00067B0E"/>
    <w:rsid w:val="0007598F"/>
    <w:rsid w:val="00077611"/>
    <w:rsid w:val="00082088"/>
    <w:rsid w:val="0008252C"/>
    <w:rsid w:val="0008591F"/>
    <w:rsid w:val="0008629C"/>
    <w:rsid w:val="0009304B"/>
    <w:rsid w:val="00095087"/>
    <w:rsid w:val="0009629F"/>
    <w:rsid w:val="000A1961"/>
    <w:rsid w:val="000A4239"/>
    <w:rsid w:val="000A42EE"/>
    <w:rsid w:val="000A53CE"/>
    <w:rsid w:val="000A5422"/>
    <w:rsid w:val="000A5D9F"/>
    <w:rsid w:val="000A7BDA"/>
    <w:rsid w:val="000B231B"/>
    <w:rsid w:val="000B6314"/>
    <w:rsid w:val="000B692B"/>
    <w:rsid w:val="000C4116"/>
    <w:rsid w:val="000C7052"/>
    <w:rsid w:val="000C7158"/>
    <w:rsid w:val="000C7644"/>
    <w:rsid w:val="000D0144"/>
    <w:rsid w:val="000E0DBF"/>
    <w:rsid w:val="000E1645"/>
    <w:rsid w:val="000E1B90"/>
    <w:rsid w:val="000E2792"/>
    <w:rsid w:val="000E6576"/>
    <w:rsid w:val="000E6D46"/>
    <w:rsid w:val="000F0A53"/>
    <w:rsid w:val="000F2302"/>
    <w:rsid w:val="000F358D"/>
    <w:rsid w:val="000F5651"/>
    <w:rsid w:val="000F7397"/>
    <w:rsid w:val="001028A4"/>
    <w:rsid w:val="00102FCC"/>
    <w:rsid w:val="00103CF5"/>
    <w:rsid w:val="00105204"/>
    <w:rsid w:val="00113C9C"/>
    <w:rsid w:val="001171E0"/>
    <w:rsid w:val="001228C7"/>
    <w:rsid w:val="00122FAA"/>
    <w:rsid w:val="0012746E"/>
    <w:rsid w:val="001300D1"/>
    <w:rsid w:val="001321DE"/>
    <w:rsid w:val="00132928"/>
    <w:rsid w:val="00132E21"/>
    <w:rsid w:val="00133BA1"/>
    <w:rsid w:val="0013427D"/>
    <w:rsid w:val="001360C9"/>
    <w:rsid w:val="00136F34"/>
    <w:rsid w:val="00137D0F"/>
    <w:rsid w:val="001400B2"/>
    <w:rsid w:val="00140341"/>
    <w:rsid w:val="001428DF"/>
    <w:rsid w:val="001475F0"/>
    <w:rsid w:val="0015062F"/>
    <w:rsid w:val="001513E8"/>
    <w:rsid w:val="00152FD4"/>
    <w:rsid w:val="00160011"/>
    <w:rsid w:val="0016140F"/>
    <w:rsid w:val="00164C9E"/>
    <w:rsid w:val="00167EEC"/>
    <w:rsid w:val="00167F92"/>
    <w:rsid w:val="00171CB3"/>
    <w:rsid w:val="00173A14"/>
    <w:rsid w:val="00174786"/>
    <w:rsid w:val="00176B87"/>
    <w:rsid w:val="00180E5B"/>
    <w:rsid w:val="00182ED3"/>
    <w:rsid w:val="00183827"/>
    <w:rsid w:val="00185BFA"/>
    <w:rsid w:val="00186584"/>
    <w:rsid w:val="001867AC"/>
    <w:rsid w:val="00186EF1"/>
    <w:rsid w:val="0018763D"/>
    <w:rsid w:val="00193C37"/>
    <w:rsid w:val="00195A1B"/>
    <w:rsid w:val="001A16A4"/>
    <w:rsid w:val="001A5F54"/>
    <w:rsid w:val="001A6D18"/>
    <w:rsid w:val="001A7048"/>
    <w:rsid w:val="001A76A8"/>
    <w:rsid w:val="001B0AE9"/>
    <w:rsid w:val="001B1C36"/>
    <w:rsid w:val="001B65E8"/>
    <w:rsid w:val="001B7126"/>
    <w:rsid w:val="001C11E7"/>
    <w:rsid w:val="001C26E9"/>
    <w:rsid w:val="001C406C"/>
    <w:rsid w:val="001E01B8"/>
    <w:rsid w:val="001E0275"/>
    <w:rsid w:val="001E0C20"/>
    <w:rsid w:val="001E1D88"/>
    <w:rsid w:val="001E3256"/>
    <w:rsid w:val="001E46E0"/>
    <w:rsid w:val="001E4823"/>
    <w:rsid w:val="001E567E"/>
    <w:rsid w:val="001E7EE1"/>
    <w:rsid w:val="001F0640"/>
    <w:rsid w:val="001F3ECC"/>
    <w:rsid w:val="001F58B6"/>
    <w:rsid w:val="002058DC"/>
    <w:rsid w:val="00211551"/>
    <w:rsid w:val="00216145"/>
    <w:rsid w:val="00216E08"/>
    <w:rsid w:val="00216E26"/>
    <w:rsid w:val="0021744C"/>
    <w:rsid w:val="002201CF"/>
    <w:rsid w:val="00220291"/>
    <w:rsid w:val="00224315"/>
    <w:rsid w:val="002251F5"/>
    <w:rsid w:val="002277CF"/>
    <w:rsid w:val="00231E44"/>
    <w:rsid w:val="00235CF6"/>
    <w:rsid w:val="00242CC5"/>
    <w:rsid w:val="00246060"/>
    <w:rsid w:val="00246D67"/>
    <w:rsid w:val="002571D6"/>
    <w:rsid w:val="002629AD"/>
    <w:rsid w:val="0026304B"/>
    <w:rsid w:val="00263F23"/>
    <w:rsid w:val="0026686E"/>
    <w:rsid w:val="0026711A"/>
    <w:rsid w:val="002718CA"/>
    <w:rsid w:val="00273A2F"/>
    <w:rsid w:val="00274106"/>
    <w:rsid w:val="00277744"/>
    <w:rsid w:val="002800AA"/>
    <w:rsid w:val="002806BD"/>
    <w:rsid w:val="00280E8A"/>
    <w:rsid w:val="00281B7E"/>
    <w:rsid w:val="002828F5"/>
    <w:rsid w:val="002851AA"/>
    <w:rsid w:val="00285560"/>
    <w:rsid w:val="002907F6"/>
    <w:rsid w:val="002908E5"/>
    <w:rsid w:val="00291421"/>
    <w:rsid w:val="0029193C"/>
    <w:rsid w:val="00294A7B"/>
    <w:rsid w:val="002A38A2"/>
    <w:rsid w:val="002A61ED"/>
    <w:rsid w:val="002A75CC"/>
    <w:rsid w:val="002A7767"/>
    <w:rsid w:val="002B5AAB"/>
    <w:rsid w:val="002B7E8C"/>
    <w:rsid w:val="002C1D73"/>
    <w:rsid w:val="002C38ED"/>
    <w:rsid w:val="002C4C9B"/>
    <w:rsid w:val="002C6FBB"/>
    <w:rsid w:val="002D03B5"/>
    <w:rsid w:val="002D157C"/>
    <w:rsid w:val="002D2D4A"/>
    <w:rsid w:val="002D635A"/>
    <w:rsid w:val="002D6650"/>
    <w:rsid w:val="002D7B68"/>
    <w:rsid w:val="002E178D"/>
    <w:rsid w:val="002E19A5"/>
    <w:rsid w:val="002E26DC"/>
    <w:rsid w:val="002E3B55"/>
    <w:rsid w:val="002F079D"/>
    <w:rsid w:val="002F18EE"/>
    <w:rsid w:val="002F39F0"/>
    <w:rsid w:val="002F3E72"/>
    <w:rsid w:val="002F5A2E"/>
    <w:rsid w:val="002F5BDA"/>
    <w:rsid w:val="002F7636"/>
    <w:rsid w:val="0030026F"/>
    <w:rsid w:val="00300FA1"/>
    <w:rsid w:val="003020E1"/>
    <w:rsid w:val="003036A6"/>
    <w:rsid w:val="00303ACD"/>
    <w:rsid w:val="003041D1"/>
    <w:rsid w:val="0030586F"/>
    <w:rsid w:val="00311ACD"/>
    <w:rsid w:val="00316F02"/>
    <w:rsid w:val="00320F98"/>
    <w:rsid w:val="003239A1"/>
    <w:rsid w:val="00331FB0"/>
    <w:rsid w:val="00335195"/>
    <w:rsid w:val="00335C43"/>
    <w:rsid w:val="00337297"/>
    <w:rsid w:val="00337B25"/>
    <w:rsid w:val="00340830"/>
    <w:rsid w:val="003410D7"/>
    <w:rsid w:val="00342F4E"/>
    <w:rsid w:val="003438B9"/>
    <w:rsid w:val="00345A38"/>
    <w:rsid w:val="00350469"/>
    <w:rsid w:val="0035373A"/>
    <w:rsid w:val="00356A44"/>
    <w:rsid w:val="00360DD1"/>
    <w:rsid w:val="003637B0"/>
    <w:rsid w:val="00364B0F"/>
    <w:rsid w:val="00364E1F"/>
    <w:rsid w:val="0036545D"/>
    <w:rsid w:val="00366712"/>
    <w:rsid w:val="00370F1A"/>
    <w:rsid w:val="00370F75"/>
    <w:rsid w:val="00372AEE"/>
    <w:rsid w:val="0037781D"/>
    <w:rsid w:val="00377A8E"/>
    <w:rsid w:val="00381F02"/>
    <w:rsid w:val="0038686C"/>
    <w:rsid w:val="00386CFD"/>
    <w:rsid w:val="0039189E"/>
    <w:rsid w:val="00396B23"/>
    <w:rsid w:val="003A1064"/>
    <w:rsid w:val="003A6305"/>
    <w:rsid w:val="003A6495"/>
    <w:rsid w:val="003A6E65"/>
    <w:rsid w:val="003B20AB"/>
    <w:rsid w:val="003B20EB"/>
    <w:rsid w:val="003B259E"/>
    <w:rsid w:val="003B2CA0"/>
    <w:rsid w:val="003B4FA4"/>
    <w:rsid w:val="003B6322"/>
    <w:rsid w:val="003B6E1D"/>
    <w:rsid w:val="003B6E3B"/>
    <w:rsid w:val="003B7F5B"/>
    <w:rsid w:val="003C1C54"/>
    <w:rsid w:val="003C298C"/>
    <w:rsid w:val="003C3136"/>
    <w:rsid w:val="003C3542"/>
    <w:rsid w:val="003C3706"/>
    <w:rsid w:val="003D5749"/>
    <w:rsid w:val="003E1EE6"/>
    <w:rsid w:val="003E26C4"/>
    <w:rsid w:val="003E33C0"/>
    <w:rsid w:val="003E410C"/>
    <w:rsid w:val="003F282F"/>
    <w:rsid w:val="003F2D0B"/>
    <w:rsid w:val="003F5064"/>
    <w:rsid w:val="00400B8A"/>
    <w:rsid w:val="004069E5"/>
    <w:rsid w:val="00407AE1"/>
    <w:rsid w:val="004109C6"/>
    <w:rsid w:val="004109D6"/>
    <w:rsid w:val="004115A0"/>
    <w:rsid w:val="0041176F"/>
    <w:rsid w:val="0041403E"/>
    <w:rsid w:val="00414050"/>
    <w:rsid w:val="00416E4A"/>
    <w:rsid w:val="00420DAC"/>
    <w:rsid w:val="00421859"/>
    <w:rsid w:val="0042504A"/>
    <w:rsid w:val="00425846"/>
    <w:rsid w:val="00430E7C"/>
    <w:rsid w:val="00433D39"/>
    <w:rsid w:val="00434146"/>
    <w:rsid w:val="0043494B"/>
    <w:rsid w:val="00440D80"/>
    <w:rsid w:val="00451D4B"/>
    <w:rsid w:val="00454B11"/>
    <w:rsid w:val="00456C48"/>
    <w:rsid w:val="004572F8"/>
    <w:rsid w:val="00460728"/>
    <w:rsid w:val="00462DDC"/>
    <w:rsid w:val="004649B2"/>
    <w:rsid w:val="00465526"/>
    <w:rsid w:val="004713BF"/>
    <w:rsid w:val="004750C9"/>
    <w:rsid w:val="00476187"/>
    <w:rsid w:val="004771E9"/>
    <w:rsid w:val="00480954"/>
    <w:rsid w:val="0048096C"/>
    <w:rsid w:val="0048424D"/>
    <w:rsid w:val="004912DA"/>
    <w:rsid w:val="0049141F"/>
    <w:rsid w:val="00492466"/>
    <w:rsid w:val="00494F44"/>
    <w:rsid w:val="0049535F"/>
    <w:rsid w:val="004A5095"/>
    <w:rsid w:val="004A7603"/>
    <w:rsid w:val="004B0774"/>
    <w:rsid w:val="004B18C0"/>
    <w:rsid w:val="004B1C6E"/>
    <w:rsid w:val="004C40FF"/>
    <w:rsid w:val="004C42EA"/>
    <w:rsid w:val="004C497C"/>
    <w:rsid w:val="004C6905"/>
    <w:rsid w:val="004C733B"/>
    <w:rsid w:val="004D23A9"/>
    <w:rsid w:val="004D2F18"/>
    <w:rsid w:val="004E52FD"/>
    <w:rsid w:val="004E5939"/>
    <w:rsid w:val="004F27E9"/>
    <w:rsid w:val="004F45A8"/>
    <w:rsid w:val="004F567B"/>
    <w:rsid w:val="004F682F"/>
    <w:rsid w:val="004F7A71"/>
    <w:rsid w:val="005006E8"/>
    <w:rsid w:val="0051065E"/>
    <w:rsid w:val="00510F02"/>
    <w:rsid w:val="005120CA"/>
    <w:rsid w:val="00513905"/>
    <w:rsid w:val="005167E8"/>
    <w:rsid w:val="005210BC"/>
    <w:rsid w:val="005221DC"/>
    <w:rsid w:val="00522E1E"/>
    <w:rsid w:val="005244D9"/>
    <w:rsid w:val="00530100"/>
    <w:rsid w:val="00530D90"/>
    <w:rsid w:val="00531D64"/>
    <w:rsid w:val="00535493"/>
    <w:rsid w:val="00540A3F"/>
    <w:rsid w:val="005461C6"/>
    <w:rsid w:val="005547B8"/>
    <w:rsid w:val="00554D7E"/>
    <w:rsid w:val="005558B6"/>
    <w:rsid w:val="0056037C"/>
    <w:rsid w:val="005634DB"/>
    <w:rsid w:val="0056650E"/>
    <w:rsid w:val="00566F61"/>
    <w:rsid w:val="00567325"/>
    <w:rsid w:val="00571F28"/>
    <w:rsid w:val="00572A14"/>
    <w:rsid w:val="00572EA0"/>
    <w:rsid w:val="005732C0"/>
    <w:rsid w:val="00575670"/>
    <w:rsid w:val="00575B70"/>
    <w:rsid w:val="0057627C"/>
    <w:rsid w:val="005776DE"/>
    <w:rsid w:val="00580B6F"/>
    <w:rsid w:val="00581B48"/>
    <w:rsid w:val="005833DB"/>
    <w:rsid w:val="00585332"/>
    <w:rsid w:val="00586610"/>
    <w:rsid w:val="005A04FF"/>
    <w:rsid w:val="005A38F5"/>
    <w:rsid w:val="005A3F2F"/>
    <w:rsid w:val="005A4D9E"/>
    <w:rsid w:val="005A64DF"/>
    <w:rsid w:val="005A73D2"/>
    <w:rsid w:val="005B2999"/>
    <w:rsid w:val="005B4D36"/>
    <w:rsid w:val="005B6A2C"/>
    <w:rsid w:val="005B6C17"/>
    <w:rsid w:val="005C0182"/>
    <w:rsid w:val="005C07D6"/>
    <w:rsid w:val="005C41B7"/>
    <w:rsid w:val="005C4B7E"/>
    <w:rsid w:val="005C7BC4"/>
    <w:rsid w:val="005C7C58"/>
    <w:rsid w:val="005D04A4"/>
    <w:rsid w:val="005D05D4"/>
    <w:rsid w:val="005D1C63"/>
    <w:rsid w:val="005D1CCA"/>
    <w:rsid w:val="005D1F4B"/>
    <w:rsid w:val="005E209C"/>
    <w:rsid w:val="005E2F73"/>
    <w:rsid w:val="005E3DD6"/>
    <w:rsid w:val="005E457A"/>
    <w:rsid w:val="005E7495"/>
    <w:rsid w:val="005F1729"/>
    <w:rsid w:val="005F220D"/>
    <w:rsid w:val="005F6017"/>
    <w:rsid w:val="005F7A95"/>
    <w:rsid w:val="00603848"/>
    <w:rsid w:val="00604955"/>
    <w:rsid w:val="0060543C"/>
    <w:rsid w:val="00606ADF"/>
    <w:rsid w:val="00611814"/>
    <w:rsid w:val="0061670C"/>
    <w:rsid w:val="00617AF7"/>
    <w:rsid w:val="00617DC7"/>
    <w:rsid w:val="0062224D"/>
    <w:rsid w:val="00630E53"/>
    <w:rsid w:val="00633131"/>
    <w:rsid w:val="0063493E"/>
    <w:rsid w:val="00636497"/>
    <w:rsid w:val="00643D6C"/>
    <w:rsid w:val="00644C90"/>
    <w:rsid w:val="00651241"/>
    <w:rsid w:val="00653049"/>
    <w:rsid w:val="0065413A"/>
    <w:rsid w:val="006563C8"/>
    <w:rsid w:val="00661542"/>
    <w:rsid w:val="00664E60"/>
    <w:rsid w:val="00667436"/>
    <w:rsid w:val="00672344"/>
    <w:rsid w:val="00672BCF"/>
    <w:rsid w:val="0067385C"/>
    <w:rsid w:val="00673A18"/>
    <w:rsid w:val="00674774"/>
    <w:rsid w:val="00676304"/>
    <w:rsid w:val="006778C0"/>
    <w:rsid w:val="00681769"/>
    <w:rsid w:val="006818A3"/>
    <w:rsid w:val="00681EF4"/>
    <w:rsid w:val="00685617"/>
    <w:rsid w:val="00690707"/>
    <w:rsid w:val="00690774"/>
    <w:rsid w:val="00691B15"/>
    <w:rsid w:val="006923FC"/>
    <w:rsid w:val="00693D1C"/>
    <w:rsid w:val="00694B6C"/>
    <w:rsid w:val="006A038C"/>
    <w:rsid w:val="006A4E8A"/>
    <w:rsid w:val="006B0863"/>
    <w:rsid w:val="006B217C"/>
    <w:rsid w:val="006C205F"/>
    <w:rsid w:val="006C20A5"/>
    <w:rsid w:val="006C39D0"/>
    <w:rsid w:val="006D40B5"/>
    <w:rsid w:val="006D4135"/>
    <w:rsid w:val="006D517F"/>
    <w:rsid w:val="006D527D"/>
    <w:rsid w:val="006D6A0F"/>
    <w:rsid w:val="006E1F86"/>
    <w:rsid w:val="006E7056"/>
    <w:rsid w:val="006F4535"/>
    <w:rsid w:val="00701274"/>
    <w:rsid w:val="00704616"/>
    <w:rsid w:val="00704D22"/>
    <w:rsid w:val="007070D0"/>
    <w:rsid w:val="00710E83"/>
    <w:rsid w:val="0071246B"/>
    <w:rsid w:val="00715B83"/>
    <w:rsid w:val="007168BD"/>
    <w:rsid w:val="00716B37"/>
    <w:rsid w:val="00720570"/>
    <w:rsid w:val="007218C7"/>
    <w:rsid w:val="007316B5"/>
    <w:rsid w:val="00732E3E"/>
    <w:rsid w:val="007345AC"/>
    <w:rsid w:val="00734D5C"/>
    <w:rsid w:val="00745FF9"/>
    <w:rsid w:val="00746D84"/>
    <w:rsid w:val="0075134C"/>
    <w:rsid w:val="00751FF0"/>
    <w:rsid w:val="0075204A"/>
    <w:rsid w:val="00752A1D"/>
    <w:rsid w:val="00753EDE"/>
    <w:rsid w:val="00756C15"/>
    <w:rsid w:val="0075759D"/>
    <w:rsid w:val="00757695"/>
    <w:rsid w:val="00762D19"/>
    <w:rsid w:val="00766D0B"/>
    <w:rsid w:val="007740AD"/>
    <w:rsid w:val="00776CB9"/>
    <w:rsid w:val="00780400"/>
    <w:rsid w:val="00783A27"/>
    <w:rsid w:val="00786CC7"/>
    <w:rsid w:val="007918BC"/>
    <w:rsid w:val="0079293C"/>
    <w:rsid w:val="00795D3C"/>
    <w:rsid w:val="00797C14"/>
    <w:rsid w:val="00797DA1"/>
    <w:rsid w:val="007A26EA"/>
    <w:rsid w:val="007A3272"/>
    <w:rsid w:val="007A4CDD"/>
    <w:rsid w:val="007A6938"/>
    <w:rsid w:val="007B1B56"/>
    <w:rsid w:val="007B499A"/>
    <w:rsid w:val="007B4A5B"/>
    <w:rsid w:val="007B5F39"/>
    <w:rsid w:val="007B77D4"/>
    <w:rsid w:val="007C1B0F"/>
    <w:rsid w:val="007C2F32"/>
    <w:rsid w:val="007C42F6"/>
    <w:rsid w:val="007D0750"/>
    <w:rsid w:val="007D168C"/>
    <w:rsid w:val="007D2315"/>
    <w:rsid w:val="007D5E21"/>
    <w:rsid w:val="007D677E"/>
    <w:rsid w:val="007E549C"/>
    <w:rsid w:val="007E7DC1"/>
    <w:rsid w:val="007F03CB"/>
    <w:rsid w:val="007F37CD"/>
    <w:rsid w:val="007F50D4"/>
    <w:rsid w:val="007F5177"/>
    <w:rsid w:val="007F5519"/>
    <w:rsid w:val="00800813"/>
    <w:rsid w:val="00803C91"/>
    <w:rsid w:val="0080419E"/>
    <w:rsid w:val="00804C35"/>
    <w:rsid w:val="00805492"/>
    <w:rsid w:val="0081500F"/>
    <w:rsid w:val="00815149"/>
    <w:rsid w:val="00815204"/>
    <w:rsid w:val="008154E5"/>
    <w:rsid w:val="008173CB"/>
    <w:rsid w:val="00820350"/>
    <w:rsid w:val="00821D3E"/>
    <w:rsid w:val="00822BDB"/>
    <w:rsid w:val="00822FA9"/>
    <w:rsid w:val="00824967"/>
    <w:rsid w:val="00825C60"/>
    <w:rsid w:val="00827022"/>
    <w:rsid w:val="00831791"/>
    <w:rsid w:val="0083233B"/>
    <w:rsid w:val="008339EF"/>
    <w:rsid w:val="00834965"/>
    <w:rsid w:val="00835179"/>
    <w:rsid w:val="008352A9"/>
    <w:rsid w:val="00840379"/>
    <w:rsid w:val="008412AC"/>
    <w:rsid w:val="0084244D"/>
    <w:rsid w:val="00843F0B"/>
    <w:rsid w:val="008471BC"/>
    <w:rsid w:val="00852666"/>
    <w:rsid w:val="00863B17"/>
    <w:rsid w:val="00864D81"/>
    <w:rsid w:val="00865315"/>
    <w:rsid w:val="00865841"/>
    <w:rsid w:val="00867FFA"/>
    <w:rsid w:val="00870A91"/>
    <w:rsid w:val="0087722E"/>
    <w:rsid w:val="00880345"/>
    <w:rsid w:val="00882188"/>
    <w:rsid w:val="00885B37"/>
    <w:rsid w:val="00886678"/>
    <w:rsid w:val="00886E5A"/>
    <w:rsid w:val="0089723D"/>
    <w:rsid w:val="0089786E"/>
    <w:rsid w:val="008A57BE"/>
    <w:rsid w:val="008B1108"/>
    <w:rsid w:val="008B2C90"/>
    <w:rsid w:val="008B3E64"/>
    <w:rsid w:val="008B61DB"/>
    <w:rsid w:val="008B6730"/>
    <w:rsid w:val="008B7E21"/>
    <w:rsid w:val="008C2C2C"/>
    <w:rsid w:val="008D0653"/>
    <w:rsid w:val="008D4F08"/>
    <w:rsid w:val="008D65E3"/>
    <w:rsid w:val="008D66F9"/>
    <w:rsid w:val="008D6885"/>
    <w:rsid w:val="008D7C82"/>
    <w:rsid w:val="008E0A80"/>
    <w:rsid w:val="008E0E26"/>
    <w:rsid w:val="008E1DC5"/>
    <w:rsid w:val="008E2ABF"/>
    <w:rsid w:val="008E488A"/>
    <w:rsid w:val="008E6DB0"/>
    <w:rsid w:val="008F40D2"/>
    <w:rsid w:val="008F710C"/>
    <w:rsid w:val="008F75E9"/>
    <w:rsid w:val="00900931"/>
    <w:rsid w:val="00900B07"/>
    <w:rsid w:val="00902EC3"/>
    <w:rsid w:val="00904C3C"/>
    <w:rsid w:val="00906249"/>
    <w:rsid w:val="009068FA"/>
    <w:rsid w:val="00913FBF"/>
    <w:rsid w:val="00920B8D"/>
    <w:rsid w:val="0092118E"/>
    <w:rsid w:val="00921F57"/>
    <w:rsid w:val="00926F9C"/>
    <w:rsid w:val="0092703F"/>
    <w:rsid w:val="00933B12"/>
    <w:rsid w:val="009346B7"/>
    <w:rsid w:val="00934935"/>
    <w:rsid w:val="00935077"/>
    <w:rsid w:val="00936F03"/>
    <w:rsid w:val="00937595"/>
    <w:rsid w:val="00940979"/>
    <w:rsid w:val="00940ACA"/>
    <w:rsid w:val="00940B33"/>
    <w:rsid w:val="00941800"/>
    <w:rsid w:val="00944117"/>
    <w:rsid w:val="00946BE8"/>
    <w:rsid w:val="00947C71"/>
    <w:rsid w:val="009532A4"/>
    <w:rsid w:val="0095467B"/>
    <w:rsid w:val="009549ED"/>
    <w:rsid w:val="00955490"/>
    <w:rsid w:val="0095562E"/>
    <w:rsid w:val="00955DE4"/>
    <w:rsid w:val="0095623A"/>
    <w:rsid w:val="009565EB"/>
    <w:rsid w:val="00957377"/>
    <w:rsid w:val="009631E3"/>
    <w:rsid w:val="00964E41"/>
    <w:rsid w:val="009665BF"/>
    <w:rsid w:val="009674CA"/>
    <w:rsid w:val="00967994"/>
    <w:rsid w:val="00971077"/>
    <w:rsid w:val="00971875"/>
    <w:rsid w:val="00971FC8"/>
    <w:rsid w:val="00982A64"/>
    <w:rsid w:val="00983256"/>
    <w:rsid w:val="009851B4"/>
    <w:rsid w:val="00985E38"/>
    <w:rsid w:val="009865D5"/>
    <w:rsid w:val="00986667"/>
    <w:rsid w:val="0098728A"/>
    <w:rsid w:val="00992B13"/>
    <w:rsid w:val="00992FFC"/>
    <w:rsid w:val="00997E7B"/>
    <w:rsid w:val="009A0113"/>
    <w:rsid w:val="009A0AE5"/>
    <w:rsid w:val="009A1682"/>
    <w:rsid w:val="009A286D"/>
    <w:rsid w:val="009A3365"/>
    <w:rsid w:val="009A4C44"/>
    <w:rsid w:val="009A4C59"/>
    <w:rsid w:val="009A6A14"/>
    <w:rsid w:val="009B1BAE"/>
    <w:rsid w:val="009B7808"/>
    <w:rsid w:val="009C1822"/>
    <w:rsid w:val="009C58F0"/>
    <w:rsid w:val="009C691F"/>
    <w:rsid w:val="009D179F"/>
    <w:rsid w:val="009D5483"/>
    <w:rsid w:val="009D5FCE"/>
    <w:rsid w:val="009D66E9"/>
    <w:rsid w:val="009D7D4E"/>
    <w:rsid w:val="009E0433"/>
    <w:rsid w:val="009E0BA5"/>
    <w:rsid w:val="009E1C48"/>
    <w:rsid w:val="009E70FC"/>
    <w:rsid w:val="009F0847"/>
    <w:rsid w:val="009F481B"/>
    <w:rsid w:val="009F5FA4"/>
    <w:rsid w:val="00A011B7"/>
    <w:rsid w:val="00A02B78"/>
    <w:rsid w:val="00A02C2B"/>
    <w:rsid w:val="00A05913"/>
    <w:rsid w:val="00A075AF"/>
    <w:rsid w:val="00A1122C"/>
    <w:rsid w:val="00A11272"/>
    <w:rsid w:val="00A11D31"/>
    <w:rsid w:val="00A126E6"/>
    <w:rsid w:val="00A14599"/>
    <w:rsid w:val="00A156FC"/>
    <w:rsid w:val="00A1708A"/>
    <w:rsid w:val="00A170C3"/>
    <w:rsid w:val="00A17B57"/>
    <w:rsid w:val="00A2117A"/>
    <w:rsid w:val="00A21E3B"/>
    <w:rsid w:val="00A22724"/>
    <w:rsid w:val="00A22BA6"/>
    <w:rsid w:val="00A24149"/>
    <w:rsid w:val="00A31276"/>
    <w:rsid w:val="00A31D8A"/>
    <w:rsid w:val="00A31F98"/>
    <w:rsid w:val="00A40BB9"/>
    <w:rsid w:val="00A42794"/>
    <w:rsid w:val="00A44237"/>
    <w:rsid w:val="00A45820"/>
    <w:rsid w:val="00A45D22"/>
    <w:rsid w:val="00A4621E"/>
    <w:rsid w:val="00A47791"/>
    <w:rsid w:val="00A47E24"/>
    <w:rsid w:val="00A51BB8"/>
    <w:rsid w:val="00A5384B"/>
    <w:rsid w:val="00A562AA"/>
    <w:rsid w:val="00A567A1"/>
    <w:rsid w:val="00A61E85"/>
    <w:rsid w:val="00A63248"/>
    <w:rsid w:val="00A6337A"/>
    <w:rsid w:val="00A65FAB"/>
    <w:rsid w:val="00A67923"/>
    <w:rsid w:val="00A70C3C"/>
    <w:rsid w:val="00A71FDA"/>
    <w:rsid w:val="00A72188"/>
    <w:rsid w:val="00A72EF2"/>
    <w:rsid w:val="00A73C03"/>
    <w:rsid w:val="00A74362"/>
    <w:rsid w:val="00A74C18"/>
    <w:rsid w:val="00A760B1"/>
    <w:rsid w:val="00A7657E"/>
    <w:rsid w:val="00A778ED"/>
    <w:rsid w:val="00A8011B"/>
    <w:rsid w:val="00A81B60"/>
    <w:rsid w:val="00A820C1"/>
    <w:rsid w:val="00A83A06"/>
    <w:rsid w:val="00A87573"/>
    <w:rsid w:val="00A87BE2"/>
    <w:rsid w:val="00A91081"/>
    <w:rsid w:val="00A93023"/>
    <w:rsid w:val="00A93669"/>
    <w:rsid w:val="00A94188"/>
    <w:rsid w:val="00A94F8B"/>
    <w:rsid w:val="00A9635E"/>
    <w:rsid w:val="00A9740E"/>
    <w:rsid w:val="00AA30AF"/>
    <w:rsid w:val="00AA38F8"/>
    <w:rsid w:val="00AA551C"/>
    <w:rsid w:val="00AA6C55"/>
    <w:rsid w:val="00AB13C2"/>
    <w:rsid w:val="00AB3782"/>
    <w:rsid w:val="00AB5766"/>
    <w:rsid w:val="00AB6619"/>
    <w:rsid w:val="00AB78EA"/>
    <w:rsid w:val="00AC0EF7"/>
    <w:rsid w:val="00AC21BC"/>
    <w:rsid w:val="00AC39D6"/>
    <w:rsid w:val="00AC5415"/>
    <w:rsid w:val="00AC6EE1"/>
    <w:rsid w:val="00AD15F5"/>
    <w:rsid w:val="00AD3267"/>
    <w:rsid w:val="00AD6E2A"/>
    <w:rsid w:val="00AE1444"/>
    <w:rsid w:val="00AE2322"/>
    <w:rsid w:val="00AE7A9B"/>
    <w:rsid w:val="00AF5446"/>
    <w:rsid w:val="00B004E4"/>
    <w:rsid w:val="00B00617"/>
    <w:rsid w:val="00B02537"/>
    <w:rsid w:val="00B039AA"/>
    <w:rsid w:val="00B0615F"/>
    <w:rsid w:val="00B0637A"/>
    <w:rsid w:val="00B078B5"/>
    <w:rsid w:val="00B14E81"/>
    <w:rsid w:val="00B15723"/>
    <w:rsid w:val="00B16E9E"/>
    <w:rsid w:val="00B24C52"/>
    <w:rsid w:val="00B24CBC"/>
    <w:rsid w:val="00B279D2"/>
    <w:rsid w:val="00B27D1A"/>
    <w:rsid w:val="00B31627"/>
    <w:rsid w:val="00B336BB"/>
    <w:rsid w:val="00B33CDB"/>
    <w:rsid w:val="00B340DA"/>
    <w:rsid w:val="00B34EBD"/>
    <w:rsid w:val="00B3531C"/>
    <w:rsid w:val="00B36D2B"/>
    <w:rsid w:val="00B50E1C"/>
    <w:rsid w:val="00B511BD"/>
    <w:rsid w:val="00B542AE"/>
    <w:rsid w:val="00B54F02"/>
    <w:rsid w:val="00B63DA4"/>
    <w:rsid w:val="00B653B6"/>
    <w:rsid w:val="00B718C4"/>
    <w:rsid w:val="00B72E5A"/>
    <w:rsid w:val="00B8025D"/>
    <w:rsid w:val="00B82E44"/>
    <w:rsid w:val="00B84113"/>
    <w:rsid w:val="00B86B9D"/>
    <w:rsid w:val="00B86BE6"/>
    <w:rsid w:val="00B93EB2"/>
    <w:rsid w:val="00B9485E"/>
    <w:rsid w:val="00BA0A8A"/>
    <w:rsid w:val="00BA10E5"/>
    <w:rsid w:val="00BA4BE9"/>
    <w:rsid w:val="00BB1549"/>
    <w:rsid w:val="00BB19DD"/>
    <w:rsid w:val="00BB294F"/>
    <w:rsid w:val="00BB2ABA"/>
    <w:rsid w:val="00BC1C7F"/>
    <w:rsid w:val="00BC3311"/>
    <w:rsid w:val="00BC7A67"/>
    <w:rsid w:val="00BD0EE9"/>
    <w:rsid w:val="00BD2A44"/>
    <w:rsid w:val="00BD65BC"/>
    <w:rsid w:val="00BD6DB0"/>
    <w:rsid w:val="00BD7155"/>
    <w:rsid w:val="00BE296B"/>
    <w:rsid w:val="00BE6728"/>
    <w:rsid w:val="00BE7E80"/>
    <w:rsid w:val="00BF047F"/>
    <w:rsid w:val="00BF11E0"/>
    <w:rsid w:val="00BF1D3E"/>
    <w:rsid w:val="00BF291B"/>
    <w:rsid w:val="00BF616D"/>
    <w:rsid w:val="00C0341D"/>
    <w:rsid w:val="00C03E03"/>
    <w:rsid w:val="00C044D6"/>
    <w:rsid w:val="00C064D6"/>
    <w:rsid w:val="00C122B1"/>
    <w:rsid w:val="00C12FDB"/>
    <w:rsid w:val="00C14468"/>
    <w:rsid w:val="00C201FC"/>
    <w:rsid w:val="00C21A48"/>
    <w:rsid w:val="00C22EEA"/>
    <w:rsid w:val="00C2380C"/>
    <w:rsid w:val="00C23CC4"/>
    <w:rsid w:val="00C263CF"/>
    <w:rsid w:val="00C30FA3"/>
    <w:rsid w:val="00C337AD"/>
    <w:rsid w:val="00C36807"/>
    <w:rsid w:val="00C36887"/>
    <w:rsid w:val="00C41DB3"/>
    <w:rsid w:val="00C4531D"/>
    <w:rsid w:val="00C47942"/>
    <w:rsid w:val="00C63AB7"/>
    <w:rsid w:val="00C641DE"/>
    <w:rsid w:val="00C65348"/>
    <w:rsid w:val="00C65769"/>
    <w:rsid w:val="00C658C9"/>
    <w:rsid w:val="00C71DC6"/>
    <w:rsid w:val="00C7254B"/>
    <w:rsid w:val="00C752C7"/>
    <w:rsid w:val="00C77E8A"/>
    <w:rsid w:val="00C81653"/>
    <w:rsid w:val="00C81CA2"/>
    <w:rsid w:val="00C82156"/>
    <w:rsid w:val="00C83C68"/>
    <w:rsid w:val="00C84E32"/>
    <w:rsid w:val="00C859E3"/>
    <w:rsid w:val="00C93086"/>
    <w:rsid w:val="00C93EEF"/>
    <w:rsid w:val="00C94095"/>
    <w:rsid w:val="00C95CB4"/>
    <w:rsid w:val="00CA1146"/>
    <w:rsid w:val="00CA2C95"/>
    <w:rsid w:val="00CA3E99"/>
    <w:rsid w:val="00CA4E0E"/>
    <w:rsid w:val="00CA605D"/>
    <w:rsid w:val="00CB667D"/>
    <w:rsid w:val="00CB7B50"/>
    <w:rsid w:val="00CC0F2C"/>
    <w:rsid w:val="00CC3137"/>
    <w:rsid w:val="00CC3F39"/>
    <w:rsid w:val="00CC4B00"/>
    <w:rsid w:val="00CC4F19"/>
    <w:rsid w:val="00CC6827"/>
    <w:rsid w:val="00CC7D7A"/>
    <w:rsid w:val="00CD05E9"/>
    <w:rsid w:val="00CD1E48"/>
    <w:rsid w:val="00CE1714"/>
    <w:rsid w:val="00CE663A"/>
    <w:rsid w:val="00CF2EE3"/>
    <w:rsid w:val="00CF799D"/>
    <w:rsid w:val="00D00972"/>
    <w:rsid w:val="00D00CA9"/>
    <w:rsid w:val="00D024CA"/>
    <w:rsid w:val="00D04B91"/>
    <w:rsid w:val="00D050FB"/>
    <w:rsid w:val="00D07499"/>
    <w:rsid w:val="00D10024"/>
    <w:rsid w:val="00D1254D"/>
    <w:rsid w:val="00D13E7C"/>
    <w:rsid w:val="00D14AAD"/>
    <w:rsid w:val="00D20297"/>
    <w:rsid w:val="00D22BDC"/>
    <w:rsid w:val="00D238C4"/>
    <w:rsid w:val="00D23E62"/>
    <w:rsid w:val="00D244D3"/>
    <w:rsid w:val="00D24E7A"/>
    <w:rsid w:val="00D25E7C"/>
    <w:rsid w:val="00D350DF"/>
    <w:rsid w:val="00D355E2"/>
    <w:rsid w:val="00D36D43"/>
    <w:rsid w:val="00D4041D"/>
    <w:rsid w:val="00D43B4C"/>
    <w:rsid w:val="00D45B78"/>
    <w:rsid w:val="00D4611B"/>
    <w:rsid w:val="00D503DA"/>
    <w:rsid w:val="00D515FD"/>
    <w:rsid w:val="00D5203A"/>
    <w:rsid w:val="00D56FA3"/>
    <w:rsid w:val="00D63ABB"/>
    <w:rsid w:val="00D63F86"/>
    <w:rsid w:val="00D646A2"/>
    <w:rsid w:val="00D66CA8"/>
    <w:rsid w:val="00D72768"/>
    <w:rsid w:val="00D73439"/>
    <w:rsid w:val="00D75AFE"/>
    <w:rsid w:val="00D85702"/>
    <w:rsid w:val="00D92126"/>
    <w:rsid w:val="00D9227B"/>
    <w:rsid w:val="00D93049"/>
    <w:rsid w:val="00D950EC"/>
    <w:rsid w:val="00D95F1B"/>
    <w:rsid w:val="00D96629"/>
    <w:rsid w:val="00DA25EC"/>
    <w:rsid w:val="00DA2771"/>
    <w:rsid w:val="00DA61B5"/>
    <w:rsid w:val="00DC0F8F"/>
    <w:rsid w:val="00DC2081"/>
    <w:rsid w:val="00DC2C82"/>
    <w:rsid w:val="00DC59EA"/>
    <w:rsid w:val="00DD5BAF"/>
    <w:rsid w:val="00DE47F1"/>
    <w:rsid w:val="00DE487C"/>
    <w:rsid w:val="00DF0044"/>
    <w:rsid w:val="00DF13A5"/>
    <w:rsid w:val="00DF14BF"/>
    <w:rsid w:val="00DF1F25"/>
    <w:rsid w:val="00DF531E"/>
    <w:rsid w:val="00E0002E"/>
    <w:rsid w:val="00E10684"/>
    <w:rsid w:val="00E10FAC"/>
    <w:rsid w:val="00E139BC"/>
    <w:rsid w:val="00E17595"/>
    <w:rsid w:val="00E210EA"/>
    <w:rsid w:val="00E21892"/>
    <w:rsid w:val="00E23E47"/>
    <w:rsid w:val="00E2426B"/>
    <w:rsid w:val="00E260D7"/>
    <w:rsid w:val="00E26BF9"/>
    <w:rsid w:val="00E342DD"/>
    <w:rsid w:val="00E3466D"/>
    <w:rsid w:val="00E373E6"/>
    <w:rsid w:val="00E3793D"/>
    <w:rsid w:val="00E431B9"/>
    <w:rsid w:val="00E44F74"/>
    <w:rsid w:val="00E455B8"/>
    <w:rsid w:val="00E46DE3"/>
    <w:rsid w:val="00E47AA5"/>
    <w:rsid w:val="00E507A6"/>
    <w:rsid w:val="00E50990"/>
    <w:rsid w:val="00E51613"/>
    <w:rsid w:val="00E53EBA"/>
    <w:rsid w:val="00E54D82"/>
    <w:rsid w:val="00E57257"/>
    <w:rsid w:val="00E60362"/>
    <w:rsid w:val="00E64A4D"/>
    <w:rsid w:val="00E66449"/>
    <w:rsid w:val="00E73033"/>
    <w:rsid w:val="00E740C5"/>
    <w:rsid w:val="00E74BF4"/>
    <w:rsid w:val="00E757BD"/>
    <w:rsid w:val="00E75B5E"/>
    <w:rsid w:val="00E77E30"/>
    <w:rsid w:val="00E802B2"/>
    <w:rsid w:val="00E8510C"/>
    <w:rsid w:val="00E8588B"/>
    <w:rsid w:val="00E90EA5"/>
    <w:rsid w:val="00E910D1"/>
    <w:rsid w:val="00E94B5E"/>
    <w:rsid w:val="00E97187"/>
    <w:rsid w:val="00E974FC"/>
    <w:rsid w:val="00EA3255"/>
    <w:rsid w:val="00EA4087"/>
    <w:rsid w:val="00EA458F"/>
    <w:rsid w:val="00EA721B"/>
    <w:rsid w:val="00EA75F2"/>
    <w:rsid w:val="00EA7AFB"/>
    <w:rsid w:val="00EB6710"/>
    <w:rsid w:val="00EB6CA7"/>
    <w:rsid w:val="00EB6F8E"/>
    <w:rsid w:val="00EC045D"/>
    <w:rsid w:val="00EC0D80"/>
    <w:rsid w:val="00EC1199"/>
    <w:rsid w:val="00EC1932"/>
    <w:rsid w:val="00EC3B91"/>
    <w:rsid w:val="00EC7CA6"/>
    <w:rsid w:val="00ED1476"/>
    <w:rsid w:val="00ED24DD"/>
    <w:rsid w:val="00ED638A"/>
    <w:rsid w:val="00EE0A04"/>
    <w:rsid w:val="00EE51CF"/>
    <w:rsid w:val="00EE5D55"/>
    <w:rsid w:val="00EE5F2E"/>
    <w:rsid w:val="00EF0189"/>
    <w:rsid w:val="00EF1444"/>
    <w:rsid w:val="00EF34F2"/>
    <w:rsid w:val="00EF432F"/>
    <w:rsid w:val="00EF7017"/>
    <w:rsid w:val="00F010C8"/>
    <w:rsid w:val="00F03653"/>
    <w:rsid w:val="00F04D56"/>
    <w:rsid w:val="00F10D82"/>
    <w:rsid w:val="00F137A2"/>
    <w:rsid w:val="00F14E9A"/>
    <w:rsid w:val="00F17FEF"/>
    <w:rsid w:val="00F20738"/>
    <w:rsid w:val="00F227B6"/>
    <w:rsid w:val="00F24D89"/>
    <w:rsid w:val="00F275DE"/>
    <w:rsid w:val="00F331C1"/>
    <w:rsid w:val="00F341E4"/>
    <w:rsid w:val="00F36615"/>
    <w:rsid w:val="00F37827"/>
    <w:rsid w:val="00F40C05"/>
    <w:rsid w:val="00F40DBA"/>
    <w:rsid w:val="00F43A5C"/>
    <w:rsid w:val="00F4487F"/>
    <w:rsid w:val="00F44ADE"/>
    <w:rsid w:val="00F44B65"/>
    <w:rsid w:val="00F464FB"/>
    <w:rsid w:val="00F50442"/>
    <w:rsid w:val="00F50D5A"/>
    <w:rsid w:val="00F54C56"/>
    <w:rsid w:val="00F55144"/>
    <w:rsid w:val="00F64D2F"/>
    <w:rsid w:val="00F70124"/>
    <w:rsid w:val="00F7048B"/>
    <w:rsid w:val="00F7140A"/>
    <w:rsid w:val="00F73AE9"/>
    <w:rsid w:val="00F74446"/>
    <w:rsid w:val="00F81CA5"/>
    <w:rsid w:val="00F8507E"/>
    <w:rsid w:val="00F9262D"/>
    <w:rsid w:val="00F94B34"/>
    <w:rsid w:val="00F97173"/>
    <w:rsid w:val="00FA2509"/>
    <w:rsid w:val="00FA3AC3"/>
    <w:rsid w:val="00FA5C68"/>
    <w:rsid w:val="00FA7765"/>
    <w:rsid w:val="00FB3BD8"/>
    <w:rsid w:val="00FB4B6F"/>
    <w:rsid w:val="00FB5D66"/>
    <w:rsid w:val="00FB6C02"/>
    <w:rsid w:val="00FC00DE"/>
    <w:rsid w:val="00FC37B0"/>
    <w:rsid w:val="00FC3EF8"/>
    <w:rsid w:val="00FC4A78"/>
    <w:rsid w:val="00FC7CFA"/>
    <w:rsid w:val="00FD1339"/>
    <w:rsid w:val="00FD2515"/>
    <w:rsid w:val="00FE0888"/>
    <w:rsid w:val="00FE1BFA"/>
    <w:rsid w:val="00FE7E06"/>
    <w:rsid w:val="00FF23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62DDC"/>
    <w:rPr>
      <w:rFonts w:ascii="Times New Roman" w:eastAsia="Times New Roman" w:hAnsi="Times New Roman"/>
    </w:rPr>
  </w:style>
  <w:style w:type="paragraph" w:styleId="Heading1">
    <w:name w:val="heading 1"/>
    <w:basedOn w:val="Normal"/>
    <w:next w:val="Normal"/>
    <w:link w:val="Heading1Char"/>
    <w:uiPriority w:val="9"/>
    <w:qFormat/>
    <w:rsid w:val="00B9485E"/>
    <w:pPr>
      <w:keepNext/>
      <w:keepLines/>
      <w:spacing w:before="480"/>
      <w:outlineLvl w:val="0"/>
    </w:pPr>
    <w:rPr>
      <w:rFonts w:ascii="Calibri" w:eastAsia="ＭＳ ゴシック" w:hAnsi="Calibri"/>
      <w:b/>
      <w:bCs/>
      <w:color w:val="345A8A"/>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D4"/>
    <w:pPr>
      <w:ind w:left="720"/>
      <w:contextualSpacing/>
    </w:pPr>
  </w:style>
  <w:style w:type="paragraph" w:styleId="EndnoteText">
    <w:name w:val="endnote text"/>
    <w:basedOn w:val="Normal"/>
    <w:link w:val="EndnoteTextChar"/>
    <w:uiPriority w:val="99"/>
    <w:unhideWhenUsed/>
    <w:rsid w:val="0013427D"/>
    <w:pPr>
      <w:autoSpaceDE w:val="0"/>
      <w:autoSpaceDN w:val="0"/>
      <w:adjustRightInd w:val="0"/>
      <w:spacing w:line="480" w:lineRule="auto"/>
      <w:ind w:firstLine="720"/>
    </w:pPr>
    <w:rPr>
      <w:rFonts w:eastAsia="Calibri"/>
      <w:bCs/>
      <w:sz w:val="20"/>
      <w:szCs w:val="20"/>
    </w:rPr>
  </w:style>
  <w:style w:type="character" w:customStyle="1" w:styleId="EndnoteTextChar">
    <w:name w:val="Endnote Text Char"/>
    <w:link w:val="EndnoteText"/>
    <w:uiPriority w:val="99"/>
    <w:rsid w:val="0013427D"/>
    <w:rPr>
      <w:rFonts w:ascii="Times New Roman" w:eastAsia="Calibri" w:hAnsi="Times New Roman" w:cs="Times New Roman"/>
      <w:bCs/>
      <w:sz w:val="20"/>
      <w:szCs w:val="20"/>
    </w:rPr>
  </w:style>
  <w:style w:type="character" w:styleId="EndnoteReference">
    <w:name w:val="endnote reference"/>
    <w:uiPriority w:val="99"/>
    <w:unhideWhenUsed/>
    <w:rsid w:val="0013427D"/>
    <w:rPr>
      <w:vertAlign w:val="superscript"/>
    </w:rPr>
  </w:style>
  <w:style w:type="paragraph" w:styleId="FootnoteText">
    <w:name w:val="footnote text"/>
    <w:basedOn w:val="Normal"/>
    <w:link w:val="FootnoteTextChar"/>
    <w:unhideWhenUsed/>
    <w:rsid w:val="00077611"/>
  </w:style>
  <w:style w:type="character" w:customStyle="1" w:styleId="FootnoteTextChar">
    <w:name w:val="Footnote Text Char"/>
    <w:link w:val="FootnoteText"/>
    <w:rsid w:val="00077611"/>
    <w:rPr>
      <w:rFonts w:ascii="Times New Roman" w:eastAsia="Times New Roman" w:hAnsi="Times New Roman" w:cs="Times New Roman"/>
    </w:rPr>
  </w:style>
  <w:style w:type="character" w:styleId="FootnoteReference">
    <w:name w:val="footnote reference"/>
    <w:unhideWhenUsed/>
    <w:rsid w:val="00077611"/>
    <w:rPr>
      <w:vertAlign w:val="superscript"/>
    </w:rPr>
  </w:style>
  <w:style w:type="paragraph" w:styleId="BalloonText">
    <w:name w:val="Balloon Text"/>
    <w:basedOn w:val="Normal"/>
    <w:link w:val="BalloonTextChar"/>
    <w:uiPriority w:val="99"/>
    <w:semiHidden/>
    <w:unhideWhenUsed/>
    <w:rsid w:val="007345AC"/>
    <w:rPr>
      <w:rFonts w:ascii="Lucida Grande" w:hAnsi="Lucida Grande" w:cs="Lucida Grande"/>
      <w:sz w:val="18"/>
      <w:szCs w:val="18"/>
    </w:rPr>
  </w:style>
  <w:style w:type="character" w:customStyle="1" w:styleId="BalloonTextChar">
    <w:name w:val="Balloon Text Char"/>
    <w:link w:val="BalloonText"/>
    <w:uiPriority w:val="99"/>
    <w:semiHidden/>
    <w:rsid w:val="007345AC"/>
    <w:rPr>
      <w:rFonts w:ascii="Lucida Grande" w:eastAsia="Times New Roman" w:hAnsi="Lucida Grande" w:cs="Lucida Grande"/>
      <w:sz w:val="18"/>
      <w:szCs w:val="18"/>
    </w:rPr>
  </w:style>
  <w:style w:type="character" w:customStyle="1" w:styleId="apple-style-span">
    <w:name w:val="apple-style-span"/>
    <w:rsid w:val="00BF291B"/>
  </w:style>
  <w:style w:type="character" w:customStyle="1" w:styleId="apple-converted-space">
    <w:name w:val="apple-converted-space"/>
    <w:rsid w:val="00BF291B"/>
  </w:style>
  <w:style w:type="character" w:styleId="Hyperlink">
    <w:name w:val="Hyperlink"/>
    <w:rsid w:val="009549ED"/>
    <w:rPr>
      <w:color w:val="0000FF"/>
      <w:u w:val="single"/>
    </w:rPr>
  </w:style>
  <w:style w:type="paragraph" w:customStyle="1" w:styleId="Default">
    <w:name w:val="Default"/>
    <w:rsid w:val="009549ED"/>
    <w:pPr>
      <w:widowControl w:val="0"/>
      <w:autoSpaceDE w:val="0"/>
      <w:autoSpaceDN w:val="0"/>
      <w:adjustRightInd w:val="0"/>
    </w:pPr>
    <w:rPr>
      <w:rFonts w:ascii="Brooklynesque" w:eastAsia="Times New Roman" w:hAnsi="Brooklynesque" w:cs="Brooklynesque"/>
      <w:color w:val="000000"/>
    </w:rPr>
  </w:style>
  <w:style w:type="paragraph" w:customStyle="1" w:styleId="Pa0">
    <w:name w:val="Pa0"/>
    <w:basedOn w:val="Default"/>
    <w:next w:val="Default"/>
    <w:uiPriority w:val="99"/>
    <w:rsid w:val="009549ED"/>
    <w:pPr>
      <w:spacing w:line="241" w:lineRule="atLeast"/>
    </w:pPr>
    <w:rPr>
      <w:rFonts w:cs="Times New Roman"/>
      <w:color w:val="auto"/>
    </w:rPr>
  </w:style>
  <w:style w:type="paragraph" w:styleId="NormalWeb">
    <w:name w:val="Normal (Web)"/>
    <w:basedOn w:val="Normal"/>
    <w:rsid w:val="009B7808"/>
    <w:pPr>
      <w:spacing w:before="100" w:beforeAutospacing="1" w:after="100" w:afterAutospacing="1"/>
    </w:pPr>
  </w:style>
  <w:style w:type="character" w:customStyle="1" w:styleId="Heading1Char">
    <w:name w:val="Heading 1 Char"/>
    <w:link w:val="Heading1"/>
    <w:uiPriority w:val="9"/>
    <w:rsid w:val="00B9485E"/>
    <w:rPr>
      <w:rFonts w:ascii="Calibri" w:eastAsia="ＭＳ ゴシック" w:hAnsi="Calibri"/>
      <w:b/>
      <w:bCs/>
      <w:color w:val="345A8A"/>
      <w:sz w:val="32"/>
      <w:szCs w:val="32"/>
      <w:lang w:eastAsia="ja-JP"/>
    </w:rPr>
  </w:style>
  <w:style w:type="character" w:styleId="FollowedHyperlink">
    <w:name w:val="FollowedHyperlink"/>
    <w:basedOn w:val="DefaultParagraphFont"/>
    <w:uiPriority w:val="99"/>
    <w:semiHidden/>
    <w:unhideWhenUsed/>
    <w:rsid w:val="000B692B"/>
    <w:rPr>
      <w:color w:val="800080" w:themeColor="followedHyperlink"/>
      <w:u w:val="single"/>
    </w:rPr>
  </w:style>
  <w:style w:type="character" w:customStyle="1" w:styleId="reference-text">
    <w:name w:val="reference-text"/>
    <w:basedOn w:val="DefaultParagraphFont"/>
    <w:rsid w:val="0007598F"/>
  </w:style>
  <w:style w:type="paragraph" w:customStyle="1" w:styleId="NormalLinespacingDouble">
    <w:name w:val="Normal + Line spacing:  Double"/>
    <w:basedOn w:val="Normal"/>
    <w:rsid w:val="007168BD"/>
    <w:pPr>
      <w:spacing w:line="480" w:lineRule="auto"/>
    </w:pPr>
    <w:rPr>
      <w:rFonts w:eastAsia="MS Mincho"/>
      <w:lang w:eastAsia="ja-JP"/>
    </w:rPr>
  </w:style>
  <w:style w:type="character" w:styleId="Emphasis">
    <w:name w:val="Emphasis"/>
    <w:uiPriority w:val="20"/>
    <w:qFormat/>
    <w:rsid w:val="00F227B6"/>
    <w:rPr>
      <w:i/>
      <w:iCs/>
    </w:rPr>
  </w:style>
  <w:style w:type="paragraph" w:styleId="Header">
    <w:name w:val="header"/>
    <w:basedOn w:val="Normal"/>
    <w:link w:val="HeaderChar"/>
    <w:uiPriority w:val="99"/>
    <w:unhideWhenUsed/>
    <w:rsid w:val="00E342DD"/>
    <w:pPr>
      <w:tabs>
        <w:tab w:val="center" w:pos="4320"/>
        <w:tab w:val="right" w:pos="8640"/>
      </w:tabs>
    </w:pPr>
  </w:style>
  <w:style w:type="character" w:customStyle="1" w:styleId="HeaderChar">
    <w:name w:val="Header Char"/>
    <w:basedOn w:val="DefaultParagraphFont"/>
    <w:link w:val="Header"/>
    <w:uiPriority w:val="99"/>
    <w:rsid w:val="00E342DD"/>
    <w:rPr>
      <w:rFonts w:ascii="Times New Roman" w:eastAsia="Times New Roman" w:hAnsi="Times New Roman"/>
      <w:sz w:val="24"/>
      <w:szCs w:val="24"/>
    </w:rPr>
  </w:style>
  <w:style w:type="paragraph" w:styleId="Footer">
    <w:name w:val="footer"/>
    <w:basedOn w:val="Normal"/>
    <w:link w:val="FooterChar"/>
    <w:uiPriority w:val="99"/>
    <w:unhideWhenUsed/>
    <w:rsid w:val="00E342DD"/>
    <w:pPr>
      <w:tabs>
        <w:tab w:val="center" w:pos="4320"/>
        <w:tab w:val="right" w:pos="8640"/>
      </w:tabs>
    </w:pPr>
  </w:style>
  <w:style w:type="character" w:customStyle="1" w:styleId="FooterChar">
    <w:name w:val="Footer Char"/>
    <w:basedOn w:val="DefaultParagraphFont"/>
    <w:link w:val="Footer"/>
    <w:uiPriority w:val="99"/>
    <w:rsid w:val="00E342DD"/>
    <w:rPr>
      <w:rFonts w:ascii="Times New Roman" w:eastAsia="Times New Roman" w:hAnsi="Times New Roman"/>
      <w:sz w:val="24"/>
      <w:szCs w:val="24"/>
    </w:rPr>
  </w:style>
  <w:style w:type="character" w:styleId="PageNumber">
    <w:name w:val="page number"/>
    <w:basedOn w:val="DefaultParagraphFont"/>
    <w:uiPriority w:val="99"/>
    <w:semiHidden/>
    <w:unhideWhenUsed/>
    <w:rsid w:val="005D04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62DDC"/>
    <w:rPr>
      <w:rFonts w:ascii="Times New Roman" w:eastAsia="Times New Roman" w:hAnsi="Times New Roman"/>
    </w:rPr>
  </w:style>
  <w:style w:type="paragraph" w:styleId="Heading1">
    <w:name w:val="heading 1"/>
    <w:basedOn w:val="Normal"/>
    <w:next w:val="Normal"/>
    <w:link w:val="Heading1Char"/>
    <w:uiPriority w:val="9"/>
    <w:qFormat/>
    <w:rsid w:val="00B9485E"/>
    <w:pPr>
      <w:keepNext/>
      <w:keepLines/>
      <w:spacing w:before="480"/>
      <w:outlineLvl w:val="0"/>
    </w:pPr>
    <w:rPr>
      <w:rFonts w:ascii="Calibri" w:eastAsia="ＭＳ ゴシック" w:hAnsi="Calibri"/>
      <w:b/>
      <w:bCs/>
      <w:color w:val="345A8A"/>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D4"/>
    <w:pPr>
      <w:ind w:left="720"/>
      <w:contextualSpacing/>
    </w:pPr>
  </w:style>
  <w:style w:type="paragraph" w:styleId="EndnoteText">
    <w:name w:val="endnote text"/>
    <w:basedOn w:val="Normal"/>
    <w:link w:val="EndnoteTextChar"/>
    <w:uiPriority w:val="99"/>
    <w:unhideWhenUsed/>
    <w:rsid w:val="0013427D"/>
    <w:pPr>
      <w:autoSpaceDE w:val="0"/>
      <w:autoSpaceDN w:val="0"/>
      <w:adjustRightInd w:val="0"/>
      <w:spacing w:line="480" w:lineRule="auto"/>
      <w:ind w:firstLine="720"/>
    </w:pPr>
    <w:rPr>
      <w:rFonts w:eastAsia="Calibri"/>
      <w:bCs/>
      <w:sz w:val="20"/>
      <w:szCs w:val="20"/>
    </w:rPr>
  </w:style>
  <w:style w:type="character" w:customStyle="1" w:styleId="EndnoteTextChar">
    <w:name w:val="Endnote Text Char"/>
    <w:link w:val="EndnoteText"/>
    <w:uiPriority w:val="99"/>
    <w:rsid w:val="0013427D"/>
    <w:rPr>
      <w:rFonts w:ascii="Times New Roman" w:eastAsia="Calibri" w:hAnsi="Times New Roman" w:cs="Times New Roman"/>
      <w:bCs/>
      <w:sz w:val="20"/>
      <w:szCs w:val="20"/>
    </w:rPr>
  </w:style>
  <w:style w:type="character" w:styleId="EndnoteReference">
    <w:name w:val="endnote reference"/>
    <w:uiPriority w:val="99"/>
    <w:unhideWhenUsed/>
    <w:rsid w:val="0013427D"/>
    <w:rPr>
      <w:vertAlign w:val="superscript"/>
    </w:rPr>
  </w:style>
  <w:style w:type="paragraph" w:styleId="FootnoteText">
    <w:name w:val="footnote text"/>
    <w:basedOn w:val="Normal"/>
    <w:link w:val="FootnoteTextChar"/>
    <w:unhideWhenUsed/>
    <w:rsid w:val="00077611"/>
  </w:style>
  <w:style w:type="character" w:customStyle="1" w:styleId="FootnoteTextChar">
    <w:name w:val="Footnote Text Char"/>
    <w:link w:val="FootnoteText"/>
    <w:rsid w:val="00077611"/>
    <w:rPr>
      <w:rFonts w:ascii="Times New Roman" w:eastAsia="Times New Roman" w:hAnsi="Times New Roman" w:cs="Times New Roman"/>
    </w:rPr>
  </w:style>
  <w:style w:type="character" w:styleId="FootnoteReference">
    <w:name w:val="footnote reference"/>
    <w:unhideWhenUsed/>
    <w:rsid w:val="00077611"/>
    <w:rPr>
      <w:vertAlign w:val="superscript"/>
    </w:rPr>
  </w:style>
  <w:style w:type="paragraph" w:styleId="BalloonText">
    <w:name w:val="Balloon Text"/>
    <w:basedOn w:val="Normal"/>
    <w:link w:val="BalloonTextChar"/>
    <w:uiPriority w:val="99"/>
    <w:semiHidden/>
    <w:unhideWhenUsed/>
    <w:rsid w:val="007345AC"/>
    <w:rPr>
      <w:rFonts w:ascii="Lucida Grande" w:hAnsi="Lucida Grande" w:cs="Lucida Grande"/>
      <w:sz w:val="18"/>
      <w:szCs w:val="18"/>
    </w:rPr>
  </w:style>
  <w:style w:type="character" w:customStyle="1" w:styleId="BalloonTextChar">
    <w:name w:val="Balloon Text Char"/>
    <w:link w:val="BalloonText"/>
    <w:uiPriority w:val="99"/>
    <w:semiHidden/>
    <w:rsid w:val="007345AC"/>
    <w:rPr>
      <w:rFonts w:ascii="Lucida Grande" w:eastAsia="Times New Roman" w:hAnsi="Lucida Grande" w:cs="Lucida Grande"/>
      <w:sz w:val="18"/>
      <w:szCs w:val="18"/>
    </w:rPr>
  </w:style>
  <w:style w:type="character" w:customStyle="1" w:styleId="apple-style-span">
    <w:name w:val="apple-style-span"/>
    <w:rsid w:val="00BF291B"/>
  </w:style>
  <w:style w:type="character" w:customStyle="1" w:styleId="apple-converted-space">
    <w:name w:val="apple-converted-space"/>
    <w:rsid w:val="00BF291B"/>
  </w:style>
  <w:style w:type="character" w:styleId="Hyperlink">
    <w:name w:val="Hyperlink"/>
    <w:rsid w:val="009549ED"/>
    <w:rPr>
      <w:color w:val="0000FF"/>
      <w:u w:val="single"/>
    </w:rPr>
  </w:style>
  <w:style w:type="paragraph" w:customStyle="1" w:styleId="Default">
    <w:name w:val="Default"/>
    <w:rsid w:val="009549ED"/>
    <w:pPr>
      <w:widowControl w:val="0"/>
      <w:autoSpaceDE w:val="0"/>
      <w:autoSpaceDN w:val="0"/>
      <w:adjustRightInd w:val="0"/>
    </w:pPr>
    <w:rPr>
      <w:rFonts w:ascii="Brooklynesque" w:eastAsia="Times New Roman" w:hAnsi="Brooklynesque" w:cs="Brooklynesque"/>
      <w:color w:val="000000"/>
    </w:rPr>
  </w:style>
  <w:style w:type="paragraph" w:customStyle="1" w:styleId="Pa0">
    <w:name w:val="Pa0"/>
    <w:basedOn w:val="Default"/>
    <w:next w:val="Default"/>
    <w:uiPriority w:val="99"/>
    <w:rsid w:val="009549ED"/>
    <w:pPr>
      <w:spacing w:line="241" w:lineRule="atLeast"/>
    </w:pPr>
    <w:rPr>
      <w:rFonts w:cs="Times New Roman"/>
      <w:color w:val="auto"/>
    </w:rPr>
  </w:style>
  <w:style w:type="paragraph" w:styleId="NormalWeb">
    <w:name w:val="Normal (Web)"/>
    <w:basedOn w:val="Normal"/>
    <w:rsid w:val="009B7808"/>
    <w:pPr>
      <w:spacing w:before="100" w:beforeAutospacing="1" w:after="100" w:afterAutospacing="1"/>
    </w:pPr>
  </w:style>
  <w:style w:type="character" w:customStyle="1" w:styleId="Heading1Char">
    <w:name w:val="Heading 1 Char"/>
    <w:link w:val="Heading1"/>
    <w:uiPriority w:val="9"/>
    <w:rsid w:val="00B9485E"/>
    <w:rPr>
      <w:rFonts w:ascii="Calibri" w:eastAsia="ＭＳ ゴシック" w:hAnsi="Calibri"/>
      <w:b/>
      <w:bCs/>
      <w:color w:val="345A8A"/>
      <w:sz w:val="32"/>
      <w:szCs w:val="32"/>
      <w:lang w:eastAsia="ja-JP"/>
    </w:rPr>
  </w:style>
  <w:style w:type="character" w:styleId="FollowedHyperlink">
    <w:name w:val="FollowedHyperlink"/>
    <w:basedOn w:val="DefaultParagraphFont"/>
    <w:uiPriority w:val="99"/>
    <w:semiHidden/>
    <w:unhideWhenUsed/>
    <w:rsid w:val="000B692B"/>
    <w:rPr>
      <w:color w:val="800080" w:themeColor="followedHyperlink"/>
      <w:u w:val="single"/>
    </w:rPr>
  </w:style>
  <w:style w:type="character" w:customStyle="1" w:styleId="reference-text">
    <w:name w:val="reference-text"/>
    <w:basedOn w:val="DefaultParagraphFont"/>
    <w:rsid w:val="0007598F"/>
  </w:style>
  <w:style w:type="paragraph" w:customStyle="1" w:styleId="NormalLinespacingDouble">
    <w:name w:val="Normal + Line spacing:  Double"/>
    <w:basedOn w:val="Normal"/>
    <w:rsid w:val="007168BD"/>
    <w:pPr>
      <w:spacing w:line="480" w:lineRule="auto"/>
    </w:pPr>
    <w:rPr>
      <w:rFonts w:eastAsia="MS Mincho"/>
      <w:lang w:eastAsia="ja-JP"/>
    </w:rPr>
  </w:style>
  <w:style w:type="character" w:styleId="Emphasis">
    <w:name w:val="Emphasis"/>
    <w:uiPriority w:val="20"/>
    <w:qFormat/>
    <w:rsid w:val="00F227B6"/>
    <w:rPr>
      <w:i/>
      <w:iCs/>
    </w:rPr>
  </w:style>
  <w:style w:type="paragraph" w:styleId="Header">
    <w:name w:val="header"/>
    <w:basedOn w:val="Normal"/>
    <w:link w:val="HeaderChar"/>
    <w:uiPriority w:val="99"/>
    <w:unhideWhenUsed/>
    <w:rsid w:val="00E342DD"/>
    <w:pPr>
      <w:tabs>
        <w:tab w:val="center" w:pos="4320"/>
        <w:tab w:val="right" w:pos="8640"/>
      </w:tabs>
    </w:pPr>
  </w:style>
  <w:style w:type="character" w:customStyle="1" w:styleId="HeaderChar">
    <w:name w:val="Header Char"/>
    <w:basedOn w:val="DefaultParagraphFont"/>
    <w:link w:val="Header"/>
    <w:uiPriority w:val="99"/>
    <w:rsid w:val="00E342DD"/>
    <w:rPr>
      <w:rFonts w:ascii="Times New Roman" w:eastAsia="Times New Roman" w:hAnsi="Times New Roman"/>
      <w:sz w:val="24"/>
      <w:szCs w:val="24"/>
    </w:rPr>
  </w:style>
  <w:style w:type="paragraph" w:styleId="Footer">
    <w:name w:val="footer"/>
    <w:basedOn w:val="Normal"/>
    <w:link w:val="FooterChar"/>
    <w:uiPriority w:val="99"/>
    <w:unhideWhenUsed/>
    <w:rsid w:val="00E342DD"/>
    <w:pPr>
      <w:tabs>
        <w:tab w:val="center" w:pos="4320"/>
        <w:tab w:val="right" w:pos="8640"/>
      </w:tabs>
    </w:pPr>
  </w:style>
  <w:style w:type="character" w:customStyle="1" w:styleId="FooterChar">
    <w:name w:val="Footer Char"/>
    <w:basedOn w:val="DefaultParagraphFont"/>
    <w:link w:val="Footer"/>
    <w:uiPriority w:val="99"/>
    <w:rsid w:val="00E342DD"/>
    <w:rPr>
      <w:rFonts w:ascii="Times New Roman" w:eastAsia="Times New Roman" w:hAnsi="Times New Roman"/>
      <w:sz w:val="24"/>
      <w:szCs w:val="24"/>
    </w:rPr>
  </w:style>
  <w:style w:type="character" w:styleId="PageNumber">
    <w:name w:val="page number"/>
    <w:basedOn w:val="DefaultParagraphFont"/>
    <w:uiPriority w:val="99"/>
    <w:semiHidden/>
    <w:unhideWhenUsed/>
    <w:rsid w:val="005D0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9430">
      <w:bodyDiv w:val="1"/>
      <w:marLeft w:val="0"/>
      <w:marRight w:val="0"/>
      <w:marTop w:val="0"/>
      <w:marBottom w:val="0"/>
      <w:divBdr>
        <w:top w:val="none" w:sz="0" w:space="0" w:color="auto"/>
        <w:left w:val="none" w:sz="0" w:space="0" w:color="auto"/>
        <w:bottom w:val="none" w:sz="0" w:space="0" w:color="auto"/>
        <w:right w:val="none" w:sz="0" w:space="0" w:color="auto"/>
      </w:divBdr>
    </w:div>
    <w:div w:id="367728167">
      <w:bodyDiv w:val="1"/>
      <w:marLeft w:val="0"/>
      <w:marRight w:val="0"/>
      <w:marTop w:val="0"/>
      <w:marBottom w:val="0"/>
      <w:divBdr>
        <w:top w:val="none" w:sz="0" w:space="0" w:color="auto"/>
        <w:left w:val="none" w:sz="0" w:space="0" w:color="auto"/>
        <w:bottom w:val="none" w:sz="0" w:space="0" w:color="auto"/>
        <w:right w:val="none" w:sz="0" w:space="0" w:color="auto"/>
      </w:divBdr>
      <w:divsChild>
        <w:div w:id="2010475515">
          <w:marLeft w:val="0"/>
          <w:marRight w:val="0"/>
          <w:marTop w:val="0"/>
          <w:marBottom w:val="0"/>
          <w:divBdr>
            <w:top w:val="none" w:sz="0" w:space="0" w:color="auto"/>
            <w:left w:val="none" w:sz="0" w:space="0" w:color="auto"/>
            <w:bottom w:val="none" w:sz="0" w:space="0" w:color="auto"/>
            <w:right w:val="none" w:sz="0" w:space="0" w:color="auto"/>
          </w:divBdr>
          <w:divsChild>
            <w:div w:id="441922248">
              <w:marLeft w:val="0"/>
              <w:marRight w:val="0"/>
              <w:marTop w:val="0"/>
              <w:marBottom w:val="0"/>
              <w:divBdr>
                <w:top w:val="none" w:sz="0" w:space="0" w:color="auto"/>
                <w:left w:val="none" w:sz="0" w:space="0" w:color="auto"/>
                <w:bottom w:val="none" w:sz="0" w:space="0" w:color="auto"/>
                <w:right w:val="none" w:sz="0" w:space="0" w:color="auto"/>
              </w:divBdr>
            </w:div>
            <w:div w:id="1160538584">
              <w:marLeft w:val="0"/>
              <w:marRight w:val="0"/>
              <w:marTop w:val="0"/>
              <w:marBottom w:val="0"/>
              <w:divBdr>
                <w:top w:val="none" w:sz="0" w:space="0" w:color="auto"/>
                <w:left w:val="none" w:sz="0" w:space="0" w:color="auto"/>
                <w:bottom w:val="none" w:sz="0" w:space="0" w:color="auto"/>
                <w:right w:val="none" w:sz="0" w:space="0" w:color="auto"/>
              </w:divBdr>
            </w:div>
            <w:div w:id="856188043">
              <w:marLeft w:val="0"/>
              <w:marRight w:val="0"/>
              <w:marTop w:val="0"/>
              <w:marBottom w:val="0"/>
              <w:divBdr>
                <w:top w:val="none" w:sz="0" w:space="0" w:color="auto"/>
                <w:left w:val="none" w:sz="0" w:space="0" w:color="auto"/>
                <w:bottom w:val="none" w:sz="0" w:space="0" w:color="auto"/>
                <w:right w:val="none" w:sz="0" w:space="0" w:color="auto"/>
              </w:divBdr>
            </w:div>
            <w:div w:id="1429353139">
              <w:marLeft w:val="0"/>
              <w:marRight w:val="0"/>
              <w:marTop w:val="0"/>
              <w:marBottom w:val="0"/>
              <w:divBdr>
                <w:top w:val="none" w:sz="0" w:space="0" w:color="auto"/>
                <w:left w:val="none" w:sz="0" w:space="0" w:color="auto"/>
                <w:bottom w:val="none" w:sz="0" w:space="0" w:color="auto"/>
                <w:right w:val="none" w:sz="0" w:space="0" w:color="auto"/>
              </w:divBdr>
            </w:div>
            <w:div w:id="98110060">
              <w:marLeft w:val="0"/>
              <w:marRight w:val="0"/>
              <w:marTop w:val="0"/>
              <w:marBottom w:val="0"/>
              <w:divBdr>
                <w:top w:val="none" w:sz="0" w:space="0" w:color="auto"/>
                <w:left w:val="none" w:sz="0" w:space="0" w:color="auto"/>
                <w:bottom w:val="none" w:sz="0" w:space="0" w:color="auto"/>
                <w:right w:val="none" w:sz="0" w:space="0" w:color="auto"/>
              </w:divBdr>
            </w:div>
            <w:div w:id="1774202334">
              <w:marLeft w:val="0"/>
              <w:marRight w:val="0"/>
              <w:marTop w:val="0"/>
              <w:marBottom w:val="0"/>
              <w:divBdr>
                <w:top w:val="none" w:sz="0" w:space="0" w:color="auto"/>
                <w:left w:val="none" w:sz="0" w:space="0" w:color="auto"/>
                <w:bottom w:val="none" w:sz="0" w:space="0" w:color="auto"/>
                <w:right w:val="none" w:sz="0" w:space="0" w:color="auto"/>
              </w:divBdr>
            </w:div>
            <w:div w:id="939141407">
              <w:marLeft w:val="0"/>
              <w:marRight w:val="0"/>
              <w:marTop w:val="0"/>
              <w:marBottom w:val="0"/>
              <w:divBdr>
                <w:top w:val="none" w:sz="0" w:space="0" w:color="auto"/>
                <w:left w:val="none" w:sz="0" w:space="0" w:color="auto"/>
                <w:bottom w:val="none" w:sz="0" w:space="0" w:color="auto"/>
                <w:right w:val="none" w:sz="0" w:space="0" w:color="auto"/>
              </w:divBdr>
            </w:div>
            <w:div w:id="240528437">
              <w:marLeft w:val="0"/>
              <w:marRight w:val="0"/>
              <w:marTop w:val="0"/>
              <w:marBottom w:val="0"/>
              <w:divBdr>
                <w:top w:val="none" w:sz="0" w:space="0" w:color="auto"/>
                <w:left w:val="none" w:sz="0" w:space="0" w:color="auto"/>
                <w:bottom w:val="none" w:sz="0" w:space="0" w:color="auto"/>
                <w:right w:val="none" w:sz="0" w:space="0" w:color="auto"/>
              </w:divBdr>
            </w:div>
            <w:div w:id="359013461">
              <w:marLeft w:val="0"/>
              <w:marRight w:val="0"/>
              <w:marTop w:val="0"/>
              <w:marBottom w:val="0"/>
              <w:divBdr>
                <w:top w:val="none" w:sz="0" w:space="0" w:color="auto"/>
                <w:left w:val="none" w:sz="0" w:space="0" w:color="auto"/>
                <w:bottom w:val="none" w:sz="0" w:space="0" w:color="auto"/>
                <w:right w:val="none" w:sz="0" w:space="0" w:color="auto"/>
              </w:divBdr>
            </w:div>
            <w:div w:id="1751073887">
              <w:marLeft w:val="0"/>
              <w:marRight w:val="0"/>
              <w:marTop w:val="0"/>
              <w:marBottom w:val="0"/>
              <w:divBdr>
                <w:top w:val="none" w:sz="0" w:space="0" w:color="auto"/>
                <w:left w:val="none" w:sz="0" w:space="0" w:color="auto"/>
                <w:bottom w:val="none" w:sz="0" w:space="0" w:color="auto"/>
                <w:right w:val="none" w:sz="0" w:space="0" w:color="auto"/>
              </w:divBdr>
            </w:div>
            <w:div w:id="99880303">
              <w:marLeft w:val="0"/>
              <w:marRight w:val="0"/>
              <w:marTop w:val="0"/>
              <w:marBottom w:val="0"/>
              <w:divBdr>
                <w:top w:val="none" w:sz="0" w:space="0" w:color="auto"/>
                <w:left w:val="none" w:sz="0" w:space="0" w:color="auto"/>
                <w:bottom w:val="none" w:sz="0" w:space="0" w:color="auto"/>
                <w:right w:val="none" w:sz="0" w:space="0" w:color="auto"/>
              </w:divBdr>
            </w:div>
            <w:div w:id="1431850223">
              <w:marLeft w:val="0"/>
              <w:marRight w:val="0"/>
              <w:marTop w:val="0"/>
              <w:marBottom w:val="0"/>
              <w:divBdr>
                <w:top w:val="none" w:sz="0" w:space="0" w:color="auto"/>
                <w:left w:val="none" w:sz="0" w:space="0" w:color="auto"/>
                <w:bottom w:val="none" w:sz="0" w:space="0" w:color="auto"/>
                <w:right w:val="none" w:sz="0" w:space="0" w:color="auto"/>
              </w:divBdr>
            </w:div>
            <w:div w:id="2053336453">
              <w:marLeft w:val="0"/>
              <w:marRight w:val="0"/>
              <w:marTop w:val="0"/>
              <w:marBottom w:val="0"/>
              <w:divBdr>
                <w:top w:val="none" w:sz="0" w:space="0" w:color="auto"/>
                <w:left w:val="none" w:sz="0" w:space="0" w:color="auto"/>
                <w:bottom w:val="none" w:sz="0" w:space="0" w:color="auto"/>
                <w:right w:val="none" w:sz="0" w:space="0" w:color="auto"/>
              </w:divBdr>
            </w:div>
            <w:div w:id="1099368310">
              <w:marLeft w:val="0"/>
              <w:marRight w:val="0"/>
              <w:marTop w:val="0"/>
              <w:marBottom w:val="0"/>
              <w:divBdr>
                <w:top w:val="none" w:sz="0" w:space="0" w:color="auto"/>
                <w:left w:val="none" w:sz="0" w:space="0" w:color="auto"/>
                <w:bottom w:val="none" w:sz="0" w:space="0" w:color="auto"/>
                <w:right w:val="none" w:sz="0" w:space="0" w:color="auto"/>
              </w:divBdr>
            </w:div>
            <w:div w:id="1059281320">
              <w:marLeft w:val="0"/>
              <w:marRight w:val="0"/>
              <w:marTop w:val="0"/>
              <w:marBottom w:val="0"/>
              <w:divBdr>
                <w:top w:val="none" w:sz="0" w:space="0" w:color="auto"/>
                <w:left w:val="none" w:sz="0" w:space="0" w:color="auto"/>
                <w:bottom w:val="none" w:sz="0" w:space="0" w:color="auto"/>
                <w:right w:val="none" w:sz="0" w:space="0" w:color="auto"/>
              </w:divBdr>
            </w:div>
            <w:div w:id="866219966">
              <w:marLeft w:val="0"/>
              <w:marRight w:val="0"/>
              <w:marTop w:val="0"/>
              <w:marBottom w:val="0"/>
              <w:divBdr>
                <w:top w:val="none" w:sz="0" w:space="0" w:color="auto"/>
                <w:left w:val="none" w:sz="0" w:space="0" w:color="auto"/>
                <w:bottom w:val="none" w:sz="0" w:space="0" w:color="auto"/>
                <w:right w:val="none" w:sz="0" w:space="0" w:color="auto"/>
              </w:divBdr>
            </w:div>
            <w:div w:id="1744375196">
              <w:marLeft w:val="0"/>
              <w:marRight w:val="0"/>
              <w:marTop w:val="0"/>
              <w:marBottom w:val="0"/>
              <w:divBdr>
                <w:top w:val="none" w:sz="0" w:space="0" w:color="auto"/>
                <w:left w:val="none" w:sz="0" w:space="0" w:color="auto"/>
                <w:bottom w:val="none" w:sz="0" w:space="0" w:color="auto"/>
                <w:right w:val="none" w:sz="0" w:space="0" w:color="auto"/>
              </w:divBdr>
            </w:div>
            <w:div w:id="411702276">
              <w:marLeft w:val="0"/>
              <w:marRight w:val="0"/>
              <w:marTop w:val="0"/>
              <w:marBottom w:val="0"/>
              <w:divBdr>
                <w:top w:val="none" w:sz="0" w:space="0" w:color="auto"/>
                <w:left w:val="none" w:sz="0" w:space="0" w:color="auto"/>
                <w:bottom w:val="none" w:sz="0" w:space="0" w:color="auto"/>
                <w:right w:val="none" w:sz="0" w:space="0" w:color="auto"/>
              </w:divBdr>
            </w:div>
            <w:div w:id="1987464100">
              <w:marLeft w:val="0"/>
              <w:marRight w:val="0"/>
              <w:marTop w:val="0"/>
              <w:marBottom w:val="0"/>
              <w:divBdr>
                <w:top w:val="none" w:sz="0" w:space="0" w:color="auto"/>
                <w:left w:val="none" w:sz="0" w:space="0" w:color="auto"/>
                <w:bottom w:val="none" w:sz="0" w:space="0" w:color="auto"/>
                <w:right w:val="none" w:sz="0" w:space="0" w:color="auto"/>
              </w:divBdr>
            </w:div>
            <w:div w:id="62605058">
              <w:marLeft w:val="0"/>
              <w:marRight w:val="0"/>
              <w:marTop w:val="0"/>
              <w:marBottom w:val="0"/>
              <w:divBdr>
                <w:top w:val="none" w:sz="0" w:space="0" w:color="auto"/>
                <w:left w:val="none" w:sz="0" w:space="0" w:color="auto"/>
                <w:bottom w:val="none" w:sz="0" w:space="0" w:color="auto"/>
                <w:right w:val="none" w:sz="0" w:space="0" w:color="auto"/>
              </w:divBdr>
            </w:div>
            <w:div w:id="694503529">
              <w:marLeft w:val="0"/>
              <w:marRight w:val="0"/>
              <w:marTop w:val="0"/>
              <w:marBottom w:val="0"/>
              <w:divBdr>
                <w:top w:val="none" w:sz="0" w:space="0" w:color="auto"/>
                <w:left w:val="none" w:sz="0" w:space="0" w:color="auto"/>
                <w:bottom w:val="none" w:sz="0" w:space="0" w:color="auto"/>
                <w:right w:val="none" w:sz="0" w:space="0" w:color="auto"/>
              </w:divBdr>
            </w:div>
            <w:div w:id="2139644073">
              <w:marLeft w:val="0"/>
              <w:marRight w:val="0"/>
              <w:marTop w:val="0"/>
              <w:marBottom w:val="0"/>
              <w:divBdr>
                <w:top w:val="none" w:sz="0" w:space="0" w:color="auto"/>
                <w:left w:val="none" w:sz="0" w:space="0" w:color="auto"/>
                <w:bottom w:val="none" w:sz="0" w:space="0" w:color="auto"/>
                <w:right w:val="none" w:sz="0" w:space="0" w:color="auto"/>
              </w:divBdr>
            </w:div>
            <w:div w:id="1472869666">
              <w:marLeft w:val="0"/>
              <w:marRight w:val="0"/>
              <w:marTop w:val="0"/>
              <w:marBottom w:val="0"/>
              <w:divBdr>
                <w:top w:val="none" w:sz="0" w:space="0" w:color="auto"/>
                <w:left w:val="none" w:sz="0" w:space="0" w:color="auto"/>
                <w:bottom w:val="none" w:sz="0" w:space="0" w:color="auto"/>
                <w:right w:val="none" w:sz="0" w:space="0" w:color="auto"/>
              </w:divBdr>
            </w:div>
            <w:div w:id="1911766851">
              <w:marLeft w:val="0"/>
              <w:marRight w:val="0"/>
              <w:marTop w:val="0"/>
              <w:marBottom w:val="0"/>
              <w:divBdr>
                <w:top w:val="none" w:sz="0" w:space="0" w:color="auto"/>
                <w:left w:val="none" w:sz="0" w:space="0" w:color="auto"/>
                <w:bottom w:val="none" w:sz="0" w:space="0" w:color="auto"/>
                <w:right w:val="none" w:sz="0" w:space="0" w:color="auto"/>
              </w:divBdr>
            </w:div>
            <w:div w:id="2137796883">
              <w:marLeft w:val="0"/>
              <w:marRight w:val="0"/>
              <w:marTop w:val="0"/>
              <w:marBottom w:val="0"/>
              <w:divBdr>
                <w:top w:val="none" w:sz="0" w:space="0" w:color="auto"/>
                <w:left w:val="none" w:sz="0" w:space="0" w:color="auto"/>
                <w:bottom w:val="none" w:sz="0" w:space="0" w:color="auto"/>
                <w:right w:val="none" w:sz="0" w:space="0" w:color="auto"/>
              </w:divBdr>
            </w:div>
            <w:div w:id="734595511">
              <w:marLeft w:val="0"/>
              <w:marRight w:val="0"/>
              <w:marTop w:val="0"/>
              <w:marBottom w:val="0"/>
              <w:divBdr>
                <w:top w:val="none" w:sz="0" w:space="0" w:color="auto"/>
                <w:left w:val="none" w:sz="0" w:space="0" w:color="auto"/>
                <w:bottom w:val="none" w:sz="0" w:space="0" w:color="auto"/>
                <w:right w:val="none" w:sz="0" w:space="0" w:color="auto"/>
              </w:divBdr>
            </w:div>
            <w:div w:id="700278082">
              <w:marLeft w:val="0"/>
              <w:marRight w:val="0"/>
              <w:marTop w:val="0"/>
              <w:marBottom w:val="0"/>
              <w:divBdr>
                <w:top w:val="none" w:sz="0" w:space="0" w:color="auto"/>
                <w:left w:val="none" w:sz="0" w:space="0" w:color="auto"/>
                <w:bottom w:val="none" w:sz="0" w:space="0" w:color="auto"/>
                <w:right w:val="none" w:sz="0" w:space="0" w:color="auto"/>
              </w:divBdr>
            </w:div>
            <w:div w:id="1107383417">
              <w:marLeft w:val="0"/>
              <w:marRight w:val="0"/>
              <w:marTop w:val="0"/>
              <w:marBottom w:val="0"/>
              <w:divBdr>
                <w:top w:val="none" w:sz="0" w:space="0" w:color="auto"/>
                <w:left w:val="none" w:sz="0" w:space="0" w:color="auto"/>
                <w:bottom w:val="none" w:sz="0" w:space="0" w:color="auto"/>
                <w:right w:val="none" w:sz="0" w:space="0" w:color="auto"/>
              </w:divBdr>
            </w:div>
            <w:div w:id="1383406416">
              <w:marLeft w:val="0"/>
              <w:marRight w:val="0"/>
              <w:marTop w:val="0"/>
              <w:marBottom w:val="0"/>
              <w:divBdr>
                <w:top w:val="none" w:sz="0" w:space="0" w:color="auto"/>
                <w:left w:val="none" w:sz="0" w:space="0" w:color="auto"/>
                <w:bottom w:val="none" w:sz="0" w:space="0" w:color="auto"/>
                <w:right w:val="none" w:sz="0" w:space="0" w:color="auto"/>
              </w:divBdr>
            </w:div>
            <w:div w:id="1268581433">
              <w:marLeft w:val="0"/>
              <w:marRight w:val="0"/>
              <w:marTop w:val="0"/>
              <w:marBottom w:val="0"/>
              <w:divBdr>
                <w:top w:val="none" w:sz="0" w:space="0" w:color="auto"/>
                <w:left w:val="none" w:sz="0" w:space="0" w:color="auto"/>
                <w:bottom w:val="none" w:sz="0" w:space="0" w:color="auto"/>
                <w:right w:val="none" w:sz="0" w:space="0" w:color="auto"/>
              </w:divBdr>
            </w:div>
            <w:div w:id="135531059">
              <w:marLeft w:val="0"/>
              <w:marRight w:val="0"/>
              <w:marTop w:val="0"/>
              <w:marBottom w:val="0"/>
              <w:divBdr>
                <w:top w:val="none" w:sz="0" w:space="0" w:color="auto"/>
                <w:left w:val="none" w:sz="0" w:space="0" w:color="auto"/>
                <w:bottom w:val="none" w:sz="0" w:space="0" w:color="auto"/>
                <w:right w:val="none" w:sz="0" w:space="0" w:color="auto"/>
              </w:divBdr>
            </w:div>
            <w:div w:id="1227112389">
              <w:marLeft w:val="0"/>
              <w:marRight w:val="0"/>
              <w:marTop w:val="0"/>
              <w:marBottom w:val="0"/>
              <w:divBdr>
                <w:top w:val="none" w:sz="0" w:space="0" w:color="auto"/>
                <w:left w:val="none" w:sz="0" w:space="0" w:color="auto"/>
                <w:bottom w:val="none" w:sz="0" w:space="0" w:color="auto"/>
                <w:right w:val="none" w:sz="0" w:space="0" w:color="auto"/>
              </w:divBdr>
            </w:div>
            <w:div w:id="2080210521">
              <w:marLeft w:val="0"/>
              <w:marRight w:val="0"/>
              <w:marTop w:val="0"/>
              <w:marBottom w:val="0"/>
              <w:divBdr>
                <w:top w:val="none" w:sz="0" w:space="0" w:color="auto"/>
                <w:left w:val="none" w:sz="0" w:space="0" w:color="auto"/>
                <w:bottom w:val="none" w:sz="0" w:space="0" w:color="auto"/>
                <w:right w:val="none" w:sz="0" w:space="0" w:color="auto"/>
              </w:divBdr>
            </w:div>
            <w:div w:id="1498616652">
              <w:marLeft w:val="0"/>
              <w:marRight w:val="0"/>
              <w:marTop w:val="0"/>
              <w:marBottom w:val="0"/>
              <w:divBdr>
                <w:top w:val="none" w:sz="0" w:space="0" w:color="auto"/>
                <w:left w:val="none" w:sz="0" w:space="0" w:color="auto"/>
                <w:bottom w:val="none" w:sz="0" w:space="0" w:color="auto"/>
                <w:right w:val="none" w:sz="0" w:space="0" w:color="auto"/>
              </w:divBdr>
            </w:div>
            <w:div w:id="1474563951">
              <w:marLeft w:val="0"/>
              <w:marRight w:val="0"/>
              <w:marTop w:val="0"/>
              <w:marBottom w:val="0"/>
              <w:divBdr>
                <w:top w:val="none" w:sz="0" w:space="0" w:color="auto"/>
                <w:left w:val="none" w:sz="0" w:space="0" w:color="auto"/>
                <w:bottom w:val="none" w:sz="0" w:space="0" w:color="auto"/>
                <w:right w:val="none" w:sz="0" w:space="0" w:color="auto"/>
              </w:divBdr>
            </w:div>
            <w:div w:id="346248163">
              <w:marLeft w:val="0"/>
              <w:marRight w:val="0"/>
              <w:marTop w:val="0"/>
              <w:marBottom w:val="0"/>
              <w:divBdr>
                <w:top w:val="none" w:sz="0" w:space="0" w:color="auto"/>
                <w:left w:val="none" w:sz="0" w:space="0" w:color="auto"/>
                <w:bottom w:val="none" w:sz="0" w:space="0" w:color="auto"/>
                <w:right w:val="none" w:sz="0" w:space="0" w:color="auto"/>
              </w:divBdr>
            </w:div>
            <w:div w:id="1142962560">
              <w:marLeft w:val="0"/>
              <w:marRight w:val="0"/>
              <w:marTop w:val="0"/>
              <w:marBottom w:val="0"/>
              <w:divBdr>
                <w:top w:val="none" w:sz="0" w:space="0" w:color="auto"/>
                <w:left w:val="none" w:sz="0" w:space="0" w:color="auto"/>
                <w:bottom w:val="none" w:sz="0" w:space="0" w:color="auto"/>
                <w:right w:val="none" w:sz="0" w:space="0" w:color="auto"/>
              </w:divBdr>
            </w:div>
            <w:div w:id="1904412621">
              <w:marLeft w:val="0"/>
              <w:marRight w:val="0"/>
              <w:marTop w:val="0"/>
              <w:marBottom w:val="0"/>
              <w:divBdr>
                <w:top w:val="none" w:sz="0" w:space="0" w:color="auto"/>
                <w:left w:val="none" w:sz="0" w:space="0" w:color="auto"/>
                <w:bottom w:val="none" w:sz="0" w:space="0" w:color="auto"/>
                <w:right w:val="none" w:sz="0" w:space="0" w:color="auto"/>
              </w:divBdr>
            </w:div>
            <w:div w:id="983267640">
              <w:marLeft w:val="0"/>
              <w:marRight w:val="0"/>
              <w:marTop w:val="0"/>
              <w:marBottom w:val="0"/>
              <w:divBdr>
                <w:top w:val="none" w:sz="0" w:space="0" w:color="auto"/>
                <w:left w:val="none" w:sz="0" w:space="0" w:color="auto"/>
                <w:bottom w:val="none" w:sz="0" w:space="0" w:color="auto"/>
                <w:right w:val="none" w:sz="0" w:space="0" w:color="auto"/>
              </w:divBdr>
            </w:div>
            <w:div w:id="343409331">
              <w:marLeft w:val="0"/>
              <w:marRight w:val="0"/>
              <w:marTop w:val="0"/>
              <w:marBottom w:val="0"/>
              <w:divBdr>
                <w:top w:val="none" w:sz="0" w:space="0" w:color="auto"/>
                <w:left w:val="none" w:sz="0" w:space="0" w:color="auto"/>
                <w:bottom w:val="none" w:sz="0" w:space="0" w:color="auto"/>
                <w:right w:val="none" w:sz="0" w:space="0" w:color="auto"/>
              </w:divBdr>
            </w:div>
            <w:div w:id="616721889">
              <w:marLeft w:val="0"/>
              <w:marRight w:val="0"/>
              <w:marTop w:val="0"/>
              <w:marBottom w:val="0"/>
              <w:divBdr>
                <w:top w:val="none" w:sz="0" w:space="0" w:color="auto"/>
                <w:left w:val="none" w:sz="0" w:space="0" w:color="auto"/>
                <w:bottom w:val="none" w:sz="0" w:space="0" w:color="auto"/>
                <w:right w:val="none" w:sz="0" w:space="0" w:color="auto"/>
              </w:divBdr>
            </w:div>
            <w:div w:id="1865317614">
              <w:marLeft w:val="0"/>
              <w:marRight w:val="0"/>
              <w:marTop w:val="0"/>
              <w:marBottom w:val="0"/>
              <w:divBdr>
                <w:top w:val="none" w:sz="0" w:space="0" w:color="auto"/>
                <w:left w:val="none" w:sz="0" w:space="0" w:color="auto"/>
                <w:bottom w:val="none" w:sz="0" w:space="0" w:color="auto"/>
                <w:right w:val="none" w:sz="0" w:space="0" w:color="auto"/>
              </w:divBdr>
            </w:div>
            <w:div w:id="1561865131">
              <w:marLeft w:val="0"/>
              <w:marRight w:val="0"/>
              <w:marTop w:val="0"/>
              <w:marBottom w:val="0"/>
              <w:divBdr>
                <w:top w:val="none" w:sz="0" w:space="0" w:color="auto"/>
                <w:left w:val="none" w:sz="0" w:space="0" w:color="auto"/>
                <w:bottom w:val="none" w:sz="0" w:space="0" w:color="auto"/>
                <w:right w:val="none" w:sz="0" w:space="0" w:color="auto"/>
              </w:divBdr>
            </w:div>
            <w:div w:id="1304967088">
              <w:marLeft w:val="0"/>
              <w:marRight w:val="0"/>
              <w:marTop w:val="0"/>
              <w:marBottom w:val="0"/>
              <w:divBdr>
                <w:top w:val="none" w:sz="0" w:space="0" w:color="auto"/>
                <w:left w:val="none" w:sz="0" w:space="0" w:color="auto"/>
                <w:bottom w:val="none" w:sz="0" w:space="0" w:color="auto"/>
                <w:right w:val="none" w:sz="0" w:space="0" w:color="auto"/>
              </w:divBdr>
            </w:div>
            <w:div w:id="96682671">
              <w:marLeft w:val="0"/>
              <w:marRight w:val="0"/>
              <w:marTop w:val="0"/>
              <w:marBottom w:val="0"/>
              <w:divBdr>
                <w:top w:val="none" w:sz="0" w:space="0" w:color="auto"/>
                <w:left w:val="none" w:sz="0" w:space="0" w:color="auto"/>
                <w:bottom w:val="none" w:sz="0" w:space="0" w:color="auto"/>
                <w:right w:val="none" w:sz="0" w:space="0" w:color="auto"/>
              </w:divBdr>
            </w:div>
            <w:div w:id="1530341007">
              <w:marLeft w:val="0"/>
              <w:marRight w:val="0"/>
              <w:marTop w:val="0"/>
              <w:marBottom w:val="0"/>
              <w:divBdr>
                <w:top w:val="none" w:sz="0" w:space="0" w:color="auto"/>
                <w:left w:val="none" w:sz="0" w:space="0" w:color="auto"/>
                <w:bottom w:val="none" w:sz="0" w:space="0" w:color="auto"/>
                <w:right w:val="none" w:sz="0" w:space="0" w:color="auto"/>
              </w:divBdr>
            </w:div>
            <w:div w:id="1647322101">
              <w:marLeft w:val="0"/>
              <w:marRight w:val="0"/>
              <w:marTop w:val="0"/>
              <w:marBottom w:val="0"/>
              <w:divBdr>
                <w:top w:val="none" w:sz="0" w:space="0" w:color="auto"/>
                <w:left w:val="none" w:sz="0" w:space="0" w:color="auto"/>
                <w:bottom w:val="none" w:sz="0" w:space="0" w:color="auto"/>
                <w:right w:val="none" w:sz="0" w:space="0" w:color="auto"/>
              </w:divBdr>
            </w:div>
            <w:div w:id="2120291264">
              <w:marLeft w:val="0"/>
              <w:marRight w:val="0"/>
              <w:marTop w:val="0"/>
              <w:marBottom w:val="0"/>
              <w:divBdr>
                <w:top w:val="none" w:sz="0" w:space="0" w:color="auto"/>
                <w:left w:val="none" w:sz="0" w:space="0" w:color="auto"/>
                <w:bottom w:val="none" w:sz="0" w:space="0" w:color="auto"/>
                <w:right w:val="none" w:sz="0" w:space="0" w:color="auto"/>
              </w:divBdr>
            </w:div>
            <w:div w:id="1055086432">
              <w:marLeft w:val="0"/>
              <w:marRight w:val="0"/>
              <w:marTop w:val="0"/>
              <w:marBottom w:val="0"/>
              <w:divBdr>
                <w:top w:val="none" w:sz="0" w:space="0" w:color="auto"/>
                <w:left w:val="none" w:sz="0" w:space="0" w:color="auto"/>
                <w:bottom w:val="none" w:sz="0" w:space="0" w:color="auto"/>
                <w:right w:val="none" w:sz="0" w:space="0" w:color="auto"/>
              </w:divBdr>
            </w:div>
            <w:div w:id="798456226">
              <w:marLeft w:val="0"/>
              <w:marRight w:val="0"/>
              <w:marTop w:val="0"/>
              <w:marBottom w:val="0"/>
              <w:divBdr>
                <w:top w:val="none" w:sz="0" w:space="0" w:color="auto"/>
                <w:left w:val="none" w:sz="0" w:space="0" w:color="auto"/>
                <w:bottom w:val="none" w:sz="0" w:space="0" w:color="auto"/>
                <w:right w:val="none" w:sz="0" w:space="0" w:color="auto"/>
              </w:divBdr>
            </w:div>
            <w:div w:id="1918514235">
              <w:marLeft w:val="0"/>
              <w:marRight w:val="0"/>
              <w:marTop w:val="0"/>
              <w:marBottom w:val="0"/>
              <w:divBdr>
                <w:top w:val="none" w:sz="0" w:space="0" w:color="auto"/>
                <w:left w:val="none" w:sz="0" w:space="0" w:color="auto"/>
                <w:bottom w:val="none" w:sz="0" w:space="0" w:color="auto"/>
                <w:right w:val="none" w:sz="0" w:space="0" w:color="auto"/>
              </w:divBdr>
            </w:div>
            <w:div w:id="1304694711">
              <w:marLeft w:val="0"/>
              <w:marRight w:val="0"/>
              <w:marTop w:val="0"/>
              <w:marBottom w:val="0"/>
              <w:divBdr>
                <w:top w:val="none" w:sz="0" w:space="0" w:color="auto"/>
                <w:left w:val="none" w:sz="0" w:space="0" w:color="auto"/>
                <w:bottom w:val="none" w:sz="0" w:space="0" w:color="auto"/>
                <w:right w:val="none" w:sz="0" w:space="0" w:color="auto"/>
              </w:divBdr>
            </w:div>
            <w:div w:id="1897349912">
              <w:marLeft w:val="0"/>
              <w:marRight w:val="0"/>
              <w:marTop w:val="0"/>
              <w:marBottom w:val="0"/>
              <w:divBdr>
                <w:top w:val="none" w:sz="0" w:space="0" w:color="auto"/>
                <w:left w:val="none" w:sz="0" w:space="0" w:color="auto"/>
                <w:bottom w:val="none" w:sz="0" w:space="0" w:color="auto"/>
                <w:right w:val="none" w:sz="0" w:space="0" w:color="auto"/>
              </w:divBdr>
            </w:div>
            <w:div w:id="349914715">
              <w:marLeft w:val="0"/>
              <w:marRight w:val="0"/>
              <w:marTop w:val="0"/>
              <w:marBottom w:val="0"/>
              <w:divBdr>
                <w:top w:val="none" w:sz="0" w:space="0" w:color="auto"/>
                <w:left w:val="none" w:sz="0" w:space="0" w:color="auto"/>
                <w:bottom w:val="none" w:sz="0" w:space="0" w:color="auto"/>
                <w:right w:val="none" w:sz="0" w:space="0" w:color="auto"/>
              </w:divBdr>
            </w:div>
            <w:div w:id="491991654">
              <w:marLeft w:val="0"/>
              <w:marRight w:val="0"/>
              <w:marTop w:val="0"/>
              <w:marBottom w:val="0"/>
              <w:divBdr>
                <w:top w:val="none" w:sz="0" w:space="0" w:color="auto"/>
                <w:left w:val="none" w:sz="0" w:space="0" w:color="auto"/>
                <w:bottom w:val="none" w:sz="0" w:space="0" w:color="auto"/>
                <w:right w:val="none" w:sz="0" w:space="0" w:color="auto"/>
              </w:divBdr>
            </w:div>
            <w:div w:id="1995795679">
              <w:marLeft w:val="0"/>
              <w:marRight w:val="0"/>
              <w:marTop w:val="0"/>
              <w:marBottom w:val="0"/>
              <w:divBdr>
                <w:top w:val="none" w:sz="0" w:space="0" w:color="auto"/>
                <w:left w:val="none" w:sz="0" w:space="0" w:color="auto"/>
                <w:bottom w:val="none" w:sz="0" w:space="0" w:color="auto"/>
                <w:right w:val="none" w:sz="0" w:space="0" w:color="auto"/>
              </w:divBdr>
            </w:div>
            <w:div w:id="1188715181">
              <w:marLeft w:val="0"/>
              <w:marRight w:val="0"/>
              <w:marTop w:val="0"/>
              <w:marBottom w:val="0"/>
              <w:divBdr>
                <w:top w:val="none" w:sz="0" w:space="0" w:color="auto"/>
                <w:left w:val="none" w:sz="0" w:space="0" w:color="auto"/>
                <w:bottom w:val="none" w:sz="0" w:space="0" w:color="auto"/>
                <w:right w:val="none" w:sz="0" w:space="0" w:color="auto"/>
              </w:divBdr>
            </w:div>
            <w:div w:id="1173372726">
              <w:marLeft w:val="0"/>
              <w:marRight w:val="0"/>
              <w:marTop w:val="0"/>
              <w:marBottom w:val="0"/>
              <w:divBdr>
                <w:top w:val="none" w:sz="0" w:space="0" w:color="auto"/>
                <w:left w:val="none" w:sz="0" w:space="0" w:color="auto"/>
                <w:bottom w:val="none" w:sz="0" w:space="0" w:color="auto"/>
                <w:right w:val="none" w:sz="0" w:space="0" w:color="auto"/>
              </w:divBdr>
            </w:div>
            <w:div w:id="660695721">
              <w:marLeft w:val="0"/>
              <w:marRight w:val="0"/>
              <w:marTop w:val="0"/>
              <w:marBottom w:val="0"/>
              <w:divBdr>
                <w:top w:val="none" w:sz="0" w:space="0" w:color="auto"/>
                <w:left w:val="none" w:sz="0" w:space="0" w:color="auto"/>
                <w:bottom w:val="none" w:sz="0" w:space="0" w:color="auto"/>
                <w:right w:val="none" w:sz="0" w:space="0" w:color="auto"/>
              </w:divBdr>
            </w:div>
            <w:div w:id="1946696429">
              <w:marLeft w:val="0"/>
              <w:marRight w:val="0"/>
              <w:marTop w:val="0"/>
              <w:marBottom w:val="0"/>
              <w:divBdr>
                <w:top w:val="none" w:sz="0" w:space="0" w:color="auto"/>
                <w:left w:val="none" w:sz="0" w:space="0" w:color="auto"/>
                <w:bottom w:val="none" w:sz="0" w:space="0" w:color="auto"/>
                <w:right w:val="none" w:sz="0" w:space="0" w:color="auto"/>
              </w:divBdr>
            </w:div>
            <w:div w:id="818889107">
              <w:marLeft w:val="0"/>
              <w:marRight w:val="0"/>
              <w:marTop w:val="0"/>
              <w:marBottom w:val="0"/>
              <w:divBdr>
                <w:top w:val="none" w:sz="0" w:space="0" w:color="auto"/>
                <w:left w:val="none" w:sz="0" w:space="0" w:color="auto"/>
                <w:bottom w:val="none" w:sz="0" w:space="0" w:color="auto"/>
                <w:right w:val="none" w:sz="0" w:space="0" w:color="auto"/>
              </w:divBdr>
            </w:div>
            <w:div w:id="1260990851">
              <w:marLeft w:val="0"/>
              <w:marRight w:val="0"/>
              <w:marTop w:val="0"/>
              <w:marBottom w:val="0"/>
              <w:divBdr>
                <w:top w:val="none" w:sz="0" w:space="0" w:color="auto"/>
                <w:left w:val="none" w:sz="0" w:space="0" w:color="auto"/>
                <w:bottom w:val="none" w:sz="0" w:space="0" w:color="auto"/>
                <w:right w:val="none" w:sz="0" w:space="0" w:color="auto"/>
              </w:divBdr>
            </w:div>
            <w:div w:id="1809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2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elmuseo.org/en/content/about-us/our-history" TargetMode="External"/><Relationship Id="rId4" Type="http://schemas.openxmlformats.org/officeDocument/2006/relationships/hyperlink" Target="http://www.mfa.org/programs/special-event/mfa-first-fridays" TargetMode="External"/><Relationship Id="rId5" Type="http://schemas.openxmlformats.org/officeDocument/2006/relationships/hyperlink" Target="http://www.nyc.gov/html/dcla/html/funding/institutions.shtml" TargetMode="External"/><Relationship Id="rId1" Type="http://schemas.openxmlformats.org/officeDocument/2006/relationships/hyperlink" Target="http://www.mfa.org" TargetMode="External"/><Relationship Id="rId2" Type="http://schemas.openxmlformats.org/officeDocument/2006/relationships/hyperlink" Target="http://www.queensmuseum.org/1139/queens-internationa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4E5F-C42A-0543-9807-25471C7E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20200</Words>
  <Characters>115143</Characters>
  <Application>Microsoft Macintosh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Wellesley College</Company>
  <LinksUpToDate>false</LinksUpToDate>
  <CharactersWithSpaces>135073</CharactersWithSpaces>
  <SharedDoc>false</SharedDoc>
  <HLinks>
    <vt:vector size="78" baseType="variant">
      <vt:variant>
        <vt:i4>4849672</vt:i4>
      </vt:variant>
      <vt:variant>
        <vt:i4>3</vt:i4>
      </vt:variant>
      <vt:variant>
        <vt:i4>0</vt:i4>
      </vt:variant>
      <vt:variant>
        <vt:i4>5</vt:i4>
      </vt:variant>
      <vt:variant>
        <vt:lpwstr>http://www.hks.harvard.edu/centers/rappaport/research-and-publications/special-collections/citizens%E2%80%99-committee-on-boston%E2%80%99s-future-report</vt:lpwstr>
      </vt:variant>
      <vt:variant>
        <vt:lpwstr/>
      </vt:variant>
      <vt:variant>
        <vt:i4>327704</vt:i4>
      </vt:variant>
      <vt:variant>
        <vt:i4>0</vt:i4>
      </vt:variant>
      <vt:variant>
        <vt:i4>0</vt:i4>
      </vt:variant>
      <vt:variant>
        <vt:i4>5</vt:i4>
      </vt:variant>
      <vt:variant>
        <vt:lpwstr>http://www.businessweek.com/articles/2012-03-21/bostons-so-called-innovation-district-eagerly-awaits-more-innovators</vt:lpwstr>
      </vt:variant>
      <vt:variant>
        <vt:lpwstr/>
      </vt:variant>
      <vt:variant>
        <vt:i4>524364</vt:i4>
      </vt:variant>
      <vt:variant>
        <vt:i4>36</vt:i4>
      </vt:variant>
      <vt:variant>
        <vt:i4>0</vt:i4>
      </vt:variant>
      <vt:variant>
        <vt:i4>5</vt:i4>
      </vt:variant>
      <vt:variant>
        <vt:lpwstr>http://www.nyc.gov/html/dcla/html/funding/institutions.shtml</vt:lpwstr>
      </vt:variant>
      <vt:variant>
        <vt:lpwstr/>
      </vt:variant>
      <vt:variant>
        <vt:i4>8061012</vt:i4>
      </vt:variant>
      <vt:variant>
        <vt:i4>33</vt:i4>
      </vt:variant>
      <vt:variant>
        <vt:i4>0</vt:i4>
      </vt:variant>
      <vt:variant>
        <vt:i4>5</vt:i4>
      </vt:variant>
      <vt:variant>
        <vt:lpwstr>http://www.mfa.org/programs/special-event/mfa-first-fridays</vt:lpwstr>
      </vt:variant>
      <vt:variant>
        <vt:lpwstr/>
      </vt:variant>
      <vt:variant>
        <vt:i4>4784184</vt:i4>
      </vt:variant>
      <vt:variant>
        <vt:i4>30</vt:i4>
      </vt:variant>
      <vt:variant>
        <vt:i4>0</vt:i4>
      </vt:variant>
      <vt:variant>
        <vt:i4>5</vt:i4>
      </vt:variant>
      <vt:variant>
        <vt:lpwstr>http://www.nytimes.com/2013/02/16/arts/design/margarita-aguilar-leaves-el-museo-del-barrio.html?_r=0</vt:lpwstr>
      </vt:variant>
      <vt:variant>
        <vt:lpwstr/>
      </vt:variant>
      <vt:variant>
        <vt:i4>8257594</vt:i4>
      </vt:variant>
      <vt:variant>
        <vt:i4>27</vt:i4>
      </vt:variant>
      <vt:variant>
        <vt:i4>0</vt:i4>
      </vt:variant>
      <vt:variant>
        <vt:i4>5</vt:i4>
      </vt:variant>
      <vt:variant>
        <vt:lpwstr>http://www.elmuseo.org/en/content/about-us/our-history</vt:lpwstr>
      </vt:variant>
      <vt:variant>
        <vt:lpwstr/>
      </vt:variant>
      <vt:variant>
        <vt:i4>2359385</vt:i4>
      </vt:variant>
      <vt:variant>
        <vt:i4>24</vt:i4>
      </vt:variant>
      <vt:variant>
        <vt:i4>0</vt:i4>
      </vt:variant>
      <vt:variant>
        <vt:i4>5</vt:i4>
      </vt:variant>
      <vt:variant>
        <vt:lpwstr>http://www.queensmuseum.org/1139/queens-international-4</vt:lpwstr>
      </vt:variant>
      <vt:variant>
        <vt:lpwstr/>
      </vt:variant>
      <vt:variant>
        <vt:i4>1441804</vt:i4>
      </vt:variant>
      <vt:variant>
        <vt:i4>21</vt:i4>
      </vt:variant>
      <vt:variant>
        <vt:i4>0</vt:i4>
      </vt:variant>
      <vt:variant>
        <vt:i4>5</vt:i4>
      </vt:variant>
      <vt:variant>
        <vt:lpwstr>http://www.nytimes.com/2011/01/14/arts/design/14vogel.html?_r=1</vt:lpwstr>
      </vt:variant>
      <vt:variant>
        <vt:lpwstr/>
      </vt:variant>
      <vt:variant>
        <vt:i4>3539056</vt:i4>
      </vt:variant>
      <vt:variant>
        <vt:i4>18</vt:i4>
      </vt:variant>
      <vt:variant>
        <vt:i4>0</vt:i4>
      </vt:variant>
      <vt:variant>
        <vt:i4>5</vt:i4>
      </vt:variant>
      <vt:variant>
        <vt:lpwstr>http://www.brooklynmuseum.org/opencollection/objects/1849/Tray_or_Waiter</vt:lpwstr>
      </vt:variant>
      <vt:variant>
        <vt:lpwstr/>
      </vt:variant>
      <vt:variant>
        <vt:i4>4522072</vt:i4>
      </vt:variant>
      <vt:variant>
        <vt:i4>15</vt:i4>
      </vt:variant>
      <vt:variant>
        <vt:i4>0</vt:i4>
      </vt:variant>
      <vt:variant>
        <vt:i4>5</vt:i4>
      </vt:variant>
      <vt:variant>
        <vt:lpwstr>http://www.brooklynmuseum.org/opencollection/objects/689/Pizarro_Commemorative_Plate</vt:lpwstr>
      </vt:variant>
      <vt:variant>
        <vt:lpwstr/>
      </vt:variant>
      <vt:variant>
        <vt:i4>2621478</vt:i4>
      </vt:variant>
      <vt:variant>
        <vt:i4>12</vt:i4>
      </vt:variant>
      <vt:variant>
        <vt:i4>0</vt:i4>
      </vt:variant>
      <vt:variant>
        <vt:i4>5</vt:i4>
      </vt:variant>
      <vt:variant>
        <vt:lpwstr>http://www.brooklynmuseum.org/assets/uploads/5020_ColonialPairing.pdf</vt:lpwstr>
      </vt:variant>
      <vt:variant>
        <vt:lpwstr/>
      </vt:variant>
      <vt:variant>
        <vt:i4>3080298</vt:i4>
      </vt:variant>
      <vt:variant>
        <vt:i4>3</vt:i4>
      </vt:variant>
      <vt:variant>
        <vt:i4>0</vt:i4>
      </vt:variant>
      <vt:variant>
        <vt:i4>5</vt:i4>
      </vt:variant>
      <vt:variant>
        <vt:lpwstr>http://www.mfa.org</vt:lpwstr>
      </vt:variant>
      <vt:variant>
        <vt:lpwstr/>
      </vt:variant>
      <vt:variant>
        <vt:i4>7471196</vt:i4>
      </vt:variant>
      <vt:variant>
        <vt:i4>0</vt:i4>
      </vt:variant>
      <vt:variant>
        <vt:i4>0</vt:i4>
      </vt:variant>
      <vt:variant>
        <vt:i4>5</vt:i4>
      </vt:variant>
      <vt:variant>
        <vt:lpwstr>http://www.emersoncentral.com/amscholar.htm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Information Services</cp:lastModifiedBy>
  <cp:revision>2</cp:revision>
  <dcterms:created xsi:type="dcterms:W3CDTF">2013-09-03T14:39:00Z</dcterms:created>
  <dcterms:modified xsi:type="dcterms:W3CDTF">2013-09-03T14:39:00Z</dcterms:modified>
</cp:coreProperties>
</file>